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2FA" w:rsidRPr="00FB2B79" w:rsidRDefault="00522702" w:rsidP="004B4F8D">
      <w:pPr>
        <w:pStyle w:val="Dilonadpis1"/>
      </w:pPr>
      <w:bookmarkStart w:id="0" w:name="_Toc369860029"/>
      <w:r w:rsidRPr="00522702">
        <w:t xml:space="preserve"> </w:t>
      </w:r>
      <w:bookmarkStart w:id="1" w:name="_Toc371588138"/>
      <w:r w:rsidR="00D912FA" w:rsidRPr="00FB2B79">
        <w:t>POPULAČNÍ VÝVOJ</w:t>
      </w:r>
      <w:bookmarkEnd w:id="1"/>
    </w:p>
    <w:p w:rsidR="00D912FA" w:rsidRPr="00C24253" w:rsidRDefault="00D912FA" w:rsidP="00D912FA">
      <w:pPr>
        <w:pStyle w:val="Styl1"/>
        <w:tabs>
          <w:tab w:val="left" w:pos="709"/>
        </w:tabs>
        <w:spacing w:after="240"/>
        <w:ind w:firstLine="0"/>
        <w:rPr>
          <w:szCs w:val="20"/>
        </w:rPr>
      </w:pPr>
      <w:r w:rsidRPr="00C24253">
        <w:rPr>
          <w:szCs w:val="20"/>
        </w:rPr>
        <w:t>Celospolečenská změna odstartovaná v listopadu 1989 znamenala i dramatickou změnu reprodukčního chování obyvatelstva České republiky. Politická transformace a s ní spojené ekonomické, sociální a kulturní změny znamenal</w:t>
      </w:r>
      <w:r>
        <w:rPr>
          <w:szCs w:val="20"/>
        </w:rPr>
        <w:t xml:space="preserve">y </w:t>
      </w:r>
      <w:r w:rsidRPr="00C24253">
        <w:rPr>
          <w:szCs w:val="20"/>
        </w:rPr>
        <w:t>otevření nových možností, které začaly „konkurovat“</w:t>
      </w:r>
      <w:r w:rsidR="00D423B3">
        <w:rPr>
          <w:szCs w:val="20"/>
        </w:rPr>
        <w:t xml:space="preserve"> manželství a rodině. Moderní a </w:t>
      </w:r>
      <w:r w:rsidRPr="00C24253">
        <w:rPr>
          <w:szCs w:val="20"/>
        </w:rPr>
        <w:t>snadno dostupné antikoncepční prostředky k tomu přinesly ženám, resp. párům jednoduchou a spolehl</w:t>
      </w:r>
      <w:r w:rsidRPr="00C24253">
        <w:rPr>
          <w:szCs w:val="20"/>
        </w:rPr>
        <w:t>i</w:t>
      </w:r>
      <w:r w:rsidRPr="00C24253">
        <w:rPr>
          <w:szCs w:val="20"/>
        </w:rPr>
        <w:t>vou metodu rození dětí plánovat. Počátek rodinného života začal být navíc více spojován se získáním určité ekonomické úrovně a vyřešením bytové otázky. Do již tak zhoršující se stability manželství zasáhly nové problémy, naopak pozitiva „nové“ doby se odrazil</w:t>
      </w:r>
      <w:r>
        <w:rPr>
          <w:szCs w:val="20"/>
        </w:rPr>
        <w:t>a</w:t>
      </w:r>
      <w:r w:rsidRPr="00C24253">
        <w:rPr>
          <w:szCs w:val="20"/>
        </w:rPr>
        <w:t xml:space="preserve"> ve zdravotnictví a životním stylu obyvatel, které vedly k výraznému poklesu intenzity úmrtnosti. Česká republika tak v tomto období zažila historicky nejnižší úr</w:t>
      </w:r>
      <w:r w:rsidRPr="00C24253">
        <w:rPr>
          <w:szCs w:val="20"/>
        </w:rPr>
        <w:t>o</w:t>
      </w:r>
      <w:r w:rsidRPr="00C24253">
        <w:rPr>
          <w:szCs w:val="20"/>
        </w:rPr>
        <w:t xml:space="preserve">veň plodnosti a sňatečnosti, ale také kojenecké úmrtnosti </w:t>
      </w:r>
      <w:r>
        <w:rPr>
          <w:szCs w:val="20"/>
        </w:rPr>
        <w:t xml:space="preserve">i úmrtnosti celkové. Historicky </w:t>
      </w:r>
      <w:r w:rsidRPr="00C24253">
        <w:rPr>
          <w:szCs w:val="20"/>
        </w:rPr>
        <w:t>maximální hodnoty bylo dosaženo i u rozvodovosti. Otevření hranic, rozpad Československa a vstup ČR do Evropské unie pr</w:t>
      </w:r>
      <w:r w:rsidRPr="00C24253">
        <w:rPr>
          <w:szCs w:val="20"/>
        </w:rPr>
        <w:t>o</w:t>
      </w:r>
      <w:r w:rsidRPr="00C24253">
        <w:rPr>
          <w:szCs w:val="20"/>
        </w:rPr>
        <w:t>měnily charakter a rozsah mezinárodní migrace, která se stala významnou složkou populačního vývoje Če</w:t>
      </w:r>
      <w:r w:rsidRPr="00C24253">
        <w:rPr>
          <w:szCs w:val="20"/>
        </w:rPr>
        <w:t>s</w:t>
      </w:r>
      <w:r w:rsidRPr="00C24253">
        <w:rPr>
          <w:szCs w:val="20"/>
        </w:rPr>
        <w:t>ké republiky, a Česko se proměnilo v imigrační zemi nejen pro občany Slovenské republiky. V období let 1994-2005 se ale stalo také zemí s úbytkem obyvatel přirozenou měnou, který se zcela jistě vrátí (dle Pr</w:t>
      </w:r>
      <w:r w:rsidRPr="00C24253">
        <w:rPr>
          <w:szCs w:val="20"/>
        </w:rPr>
        <w:t>o</w:t>
      </w:r>
      <w:r w:rsidRPr="00C24253">
        <w:rPr>
          <w:szCs w:val="20"/>
        </w:rPr>
        <w:t>jekce ČSÚ 2013 hned v roce 2013) a bude již s velkou pravděpodobností trvalou charakteristikou demogr</w:t>
      </w:r>
      <w:r w:rsidRPr="00C24253">
        <w:rPr>
          <w:szCs w:val="20"/>
        </w:rPr>
        <w:t>a</w:t>
      </w:r>
      <w:r w:rsidRPr="00C24253">
        <w:rPr>
          <w:szCs w:val="20"/>
        </w:rPr>
        <w:t>fického vývoje České republiky. Česká republika bude čelit také výraznému stárnutí obyvatel, kdy by měla být zhruba od druhé poloviny století až jedna třetina obyvatel země starších 65 let.</w:t>
      </w:r>
    </w:p>
    <w:p w:rsidR="00D912FA" w:rsidRPr="00650A13" w:rsidRDefault="00D912FA" w:rsidP="004B4F8D">
      <w:pPr>
        <w:pStyle w:val="31"/>
        <w:numPr>
          <w:ilvl w:val="1"/>
          <w:numId w:val="48"/>
        </w:numPr>
        <w:ind w:left="567" w:hanging="567"/>
      </w:pPr>
      <w:r w:rsidRPr="00F23554">
        <w:rPr>
          <w:rStyle w:val="Styl17Char"/>
          <w:b/>
        </w:rPr>
        <w:t xml:space="preserve">Vývoj </w:t>
      </w:r>
      <w:r w:rsidRPr="00F23554">
        <w:t>po</w:t>
      </w:r>
      <w:r w:rsidRPr="00650A13">
        <w:t>čtu obyvatel a složení populace podle věku a rodinného stavu</w:t>
      </w:r>
    </w:p>
    <w:p w:rsidR="00D912FA" w:rsidRPr="00C24253" w:rsidRDefault="00517FA8" w:rsidP="00D912FA">
      <w:pPr>
        <w:autoSpaceDE w:val="0"/>
        <w:autoSpaceDN w:val="0"/>
        <w:adjustRightInd w:val="0"/>
        <w:spacing w:after="120"/>
        <w:rPr>
          <w:rFonts w:eastAsia="Calibri" w:cs="Arial"/>
          <w:sz w:val="20"/>
          <w:szCs w:val="20"/>
        </w:rPr>
      </w:pPr>
      <w:r>
        <w:rPr>
          <w:rFonts w:eastAsia="Calibri"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46" type="#_x0000_t75" style="position:absolute;left:0;text-align:left;margin-left:0;margin-top:128.15pt;width:425.85pt;height:227.5pt;z-index:251657728;mso-wrap-distance-top:8.5pt;mso-wrap-distance-bottom:19.85pt;mso-position-horizontal:center">
            <v:imagedata r:id="rId8" o:title=""/>
            <w10:wrap type="topAndBottom"/>
          </v:shape>
        </w:pict>
      </w:r>
      <w:r w:rsidR="00D912FA" w:rsidRPr="00C24253">
        <w:rPr>
          <w:rFonts w:eastAsia="Calibri" w:cs="Arial"/>
          <w:sz w:val="20"/>
          <w:szCs w:val="20"/>
        </w:rPr>
        <w:t>K 26. 3. 2011 bylo sečteno celkem 10 436 560 obyvatel s obvyklým pobytem v České republice. Pro zahrnutí osoby do obvykle bydlícího obyvatelstva bylo rozhodující kritérium 12 měsíců pobytu na území ČR, příp. úmysl dlouhodobého pobytu. Intercenzální demografická statistika</w:t>
      </w:r>
      <w:r w:rsidR="00D912FA">
        <w:rPr>
          <w:rFonts w:eastAsia="Calibri" w:cs="Arial"/>
          <w:sz w:val="20"/>
          <w:szCs w:val="20"/>
        </w:rPr>
        <w:t>,</w:t>
      </w:r>
      <w:r w:rsidR="00D912FA" w:rsidRPr="00C24253">
        <w:rPr>
          <w:rFonts w:eastAsia="Calibri" w:cs="Arial"/>
          <w:sz w:val="20"/>
          <w:szCs w:val="20"/>
        </w:rPr>
        <w:t xml:space="preserve"> vycházející z výsledku posledního pop</w:t>
      </w:r>
      <w:r w:rsidR="00D912FA" w:rsidRPr="00C24253">
        <w:rPr>
          <w:rFonts w:eastAsia="Calibri" w:cs="Arial"/>
          <w:sz w:val="20"/>
          <w:szCs w:val="20"/>
        </w:rPr>
        <w:t>u</w:t>
      </w:r>
      <w:r w:rsidR="00D912FA" w:rsidRPr="00C24253">
        <w:rPr>
          <w:rFonts w:eastAsia="Calibri" w:cs="Arial"/>
          <w:sz w:val="20"/>
          <w:szCs w:val="20"/>
        </w:rPr>
        <w:t>lačního cenzu a údajů o pohybu obyvatelstva</w:t>
      </w:r>
      <w:r w:rsidR="00D912FA">
        <w:rPr>
          <w:rFonts w:eastAsia="Calibri" w:cs="Arial"/>
          <w:sz w:val="20"/>
          <w:szCs w:val="20"/>
        </w:rPr>
        <w:t>,</w:t>
      </w:r>
      <w:r w:rsidR="00D912FA" w:rsidRPr="00C24253">
        <w:rPr>
          <w:rFonts w:eastAsia="Calibri" w:cs="Arial"/>
          <w:sz w:val="20"/>
          <w:szCs w:val="20"/>
        </w:rPr>
        <w:t xml:space="preserve"> zůstává i po sčítání lidu 201</w:t>
      </w:r>
      <w:r w:rsidR="00D423B3">
        <w:rPr>
          <w:rFonts w:eastAsia="Calibri" w:cs="Arial"/>
          <w:sz w:val="20"/>
          <w:szCs w:val="20"/>
        </w:rPr>
        <w:t>1 založena na trvalém pobytu (u </w:t>
      </w:r>
      <w:r w:rsidR="00D912FA" w:rsidRPr="00C24253">
        <w:rPr>
          <w:rFonts w:eastAsia="Calibri" w:cs="Arial"/>
          <w:sz w:val="20"/>
          <w:szCs w:val="20"/>
        </w:rPr>
        <w:t>cizinců rovněž na dlouhodobém a přechodném pobytu a povoleném pobytu azylanta). Osob s trvalým pobytem bylo v roce 2011 sečteno 10 490 609, což bylo o 260,5 tisíce více než při sčítání o deset let dříve, ale jen o 188,4 tisíce více než při sčítání 1991, kdy do bydlícího obyvatelstva nebyli ještě zahrnuti cizinci s dlouhodobým pobytem. Od sčítání 2011 do konce roku 2012 se počet obyvatel zvýšil o dalších 25,5 tisíce na 10 </w:t>
      </w:r>
      <w:r w:rsidR="00FC655E">
        <w:rPr>
          <w:rFonts w:eastAsia="Calibri" w:cs="Arial"/>
          <w:sz w:val="20"/>
          <w:szCs w:val="20"/>
        </w:rPr>
        <w:t xml:space="preserve"> </w:t>
      </w:r>
      <w:r w:rsidR="00D912FA" w:rsidRPr="00C24253">
        <w:rPr>
          <w:rFonts w:eastAsia="Calibri" w:cs="Arial"/>
          <w:sz w:val="20"/>
          <w:szCs w:val="20"/>
        </w:rPr>
        <w:t>516 125.</w:t>
      </w:r>
      <w:r w:rsidR="00D912FA" w:rsidRPr="00C24253">
        <w:t xml:space="preserve"> </w:t>
      </w:r>
    </w:p>
    <w:p w:rsidR="00D912FA" w:rsidRPr="00C24253" w:rsidRDefault="00D912FA" w:rsidP="00D912FA">
      <w:pPr>
        <w:autoSpaceDE w:val="0"/>
        <w:autoSpaceDN w:val="0"/>
        <w:adjustRightInd w:val="0"/>
        <w:spacing w:after="120"/>
        <w:rPr>
          <w:rFonts w:eastAsia="Calibri" w:cs="Arial"/>
          <w:sz w:val="20"/>
          <w:szCs w:val="20"/>
        </w:rPr>
      </w:pPr>
      <w:r w:rsidRPr="00C24253">
        <w:rPr>
          <w:rFonts w:eastAsia="Calibri" w:cs="Arial"/>
          <w:sz w:val="20"/>
          <w:szCs w:val="20"/>
        </w:rPr>
        <w:t>Po druhé světové válce, resp. od roku 1947, od kterého existuje souvislá časová řada o přírůstcích obyvate</w:t>
      </w:r>
      <w:r w:rsidRPr="00C24253">
        <w:rPr>
          <w:rFonts w:eastAsia="Calibri" w:cs="Arial"/>
          <w:sz w:val="20"/>
          <w:szCs w:val="20"/>
        </w:rPr>
        <w:t>l</w:t>
      </w:r>
      <w:r w:rsidRPr="00C24253">
        <w:rPr>
          <w:rFonts w:eastAsia="Calibri" w:cs="Arial"/>
          <w:sz w:val="20"/>
          <w:szCs w:val="20"/>
        </w:rPr>
        <w:t>stva přirozenou měnou i stěhováním, populace České republiky rostla až do roku 1993 včetně, a to jak přir</w:t>
      </w:r>
      <w:r w:rsidRPr="00C24253">
        <w:rPr>
          <w:rFonts w:eastAsia="Calibri" w:cs="Arial"/>
          <w:sz w:val="20"/>
          <w:szCs w:val="20"/>
        </w:rPr>
        <w:t>o</w:t>
      </w:r>
      <w:r w:rsidRPr="00C24253">
        <w:rPr>
          <w:rFonts w:eastAsia="Calibri" w:cs="Arial"/>
          <w:sz w:val="20"/>
          <w:szCs w:val="20"/>
        </w:rPr>
        <w:t>zenou měnou, tak až na výjimky z let 1954 a 1967-1970 i migrací.</w:t>
      </w:r>
    </w:p>
    <w:p w:rsidR="00D912FA" w:rsidRPr="00C24253" w:rsidRDefault="00D912FA" w:rsidP="00D912FA">
      <w:pPr>
        <w:autoSpaceDE w:val="0"/>
        <w:autoSpaceDN w:val="0"/>
        <w:adjustRightInd w:val="0"/>
        <w:spacing w:after="120"/>
        <w:rPr>
          <w:rFonts w:eastAsia="Calibri" w:cs="Arial"/>
          <w:sz w:val="20"/>
          <w:szCs w:val="20"/>
        </w:rPr>
      </w:pPr>
      <w:r w:rsidRPr="00C24253">
        <w:rPr>
          <w:rFonts w:eastAsia="Calibri" w:cs="Arial"/>
          <w:sz w:val="20"/>
          <w:szCs w:val="20"/>
        </w:rPr>
        <w:t xml:space="preserve">V letech 1994 až 2002 obyvatel ČR naopak ubývalo a to díky úbytkům přirozenou měnou, v roce 2001 se přirozený úbytek navíc prohloubil o záporné saldo zahraniční migrace. V tomto devítiletém období ztratila </w:t>
      </w:r>
      <w:r w:rsidRPr="00C24253">
        <w:rPr>
          <w:rFonts w:eastAsia="Calibri" w:cs="Arial"/>
          <w:sz w:val="20"/>
          <w:szCs w:val="20"/>
        </w:rPr>
        <w:lastRenderedPageBreak/>
        <w:t>Česká republika v úhrnu přes 96 tisíc obyvatel. Vyšší počty zemřelých nad narozenými trvaly ještě další tři roky, až do roku 2005, saldo migrace však bylo již vyšší a tyto úbytky nejen kompenzovalo, ale České repu</w:t>
      </w:r>
      <w:r w:rsidRPr="00C24253">
        <w:rPr>
          <w:rFonts w:eastAsia="Calibri" w:cs="Arial"/>
          <w:sz w:val="20"/>
          <w:szCs w:val="20"/>
        </w:rPr>
        <w:t>b</w:t>
      </w:r>
      <w:r w:rsidRPr="00C24253">
        <w:rPr>
          <w:rFonts w:eastAsia="Calibri" w:cs="Arial"/>
          <w:sz w:val="20"/>
          <w:szCs w:val="20"/>
        </w:rPr>
        <w:t>lice obyvatele dokonce přidávalo. Přírůstky obyvatel zahraniční migrací byly pro vývoj počtu obyvatel rozh</w:t>
      </w:r>
      <w:r w:rsidRPr="00C24253">
        <w:rPr>
          <w:rFonts w:eastAsia="Calibri" w:cs="Arial"/>
          <w:sz w:val="20"/>
          <w:szCs w:val="20"/>
        </w:rPr>
        <w:t>o</w:t>
      </w:r>
      <w:r w:rsidRPr="00C24253">
        <w:rPr>
          <w:rFonts w:eastAsia="Calibri" w:cs="Arial"/>
          <w:sz w:val="20"/>
          <w:szCs w:val="20"/>
        </w:rPr>
        <w:t xml:space="preserve">dující i po roce 2006, kdy byla opět registrována kladná přirozená měna, která byla důsledkem jak vyšších počtů narozených dětí, tak i naopak nižších počtů zemřelých. Celkem v letech populačního růstu 2003 až 2012 přibylo 359 tisíc obyvatel, </w:t>
      </w:r>
      <w:r w:rsidR="00FC655E">
        <w:rPr>
          <w:rFonts w:eastAsia="Calibri" w:cs="Arial"/>
          <w:sz w:val="20"/>
          <w:szCs w:val="20"/>
        </w:rPr>
        <w:t>z toho</w:t>
      </w:r>
      <w:r w:rsidRPr="00C24253">
        <w:rPr>
          <w:rFonts w:eastAsia="Calibri" w:cs="Arial"/>
          <w:sz w:val="20"/>
          <w:szCs w:val="20"/>
        </w:rPr>
        <w:t xml:space="preserve"> zahraniční migrací 342 tisíc, při</w:t>
      </w:r>
      <w:r w:rsidR="00D423B3">
        <w:rPr>
          <w:rFonts w:eastAsia="Calibri" w:cs="Arial"/>
          <w:sz w:val="20"/>
          <w:szCs w:val="20"/>
        </w:rPr>
        <w:t>rozenou měnou pouze necelých 17 </w:t>
      </w:r>
      <w:r w:rsidRPr="00C24253">
        <w:rPr>
          <w:rFonts w:eastAsia="Calibri" w:cs="Arial"/>
          <w:sz w:val="20"/>
          <w:szCs w:val="20"/>
        </w:rPr>
        <w:t xml:space="preserve">tisíc. </w:t>
      </w:r>
    </w:p>
    <w:p w:rsidR="00D912FA" w:rsidRPr="00C24253" w:rsidRDefault="00D912FA" w:rsidP="00D912FA">
      <w:pPr>
        <w:autoSpaceDE w:val="0"/>
        <w:autoSpaceDN w:val="0"/>
        <w:adjustRightInd w:val="0"/>
        <w:spacing w:after="120"/>
        <w:rPr>
          <w:rFonts w:eastAsia="Calibri" w:cs="Arial"/>
          <w:sz w:val="20"/>
          <w:szCs w:val="20"/>
        </w:rPr>
      </w:pPr>
      <w:r w:rsidRPr="00C24253">
        <w:rPr>
          <w:rFonts w:eastAsia="Calibri" w:cs="Arial"/>
          <w:sz w:val="20"/>
          <w:szCs w:val="20"/>
        </w:rPr>
        <w:t>Při nepravidelném demografickém vývoji a v době nízké úrovně plodnosti a rostoucí naděje dožití při nar</w:t>
      </w:r>
      <w:r w:rsidRPr="00C24253">
        <w:rPr>
          <w:rFonts w:eastAsia="Calibri" w:cs="Arial"/>
          <w:sz w:val="20"/>
          <w:szCs w:val="20"/>
        </w:rPr>
        <w:t>o</w:t>
      </w:r>
      <w:r w:rsidRPr="00C24253">
        <w:rPr>
          <w:rFonts w:eastAsia="Calibri" w:cs="Arial"/>
          <w:sz w:val="20"/>
          <w:szCs w:val="20"/>
        </w:rPr>
        <w:t>zení mají větší význam než vývoj samotného počtu obyvatel strukturální změny podle věku. Zatímco nízká plodnost a prodlužující se délka života znamenají vývoj ve směru demografického stárnutí, nepravidelnosti založené minulým vývojem jej dočasně zesilují či zeslabují. Obojí je přesně případ populace České republ</w:t>
      </w:r>
      <w:r w:rsidRPr="00C24253">
        <w:rPr>
          <w:rFonts w:eastAsia="Calibri" w:cs="Arial"/>
          <w:sz w:val="20"/>
          <w:szCs w:val="20"/>
        </w:rPr>
        <w:t>i</w:t>
      </w:r>
      <w:r w:rsidRPr="00C24253">
        <w:rPr>
          <w:rFonts w:eastAsia="Calibri" w:cs="Arial"/>
          <w:sz w:val="20"/>
          <w:szCs w:val="20"/>
        </w:rPr>
        <w:t>ky, jejíž věková struktura je velmi nepravidelná a od počátku 90. let minulého století čelí nízké úrovni plo</w:t>
      </w:r>
      <w:r w:rsidRPr="00C24253">
        <w:rPr>
          <w:rFonts w:eastAsia="Calibri" w:cs="Arial"/>
          <w:sz w:val="20"/>
          <w:szCs w:val="20"/>
        </w:rPr>
        <w:t>d</w:t>
      </w:r>
      <w:r w:rsidRPr="00C24253">
        <w:rPr>
          <w:rFonts w:eastAsia="Calibri" w:cs="Arial"/>
          <w:sz w:val="20"/>
          <w:szCs w:val="20"/>
        </w:rPr>
        <w:t>nosti a výrazněji klesající úmrtnosti. Nerovnoměrný populační vývoj byl zejména důsledkem obou světových válek, hospodářské krize ve 30. letech a vývojem porodnosti v dalších desetiletích, který byl ovlivněn před</w:t>
      </w:r>
      <w:r w:rsidRPr="00C24253">
        <w:rPr>
          <w:rFonts w:eastAsia="Calibri" w:cs="Arial"/>
          <w:sz w:val="20"/>
          <w:szCs w:val="20"/>
        </w:rPr>
        <w:t>e</w:t>
      </w:r>
      <w:r w:rsidRPr="00C24253">
        <w:rPr>
          <w:rFonts w:eastAsia="Calibri" w:cs="Arial"/>
          <w:sz w:val="20"/>
          <w:szCs w:val="20"/>
        </w:rPr>
        <w:t>vším přijetím pronatalitních opatření, legalizací umělých přerušení těhotenství na žádost a změnou politické, ekonomické a sociální situace po roce 1989.</w:t>
      </w:r>
    </w:p>
    <w:p w:rsidR="00D912FA" w:rsidRPr="00C24253" w:rsidRDefault="00D912FA" w:rsidP="00D912FA">
      <w:pPr>
        <w:pStyle w:val="obycA10"/>
        <w:spacing w:after="120"/>
        <w:jc w:val="both"/>
        <w:rPr>
          <w:rFonts w:eastAsia="Calibri" w:cs="Arial"/>
          <w:szCs w:val="20"/>
        </w:rPr>
      </w:pPr>
      <w:r w:rsidRPr="00C24253">
        <w:rPr>
          <w:rFonts w:eastAsia="Calibri" w:cs="Arial"/>
          <w:szCs w:val="20"/>
        </w:rPr>
        <w:t>V 90. letech minulého století měl na vývoj věkového složení největší vliv pokles porodnosti v jejich první polovině a následná stagnace počtů narozených. Velikost populace dětí se za celé desetiletí snížila o 545,5 tisíce a jejich podíl z 21,7 % z počátku roku 1990 na 16,6 % ke konci roku 1999. Populace 15-64letých i s</w:t>
      </w:r>
      <w:r w:rsidRPr="00C24253">
        <w:rPr>
          <w:rFonts w:eastAsia="Calibri" w:cs="Arial"/>
          <w:szCs w:val="20"/>
        </w:rPr>
        <w:t>e</w:t>
      </w:r>
      <w:r w:rsidRPr="00C24253">
        <w:rPr>
          <w:rFonts w:eastAsia="Calibri" w:cs="Arial"/>
          <w:szCs w:val="20"/>
        </w:rPr>
        <w:t>niorů ve věku 65 a více let se sice zvyšovala, ale absolutně i relativně méně než byl pokles u dětské složky. Přibývání osob 65letých a starších bylo jen pozvolné (tento věk překračovaly osoby z početně slabých ročn</w:t>
      </w:r>
      <w:r w:rsidRPr="00C24253">
        <w:rPr>
          <w:rFonts w:eastAsia="Calibri" w:cs="Arial"/>
          <w:szCs w:val="20"/>
        </w:rPr>
        <w:t>í</w:t>
      </w:r>
      <w:r w:rsidRPr="00C24253">
        <w:rPr>
          <w:rFonts w:eastAsia="Calibri" w:cs="Arial"/>
          <w:szCs w:val="20"/>
        </w:rPr>
        <w:t>ků z 30. let), jejich počet se zvýšil o 126,1 tisíce a podíl této skupiny v populaci narostl do konce století po</w:t>
      </w:r>
      <w:r w:rsidRPr="00C24253">
        <w:rPr>
          <w:rFonts w:eastAsia="Calibri" w:cs="Arial"/>
          <w:szCs w:val="20"/>
        </w:rPr>
        <w:t>u</w:t>
      </w:r>
      <w:r w:rsidRPr="00C24253">
        <w:rPr>
          <w:rFonts w:eastAsia="Calibri" w:cs="Arial"/>
          <w:szCs w:val="20"/>
        </w:rPr>
        <w:t xml:space="preserve">ze o 1,3 procentního bodu na 13,8 %. </w:t>
      </w:r>
    </w:p>
    <w:p w:rsidR="00D912FA" w:rsidRPr="00C24253" w:rsidRDefault="00D912FA" w:rsidP="00D912FA">
      <w:pPr>
        <w:pStyle w:val="obycA10"/>
        <w:spacing w:after="120"/>
        <w:jc w:val="both"/>
        <w:rPr>
          <w:rFonts w:eastAsia="Calibri" w:cs="Arial"/>
          <w:szCs w:val="20"/>
        </w:rPr>
      </w:pPr>
      <w:r w:rsidRPr="00C24253">
        <w:rPr>
          <w:rFonts w:eastAsia="Calibri" w:cs="Arial"/>
          <w:szCs w:val="20"/>
        </w:rPr>
        <w:t>Populační stárnutí bylo tak v 90. letech 20. století způsobeno především ú</w:t>
      </w:r>
      <w:r w:rsidR="00D423B3">
        <w:rPr>
          <w:rFonts w:eastAsia="Calibri" w:cs="Arial"/>
          <w:szCs w:val="20"/>
        </w:rPr>
        <w:t>bytkem dětí v populaci. Počet a </w:t>
      </w:r>
      <w:r w:rsidRPr="00C24253">
        <w:rPr>
          <w:rFonts w:eastAsia="Calibri" w:cs="Arial"/>
          <w:szCs w:val="20"/>
        </w:rPr>
        <w:t>podíl dětí v obyvatelstvu klesal ještě v první polovině prvního desetiletí nového století, resp. do roku 2007 (relativní zastoupení ještě v roce 2008), a to i přesto, že od roku 2002 se počty narozených částečnou real</w:t>
      </w:r>
      <w:r w:rsidRPr="00C24253">
        <w:rPr>
          <w:rFonts w:eastAsia="Calibri" w:cs="Arial"/>
          <w:szCs w:val="20"/>
        </w:rPr>
        <w:t>i</w:t>
      </w:r>
      <w:r w:rsidRPr="00C24253">
        <w:rPr>
          <w:rFonts w:eastAsia="Calibri" w:cs="Arial"/>
          <w:szCs w:val="20"/>
        </w:rPr>
        <w:t>zací odložených porodů do pozdějšího věku začaly pomalu zvyšovat. Histor</w:t>
      </w:r>
      <w:r w:rsidR="00D423B3">
        <w:rPr>
          <w:rFonts w:eastAsia="Calibri" w:cs="Arial"/>
          <w:szCs w:val="20"/>
        </w:rPr>
        <w:t>icky minimální podíl dětí do 15 </w:t>
      </w:r>
      <w:r w:rsidRPr="00C24253">
        <w:rPr>
          <w:rFonts w:eastAsia="Calibri" w:cs="Arial"/>
          <w:szCs w:val="20"/>
        </w:rPr>
        <w:t xml:space="preserve">let věku byl zaznamenán ke konci roku 2008, a sice 14,1 %. Do konce roku 2012 se jejich podíl zvýšil na 14,8 %. </w:t>
      </w:r>
    </w:p>
    <w:p w:rsidR="00D912FA" w:rsidRPr="00C24253" w:rsidRDefault="00D912FA" w:rsidP="00D912FA">
      <w:pPr>
        <w:pStyle w:val="obycA10"/>
        <w:spacing w:after="120"/>
        <w:jc w:val="both"/>
      </w:pPr>
      <w:r w:rsidRPr="00C24253">
        <w:rPr>
          <w:rFonts w:eastAsia="Calibri" w:cs="Arial"/>
          <w:szCs w:val="20"/>
        </w:rPr>
        <w:t>Populace 15-64letých rostla až do roku 2008, od následujícího roku se její absolutní velikost již snižovala, za poslední čtyři roky o 243 tisíc.</w:t>
      </w:r>
      <w:r w:rsidRPr="00C24253">
        <w:t xml:space="preserve"> Tuto věkovou kategorii totiž opustili nejsilnější populační ročníky 1944-1947, které na začátku tohoto věkového intervalu byly nahrazeny početně mnohem slabšími generacemi naroz</w:t>
      </w:r>
      <w:r w:rsidRPr="00C24253">
        <w:t>e</w:t>
      </w:r>
      <w:r w:rsidRPr="00C24253">
        <w:t>nými okolo poloviny 90. let. Přesunem silných válečných a poválečných ročníků do věku 65 a více let se početní růst seniorské složky obyvatelstva absolutně i relativně značně zrychlil. Na konci roku 2006 se sk</w:t>
      </w:r>
      <w:r w:rsidRPr="00C24253">
        <w:t>u</w:t>
      </w:r>
      <w:r w:rsidRPr="00C24253">
        <w:t xml:space="preserve">pina osob 65 a víceletých stala poprvé v historii početnější než skupina dětí do 15 let. </w:t>
      </w:r>
    </w:p>
    <w:p w:rsidR="00D912FA" w:rsidRPr="00C24253" w:rsidRDefault="00D912FA" w:rsidP="00D912FA">
      <w:pPr>
        <w:autoSpaceDE w:val="0"/>
        <w:autoSpaceDN w:val="0"/>
        <w:adjustRightInd w:val="0"/>
        <w:spacing w:before="360" w:after="120"/>
        <w:rPr>
          <w:rFonts w:eastAsia="Calibri" w:cs="Arial"/>
          <w:b/>
          <w:sz w:val="20"/>
          <w:szCs w:val="20"/>
        </w:rPr>
      </w:pPr>
      <w:r w:rsidRPr="00C24253">
        <w:rPr>
          <w:rFonts w:eastAsia="Calibri" w:cs="Arial"/>
          <w:b/>
          <w:sz w:val="20"/>
          <w:szCs w:val="20"/>
        </w:rPr>
        <w:t>Ukazatele věkového složení* při sčítání lidu 1991, 2001 a 2011</w:t>
      </w:r>
    </w:p>
    <w:tbl>
      <w:tblPr>
        <w:tblW w:w="4950" w:type="pct"/>
        <w:tblInd w:w="5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1590"/>
        <w:gridCol w:w="901"/>
        <w:gridCol w:w="900"/>
        <w:gridCol w:w="900"/>
        <w:gridCol w:w="900"/>
        <w:gridCol w:w="900"/>
        <w:gridCol w:w="900"/>
        <w:gridCol w:w="900"/>
        <w:gridCol w:w="900"/>
        <w:gridCol w:w="889"/>
      </w:tblGrid>
      <w:tr w:rsidR="00D912FA" w:rsidRPr="00C24253" w:rsidTr="00974752">
        <w:trPr>
          <w:trHeight w:hRule="exact" w:val="284"/>
        </w:trPr>
        <w:tc>
          <w:tcPr>
            <w:tcW w:w="821" w:type="pct"/>
            <w:vMerge w:val="restart"/>
            <w:tcBorders>
              <w:top w:val="single" w:sz="4" w:space="0" w:color="auto"/>
              <w:right w:val="single" w:sz="4" w:space="0" w:color="auto"/>
            </w:tcBorders>
            <w:shd w:val="clear" w:color="auto" w:fill="auto"/>
            <w:noWrap/>
            <w:vAlign w:val="center"/>
            <w:hideMark/>
          </w:tcPr>
          <w:p w:rsidR="00D912FA" w:rsidRPr="00C24253" w:rsidRDefault="00D912FA" w:rsidP="00974752">
            <w:pPr>
              <w:rPr>
                <w:rFonts w:cs="Arial"/>
                <w:sz w:val="16"/>
                <w:szCs w:val="16"/>
              </w:rPr>
            </w:pPr>
            <w:r w:rsidRPr="00C24253">
              <w:rPr>
                <w:rFonts w:cs="Arial"/>
                <w:sz w:val="16"/>
                <w:szCs w:val="16"/>
              </w:rPr>
              <w:t>Věková skupina</w:t>
            </w: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1991</w:t>
            </w: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2001</w:t>
            </w: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2011</w:t>
            </w: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1991</w:t>
            </w: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2001</w:t>
            </w: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2011</w:t>
            </w: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1991</w:t>
            </w: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2001</w:t>
            </w:r>
          </w:p>
        </w:tc>
        <w:tc>
          <w:tcPr>
            <w:tcW w:w="460" w:type="pct"/>
            <w:tcBorders>
              <w:top w:val="single" w:sz="4" w:space="0" w:color="auto"/>
              <w:left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2011</w:t>
            </w:r>
          </w:p>
        </w:tc>
      </w:tr>
      <w:tr w:rsidR="00D912FA" w:rsidRPr="00C24253" w:rsidTr="00974752">
        <w:trPr>
          <w:trHeight w:hRule="exact" w:val="340"/>
        </w:trPr>
        <w:tc>
          <w:tcPr>
            <w:tcW w:w="821" w:type="pct"/>
            <w:vMerge/>
            <w:tcBorders>
              <w:bottom w:val="single" w:sz="4" w:space="0" w:color="auto"/>
              <w:right w:val="single" w:sz="4" w:space="0" w:color="auto"/>
            </w:tcBorders>
            <w:shd w:val="clear" w:color="auto" w:fill="auto"/>
            <w:noWrap/>
            <w:vAlign w:val="center"/>
            <w:hideMark/>
          </w:tcPr>
          <w:p w:rsidR="00D912FA" w:rsidRPr="00C24253" w:rsidRDefault="00D912FA" w:rsidP="00974752">
            <w:pPr>
              <w:rPr>
                <w:rFonts w:cs="Arial"/>
                <w:sz w:val="16"/>
                <w:szCs w:val="16"/>
              </w:rPr>
            </w:pPr>
          </w:p>
        </w:tc>
        <w:tc>
          <w:tcPr>
            <w:tcW w:w="139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celkem</w:t>
            </w:r>
          </w:p>
        </w:tc>
        <w:tc>
          <w:tcPr>
            <w:tcW w:w="139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muži</w:t>
            </w:r>
          </w:p>
        </w:tc>
        <w:tc>
          <w:tcPr>
            <w:tcW w:w="1390" w:type="pct"/>
            <w:gridSpan w:val="3"/>
            <w:tcBorders>
              <w:top w:val="single" w:sz="4" w:space="0" w:color="auto"/>
              <w:left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ženy</w:t>
            </w:r>
          </w:p>
        </w:tc>
      </w:tr>
      <w:tr w:rsidR="00D912FA" w:rsidRPr="00C24253" w:rsidTr="00974752">
        <w:trPr>
          <w:trHeight w:hRule="exact" w:val="284"/>
        </w:trPr>
        <w:tc>
          <w:tcPr>
            <w:tcW w:w="821" w:type="pct"/>
            <w:tcBorders>
              <w:top w:val="single" w:sz="4" w:space="0" w:color="auto"/>
              <w:right w:val="single" w:sz="4" w:space="0" w:color="auto"/>
            </w:tcBorders>
            <w:shd w:val="clear" w:color="auto" w:fill="auto"/>
            <w:noWrap/>
            <w:vAlign w:val="center"/>
            <w:hideMark/>
          </w:tcPr>
          <w:p w:rsidR="00D912FA" w:rsidRPr="00C24253" w:rsidRDefault="00D912FA" w:rsidP="00974752">
            <w:pPr>
              <w:rPr>
                <w:rFonts w:cs="Arial"/>
                <w:sz w:val="16"/>
                <w:szCs w:val="16"/>
              </w:rPr>
            </w:pPr>
            <w:r w:rsidRPr="00C24253">
              <w:rPr>
                <w:rFonts w:cs="Arial"/>
                <w:sz w:val="16"/>
                <w:szCs w:val="16"/>
              </w:rPr>
              <w:t>Počet obyvatel (tis.)</w:t>
            </w:r>
          </w:p>
        </w:tc>
        <w:tc>
          <w:tcPr>
            <w:tcW w:w="465" w:type="pct"/>
            <w:tcBorders>
              <w:top w:val="single" w:sz="4" w:space="0" w:color="auto"/>
              <w:left w:val="single" w:sz="4" w:space="0" w:color="auto"/>
              <w:bottom w:val="nil"/>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10 302,2</w:t>
            </w:r>
          </w:p>
        </w:tc>
        <w:tc>
          <w:tcPr>
            <w:tcW w:w="465" w:type="pct"/>
            <w:tcBorders>
              <w:top w:val="single" w:sz="4" w:space="0" w:color="auto"/>
              <w:left w:val="single" w:sz="4" w:space="0" w:color="auto"/>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10 230,1</w:t>
            </w:r>
          </w:p>
        </w:tc>
        <w:tc>
          <w:tcPr>
            <w:tcW w:w="465" w:type="pct"/>
            <w:tcBorders>
              <w:top w:val="single" w:sz="4" w:space="0" w:color="auto"/>
              <w:left w:val="single" w:sz="4" w:space="0" w:color="auto"/>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10 436,6</w:t>
            </w:r>
          </w:p>
        </w:tc>
        <w:tc>
          <w:tcPr>
            <w:tcW w:w="465" w:type="pct"/>
            <w:tcBorders>
              <w:top w:val="single" w:sz="4" w:space="0" w:color="auto"/>
              <w:left w:val="single" w:sz="4" w:space="0" w:color="auto"/>
              <w:bottom w:val="nil"/>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4 999,9</w:t>
            </w:r>
          </w:p>
        </w:tc>
        <w:tc>
          <w:tcPr>
            <w:tcW w:w="465" w:type="pct"/>
            <w:tcBorders>
              <w:top w:val="single" w:sz="4" w:space="0" w:color="auto"/>
              <w:left w:val="single" w:sz="4" w:space="0" w:color="auto"/>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4 982,1</w:t>
            </w:r>
          </w:p>
        </w:tc>
        <w:tc>
          <w:tcPr>
            <w:tcW w:w="465" w:type="pct"/>
            <w:tcBorders>
              <w:top w:val="single" w:sz="4" w:space="0" w:color="auto"/>
              <w:left w:val="single" w:sz="4" w:space="0" w:color="auto"/>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5 109,8</w:t>
            </w:r>
          </w:p>
        </w:tc>
        <w:tc>
          <w:tcPr>
            <w:tcW w:w="465" w:type="pct"/>
            <w:tcBorders>
              <w:top w:val="single" w:sz="4" w:space="0" w:color="auto"/>
              <w:left w:val="single" w:sz="4" w:space="0" w:color="auto"/>
              <w:bottom w:val="nil"/>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5 302,3</w:t>
            </w:r>
          </w:p>
        </w:tc>
        <w:tc>
          <w:tcPr>
            <w:tcW w:w="465" w:type="pct"/>
            <w:tcBorders>
              <w:top w:val="single" w:sz="4" w:space="0" w:color="auto"/>
              <w:left w:val="single" w:sz="4" w:space="0" w:color="auto"/>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5 248,0</w:t>
            </w:r>
          </w:p>
        </w:tc>
        <w:tc>
          <w:tcPr>
            <w:tcW w:w="460" w:type="pct"/>
            <w:tcBorders>
              <w:top w:val="single" w:sz="4" w:space="0" w:color="auto"/>
              <w:lef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5 326,8</w:t>
            </w:r>
          </w:p>
        </w:tc>
      </w:tr>
      <w:tr w:rsidR="00D912FA" w:rsidRPr="00C24253" w:rsidTr="00974752">
        <w:trPr>
          <w:trHeight w:hRule="exact" w:val="284"/>
        </w:trPr>
        <w:tc>
          <w:tcPr>
            <w:tcW w:w="821" w:type="pct"/>
            <w:tcBorders>
              <w:right w:val="single" w:sz="4" w:space="0" w:color="auto"/>
            </w:tcBorders>
            <w:shd w:val="clear" w:color="auto" w:fill="auto"/>
            <w:noWrap/>
            <w:vAlign w:val="center"/>
            <w:hideMark/>
          </w:tcPr>
          <w:p w:rsidR="00D912FA" w:rsidRPr="00C24253" w:rsidRDefault="00D912FA" w:rsidP="00974752">
            <w:pPr>
              <w:rPr>
                <w:rFonts w:cs="Arial"/>
                <w:sz w:val="16"/>
                <w:szCs w:val="16"/>
              </w:rPr>
            </w:pPr>
            <w:r w:rsidRPr="00C24253">
              <w:rPr>
                <w:rFonts w:cs="Arial"/>
                <w:sz w:val="16"/>
                <w:szCs w:val="16"/>
              </w:rPr>
              <w:t>0-14</w:t>
            </w:r>
          </w:p>
        </w:tc>
        <w:tc>
          <w:tcPr>
            <w:tcW w:w="465" w:type="pct"/>
            <w:tcBorders>
              <w:top w:val="nil"/>
              <w:left w:val="single" w:sz="4" w:space="0" w:color="auto"/>
              <w:bottom w:val="nil"/>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2 164,4</w:t>
            </w:r>
          </w:p>
        </w:tc>
        <w:tc>
          <w:tcPr>
            <w:tcW w:w="465" w:type="pct"/>
            <w:tcBorders>
              <w:left w:val="single" w:sz="4" w:space="0" w:color="auto"/>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1 654,9</w:t>
            </w:r>
          </w:p>
        </w:tc>
        <w:tc>
          <w:tcPr>
            <w:tcW w:w="465" w:type="pct"/>
            <w:tcBorders>
              <w:left w:val="single" w:sz="4" w:space="0" w:color="auto"/>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1 488,9</w:t>
            </w:r>
          </w:p>
        </w:tc>
        <w:tc>
          <w:tcPr>
            <w:tcW w:w="465" w:type="pct"/>
            <w:tcBorders>
              <w:top w:val="nil"/>
              <w:left w:val="single" w:sz="4" w:space="0" w:color="auto"/>
              <w:bottom w:val="nil"/>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1 108,0</w:t>
            </w:r>
          </w:p>
        </w:tc>
        <w:tc>
          <w:tcPr>
            <w:tcW w:w="465" w:type="pct"/>
            <w:tcBorders>
              <w:left w:val="single" w:sz="4" w:space="0" w:color="auto"/>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849,0</w:t>
            </w:r>
          </w:p>
        </w:tc>
        <w:tc>
          <w:tcPr>
            <w:tcW w:w="465" w:type="pct"/>
            <w:tcBorders>
              <w:left w:val="single" w:sz="4" w:space="0" w:color="auto"/>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763,9</w:t>
            </w:r>
          </w:p>
        </w:tc>
        <w:tc>
          <w:tcPr>
            <w:tcW w:w="465" w:type="pct"/>
            <w:tcBorders>
              <w:top w:val="nil"/>
              <w:left w:val="single" w:sz="4" w:space="0" w:color="auto"/>
              <w:bottom w:val="nil"/>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1 056,4</w:t>
            </w:r>
          </w:p>
        </w:tc>
        <w:tc>
          <w:tcPr>
            <w:tcW w:w="465" w:type="pct"/>
            <w:tcBorders>
              <w:left w:val="single" w:sz="4" w:space="0" w:color="auto"/>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805,9</w:t>
            </w:r>
          </w:p>
        </w:tc>
        <w:tc>
          <w:tcPr>
            <w:tcW w:w="460" w:type="pct"/>
            <w:tcBorders>
              <w:lef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725,0</w:t>
            </w:r>
          </w:p>
        </w:tc>
      </w:tr>
      <w:tr w:rsidR="00D912FA" w:rsidRPr="00C24253" w:rsidTr="00974752">
        <w:trPr>
          <w:trHeight w:hRule="exact" w:val="284"/>
        </w:trPr>
        <w:tc>
          <w:tcPr>
            <w:tcW w:w="821" w:type="pct"/>
            <w:tcBorders>
              <w:bottom w:val="nil"/>
              <w:right w:val="single" w:sz="4" w:space="0" w:color="auto"/>
            </w:tcBorders>
            <w:shd w:val="clear" w:color="auto" w:fill="auto"/>
            <w:noWrap/>
            <w:vAlign w:val="center"/>
            <w:hideMark/>
          </w:tcPr>
          <w:p w:rsidR="00D912FA" w:rsidRPr="00C24253" w:rsidRDefault="00D912FA" w:rsidP="00974752">
            <w:pPr>
              <w:rPr>
                <w:rFonts w:cs="Arial"/>
                <w:sz w:val="16"/>
                <w:szCs w:val="16"/>
              </w:rPr>
            </w:pPr>
            <w:r w:rsidRPr="00C24253">
              <w:rPr>
                <w:rFonts w:cs="Arial"/>
                <w:sz w:val="16"/>
                <w:szCs w:val="16"/>
              </w:rPr>
              <w:t>15-64</w:t>
            </w:r>
          </w:p>
        </w:tc>
        <w:tc>
          <w:tcPr>
            <w:tcW w:w="465" w:type="pct"/>
            <w:tcBorders>
              <w:top w:val="nil"/>
              <w:left w:val="single" w:sz="4" w:space="0" w:color="auto"/>
              <w:bottom w:val="nil"/>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6 834,5</w:t>
            </w:r>
          </w:p>
        </w:tc>
        <w:tc>
          <w:tcPr>
            <w:tcW w:w="465" w:type="pct"/>
            <w:tcBorders>
              <w:left w:val="single" w:sz="4" w:space="0" w:color="auto"/>
              <w:bottom w:val="nil"/>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7 161,</w:t>
            </w:r>
            <w:r>
              <w:rPr>
                <w:rFonts w:cs="Arial"/>
                <w:sz w:val="16"/>
                <w:szCs w:val="16"/>
              </w:rPr>
              <w:t>2</w:t>
            </w:r>
          </w:p>
        </w:tc>
        <w:tc>
          <w:tcPr>
            <w:tcW w:w="465" w:type="pct"/>
            <w:tcBorders>
              <w:left w:val="single" w:sz="4" w:space="0" w:color="auto"/>
              <w:bottom w:val="nil"/>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7 267,2</w:t>
            </w:r>
          </w:p>
        </w:tc>
        <w:tc>
          <w:tcPr>
            <w:tcW w:w="465" w:type="pct"/>
            <w:tcBorders>
              <w:top w:val="nil"/>
              <w:left w:val="single" w:sz="4" w:space="0" w:color="auto"/>
              <w:bottom w:val="nil"/>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3 401,0</w:t>
            </w:r>
          </w:p>
        </w:tc>
        <w:tc>
          <w:tcPr>
            <w:tcW w:w="465" w:type="pct"/>
            <w:tcBorders>
              <w:left w:val="single" w:sz="4" w:space="0" w:color="auto"/>
              <w:bottom w:val="nil"/>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3 588,0</w:t>
            </w:r>
          </w:p>
        </w:tc>
        <w:tc>
          <w:tcPr>
            <w:tcW w:w="465" w:type="pct"/>
            <w:tcBorders>
              <w:left w:val="single" w:sz="4" w:space="0" w:color="auto"/>
              <w:bottom w:val="nil"/>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3 661,8</w:t>
            </w:r>
          </w:p>
        </w:tc>
        <w:tc>
          <w:tcPr>
            <w:tcW w:w="465" w:type="pct"/>
            <w:tcBorders>
              <w:top w:val="nil"/>
              <w:left w:val="single" w:sz="4" w:space="0" w:color="auto"/>
              <w:bottom w:val="nil"/>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3 433,5</w:t>
            </w:r>
          </w:p>
        </w:tc>
        <w:tc>
          <w:tcPr>
            <w:tcW w:w="465" w:type="pct"/>
            <w:tcBorders>
              <w:left w:val="single" w:sz="4" w:space="0" w:color="auto"/>
              <w:bottom w:val="nil"/>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3 573,2</w:t>
            </w:r>
          </w:p>
        </w:tc>
        <w:tc>
          <w:tcPr>
            <w:tcW w:w="460" w:type="pct"/>
            <w:tcBorders>
              <w:left w:val="single" w:sz="4" w:space="0" w:color="auto"/>
              <w:bottom w:val="nil"/>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3 605,4</w:t>
            </w:r>
          </w:p>
        </w:tc>
      </w:tr>
      <w:tr w:rsidR="00D912FA" w:rsidRPr="00C24253" w:rsidTr="00974752">
        <w:trPr>
          <w:trHeight w:hRule="exact" w:val="284"/>
        </w:trPr>
        <w:tc>
          <w:tcPr>
            <w:tcW w:w="821" w:type="pct"/>
            <w:tcBorders>
              <w:top w:val="nil"/>
              <w:bottom w:val="single" w:sz="4" w:space="0" w:color="auto"/>
              <w:right w:val="single" w:sz="4" w:space="0" w:color="auto"/>
            </w:tcBorders>
            <w:shd w:val="clear" w:color="auto" w:fill="auto"/>
            <w:noWrap/>
            <w:vAlign w:val="center"/>
            <w:hideMark/>
          </w:tcPr>
          <w:p w:rsidR="00D912FA" w:rsidRPr="00C24253" w:rsidRDefault="00D912FA" w:rsidP="00974752">
            <w:pPr>
              <w:rPr>
                <w:rFonts w:cs="Arial"/>
                <w:sz w:val="16"/>
                <w:szCs w:val="16"/>
              </w:rPr>
            </w:pPr>
            <w:r w:rsidRPr="00C24253">
              <w:rPr>
                <w:rFonts w:cs="Arial"/>
                <w:sz w:val="16"/>
                <w:szCs w:val="16"/>
              </w:rPr>
              <w:t>65+</w:t>
            </w:r>
          </w:p>
        </w:tc>
        <w:tc>
          <w:tcPr>
            <w:tcW w:w="465" w:type="pct"/>
            <w:tcBorders>
              <w:top w:val="nil"/>
              <w:left w:val="single" w:sz="4" w:space="0" w:color="auto"/>
              <w:bottom w:val="single" w:sz="4" w:space="0" w:color="auto"/>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1 30</w:t>
            </w:r>
            <w:r>
              <w:rPr>
                <w:rFonts w:cs="Arial"/>
                <w:sz w:val="16"/>
                <w:szCs w:val="16"/>
              </w:rPr>
              <w:t>1</w:t>
            </w:r>
            <w:r w:rsidRPr="00C24253">
              <w:rPr>
                <w:rFonts w:cs="Arial"/>
                <w:sz w:val="16"/>
                <w:szCs w:val="16"/>
              </w:rPr>
              <w:t>,</w:t>
            </w:r>
            <w:r>
              <w:rPr>
                <w:rFonts w:cs="Arial"/>
                <w:sz w:val="16"/>
                <w:szCs w:val="16"/>
              </w:rPr>
              <w:t>9</w:t>
            </w:r>
          </w:p>
        </w:tc>
        <w:tc>
          <w:tcPr>
            <w:tcW w:w="465" w:type="pct"/>
            <w:tcBorders>
              <w:top w:val="nil"/>
              <w:left w:val="single" w:sz="4" w:space="0" w:color="auto"/>
              <w:bottom w:val="single" w:sz="4" w:space="0" w:color="auto"/>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1 410,6</w:t>
            </w:r>
          </w:p>
        </w:tc>
        <w:tc>
          <w:tcPr>
            <w:tcW w:w="465" w:type="pct"/>
            <w:tcBorders>
              <w:top w:val="nil"/>
              <w:left w:val="single" w:sz="4" w:space="0" w:color="auto"/>
              <w:bottom w:val="single" w:sz="4" w:space="0" w:color="auto"/>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1 644,8</w:t>
            </w:r>
          </w:p>
        </w:tc>
        <w:tc>
          <w:tcPr>
            <w:tcW w:w="465" w:type="pct"/>
            <w:tcBorders>
              <w:top w:val="nil"/>
              <w:left w:val="single" w:sz="4" w:space="0" w:color="auto"/>
              <w:bottom w:val="single" w:sz="4" w:space="0" w:color="auto"/>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490,1</w:t>
            </w:r>
          </w:p>
        </w:tc>
        <w:tc>
          <w:tcPr>
            <w:tcW w:w="465" w:type="pct"/>
            <w:tcBorders>
              <w:top w:val="nil"/>
              <w:left w:val="single" w:sz="4" w:space="0" w:color="auto"/>
              <w:bottom w:val="single" w:sz="4" w:space="0" w:color="auto"/>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543,1</w:t>
            </w:r>
          </w:p>
        </w:tc>
        <w:tc>
          <w:tcPr>
            <w:tcW w:w="465" w:type="pct"/>
            <w:tcBorders>
              <w:top w:val="nil"/>
              <w:left w:val="single" w:sz="4" w:space="0" w:color="auto"/>
              <w:bottom w:val="single" w:sz="4" w:space="0" w:color="auto"/>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664,1</w:t>
            </w:r>
          </w:p>
        </w:tc>
        <w:tc>
          <w:tcPr>
            <w:tcW w:w="465" w:type="pct"/>
            <w:tcBorders>
              <w:top w:val="nil"/>
              <w:left w:val="single" w:sz="4" w:space="0" w:color="auto"/>
              <w:bottom w:val="single" w:sz="4" w:space="0" w:color="auto"/>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811,8</w:t>
            </w:r>
          </w:p>
        </w:tc>
        <w:tc>
          <w:tcPr>
            <w:tcW w:w="465" w:type="pct"/>
            <w:tcBorders>
              <w:top w:val="nil"/>
              <w:left w:val="single" w:sz="4" w:space="0" w:color="auto"/>
              <w:bottom w:val="single" w:sz="4" w:space="0" w:color="auto"/>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867,5</w:t>
            </w:r>
          </w:p>
        </w:tc>
        <w:tc>
          <w:tcPr>
            <w:tcW w:w="460" w:type="pct"/>
            <w:tcBorders>
              <w:top w:val="nil"/>
              <w:left w:val="single" w:sz="4" w:space="0" w:color="auto"/>
              <w:bottom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980,7</w:t>
            </w:r>
          </w:p>
        </w:tc>
      </w:tr>
      <w:tr w:rsidR="00D912FA" w:rsidRPr="00C24253" w:rsidTr="00974752">
        <w:trPr>
          <w:trHeight w:hRule="exact" w:val="284"/>
        </w:trPr>
        <w:tc>
          <w:tcPr>
            <w:tcW w:w="821" w:type="pct"/>
            <w:tcBorders>
              <w:top w:val="single" w:sz="4" w:space="0" w:color="auto"/>
              <w:right w:val="single" w:sz="4" w:space="0" w:color="auto"/>
            </w:tcBorders>
            <w:shd w:val="clear" w:color="auto" w:fill="auto"/>
            <w:noWrap/>
            <w:vAlign w:val="center"/>
            <w:hideMark/>
          </w:tcPr>
          <w:p w:rsidR="00D912FA" w:rsidRPr="00C24253" w:rsidRDefault="00D912FA" w:rsidP="00974752">
            <w:pPr>
              <w:rPr>
                <w:rFonts w:cs="Arial"/>
                <w:sz w:val="16"/>
                <w:szCs w:val="16"/>
              </w:rPr>
            </w:pPr>
            <w:r w:rsidRPr="00C24253">
              <w:rPr>
                <w:rFonts w:cs="Arial"/>
                <w:sz w:val="16"/>
                <w:szCs w:val="16"/>
              </w:rPr>
              <w:t>%</w:t>
            </w:r>
          </w:p>
        </w:tc>
        <w:tc>
          <w:tcPr>
            <w:tcW w:w="465" w:type="pct"/>
            <w:tcBorders>
              <w:top w:val="single" w:sz="4" w:space="0" w:color="auto"/>
              <w:left w:val="single" w:sz="4" w:space="0" w:color="auto"/>
              <w:bottom w:val="nil"/>
              <w:right w:val="single" w:sz="4" w:space="0" w:color="auto"/>
            </w:tcBorders>
            <w:shd w:val="clear" w:color="auto" w:fill="auto"/>
            <w:noWrap/>
            <w:tcMar>
              <w:left w:w="113" w:type="dxa"/>
              <w:right w:w="113" w:type="dxa"/>
            </w:tcMar>
            <w:vAlign w:val="center"/>
            <w:hideMark/>
          </w:tcPr>
          <w:p w:rsidR="00D912FA" w:rsidRPr="00C24253" w:rsidRDefault="00D912FA" w:rsidP="00974752">
            <w:pPr>
              <w:rPr>
                <w:rFonts w:cs="Arial"/>
                <w:sz w:val="16"/>
                <w:szCs w:val="16"/>
              </w:rPr>
            </w:pPr>
          </w:p>
        </w:tc>
        <w:tc>
          <w:tcPr>
            <w:tcW w:w="465" w:type="pct"/>
            <w:tcBorders>
              <w:top w:val="single" w:sz="4" w:space="0" w:color="auto"/>
              <w:left w:val="single" w:sz="4" w:space="0" w:color="auto"/>
              <w:right w:val="single" w:sz="4" w:space="0" w:color="auto"/>
            </w:tcBorders>
            <w:shd w:val="clear" w:color="auto" w:fill="auto"/>
            <w:noWrap/>
            <w:tcMar>
              <w:left w:w="113" w:type="dxa"/>
              <w:right w:w="113" w:type="dxa"/>
            </w:tcMar>
            <w:vAlign w:val="center"/>
            <w:hideMark/>
          </w:tcPr>
          <w:p w:rsidR="00D912FA" w:rsidRPr="00C24253" w:rsidRDefault="00D912FA" w:rsidP="00974752">
            <w:pPr>
              <w:rPr>
                <w:rFonts w:cs="Arial"/>
                <w:sz w:val="16"/>
                <w:szCs w:val="16"/>
              </w:rPr>
            </w:pPr>
          </w:p>
        </w:tc>
        <w:tc>
          <w:tcPr>
            <w:tcW w:w="465" w:type="pct"/>
            <w:tcBorders>
              <w:top w:val="single" w:sz="4" w:space="0" w:color="auto"/>
              <w:left w:val="single" w:sz="4" w:space="0" w:color="auto"/>
              <w:right w:val="single" w:sz="4" w:space="0" w:color="auto"/>
            </w:tcBorders>
            <w:shd w:val="clear" w:color="auto" w:fill="auto"/>
            <w:noWrap/>
            <w:tcMar>
              <w:left w:w="113" w:type="dxa"/>
              <w:right w:w="113" w:type="dxa"/>
            </w:tcMar>
            <w:vAlign w:val="center"/>
            <w:hideMark/>
          </w:tcPr>
          <w:p w:rsidR="00D912FA" w:rsidRPr="00C24253" w:rsidRDefault="00D912FA" w:rsidP="00974752">
            <w:pPr>
              <w:rPr>
                <w:rFonts w:cs="Arial"/>
                <w:sz w:val="16"/>
                <w:szCs w:val="16"/>
              </w:rPr>
            </w:pPr>
          </w:p>
        </w:tc>
        <w:tc>
          <w:tcPr>
            <w:tcW w:w="465" w:type="pct"/>
            <w:tcBorders>
              <w:top w:val="single" w:sz="4" w:space="0" w:color="auto"/>
              <w:left w:val="single" w:sz="4" w:space="0" w:color="auto"/>
              <w:bottom w:val="nil"/>
              <w:right w:val="single" w:sz="4" w:space="0" w:color="auto"/>
            </w:tcBorders>
            <w:shd w:val="clear" w:color="auto" w:fill="auto"/>
            <w:noWrap/>
            <w:tcMar>
              <w:left w:w="113" w:type="dxa"/>
              <w:right w:w="113" w:type="dxa"/>
            </w:tcMar>
            <w:vAlign w:val="center"/>
            <w:hideMark/>
          </w:tcPr>
          <w:p w:rsidR="00D912FA" w:rsidRPr="00C24253" w:rsidRDefault="00D912FA" w:rsidP="00974752">
            <w:pPr>
              <w:rPr>
                <w:rFonts w:cs="Arial"/>
                <w:sz w:val="16"/>
                <w:szCs w:val="16"/>
              </w:rPr>
            </w:pPr>
          </w:p>
        </w:tc>
        <w:tc>
          <w:tcPr>
            <w:tcW w:w="465" w:type="pct"/>
            <w:tcBorders>
              <w:top w:val="single" w:sz="4" w:space="0" w:color="auto"/>
              <w:left w:val="single" w:sz="4" w:space="0" w:color="auto"/>
              <w:right w:val="single" w:sz="4" w:space="0" w:color="auto"/>
            </w:tcBorders>
            <w:shd w:val="clear" w:color="auto" w:fill="auto"/>
            <w:noWrap/>
            <w:tcMar>
              <w:left w:w="113" w:type="dxa"/>
              <w:right w:w="113" w:type="dxa"/>
            </w:tcMar>
            <w:vAlign w:val="center"/>
            <w:hideMark/>
          </w:tcPr>
          <w:p w:rsidR="00D912FA" w:rsidRPr="00C24253" w:rsidRDefault="00D912FA" w:rsidP="00974752">
            <w:pPr>
              <w:rPr>
                <w:rFonts w:cs="Arial"/>
                <w:sz w:val="16"/>
                <w:szCs w:val="16"/>
              </w:rPr>
            </w:pPr>
          </w:p>
        </w:tc>
        <w:tc>
          <w:tcPr>
            <w:tcW w:w="465" w:type="pct"/>
            <w:tcBorders>
              <w:top w:val="single" w:sz="4" w:space="0" w:color="auto"/>
              <w:left w:val="single" w:sz="4" w:space="0" w:color="auto"/>
              <w:right w:val="single" w:sz="4" w:space="0" w:color="auto"/>
            </w:tcBorders>
            <w:shd w:val="clear" w:color="auto" w:fill="auto"/>
            <w:noWrap/>
            <w:tcMar>
              <w:left w:w="113" w:type="dxa"/>
              <w:right w:w="113" w:type="dxa"/>
            </w:tcMar>
            <w:vAlign w:val="center"/>
            <w:hideMark/>
          </w:tcPr>
          <w:p w:rsidR="00D912FA" w:rsidRPr="00C24253" w:rsidRDefault="00D912FA" w:rsidP="00974752">
            <w:pPr>
              <w:rPr>
                <w:rFonts w:cs="Arial"/>
                <w:sz w:val="16"/>
                <w:szCs w:val="16"/>
              </w:rPr>
            </w:pPr>
          </w:p>
        </w:tc>
        <w:tc>
          <w:tcPr>
            <w:tcW w:w="465" w:type="pct"/>
            <w:tcBorders>
              <w:top w:val="single" w:sz="4" w:space="0" w:color="auto"/>
              <w:left w:val="single" w:sz="4" w:space="0" w:color="auto"/>
              <w:bottom w:val="nil"/>
              <w:right w:val="single" w:sz="4" w:space="0" w:color="auto"/>
            </w:tcBorders>
            <w:shd w:val="clear" w:color="auto" w:fill="auto"/>
            <w:noWrap/>
            <w:tcMar>
              <w:left w:w="113" w:type="dxa"/>
              <w:right w:w="113" w:type="dxa"/>
            </w:tcMar>
            <w:vAlign w:val="center"/>
            <w:hideMark/>
          </w:tcPr>
          <w:p w:rsidR="00D912FA" w:rsidRPr="00C24253" w:rsidRDefault="00D912FA" w:rsidP="00974752">
            <w:pPr>
              <w:rPr>
                <w:rFonts w:cs="Arial"/>
                <w:sz w:val="16"/>
                <w:szCs w:val="16"/>
              </w:rPr>
            </w:pPr>
          </w:p>
        </w:tc>
        <w:tc>
          <w:tcPr>
            <w:tcW w:w="465" w:type="pct"/>
            <w:tcBorders>
              <w:top w:val="single" w:sz="4" w:space="0" w:color="auto"/>
              <w:left w:val="single" w:sz="4" w:space="0" w:color="auto"/>
              <w:right w:val="single" w:sz="4" w:space="0" w:color="auto"/>
            </w:tcBorders>
            <w:shd w:val="clear" w:color="auto" w:fill="auto"/>
            <w:noWrap/>
            <w:tcMar>
              <w:left w:w="113" w:type="dxa"/>
              <w:right w:w="113" w:type="dxa"/>
            </w:tcMar>
            <w:vAlign w:val="center"/>
            <w:hideMark/>
          </w:tcPr>
          <w:p w:rsidR="00D912FA" w:rsidRPr="00C24253" w:rsidRDefault="00D912FA" w:rsidP="00974752">
            <w:pPr>
              <w:rPr>
                <w:rFonts w:cs="Arial"/>
                <w:sz w:val="16"/>
                <w:szCs w:val="16"/>
              </w:rPr>
            </w:pPr>
          </w:p>
        </w:tc>
        <w:tc>
          <w:tcPr>
            <w:tcW w:w="460" w:type="pct"/>
            <w:tcBorders>
              <w:top w:val="single" w:sz="4" w:space="0" w:color="auto"/>
              <w:left w:val="single" w:sz="4" w:space="0" w:color="auto"/>
            </w:tcBorders>
            <w:shd w:val="clear" w:color="auto" w:fill="auto"/>
            <w:noWrap/>
            <w:tcMar>
              <w:left w:w="113" w:type="dxa"/>
              <w:right w:w="113" w:type="dxa"/>
            </w:tcMar>
            <w:vAlign w:val="center"/>
            <w:hideMark/>
          </w:tcPr>
          <w:p w:rsidR="00D912FA" w:rsidRPr="00C24253" w:rsidRDefault="00D912FA" w:rsidP="00974752">
            <w:pPr>
              <w:rPr>
                <w:rFonts w:cs="Arial"/>
                <w:sz w:val="16"/>
                <w:szCs w:val="16"/>
              </w:rPr>
            </w:pPr>
          </w:p>
        </w:tc>
      </w:tr>
      <w:tr w:rsidR="00D912FA" w:rsidRPr="00C24253" w:rsidTr="00974752">
        <w:trPr>
          <w:trHeight w:hRule="exact" w:val="284"/>
        </w:trPr>
        <w:tc>
          <w:tcPr>
            <w:tcW w:w="821" w:type="pct"/>
            <w:tcBorders>
              <w:right w:val="single" w:sz="4" w:space="0" w:color="auto"/>
            </w:tcBorders>
            <w:shd w:val="clear" w:color="auto" w:fill="auto"/>
            <w:noWrap/>
            <w:vAlign w:val="center"/>
            <w:hideMark/>
          </w:tcPr>
          <w:p w:rsidR="00D912FA" w:rsidRPr="00C24253" w:rsidRDefault="00D912FA" w:rsidP="00974752">
            <w:pPr>
              <w:rPr>
                <w:rFonts w:cs="Arial"/>
                <w:sz w:val="16"/>
                <w:szCs w:val="16"/>
              </w:rPr>
            </w:pPr>
            <w:r w:rsidRPr="00C24253">
              <w:rPr>
                <w:rFonts w:cs="Arial"/>
                <w:sz w:val="16"/>
                <w:szCs w:val="16"/>
              </w:rPr>
              <w:t>0-14</w:t>
            </w:r>
          </w:p>
        </w:tc>
        <w:tc>
          <w:tcPr>
            <w:tcW w:w="465" w:type="pct"/>
            <w:tcBorders>
              <w:top w:val="nil"/>
              <w:left w:val="single" w:sz="4" w:space="0" w:color="auto"/>
              <w:bottom w:val="nil"/>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21,0</w:t>
            </w:r>
          </w:p>
        </w:tc>
        <w:tc>
          <w:tcPr>
            <w:tcW w:w="465" w:type="pct"/>
            <w:tcBorders>
              <w:left w:val="single" w:sz="4" w:space="0" w:color="auto"/>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16,2</w:t>
            </w:r>
          </w:p>
        </w:tc>
        <w:tc>
          <w:tcPr>
            <w:tcW w:w="465" w:type="pct"/>
            <w:tcBorders>
              <w:left w:val="single" w:sz="4" w:space="0" w:color="auto"/>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14,3</w:t>
            </w:r>
          </w:p>
        </w:tc>
        <w:tc>
          <w:tcPr>
            <w:tcW w:w="465" w:type="pct"/>
            <w:tcBorders>
              <w:top w:val="nil"/>
              <w:left w:val="single" w:sz="4" w:space="0" w:color="auto"/>
              <w:bottom w:val="nil"/>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22,2</w:t>
            </w:r>
          </w:p>
        </w:tc>
        <w:tc>
          <w:tcPr>
            <w:tcW w:w="465" w:type="pct"/>
            <w:tcBorders>
              <w:left w:val="single" w:sz="4" w:space="0" w:color="auto"/>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17,0</w:t>
            </w:r>
          </w:p>
        </w:tc>
        <w:tc>
          <w:tcPr>
            <w:tcW w:w="465" w:type="pct"/>
            <w:tcBorders>
              <w:left w:val="single" w:sz="4" w:space="0" w:color="auto"/>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15,0</w:t>
            </w:r>
          </w:p>
        </w:tc>
        <w:tc>
          <w:tcPr>
            <w:tcW w:w="465" w:type="pct"/>
            <w:tcBorders>
              <w:top w:val="nil"/>
              <w:left w:val="single" w:sz="4" w:space="0" w:color="auto"/>
              <w:bottom w:val="nil"/>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19,9</w:t>
            </w:r>
          </w:p>
        </w:tc>
        <w:tc>
          <w:tcPr>
            <w:tcW w:w="465" w:type="pct"/>
            <w:tcBorders>
              <w:left w:val="single" w:sz="4" w:space="0" w:color="auto"/>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15,4</w:t>
            </w:r>
          </w:p>
        </w:tc>
        <w:tc>
          <w:tcPr>
            <w:tcW w:w="460" w:type="pct"/>
            <w:tcBorders>
              <w:lef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13,6</w:t>
            </w:r>
          </w:p>
        </w:tc>
      </w:tr>
      <w:tr w:rsidR="00D912FA" w:rsidRPr="00C24253" w:rsidTr="00974752">
        <w:trPr>
          <w:trHeight w:hRule="exact" w:val="284"/>
        </w:trPr>
        <w:tc>
          <w:tcPr>
            <w:tcW w:w="821" w:type="pct"/>
            <w:tcBorders>
              <w:bottom w:val="nil"/>
              <w:right w:val="single" w:sz="4" w:space="0" w:color="auto"/>
            </w:tcBorders>
            <w:shd w:val="clear" w:color="auto" w:fill="auto"/>
            <w:noWrap/>
            <w:vAlign w:val="center"/>
            <w:hideMark/>
          </w:tcPr>
          <w:p w:rsidR="00D912FA" w:rsidRPr="00C24253" w:rsidRDefault="00D912FA" w:rsidP="00974752">
            <w:pPr>
              <w:rPr>
                <w:rFonts w:cs="Arial"/>
                <w:sz w:val="16"/>
                <w:szCs w:val="16"/>
              </w:rPr>
            </w:pPr>
            <w:r w:rsidRPr="00C24253">
              <w:rPr>
                <w:rFonts w:cs="Arial"/>
                <w:sz w:val="16"/>
                <w:szCs w:val="16"/>
              </w:rPr>
              <w:t>15-64</w:t>
            </w:r>
          </w:p>
        </w:tc>
        <w:tc>
          <w:tcPr>
            <w:tcW w:w="465" w:type="pct"/>
            <w:tcBorders>
              <w:top w:val="nil"/>
              <w:left w:val="single" w:sz="4" w:space="0" w:color="auto"/>
              <w:bottom w:val="nil"/>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66,3</w:t>
            </w:r>
          </w:p>
        </w:tc>
        <w:tc>
          <w:tcPr>
            <w:tcW w:w="465" w:type="pct"/>
            <w:tcBorders>
              <w:left w:val="single" w:sz="4" w:space="0" w:color="auto"/>
              <w:bottom w:val="nil"/>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70,0</w:t>
            </w:r>
          </w:p>
        </w:tc>
        <w:tc>
          <w:tcPr>
            <w:tcW w:w="465" w:type="pct"/>
            <w:tcBorders>
              <w:left w:val="single" w:sz="4" w:space="0" w:color="auto"/>
              <w:bottom w:val="nil"/>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69,6</w:t>
            </w:r>
          </w:p>
        </w:tc>
        <w:tc>
          <w:tcPr>
            <w:tcW w:w="465" w:type="pct"/>
            <w:tcBorders>
              <w:top w:val="nil"/>
              <w:left w:val="single" w:sz="4" w:space="0" w:color="auto"/>
              <w:bottom w:val="nil"/>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68,0</w:t>
            </w:r>
          </w:p>
        </w:tc>
        <w:tc>
          <w:tcPr>
            <w:tcW w:w="465" w:type="pct"/>
            <w:tcBorders>
              <w:left w:val="single" w:sz="4" w:space="0" w:color="auto"/>
              <w:bottom w:val="nil"/>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72,0</w:t>
            </w:r>
          </w:p>
        </w:tc>
        <w:tc>
          <w:tcPr>
            <w:tcW w:w="465" w:type="pct"/>
            <w:tcBorders>
              <w:left w:val="single" w:sz="4" w:space="0" w:color="auto"/>
              <w:bottom w:val="nil"/>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71,7</w:t>
            </w:r>
          </w:p>
        </w:tc>
        <w:tc>
          <w:tcPr>
            <w:tcW w:w="465" w:type="pct"/>
            <w:tcBorders>
              <w:top w:val="nil"/>
              <w:left w:val="single" w:sz="4" w:space="0" w:color="auto"/>
              <w:bottom w:val="nil"/>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64,8</w:t>
            </w:r>
          </w:p>
        </w:tc>
        <w:tc>
          <w:tcPr>
            <w:tcW w:w="465" w:type="pct"/>
            <w:tcBorders>
              <w:left w:val="single" w:sz="4" w:space="0" w:color="auto"/>
              <w:bottom w:val="nil"/>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68,1</w:t>
            </w:r>
          </w:p>
        </w:tc>
        <w:tc>
          <w:tcPr>
            <w:tcW w:w="460" w:type="pct"/>
            <w:tcBorders>
              <w:left w:val="single" w:sz="4" w:space="0" w:color="auto"/>
              <w:bottom w:val="nil"/>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67,7</w:t>
            </w:r>
          </w:p>
        </w:tc>
      </w:tr>
      <w:tr w:rsidR="00D912FA" w:rsidRPr="00C24253" w:rsidTr="00974752">
        <w:trPr>
          <w:trHeight w:hRule="exact" w:val="284"/>
        </w:trPr>
        <w:tc>
          <w:tcPr>
            <w:tcW w:w="821" w:type="pct"/>
            <w:tcBorders>
              <w:top w:val="nil"/>
              <w:bottom w:val="single" w:sz="4" w:space="0" w:color="auto"/>
              <w:right w:val="single" w:sz="4" w:space="0" w:color="auto"/>
            </w:tcBorders>
            <w:shd w:val="clear" w:color="auto" w:fill="auto"/>
            <w:noWrap/>
            <w:vAlign w:val="center"/>
            <w:hideMark/>
          </w:tcPr>
          <w:p w:rsidR="00D912FA" w:rsidRPr="00C24253" w:rsidRDefault="00D912FA" w:rsidP="00974752">
            <w:pPr>
              <w:rPr>
                <w:rFonts w:cs="Arial"/>
                <w:sz w:val="16"/>
                <w:szCs w:val="16"/>
              </w:rPr>
            </w:pPr>
            <w:r w:rsidRPr="00C24253">
              <w:rPr>
                <w:rFonts w:cs="Arial"/>
                <w:sz w:val="16"/>
                <w:szCs w:val="16"/>
              </w:rPr>
              <w:t>65+</w:t>
            </w:r>
          </w:p>
        </w:tc>
        <w:tc>
          <w:tcPr>
            <w:tcW w:w="465" w:type="pct"/>
            <w:tcBorders>
              <w:top w:val="nil"/>
              <w:left w:val="single" w:sz="4" w:space="0" w:color="auto"/>
              <w:bottom w:val="single" w:sz="4" w:space="0" w:color="auto"/>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12,6</w:t>
            </w:r>
          </w:p>
        </w:tc>
        <w:tc>
          <w:tcPr>
            <w:tcW w:w="465" w:type="pct"/>
            <w:tcBorders>
              <w:top w:val="nil"/>
              <w:left w:val="single" w:sz="4" w:space="0" w:color="auto"/>
              <w:bottom w:val="single" w:sz="4" w:space="0" w:color="auto"/>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13,8</w:t>
            </w:r>
          </w:p>
        </w:tc>
        <w:tc>
          <w:tcPr>
            <w:tcW w:w="465" w:type="pct"/>
            <w:tcBorders>
              <w:top w:val="nil"/>
              <w:left w:val="single" w:sz="4" w:space="0" w:color="auto"/>
              <w:bottom w:val="single" w:sz="4" w:space="0" w:color="auto"/>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15,8</w:t>
            </w:r>
          </w:p>
        </w:tc>
        <w:tc>
          <w:tcPr>
            <w:tcW w:w="465" w:type="pct"/>
            <w:tcBorders>
              <w:top w:val="nil"/>
              <w:left w:val="single" w:sz="4" w:space="0" w:color="auto"/>
              <w:bottom w:val="single" w:sz="4" w:space="0" w:color="auto"/>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9,8</w:t>
            </w:r>
          </w:p>
        </w:tc>
        <w:tc>
          <w:tcPr>
            <w:tcW w:w="465" w:type="pct"/>
            <w:tcBorders>
              <w:top w:val="nil"/>
              <w:left w:val="single" w:sz="4" w:space="0" w:color="auto"/>
              <w:bottom w:val="single" w:sz="4" w:space="0" w:color="auto"/>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10,9</w:t>
            </w:r>
          </w:p>
        </w:tc>
        <w:tc>
          <w:tcPr>
            <w:tcW w:w="465" w:type="pct"/>
            <w:tcBorders>
              <w:top w:val="nil"/>
              <w:left w:val="single" w:sz="4" w:space="0" w:color="auto"/>
              <w:bottom w:val="single" w:sz="4" w:space="0" w:color="auto"/>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13,0</w:t>
            </w:r>
          </w:p>
        </w:tc>
        <w:tc>
          <w:tcPr>
            <w:tcW w:w="465" w:type="pct"/>
            <w:tcBorders>
              <w:top w:val="nil"/>
              <w:left w:val="single" w:sz="4" w:space="0" w:color="auto"/>
              <w:bottom w:val="single" w:sz="4" w:space="0" w:color="auto"/>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15,3</w:t>
            </w:r>
          </w:p>
        </w:tc>
        <w:tc>
          <w:tcPr>
            <w:tcW w:w="465" w:type="pct"/>
            <w:tcBorders>
              <w:top w:val="nil"/>
              <w:left w:val="single" w:sz="4" w:space="0" w:color="auto"/>
              <w:bottom w:val="single" w:sz="4" w:space="0" w:color="auto"/>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16,5</w:t>
            </w:r>
          </w:p>
        </w:tc>
        <w:tc>
          <w:tcPr>
            <w:tcW w:w="460" w:type="pct"/>
            <w:tcBorders>
              <w:top w:val="nil"/>
              <w:left w:val="single" w:sz="4" w:space="0" w:color="auto"/>
              <w:bottom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18,4</w:t>
            </w:r>
          </w:p>
        </w:tc>
      </w:tr>
      <w:tr w:rsidR="00D912FA" w:rsidRPr="00C24253" w:rsidTr="00974752">
        <w:trPr>
          <w:trHeight w:hRule="exact" w:val="284"/>
        </w:trPr>
        <w:tc>
          <w:tcPr>
            <w:tcW w:w="821" w:type="pct"/>
            <w:tcBorders>
              <w:top w:val="single" w:sz="4" w:space="0" w:color="auto"/>
              <w:right w:val="single" w:sz="4" w:space="0" w:color="auto"/>
            </w:tcBorders>
            <w:shd w:val="clear" w:color="auto" w:fill="auto"/>
            <w:noWrap/>
            <w:vAlign w:val="center"/>
            <w:hideMark/>
          </w:tcPr>
          <w:p w:rsidR="00D912FA" w:rsidRPr="00C24253" w:rsidRDefault="00D912FA" w:rsidP="00974752">
            <w:pPr>
              <w:rPr>
                <w:rFonts w:cs="Arial"/>
                <w:sz w:val="16"/>
                <w:szCs w:val="16"/>
              </w:rPr>
            </w:pPr>
            <w:r w:rsidRPr="00C24253">
              <w:rPr>
                <w:rFonts w:cs="Arial"/>
                <w:sz w:val="16"/>
                <w:szCs w:val="16"/>
              </w:rPr>
              <w:t>Průměrný věk</w:t>
            </w:r>
          </w:p>
        </w:tc>
        <w:tc>
          <w:tcPr>
            <w:tcW w:w="465" w:type="pct"/>
            <w:tcBorders>
              <w:top w:val="single" w:sz="4" w:space="0" w:color="auto"/>
              <w:left w:val="single" w:sz="4" w:space="0" w:color="auto"/>
              <w:bottom w:val="nil"/>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36,3</w:t>
            </w:r>
          </w:p>
        </w:tc>
        <w:tc>
          <w:tcPr>
            <w:tcW w:w="465" w:type="pct"/>
            <w:tcBorders>
              <w:top w:val="single" w:sz="4" w:space="0" w:color="auto"/>
              <w:left w:val="single" w:sz="4" w:space="0" w:color="auto"/>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38,8</w:t>
            </w:r>
          </w:p>
        </w:tc>
        <w:tc>
          <w:tcPr>
            <w:tcW w:w="465" w:type="pct"/>
            <w:tcBorders>
              <w:top w:val="single" w:sz="4" w:space="0" w:color="auto"/>
              <w:left w:val="single" w:sz="4" w:space="0" w:color="auto"/>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41,0</w:t>
            </w:r>
          </w:p>
        </w:tc>
        <w:tc>
          <w:tcPr>
            <w:tcW w:w="465" w:type="pct"/>
            <w:tcBorders>
              <w:top w:val="single" w:sz="4" w:space="0" w:color="auto"/>
              <w:left w:val="single" w:sz="4" w:space="0" w:color="auto"/>
              <w:bottom w:val="nil"/>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34,6</w:t>
            </w:r>
          </w:p>
        </w:tc>
        <w:tc>
          <w:tcPr>
            <w:tcW w:w="465" w:type="pct"/>
            <w:tcBorders>
              <w:top w:val="single" w:sz="4" w:space="0" w:color="auto"/>
              <w:left w:val="single" w:sz="4" w:space="0" w:color="auto"/>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37,1</w:t>
            </w:r>
          </w:p>
        </w:tc>
        <w:tc>
          <w:tcPr>
            <w:tcW w:w="465" w:type="pct"/>
            <w:tcBorders>
              <w:top w:val="single" w:sz="4" w:space="0" w:color="auto"/>
              <w:left w:val="single" w:sz="4" w:space="0" w:color="auto"/>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39,5</w:t>
            </w:r>
          </w:p>
        </w:tc>
        <w:tc>
          <w:tcPr>
            <w:tcW w:w="465" w:type="pct"/>
            <w:tcBorders>
              <w:top w:val="single" w:sz="4" w:space="0" w:color="auto"/>
              <w:left w:val="single" w:sz="4" w:space="0" w:color="auto"/>
              <w:bottom w:val="nil"/>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38,0</w:t>
            </w:r>
          </w:p>
        </w:tc>
        <w:tc>
          <w:tcPr>
            <w:tcW w:w="465" w:type="pct"/>
            <w:tcBorders>
              <w:top w:val="single" w:sz="4" w:space="0" w:color="auto"/>
              <w:left w:val="single" w:sz="4" w:space="0" w:color="auto"/>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40,3</w:t>
            </w:r>
          </w:p>
        </w:tc>
        <w:tc>
          <w:tcPr>
            <w:tcW w:w="460" w:type="pct"/>
            <w:tcBorders>
              <w:top w:val="single" w:sz="4" w:space="0" w:color="auto"/>
              <w:lef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42,4</w:t>
            </w:r>
          </w:p>
        </w:tc>
      </w:tr>
      <w:tr w:rsidR="00D912FA" w:rsidRPr="00C24253" w:rsidTr="00974752">
        <w:trPr>
          <w:trHeight w:hRule="exact" w:val="284"/>
        </w:trPr>
        <w:tc>
          <w:tcPr>
            <w:tcW w:w="821" w:type="pct"/>
            <w:tcBorders>
              <w:right w:val="single" w:sz="4" w:space="0" w:color="auto"/>
            </w:tcBorders>
            <w:shd w:val="clear" w:color="auto" w:fill="auto"/>
            <w:noWrap/>
            <w:vAlign w:val="center"/>
            <w:hideMark/>
          </w:tcPr>
          <w:p w:rsidR="00D912FA" w:rsidRPr="00C24253" w:rsidRDefault="00D912FA" w:rsidP="00974752">
            <w:pPr>
              <w:rPr>
                <w:rFonts w:cs="Arial"/>
                <w:sz w:val="16"/>
                <w:szCs w:val="16"/>
              </w:rPr>
            </w:pPr>
            <w:r w:rsidRPr="00C24253">
              <w:rPr>
                <w:rFonts w:cs="Arial"/>
                <w:sz w:val="16"/>
                <w:szCs w:val="16"/>
              </w:rPr>
              <w:t>Věkový medián</w:t>
            </w:r>
          </w:p>
        </w:tc>
        <w:tc>
          <w:tcPr>
            <w:tcW w:w="465" w:type="pct"/>
            <w:tcBorders>
              <w:top w:val="nil"/>
              <w:left w:val="single" w:sz="4" w:space="0" w:color="auto"/>
              <w:bottom w:val="nil"/>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35,4</w:t>
            </w:r>
          </w:p>
        </w:tc>
        <w:tc>
          <w:tcPr>
            <w:tcW w:w="465" w:type="pct"/>
            <w:tcBorders>
              <w:left w:val="single" w:sz="4" w:space="0" w:color="auto"/>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37,6</w:t>
            </w:r>
          </w:p>
        </w:tc>
        <w:tc>
          <w:tcPr>
            <w:tcW w:w="465" w:type="pct"/>
            <w:tcBorders>
              <w:left w:val="single" w:sz="4" w:space="0" w:color="auto"/>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39,9</w:t>
            </w:r>
          </w:p>
        </w:tc>
        <w:tc>
          <w:tcPr>
            <w:tcW w:w="465" w:type="pct"/>
            <w:tcBorders>
              <w:top w:val="nil"/>
              <w:left w:val="single" w:sz="4" w:space="0" w:color="auto"/>
              <w:bottom w:val="nil"/>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33,7</w:t>
            </w:r>
          </w:p>
        </w:tc>
        <w:tc>
          <w:tcPr>
            <w:tcW w:w="465" w:type="pct"/>
            <w:tcBorders>
              <w:left w:val="single" w:sz="4" w:space="0" w:color="auto"/>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36,0</w:t>
            </w:r>
          </w:p>
        </w:tc>
        <w:tc>
          <w:tcPr>
            <w:tcW w:w="465" w:type="pct"/>
            <w:tcBorders>
              <w:left w:val="single" w:sz="4" w:space="0" w:color="auto"/>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38,5</w:t>
            </w:r>
          </w:p>
        </w:tc>
        <w:tc>
          <w:tcPr>
            <w:tcW w:w="465" w:type="pct"/>
            <w:tcBorders>
              <w:top w:val="nil"/>
              <w:left w:val="single" w:sz="4" w:space="0" w:color="auto"/>
              <w:bottom w:val="nil"/>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35,4</w:t>
            </w:r>
          </w:p>
        </w:tc>
        <w:tc>
          <w:tcPr>
            <w:tcW w:w="465" w:type="pct"/>
            <w:tcBorders>
              <w:left w:val="single" w:sz="4" w:space="0" w:color="auto"/>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39,6</w:t>
            </w:r>
          </w:p>
        </w:tc>
        <w:tc>
          <w:tcPr>
            <w:tcW w:w="460" w:type="pct"/>
            <w:tcBorders>
              <w:lef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41,6</w:t>
            </w:r>
          </w:p>
        </w:tc>
      </w:tr>
      <w:tr w:rsidR="00D912FA" w:rsidRPr="00C24253" w:rsidTr="00974752">
        <w:trPr>
          <w:trHeight w:hRule="exact" w:val="284"/>
        </w:trPr>
        <w:tc>
          <w:tcPr>
            <w:tcW w:w="821" w:type="pct"/>
            <w:tcBorders>
              <w:right w:val="single" w:sz="4" w:space="0" w:color="auto"/>
            </w:tcBorders>
            <w:shd w:val="clear" w:color="auto" w:fill="auto"/>
            <w:noWrap/>
            <w:vAlign w:val="center"/>
            <w:hideMark/>
          </w:tcPr>
          <w:p w:rsidR="00D912FA" w:rsidRPr="00C24253" w:rsidRDefault="00D912FA" w:rsidP="00974752">
            <w:pPr>
              <w:rPr>
                <w:rFonts w:cs="Arial"/>
                <w:sz w:val="16"/>
                <w:szCs w:val="16"/>
              </w:rPr>
            </w:pPr>
            <w:r w:rsidRPr="00C24253">
              <w:rPr>
                <w:rFonts w:cs="Arial"/>
                <w:sz w:val="16"/>
                <w:szCs w:val="16"/>
              </w:rPr>
              <w:t>Index stáří</w:t>
            </w:r>
          </w:p>
        </w:tc>
        <w:tc>
          <w:tcPr>
            <w:tcW w:w="465" w:type="pct"/>
            <w:tcBorders>
              <w:top w:val="nil"/>
              <w:left w:val="single" w:sz="4" w:space="0" w:color="auto"/>
              <w:bottom w:val="single" w:sz="4" w:space="0" w:color="auto"/>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60</w:t>
            </w:r>
          </w:p>
        </w:tc>
        <w:tc>
          <w:tcPr>
            <w:tcW w:w="465" w:type="pct"/>
            <w:tcBorders>
              <w:left w:val="single" w:sz="4" w:space="0" w:color="auto"/>
              <w:bottom w:val="single" w:sz="4" w:space="0" w:color="auto"/>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85</w:t>
            </w:r>
          </w:p>
        </w:tc>
        <w:tc>
          <w:tcPr>
            <w:tcW w:w="465" w:type="pct"/>
            <w:tcBorders>
              <w:left w:val="single" w:sz="4" w:space="0" w:color="auto"/>
              <w:bottom w:val="single" w:sz="4" w:space="0" w:color="auto"/>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110</w:t>
            </w:r>
          </w:p>
        </w:tc>
        <w:tc>
          <w:tcPr>
            <w:tcW w:w="465" w:type="pct"/>
            <w:tcBorders>
              <w:top w:val="nil"/>
              <w:left w:val="single" w:sz="4" w:space="0" w:color="auto"/>
              <w:bottom w:val="single" w:sz="4" w:space="0" w:color="auto"/>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44</w:t>
            </w:r>
          </w:p>
        </w:tc>
        <w:tc>
          <w:tcPr>
            <w:tcW w:w="465" w:type="pct"/>
            <w:tcBorders>
              <w:left w:val="single" w:sz="4" w:space="0" w:color="auto"/>
              <w:bottom w:val="single" w:sz="4" w:space="0" w:color="auto"/>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64</w:t>
            </w:r>
          </w:p>
        </w:tc>
        <w:tc>
          <w:tcPr>
            <w:tcW w:w="465" w:type="pct"/>
            <w:tcBorders>
              <w:left w:val="single" w:sz="4" w:space="0" w:color="auto"/>
              <w:bottom w:val="single" w:sz="4" w:space="0" w:color="auto"/>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87</w:t>
            </w:r>
          </w:p>
        </w:tc>
        <w:tc>
          <w:tcPr>
            <w:tcW w:w="465" w:type="pct"/>
            <w:tcBorders>
              <w:top w:val="nil"/>
              <w:left w:val="single" w:sz="4" w:space="0" w:color="auto"/>
              <w:bottom w:val="single" w:sz="4" w:space="0" w:color="auto"/>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77</w:t>
            </w:r>
          </w:p>
        </w:tc>
        <w:tc>
          <w:tcPr>
            <w:tcW w:w="465" w:type="pct"/>
            <w:tcBorders>
              <w:left w:val="single" w:sz="4" w:space="0" w:color="auto"/>
              <w:bottom w:val="single" w:sz="4" w:space="0" w:color="auto"/>
              <w:right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108</w:t>
            </w:r>
          </w:p>
        </w:tc>
        <w:tc>
          <w:tcPr>
            <w:tcW w:w="460" w:type="pct"/>
            <w:tcBorders>
              <w:left w:val="single" w:sz="4" w:space="0" w:color="auto"/>
              <w:bottom w:val="single" w:sz="4" w:space="0" w:color="auto"/>
            </w:tcBorders>
            <w:shd w:val="clear" w:color="auto" w:fill="auto"/>
            <w:noWrap/>
            <w:tcMar>
              <w:left w:w="113" w:type="dxa"/>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135</w:t>
            </w:r>
          </w:p>
        </w:tc>
      </w:tr>
    </w:tbl>
    <w:p w:rsidR="00D912FA" w:rsidRPr="00C24253" w:rsidRDefault="00D912FA" w:rsidP="00D912FA">
      <w:pPr>
        <w:spacing w:before="60"/>
        <w:rPr>
          <w:rFonts w:eastAsia="Calibri" w:cs="Arial"/>
          <w:i/>
          <w:sz w:val="16"/>
          <w:szCs w:val="16"/>
        </w:rPr>
      </w:pPr>
      <w:r w:rsidRPr="00C24253">
        <w:rPr>
          <w:rFonts w:cs="Arial"/>
          <w:i/>
          <w:sz w:val="16"/>
          <w:szCs w:val="16"/>
        </w:rPr>
        <w:t>*bez osob s nezjištěným věkem</w:t>
      </w:r>
    </w:p>
    <w:p w:rsidR="00D912FA" w:rsidRPr="00C24253" w:rsidRDefault="00D912FA" w:rsidP="00D912FA">
      <w:pPr>
        <w:pStyle w:val="obycA10"/>
        <w:spacing w:before="240" w:after="120"/>
        <w:jc w:val="both"/>
      </w:pPr>
      <w:r w:rsidRPr="00C24253">
        <w:t>Obyvatelstvo České republiky tak již stárlo tzv. odshora věkové pyramidy, tedy zvyšováním zastoupení sen</w:t>
      </w:r>
      <w:r w:rsidRPr="00C24253">
        <w:t>i</w:t>
      </w:r>
      <w:r w:rsidRPr="00C24253">
        <w:t xml:space="preserve">orů v populaci. Relaci podílu osob ve věku 65 a více let a 0-14letých dětí (v procentech) udává index stáří. Ten roste od poloviny 80. let, z hodnoty 50 platné ke konci roku 1984 na 100 v roce 2006 a dále na </w:t>
      </w:r>
      <w:r w:rsidRPr="00C24253">
        <w:lastRenderedPageBreak/>
        <w:t>113</w:t>
      </w:r>
      <w:r w:rsidR="00D423B3">
        <w:t> </w:t>
      </w:r>
      <w:r w:rsidRPr="00C24253">
        <w:t>v roce 2012. Stejný byl i vývoj průměrného věku obyvatel, který se za nece</w:t>
      </w:r>
      <w:r w:rsidR="00D423B3">
        <w:t>lé tři desetiletí zvýšil z 35,6 </w:t>
      </w:r>
      <w:r w:rsidRPr="00C24253">
        <w:t xml:space="preserve">na 41,3 roku. </w:t>
      </w:r>
    </w:p>
    <w:p w:rsidR="00D912FA" w:rsidRPr="00C24253" w:rsidRDefault="00D912FA" w:rsidP="00D912FA">
      <w:pPr>
        <w:pStyle w:val="obycA10"/>
        <w:spacing w:after="120"/>
        <w:jc w:val="both"/>
      </w:pPr>
      <w:r w:rsidRPr="00C24253">
        <w:rPr>
          <w:rFonts w:eastAsia="Calibri" w:cs="Arial"/>
          <w:szCs w:val="20"/>
        </w:rPr>
        <w:t>V celé populaci ČR jsou o něco více zastoupeny ženy (51 %), když vzájemný poměr mužů a žen se podle věku liší. Mezi dětmi jsou více zastoupeni chlapci, kterých se rodí více než dívek a jejich převaha přetrvává dnes zhruba do věku mírně nad 50 let, poté je již více žen, když jejich podíl s věkem vlivem vyšší úmrtnosti mužů narůstá.</w:t>
      </w:r>
    </w:p>
    <w:p w:rsidR="00D912FA" w:rsidRPr="00C24253" w:rsidRDefault="00746AC9" w:rsidP="00D912FA">
      <w:pPr>
        <w:spacing w:before="240" w:after="120"/>
        <w:ind w:firstLine="708"/>
        <w:rPr>
          <w:rFonts w:eastAsia="Calibri" w:cs="Arial"/>
          <w:noProof/>
          <w:sz w:val="20"/>
          <w:szCs w:val="20"/>
        </w:rPr>
      </w:pPr>
      <w:r w:rsidRPr="00517FA8">
        <w:rPr>
          <w:noProof/>
          <w:sz w:val="16"/>
          <w:szCs w:val="16"/>
        </w:rPr>
        <w:pict>
          <v:shape id="obrázek 17" o:spid="_x0000_i1025" type="#_x0000_t75" style="width:411.75pt;height:382.5pt;visibility:visible;mso-wrap-style:square">
            <v:imagedata r:id="rId9" o:title=""/>
          </v:shape>
        </w:pict>
      </w:r>
    </w:p>
    <w:p w:rsidR="00D912FA" w:rsidRPr="00C24253" w:rsidRDefault="00D912FA" w:rsidP="00D912FA">
      <w:pPr>
        <w:spacing w:before="360" w:after="120"/>
        <w:rPr>
          <w:rFonts w:eastAsia="Calibri" w:cs="Arial"/>
          <w:sz w:val="20"/>
          <w:szCs w:val="20"/>
        </w:rPr>
      </w:pPr>
      <w:r w:rsidRPr="00C24253">
        <w:rPr>
          <w:rFonts w:eastAsia="Calibri" w:cs="Arial"/>
          <w:sz w:val="20"/>
          <w:szCs w:val="20"/>
        </w:rPr>
        <w:t xml:space="preserve">Společenské změny, které přinesly události z listopadu 1989, se projevily i ve změně postojů obyvatel k manželství. </w:t>
      </w:r>
    </w:p>
    <w:p w:rsidR="00D912FA" w:rsidRPr="00C24253" w:rsidRDefault="00D912FA" w:rsidP="00D912FA">
      <w:pPr>
        <w:spacing w:after="120"/>
        <w:rPr>
          <w:rFonts w:eastAsia="Calibri" w:cs="Arial"/>
          <w:sz w:val="20"/>
          <w:szCs w:val="20"/>
        </w:rPr>
      </w:pPr>
      <w:r w:rsidRPr="00C24253">
        <w:rPr>
          <w:rFonts w:eastAsia="Calibri" w:cs="Arial"/>
          <w:sz w:val="20"/>
          <w:szCs w:val="20"/>
        </w:rPr>
        <w:t xml:space="preserve">Do manželství vstupuje menší podíl obyvatel než v předchozích desetiletích a uzavírají jej v pozdějším věku. Úbytek sňatků je ale do určité míry kompenzován nesezdanými soužitími, případně oddělenými soužitími. V důsledku snížení úrovně sňatečnosti přibylo v populaci ČR za posledních dvacet let mladých svobodných mužů a žen, zejména ve věku 25-39 let. Naproti tomu kleslo zastoupení ženatých a vdaných. </w:t>
      </w:r>
    </w:p>
    <w:p w:rsidR="00D912FA" w:rsidRPr="00C24253" w:rsidRDefault="00D912FA" w:rsidP="00D912FA">
      <w:pPr>
        <w:spacing w:after="120"/>
        <w:rPr>
          <w:rFonts w:eastAsia="Calibri" w:cs="Arial"/>
          <w:sz w:val="20"/>
          <w:szCs w:val="20"/>
        </w:rPr>
      </w:pPr>
      <w:r w:rsidRPr="00C24253">
        <w:rPr>
          <w:rFonts w:eastAsia="Calibri" w:cs="Arial"/>
          <w:sz w:val="20"/>
          <w:szCs w:val="20"/>
        </w:rPr>
        <w:t xml:space="preserve">Podle výsledků posledního sčítání převaha svobodných mužů nad ženatými končí věkem 33 let, v případě žen věkem 29 roků. Při cenzu 2001 to bylo ve věku 27, resp. 25 let a při cenzu 1991 ještě o několik let dříve. U mužů byl v roce 1991 posledním věkem, kdy bylo více svobodných než ženatých věk 23, u žen dokonce 20. Nejvyšší podíl ženatých/vdaných ze všech kategorií rodinného stavu se udržuje až do vysokého věku, v roce posledního sčítání to bylo u žen do věku 72 let, u mužů díky nižší úmrtnosti žen dokonce až do věku 88 roků. Poté jsou již početnější ovdovělí. Vlivem poklesu úmrtnosti je věk, od kterého jsou nejpočetnější skupinou ovdovělí, dnes vyšší než tomu bylo o dvě i jedno desetiletí dříve. </w:t>
      </w:r>
    </w:p>
    <w:p w:rsidR="00D912FA" w:rsidRPr="00C24253" w:rsidRDefault="00D912FA" w:rsidP="00D912FA">
      <w:pPr>
        <w:spacing w:after="120"/>
        <w:rPr>
          <w:rFonts w:eastAsia="Calibri" w:cs="Arial"/>
          <w:sz w:val="20"/>
          <w:szCs w:val="20"/>
        </w:rPr>
      </w:pPr>
      <w:r w:rsidRPr="00C24253">
        <w:rPr>
          <w:rFonts w:eastAsia="Calibri" w:cs="Arial"/>
          <w:sz w:val="20"/>
          <w:szCs w:val="20"/>
        </w:rPr>
        <w:t xml:space="preserve">Další růst úrovně rozvodovosti a snížení zájmu o uzavírání dalšího manželství se projevil v nárůstu podílu rozvedených osob v populaci České republiky. Jejich zastoupení v populaci </w:t>
      </w:r>
      <w:r>
        <w:rPr>
          <w:rFonts w:eastAsia="Calibri" w:cs="Arial"/>
          <w:sz w:val="20"/>
          <w:szCs w:val="20"/>
        </w:rPr>
        <w:t xml:space="preserve">osob </w:t>
      </w:r>
      <w:r w:rsidRPr="00C24253">
        <w:rPr>
          <w:rFonts w:eastAsia="Calibri" w:cs="Arial"/>
          <w:sz w:val="20"/>
          <w:szCs w:val="20"/>
        </w:rPr>
        <w:t xml:space="preserve">15 </w:t>
      </w:r>
      <w:r>
        <w:rPr>
          <w:rFonts w:eastAsia="Calibri" w:cs="Arial"/>
          <w:sz w:val="20"/>
          <w:szCs w:val="20"/>
        </w:rPr>
        <w:t>a víceletých</w:t>
      </w:r>
      <w:r w:rsidRPr="00C24253">
        <w:rPr>
          <w:rFonts w:eastAsia="Calibri" w:cs="Arial"/>
          <w:sz w:val="20"/>
          <w:szCs w:val="20"/>
        </w:rPr>
        <w:t xml:space="preserve"> se mezi sčítáními z let 1991 a 2011 zvýšilo ze 7 na 12 %. Lze ale předpokládat, že část z nich žije v novém, </w:t>
      </w:r>
      <w:r>
        <w:rPr>
          <w:rFonts w:eastAsia="Calibri" w:cs="Arial"/>
          <w:sz w:val="20"/>
          <w:szCs w:val="20"/>
        </w:rPr>
        <w:t>(</w:t>
      </w:r>
      <w:r w:rsidRPr="00C24253">
        <w:rPr>
          <w:rFonts w:eastAsia="Calibri" w:cs="Arial"/>
          <w:sz w:val="20"/>
          <w:szCs w:val="20"/>
        </w:rPr>
        <w:t>nes</w:t>
      </w:r>
      <w:r w:rsidRPr="00C24253">
        <w:rPr>
          <w:rFonts w:eastAsia="Calibri" w:cs="Arial"/>
          <w:sz w:val="20"/>
          <w:szCs w:val="20"/>
        </w:rPr>
        <w:t>e</w:t>
      </w:r>
      <w:r w:rsidRPr="00C24253">
        <w:rPr>
          <w:rFonts w:eastAsia="Calibri" w:cs="Arial"/>
          <w:sz w:val="20"/>
          <w:szCs w:val="20"/>
        </w:rPr>
        <w:t>zdaném</w:t>
      </w:r>
      <w:r>
        <w:rPr>
          <w:rFonts w:eastAsia="Calibri" w:cs="Arial"/>
          <w:sz w:val="20"/>
          <w:szCs w:val="20"/>
        </w:rPr>
        <w:t>)</w:t>
      </w:r>
      <w:r w:rsidRPr="00C24253">
        <w:rPr>
          <w:rFonts w:eastAsia="Calibri" w:cs="Arial"/>
          <w:sz w:val="20"/>
          <w:szCs w:val="20"/>
        </w:rPr>
        <w:t xml:space="preserve"> partnerství, což potvrzuje nárůst tzv. faktických manželství (zjišťovaných při sčítáních lidu; v roce 2011 se shodným obvyklým pobytem obou partnerů, při předchozích sčítáních s trvalým pobytem), kdy j</w:t>
      </w:r>
      <w:r w:rsidRPr="00C24253">
        <w:rPr>
          <w:rFonts w:eastAsia="Calibri" w:cs="Arial"/>
          <w:sz w:val="20"/>
          <w:szCs w:val="20"/>
        </w:rPr>
        <w:t>e</w:t>
      </w:r>
      <w:r w:rsidRPr="00C24253">
        <w:rPr>
          <w:rFonts w:eastAsia="Calibri" w:cs="Arial"/>
          <w:sz w:val="20"/>
          <w:szCs w:val="20"/>
        </w:rPr>
        <w:t xml:space="preserve">den z partnerů byl s rodinným stavem „rozvedený“. </w:t>
      </w:r>
    </w:p>
    <w:p w:rsidR="00D912FA" w:rsidRPr="00C24253" w:rsidRDefault="00517FA8" w:rsidP="00D912FA">
      <w:pPr>
        <w:spacing w:after="240"/>
        <w:rPr>
          <w:rFonts w:eastAsia="Calibri" w:cs="Arial"/>
          <w:sz w:val="20"/>
          <w:szCs w:val="20"/>
        </w:rPr>
      </w:pPr>
      <w:r>
        <w:rPr>
          <w:rFonts w:eastAsia="Calibri" w:cs="Arial"/>
          <w:noProof/>
          <w:sz w:val="20"/>
          <w:szCs w:val="20"/>
        </w:rPr>
        <w:lastRenderedPageBreak/>
        <w:pict>
          <v:shape id="obrázek 4" o:spid="_x0000_s1654" type="#_x0000_t75" style="position:absolute;left:0;text-align:left;margin-left:247.35pt;margin-top:82.7pt;width:238.65pt;height:238.2pt;z-index:251654656;visibility:visible;mso-wrap-distance-top:2.85pt;mso-wrap-distance-bottom:17pt">
            <v:imagedata r:id="rId10" o:title=""/>
            <w10:wrap type="topAndBottom"/>
          </v:shape>
        </w:pict>
      </w:r>
      <w:r>
        <w:rPr>
          <w:rFonts w:eastAsia="Calibri" w:cs="Arial"/>
          <w:noProof/>
          <w:sz w:val="20"/>
          <w:szCs w:val="20"/>
        </w:rPr>
        <w:pict>
          <v:shape id="obrázek 3" o:spid="_x0000_s1653" type="#_x0000_t75" style="position:absolute;left:0;text-align:left;margin-left:2.75pt;margin-top:139.5pt;width:239.95pt;height:238.3pt;z-index:251653632;visibility:visible;mso-wrap-distance-top:2.85pt;mso-wrap-distance-bottom:17pt;mso-position-vertical-relative:page">
            <v:imagedata r:id="rId11" o:title=""/>
            <w10:wrap type="topAndBottom" anchory="page"/>
          </v:shape>
        </w:pict>
      </w:r>
      <w:r w:rsidR="00D912FA" w:rsidRPr="00C24253">
        <w:rPr>
          <w:rFonts w:eastAsia="Calibri" w:cs="Arial"/>
          <w:sz w:val="20"/>
          <w:szCs w:val="20"/>
        </w:rPr>
        <w:t>Sčítání lidu 2011 prokázalo také zvýšení počtu těchto soužití u svobodných osob, a to dokonce výraznější než u rozvedených (nejvíce se však zvýšil počet faktických manželství ženatých/vdaných) a soužití svobo</w:t>
      </w:r>
      <w:r w:rsidR="00D912FA" w:rsidRPr="00C24253">
        <w:rPr>
          <w:rFonts w:eastAsia="Calibri" w:cs="Arial"/>
          <w:sz w:val="20"/>
          <w:szCs w:val="20"/>
        </w:rPr>
        <w:t>d</w:t>
      </w:r>
      <w:r w:rsidR="00D912FA" w:rsidRPr="00C24253">
        <w:rPr>
          <w:rFonts w:eastAsia="Calibri" w:cs="Arial"/>
          <w:sz w:val="20"/>
          <w:szCs w:val="20"/>
        </w:rPr>
        <w:t>né osoby ve faktickém manželství se stalo dokonce četnější než osoby rozvedené. Úplně nejčetnější bylo pak soužití dvou svobodných osob, zatímco při předchozích sčítáních to byla domácnost muže a ženy s rozvedeným nebo ovdovělým stavem obou.</w:t>
      </w:r>
    </w:p>
    <w:p w:rsidR="00D912FA" w:rsidRPr="00C24253" w:rsidRDefault="00D912FA" w:rsidP="00D912FA">
      <w:pPr>
        <w:spacing w:before="240" w:after="120"/>
        <w:rPr>
          <w:rFonts w:eastAsia="Calibri" w:cs="Arial"/>
          <w:sz w:val="20"/>
          <w:szCs w:val="20"/>
        </w:rPr>
      </w:pPr>
      <w:r w:rsidRPr="00C24253">
        <w:rPr>
          <w:rFonts w:eastAsia="Calibri" w:cs="Arial"/>
          <w:sz w:val="20"/>
          <w:szCs w:val="20"/>
        </w:rPr>
        <w:t xml:space="preserve">Na rozdíl od populace svobodných je v případě rozvedených osob jejich podíl mírně vyšší mezi ženami. K datu sčítání 2011 bylo mezi 15 a víceletými muži rozvedených celkem 11 %, mezi ženami 13 %, což je dáno tím, že ženy po rozvodu uzavírají nový sňatek o něco méně často než muži. </w:t>
      </w:r>
    </w:p>
    <w:p w:rsidR="00D912FA" w:rsidRPr="00C24253" w:rsidRDefault="00D912FA" w:rsidP="00D912FA">
      <w:pPr>
        <w:spacing w:after="120"/>
        <w:rPr>
          <w:rFonts w:eastAsia="Calibri" w:cs="Arial"/>
          <w:sz w:val="20"/>
          <w:szCs w:val="20"/>
        </w:rPr>
      </w:pPr>
      <w:r w:rsidRPr="00C24253">
        <w:rPr>
          <w:rFonts w:eastAsia="Calibri" w:cs="Arial"/>
          <w:sz w:val="20"/>
          <w:szCs w:val="20"/>
        </w:rPr>
        <w:t>Nejvyšší zastoupení rozvedených je u obou pohlaví shodně ve věkové kategorii 4</w:t>
      </w:r>
      <w:r w:rsidR="00D423B3">
        <w:rPr>
          <w:rFonts w:eastAsia="Calibri" w:cs="Arial"/>
          <w:sz w:val="20"/>
          <w:szCs w:val="20"/>
        </w:rPr>
        <w:t>0-49letých (20 % mužů a </w:t>
      </w:r>
      <w:r w:rsidRPr="00C24253">
        <w:rPr>
          <w:rFonts w:eastAsia="Calibri" w:cs="Arial"/>
          <w:sz w:val="20"/>
          <w:szCs w:val="20"/>
        </w:rPr>
        <w:t xml:space="preserve">25 % žen), s věkem, jak přibývá ovdovělých, se jejich podíl snižuje. Nejméně výrazně se za poslední dvě desetiletí změnil podíl ovdovělých, který se u mužů mezi sčítáními 1991, 2001 a 2011 snížil z 3,3 % na 3,0 % a dále na 2,9 %, u žen klesl z 16,4 % v roce 1991 na 14,9 % o deset let později a za dalších deset let na 13,8 %. </w:t>
      </w:r>
    </w:p>
    <w:p w:rsidR="00D912FA" w:rsidRPr="00C24253" w:rsidRDefault="00D912FA" w:rsidP="00D912FA">
      <w:pPr>
        <w:spacing w:before="360" w:after="120"/>
        <w:rPr>
          <w:rFonts w:eastAsia="Calibri" w:cs="Arial"/>
          <w:b/>
          <w:sz w:val="20"/>
          <w:szCs w:val="20"/>
        </w:rPr>
      </w:pPr>
      <w:r w:rsidRPr="00C24253">
        <w:rPr>
          <w:rFonts w:eastAsia="Calibri" w:cs="Arial"/>
          <w:b/>
          <w:sz w:val="20"/>
          <w:szCs w:val="20"/>
        </w:rPr>
        <w:t>Struktura obyvatelstva ve věku 15 a více let podle rodinného stavu* při sčítání lidu 1991, 2001 a 2011</w:t>
      </w:r>
    </w:p>
    <w:tbl>
      <w:tblPr>
        <w:tblW w:w="9727" w:type="dxa"/>
        <w:tblInd w:w="5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1749"/>
        <w:gridCol w:w="886"/>
        <w:gridCol w:w="886"/>
        <w:gridCol w:w="887"/>
        <w:gridCol w:w="886"/>
        <w:gridCol w:w="887"/>
        <w:gridCol w:w="886"/>
        <w:gridCol w:w="887"/>
        <w:gridCol w:w="886"/>
        <w:gridCol w:w="887"/>
      </w:tblGrid>
      <w:tr w:rsidR="00D912FA" w:rsidRPr="00C24253" w:rsidTr="00974752">
        <w:trPr>
          <w:trHeight w:val="340"/>
        </w:trPr>
        <w:tc>
          <w:tcPr>
            <w:tcW w:w="1749" w:type="dxa"/>
            <w:vMerge w:val="restart"/>
            <w:tcBorders>
              <w:top w:val="single" w:sz="4" w:space="0" w:color="auto"/>
              <w:bottom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left"/>
              <w:rPr>
                <w:rFonts w:cs="Arial"/>
                <w:sz w:val="16"/>
                <w:szCs w:val="16"/>
              </w:rPr>
            </w:pPr>
            <w:r w:rsidRPr="00C24253">
              <w:rPr>
                <w:rFonts w:cs="Arial"/>
                <w:sz w:val="16"/>
                <w:szCs w:val="16"/>
              </w:rPr>
              <w:t>Rodinný stav</w:t>
            </w:r>
          </w:p>
        </w:tc>
        <w:tc>
          <w:tcPr>
            <w:tcW w:w="2659" w:type="dxa"/>
            <w:gridSpan w:val="3"/>
            <w:tcBorders>
              <w:top w:val="single" w:sz="4" w:space="0" w:color="auto"/>
              <w:left w:val="single" w:sz="4" w:space="0" w:color="auto"/>
              <w:bottom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center"/>
              <w:rPr>
                <w:rFonts w:cs="Arial"/>
                <w:sz w:val="16"/>
                <w:szCs w:val="16"/>
              </w:rPr>
            </w:pPr>
            <w:r w:rsidRPr="00C24253">
              <w:rPr>
                <w:rFonts w:cs="Arial"/>
                <w:sz w:val="16"/>
                <w:szCs w:val="16"/>
              </w:rPr>
              <w:t>Celkem</w:t>
            </w:r>
          </w:p>
        </w:tc>
        <w:tc>
          <w:tcPr>
            <w:tcW w:w="2659" w:type="dxa"/>
            <w:gridSpan w:val="3"/>
            <w:tcBorders>
              <w:top w:val="single" w:sz="4" w:space="0" w:color="auto"/>
              <w:left w:val="single" w:sz="4" w:space="0" w:color="auto"/>
              <w:bottom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center"/>
              <w:rPr>
                <w:rFonts w:cs="Arial"/>
                <w:sz w:val="16"/>
                <w:szCs w:val="16"/>
              </w:rPr>
            </w:pPr>
            <w:r w:rsidRPr="00C24253">
              <w:rPr>
                <w:rFonts w:cs="Arial"/>
                <w:sz w:val="16"/>
                <w:szCs w:val="16"/>
              </w:rPr>
              <w:t>Muži</w:t>
            </w:r>
          </w:p>
        </w:tc>
        <w:tc>
          <w:tcPr>
            <w:tcW w:w="2660" w:type="dxa"/>
            <w:gridSpan w:val="3"/>
            <w:tcBorders>
              <w:top w:val="single" w:sz="4" w:space="0" w:color="auto"/>
              <w:left w:val="single" w:sz="4" w:space="0" w:color="auto"/>
              <w:bottom w:val="single" w:sz="4" w:space="0" w:color="auto"/>
            </w:tcBorders>
            <w:shd w:val="clear" w:color="auto" w:fill="auto"/>
            <w:noWrap/>
            <w:tcMar>
              <w:right w:w="113" w:type="dxa"/>
            </w:tcMar>
            <w:vAlign w:val="center"/>
            <w:hideMark/>
          </w:tcPr>
          <w:p w:rsidR="00D912FA" w:rsidRPr="00C24253" w:rsidRDefault="00D912FA" w:rsidP="00974752">
            <w:pPr>
              <w:jc w:val="center"/>
              <w:rPr>
                <w:rFonts w:cs="Arial"/>
                <w:sz w:val="16"/>
                <w:szCs w:val="16"/>
              </w:rPr>
            </w:pPr>
            <w:r w:rsidRPr="00C24253">
              <w:rPr>
                <w:rFonts w:cs="Arial"/>
                <w:sz w:val="16"/>
                <w:szCs w:val="16"/>
              </w:rPr>
              <w:t>Ženy</w:t>
            </w:r>
          </w:p>
        </w:tc>
      </w:tr>
      <w:tr w:rsidR="00D912FA" w:rsidRPr="00C24253" w:rsidTr="00974752">
        <w:trPr>
          <w:trHeight w:val="340"/>
        </w:trPr>
        <w:tc>
          <w:tcPr>
            <w:tcW w:w="1749" w:type="dxa"/>
            <w:vMerge/>
            <w:tcBorders>
              <w:top w:val="single" w:sz="4" w:space="0" w:color="auto"/>
              <w:bottom w:val="single" w:sz="4" w:space="0" w:color="auto"/>
              <w:right w:val="single" w:sz="4" w:space="0" w:color="auto"/>
            </w:tcBorders>
            <w:shd w:val="clear" w:color="auto" w:fill="auto"/>
            <w:tcMar>
              <w:right w:w="113" w:type="dxa"/>
            </w:tcMar>
            <w:vAlign w:val="center"/>
            <w:hideMark/>
          </w:tcPr>
          <w:p w:rsidR="00D912FA" w:rsidRPr="00C24253" w:rsidRDefault="00D912FA" w:rsidP="00974752">
            <w:pPr>
              <w:jc w:val="left"/>
              <w:rPr>
                <w:rFonts w:cs="Arial"/>
                <w:sz w:val="16"/>
                <w:szCs w:val="16"/>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center"/>
              <w:rPr>
                <w:rFonts w:cs="Arial"/>
                <w:sz w:val="16"/>
                <w:szCs w:val="16"/>
              </w:rPr>
            </w:pPr>
            <w:r w:rsidRPr="00C24253">
              <w:rPr>
                <w:rFonts w:cs="Arial"/>
                <w:sz w:val="16"/>
                <w:szCs w:val="16"/>
              </w:rPr>
              <w:t>1991</w:t>
            </w:r>
          </w:p>
        </w:tc>
        <w:tc>
          <w:tcPr>
            <w:tcW w:w="886" w:type="dxa"/>
            <w:tcBorders>
              <w:top w:val="single" w:sz="4" w:space="0" w:color="auto"/>
              <w:left w:val="single" w:sz="4" w:space="0" w:color="auto"/>
              <w:bottom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center"/>
              <w:rPr>
                <w:rFonts w:cs="Arial"/>
                <w:sz w:val="16"/>
                <w:szCs w:val="16"/>
              </w:rPr>
            </w:pPr>
            <w:r w:rsidRPr="00C24253">
              <w:rPr>
                <w:rFonts w:cs="Arial"/>
                <w:sz w:val="16"/>
                <w:szCs w:val="16"/>
              </w:rPr>
              <w:t>2001</w:t>
            </w:r>
          </w:p>
        </w:tc>
        <w:tc>
          <w:tcPr>
            <w:tcW w:w="887" w:type="dxa"/>
            <w:tcBorders>
              <w:top w:val="single" w:sz="4" w:space="0" w:color="auto"/>
              <w:left w:val="single" w:sz="4" w:space="0" w:color="auto"/>
              <w:bottom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center"/>
              <w:rPr>
                <w:rFonts w:cs="Arial"/>
                <w:sz w:val="16"/>
                <w:szCs w:val="16"/>
              </w:rPr>
            </w:pPr>
            <w:r w:rsidRPr="00C24253">
              <w:rPr>
                <w:rFonts w:cs="Arial"/>
                <w:sz w:val="16"/>
                <w:szCs w:val="16"/>
              </w:rPr>
              <w:t>2011</w:t>
            </w:r>
          </w:p>
        </w:tc>
        <w:tc>
          <w:tcPr>
            <w:tcW w:w="886" w:type="dxa"/>
            <w:tcBorders>
              <w:top w:val="single" w:sz="4" w:space="0" w:color="auto"/>
              <w:left w:val="single" w:sz="4" w:space="0" w:color="auto"/>
              <w:bottom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center"/>
              <w:rPr>
                <w:rFonts w:cs="Arial"/>
                <w:sz w:val="16"/>
                <w:szCs w:val="16"/>
              </w:rPr>
            </w:pPr>
            <w:r w:rsidRPr="00C24253">
              <w:rPr>
                <w:rFonts w:cs="Arial"/>
                <w:sz w:val="16"/>
                <w:szCs w:val="16"/>
              </w:rPr>
              <w:t>1991</w:t>
            </w:r>
          </w:p>
        </w:tc>
        <w:tc>
          <w:tcPr>
            <w:tcW w:w="887" w:type="dxa"/>
            <w:tcBorders>
              <w:top w:val="single" w:sz="4" w:space="0" w:color="auto"/>
              <w:left w:val="single" w:sz="4" w:space="0" w:color="auto"/>
              <w:bottom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center"/>
              <w:rPr>
                <w:rFonts w:cs="Arial"/>
                <w:sz w:val="16"/>
                <w:szCs w:val="16"/>
              </w:rPr>
            </w:pPr>
            <w:r w:rsidRPr="00C24253">
              <w:rPr>
                <w:rFonts w:cs="Arial"/>
                <w:sz w:val="16"/>
                <w:szCs w:val="16"/>
              </w:rPr>
              <w:t>2001</w:t>
            </w:r>
          </w:p>
        </w:tc>
        <w:tc>
          <w:tcPr>
            <w:tcW w:w="886" w:type="dxa"/>
            <w:tcBorders>
              <w:top w:val="single" w:sz="4" w:space="0" w:color="auto"/>
              <w:left w:val="single" w:sz="4" w:space="0" w:color="auto"/>
              <w:bottom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center"/>
              <w:rPr>
                <w:rFonts w:cs="Arial"/>
                <w:sz w:val="16"/>
                <w:szCs w:val="16"/>
              </w:rPr>
            </w:pPr>
            <w:r w:rsidRPr="00C24253">
              <w:rPr>
                <w:rFonts w:cs="Arial"/>
                <w:sz w:val="16"/>
                <w:szCs w:val="16"/>
              </w:rPr>
              <w:t>2011</w:t>
            </w:r>
          </w:p>
        </w:tc>
        <w:tc>
          <w:tcPr>
            <w:tcW w:w="887" w:type="dxa"/>
            <w:tcBorders>
              <w:top w:val="single" w:sz="4" w:space="0" w:color="auto"/>
              <w:left w:val="single" w:sz="4" w:space="0" w:color="auto"/>
              <w:bottom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center"/>
              <w:rPr>
                <w:rFonts w:cs="Arial"/>
                <w:sz w:val="16"/>
                <w:szCs w:val="16"/>
              </w:rPr>
            </w:pPr>
            <w:r w:rsidRPr="00C24253">
              <w:rPr>
                <w:rFonts w:cs="Arial"/>
                <w:sz w:val="16"/>
                <w:szCs w:val="16"/>
              </w:rPr>
              <w:t>1991</w:t>
            </w:r>
          </w:p>
        </w:tc>
        <w:tc>
          <w:tcPr>
            <w:tcW w:w="886" w:type="dxa"/>
            <w:tcBorders>
              <w:top w:val="single" w:sz="4" w:space="0" w:color="auto"/>
              <w:left w:val="single" w:sz="4" w:space="0" w:color="auto"/>
              <w:bottom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center"/>
              <w:rPr>
                <w:rFonts w:cs="Arial"/>
                <w:sz w:val="16"/>
                <w:szCs w:val="16"/>
              </w:rPr>
            </w:pPr>
            <w:r w:rsidRPr="00C24253">
              <w:rPr>
                <w:rFonts w:cs="Arial"/>
                <w:sz w:val="16"/>
                <w:szCs w:val="16"/>
              </w:rPr>
              <w:t>2001</w:t>
            </w:r>
          </w:p>
        </w:tc>
        <w:tc>
          <w:tcPr>
            <w:tcW w:w="887" w:type="dxa"/>
            <w:tcBorders>
              <w:top w:val="single" w:sz="4" w:space="0" w:color="auto"/>
              <w:left w:val="single" w:sz="4" w:space="0" w:color="auto"/>
              <w:bottom w:val="single" w:sz="4" w:space="0" w:color="auto"/>
            </w:tcBorders>
            <w:shd w:val="clear" w:color="auto" w:fill="auto"/>
            <w:noWrap/>
            <w:tcMar>
              <w:right w:w="113" w:type="dxa"/>
            </w:tcMar>
            <w:vAlign w:val="center"/>
            <w:hideMark/>
          </w:tcPr>
          <w:p w:rsidR="00D912FA" w:rsidRPr="00C24253" w:rsidRDefault="00D912FA" w:rsidP="00974752">
            <w:pPr>
              <w:jc w:val="center"/>
              <w:rPr>
                <w:rFonts w:cs="Arial"/>
                <w:sz w:val="16"/>
                <w:szCs w:val="16"/>
              </w:rPr>
            </w:pPr>
            <w:r w:rsidRPr="00C24253">
              <w:rPr>
                <w:rFonts w:cs="Arial"/>
                <w:sz w:val="16"/>
                <w:szCs w:val="16"/>
              </w:rPr>
              <w:t>2011</w:t>
            </w:r>
          </w:p>
        </w:tc>
      </w:tr>
      <w:tr w:rsidR="00D912FA" w:rsidRPr="00C24253" w:rsidTr="00974752">
        <w:trPr>
          <w:trHeight w:val="284"/>
        </w:trPr>
        <w:tc>
          <w:tcPr>
            <w:tcW w:w="1749" w:type="dxa"/>
            <w:tcBorders>
              <w:top w:val="single" w:sz="4" w:space="0" w:color="auto"/>
              <w:bottom w:val="nil"/>
              <w:right w:val="single" w:sz="4" w:space="0" w:color="auto"/>
            </w:tcBorders>
            <w:shd w:val="clear" w:color="auto" w:fill="auto"/>
            <w:noWrap/>
            <w:tcMar>
              <w:right w:w="113" w:type="dxa"/>
            </w:tcMar>
            <w:vAlign w:val="center"/>
            <w:hideMark/>
          </w:tcPr>
          <w:p w:rsidR="00D912FA" w:rsidRPr="00C24253" w:rsidRDefault="00D912FA" w:rsidP="00974752">
            <w:pPr>
              <w:jc w:val="left"/>
              <w:rPr>
                <w:rFonts w:cs="Arial"/>
                <w:sz w:val="16"/>
                <w:szCs w:val="16"/>
              </w:rPr>
            </w:pPr>
            <w:r w:rsidRPr="00C24253">
              <w:rPr>
                <w:rFonts w:cs="Arial"/>
                <w:sz w:val="16"/>
                <w:szCs w:val="16"/>
              </w:rPr>
              <w:t>Počet osob (tis.)</w:t>
            </w:r>
          </w:p>
        </w:tc>
        <w:tc>
          <w:tcPr>
            <w:tcW w:w="886" w:type="dxa"/>
            <w:tcBorders>
              <w:top w:val="single" w:sz="4" w:space="0" w:color="auto"/>
              <w:left w:val="single" w:sz="4" w:space="0" w:color="auto"/>
              <w:bottom w:val="nil"/>
              <w:right w:val="single" w:sz="4" w:space="0" w:color="auto"/>
            </w:tcBorders>
            <w:shd w:val="clear" w:color="auto" w:fill="auto"/>
            <w:vAlign w:val="center"/>
          </w:tcPr>
          <w:p w:rsidR="00D912FA" w:rsidRPr="00C24253" w:rsidRDefault="00D912FA" w:rsidP="00974752">
            <w:pPr>
              <w:jc w:val="left"/>
              <w:rPr>
                <w:rFonts w:cs="Arial"/>
                <w:sz w:val="16"/>
                <w:szCs w:val="16"/>
              </w:rPr>
            </w:pPr>
          </w:p>
        </w:tc>
        <w:tc>
          <w:tcPr>
            <w:tcW w:w="886" w:type="dxa"/>
            <w:tcBorders>
              <w:top w:val="single" w:sz="4" w:space="0" w:color="auto"/>
              <w:left w:val="single" w:sz="4" w:space="0" w:color="auto"/>
              <w:bottom w:val="nil"/>
              <w:right w:val="single" w:sz="4" w:space="0" w:color="auto"/>
            </w:tcBorders>
            <w:shd w:val="clear" w:color="auto" w:fill="auto"/>
            <w:vAlign w:val="center"/>
          </w:tcPr>
          <w:p w:rsidR="00D912FA" w:rsidRPr="00C24253" w:rsidRDefault="00D912FA" w:rsidP="00974752">
            <w:pPr>
              <w:jc w:val="left"/>
              <w:rPr>
                <w:rFonts w:cs="Arial"/>
                <w:sz w:val="16"/>
                <w:szCs w:val="16"/>
              </w:rPr>
            </w:pPr>
          </w:p>
        </w:tc>
        <w:tc>
          <w:tcPr>
            <w:tcW w:w="887" w:type="dxa"/>
            <w:tcBorders>
              <w:top w:val="single" w:sz="4" w:space="0" w:color="auto"/>
              <w:left w:val="single" w:sz="4" w:space="0" w:color="auto"/>
              <w:bottom w:val="nil"/>
              <w:right w:val="single" w:sz="4" w:space="0" w:color="auto"/>
            </w:tcBorders>
            <w:shd w:val="clear" w:color="auto" w:fill="auto"/>
            <w:vAlign w:val="center"/>
          </w:tcPr>
          <w:p w:rsidR="00D912FA" w:rsidRPr="00C24253" w:rsidRDefault="00D912FA" w:rsidP="00974752">
            <w:pPr>
              <w:jc w:val="left"/>
              <w:rPr>
                <w:rFonts w:cs="Arial"/>
                <w:sz w:val="16"/>
                <w:szCs w:val="16"/>
              </w:rPr>
            </w:pPr>
          </w:p>
        </w:tc>
        <w:tc>
          <w:tcPr>
            <w:tcW w:w="886" w:type="dxa"/>
            <w:tcBorders>
              <w:top w:val="single" w:sz="4" w:space="0" w:color="auto"/>
              <w:left w:val="single" w:sz="4" w:space="0" w:color="auto"/>
              <w:bottom w:val="nil"/>
              <w:right w:val="single" w:sz="4" w:space="0" w:color="auto"/>
            </w:tcBorders>
            <w:shd w:val="clear" w:color="auto" w:fill="auto"/>
            <w:vAlign w:val="center"/>
          </w:tcPr>
          <w:p w:rsidR="00D912FA" w:rsidRPr="00C24253" w:rsidRDefault="00D912FA" w:rsidP="00974752">
            <w:pPr>
              <w:jc w:val="left"/>
              <w:rPr>
                <w:rFonts w:cs="Arial"/>
                <w:sz w:val="16"/>
                <w:szCs w:val="16"/>
              </w:rPr>
            </w:pPr>
          </w:p>
        </w:tc>
        <w:tc>
          <w:tcPr>
            <w:tcW w:w="887" w:type="dxa"/>
            <w:tcBorders>
              <w:top w:val="single" w:sz="4" w:space="0" w:color="auto"/>
              <w:left w:val="single" w:sz="4" w:space="0" w:color="auto"/>
              <w:bottom w:val="nil"/>
              <w:right w:val="single" w:sz="4" w:space="0" w:color="auto"/>
            </w:tcBorders>
            <w:shd w:val="clear" w:color="auto" w:fill="auto"/>
            <w:vAlign w:val="center"/>
          </w:tcPr>
          <w:p w:rsidR="00D912FA" w:rsidRPr="00C24253" w:rsidRDefault="00D912FA" w:rsidP="00974752">
            <w:pPr>
              <w:jc w:val="left"/>
              <w:rPr>
                <w:rFonts w:cs="Arial"/>
                <w:sz w:val="16"/>
                <w:szCs w:val="16"/>
              </w:rPr>
            </w:pPr>
          </w:p>
        </w:tc>
        <w:tc>
          <w:tcPr>
            <w:tcW w:w="886" w:type="dxa"/>
            <w:tcBorders>
              <w:top w:val="single" w:sz="4" w:space="0" w:color="auto"/>
              <w:left w:val="single" w:sz="4" w:space="0" w:color="auto"/>
              <w:bottom w:val="nil"/>
              <w:right w:val="single" w:sz="4" w:space="0" w:color="auto"/>
            </w:tcBorders>
            <w:shd w:val="clear" w:color="auto" w:fill="auto"/>
            <w:vAlign w:val="center"/>
          </w:tcPr>
          <w:p w:rsidR="00D912FA" w:rsidRPr="00C24253" w:rsidRDefault="00D912FA" w:rsidP="00974752">
            <w:pPr>
              <w:jc w:val="left"/>
              <w:rPr>
                <w:rFonts w:cs="Arial"/>
                <w:sz w:val="16"/>
                <w:szCs w:val="16"/>
              </w:rPr>
            </w:pPr>
          </w:p>
        </w:tc>
        <w:tc>
          <w:tcPr>
            <w:tcW w:w="887" w:type="dxa"/>
            <w:tcBorders>
              <w:top w:val="single" w:sz="4" w:space="0" w:color="auto"/>
              <w:left w:val="single" w:sz="4" w:space="0" w:color="auto"/>
              <w:bottom w:val="nil"/>
              <w:right w:val="single" w:sz="4" w:space="0" w:color="auto"/>
            </w:tcBorders>
            <w:shd w:val="clear" w:color="auto" w:fill="auto"/>
            <w:vAlign w:val="center"/>
          </w:tcPr>
          <w:p w:rsidR="00D912FA" w:rsidRPr="00C24253" w:rsidRDefault="00D912FA" w:rsidP="00974752">
            <w:pPr>
              <w:jc w:val="left"/>
              <w:rPr>
                <w:rFonts w:cs="Arial"/>
                <w:sz w:val="16"/>
                <w:szCs w:val="16"/>
              </w:rPr>
            </w:pPr>
          </w:p>
        </w:tc>
        <w:tc>
          <w:tcPr>
            <w:tcW w:w="886" w:type="dxa"/>
            <w:tcBorders>
              <w:top w:val="single" w:sz="4" w:space="0" w:color="auto"/>
              <w:left w:val="single" w:sz="4" w:space="0" w:color="auto"/>
              <w:bottom w:val="nil"/>
              <w:right w:val="single" w:sz="4" w:space="0" w:color="auto"/>
            </w:tcBorders>
            <w:shd w:val="clear" w:color="auto" w:fill="auto"/>
            <w:vAlign w:val="center"/>
          </w:tcPr>
          <w:p w:rsidR="00D912FA" w:rsidRPr="00C24253" w:rsidRDefault="00D912FA" w:rsidP="00974752">
            <w:pPr>
              <w:jc w:val="left"/>
              <w:rPr>
                <w:rFonts w:cs="Arial"/>
                <w:sz w:val="16"/>
                <w:szCs w:val="16"/>
              </w:rPr>
            </w:pPr>
          </w:p>
        </w:tc>
        <w:tc>
          <w:tcPr>
            <w:tcW w:w="887" w:type="dxa"/>
            <w:tcBorders>
              <w:top w:val="single" w:sz="4" w:space="0" w:color="auto"/>
              <w:left w:val="single" w:sz="4" w:space="0" w:color="auto"/>
              <w:bottom w:val="nil"/>
            </w:tcBorders>
            <w:shd w:val="clear" w:color="auto" w:fill="auto"/>
            <w:vAlign w:val="center"/>
          </w:tcPr>
          <w:p w:rsidR="00D912FA" w:rsidRPr="00C24253" w:rsidRDefault="00D912FA" w:rsidP="00974752">
            <w:pPr>
              <w:jc w:val="left"/>
              <w:rPr>
                <w:rFonts w:cs="Arial"/>
                <w:sz w:val="16"/>
                <w:szCs w:val="16"/>
              </w:rPr>
            </w:pPr>
          </w:p>
        </w:tc>
      </w:tr>
      <w:tr w:rsidR="00D912FA" w:rsidRPr="00C24253" w:rsidTr="00974752">
        <w:trPr>
          <w:trHeight w:val="340"/>
        </w:trPr>
        <w:tc>
          <w:tcPr>
            <w:tcW w:w="1749" w:type="dxa"/>
            <w:tcBorders>
              <w:top w:val="nil"/>
              <w:bottom w:val="nil"/>
              <w:right w:val="single" w:sz="4" w:space="0" w:color="auto"/>
            </w:tcBorders>
            <w:shd w:val="clear" w:color="auto" w:fill="auto"/>
            <w:noWrap/>
            <w:tcMar>
              <w:right w:w="113" w:type="dxa"/>
            </w:tcMar>
            <w:vAlign w:val="center"/>
            <w:hideMark/>
          </w:tcPr>
          <w:p w:rsidR="00D912FA" w:rsidRPr="00C24253" w:rsidRDefault="00D912FA" w:rsidP="00974752">
            <w:pPr>
              <w:jc w:val="left"/>
              <w:rPr>
                <w:rFonts w:cs="Arial"/>
                <w:sz w:val="16"/>
                <w:szCs w:val="16"/>
              </w:rPr>
            </w:pPr>
            <w:r w:rsidRPr="00C24253">
              <w:rPr>
                <w:rFonts w:cs="Arial"/>
                <w:sz w:val="16"/>
                <w:szCs w:val="16"/>
              </w:rPr>
              <w:t>Svobodní</w:t>
            </w:r>
          </w:p>
        </w:tc>
        <w:tc>
          <w:tcPr>
            <w:tcW w:w="886" w:type="dxa"/>
            <w:tcBorders>
              <w:top w:val="nil"/>
              <w:left w:val="single" w:sz="4" w:space="0" w:color="auto"/>
              <w:bottom w:val="nil"/>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1 641</w:t>
            </w:r>
          </w:p>
        </w:tc>
        <w:tc>
          <w:tcPr>
            <w:tcW w:w="886" w:type="dxa"/>
            <w:tcBorders>
              <w:top w:val="nil"/>
              <w:left w:val="single" w:sz="4" w:space="0" w:color="auto"/>
              <w:bottom w:val="nil"/>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2 178</w:t>
            </w:r>
          </w:p>
        </w:tc>
        <w:tc>
          <w:tcPr>
            <w:tcW w:w="887" w:type="dxa"/>
            <w:tcBorders>
              <w:top w:val="nil"/>
              <w:left w:val="single" w:sz="4" w:space="0" w:color="auto"/>
              <w:bottom w:val="nil"/>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2 655</w:t>
            </w:r>
          </w:p>
        </w:tc>
        <w:tc>
          <w:tcPr>
            <w:tcW w:w="886" w:type="dxa"/>
            <w:tcBorders>
              <w:top w:val="nil"/>
              <w:left w:val="single" w:sz="4" w:space="0" w:color="auto"/>
              <w:bottom w:val="nil"/>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973</w:t>
            </w:r>
          </w:p>
        </w:tc>
        <w:tc>
          <w:tcPr>
            <w:tcW w:w="887" w:type="dxa"/>
            <w:tcBorders>
              <w:top w:val="nil"/>
              <w:left w:val="single" w:sz="4" w:space="0" w:color="auto"/>
              <w:bottom w:val="nil"/>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1 258</w:t>
            </w:r>
          </w:p>
        </w:tc>
        <w:tc>
          <w:tcPr>
            <w:tcW w:w="886" w:type="dxa"/>
            <w:tcBorders>
              <w:top w:val="nil"/>
              <w:left w:val="single" w:sz="4" w:space="0" w:color="auto"/>
              <w:bottom w:val="nil"/>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1 51</w:t>
            </w:r>
            <w:r>
              <w:rPr>
                <w:rFonts w:cs="Arial"/>
                <w:sz w:val="16"/>
                <w:szCs w:val="16"/>
              </w:rPr>
              <w:t>3</w:t>
            </w:r>
          </w:p>
        </w:tc>
        <w:tc>
          <w:tcPr>
            <w:tcW w:w="887" w:type="dxa"/>
            <w:tcBorders>
              <w:top w:val="nil"/>
              <w:left w:val="single" w:sz="4" w:space="0" w:color="auto"/>
              <w:bottom w:val="nil"/>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668</w:t>
            </w:r>
          </w:p>
        </w:tc>
        <w:tc>
          <w:tcPr>
            <w:tcW w:w="886" w:type="dxa"/>
            <w:tcBorders>
              <w:top w:val="nil"/>
              <w:left w:val="single" w:sz="4" w:space="0" w:color="auto"/>
              <w:bottom w:val="nil"/>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920</w:t>
            </w:r>
          </w:p>
        </w:tc>
        <w:tc>
          <w:tcPr>
            <w:tcW w:w="887" w:type="dxa"/>
            <w:tcBorders>
              <w:top w:val="nil"/>
              <w:left w:val="single" w:sz="4" w:space="0" w:color="auto"/>
              <w:bottom w:val="nil"/>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1 142</w:t>
            </w:r>
          </w:p>
        </w:tc>
      </w:tr>
      <w:tr w:rsidR="00D912FA" w:rsidRPr="00C24253" w:rsidTr="00974752">
        <w:trPr>
          <w:trHeight w:val="340"/>
        </w:trPr>
        <w:tc>
          <w:tcPr>
            <w:tcW w:w="1749" w:type="dxa"/>
            <w:tcBorders>
              <w:top w:val="nil"/>
              <w:right w:val="single" w:sz="4" w:space="0" w:color="auto"/>
            </w:tcBorders>
            <w:shd w:val="clear" w:color="auto" w:fill="auto"/>
            <w:noWrap/>
            <w:tcMar>
              <w:right w:w="113" w:type="dxa"/>
            </w:tcMar>
            <w:vAlign w:val="center"/>
            <w:hideMark/>
          </w:tcPr>
          <w:p w:rsidR="00D912FA" w:rsidRPr="00C24253" w:rsidRDefault="00D912FA" w:rsidP="00974752">
            <w:pPr>
              <w:jc w:val="left"/>
              <w:rPr>
                <w:rFonts w:cs="Arial"/>
                <w:sz w:val="16"/>
                <w:szCs w:val="16"/>
              </w:rPr>
            </w:pPr>
            <w:r w:rsidRPr="00C24253">
              <w:rPr>
                <w:rFonts w:cs="Arial"/>
                <w:sz w:val="16"/>
                <w:szCs w:val="16"/>
              </w:rPr>
              <w:t>Ženatí/Vdané</w:t>
            </w:r>
          </w:p>
        </w:tc>
        <w:tc>
          <w:tcPr>
            <w:tcW w:w="886" w:type="dxa"/>
            <w:tcBorders>
              <w:top w:val="nil"/>
              <w:left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5 093</w:t>
            </w:r>
          </w:p>
        </w:tc>
        <w:tc>
          <w:tcPr>
            <w:tcW w:w="886" w:type="dxa"/>
            <w:tcBorders>
              <w:top w:val="nil"/>
              <w:left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4 743</w:t>
            </w:r>
          </w:p>
        </w:tc>
        <w:tc>
          <w:tcPr>
            <w:tcW w:w="887" w:type="dxa"/>
            <w:tcBorders>
              <w:top w:val="nil"/>
              <w:left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4 406</w:t>
            </w:r>
          </w:p>
        </w:tc>
        <w:tc>
          <w:tcPr>
            <w:tcW w:w="886" w:type="dxa"/>
            <w:tcBorders>
              <w:top w:val="nil"/>
              <w:left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2 544</w:t>
            </w:r>
          </w:p>
        </w:tc>
        <w:tc>
          <w:tcPr>
            <w:tcW w:w="887" w:type="dxa"/>
            <w:tcBorders>
              <w:top w:val="nil"/>
              <w:left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2 370</w:t>
            </w:r>
          </w:p>
        </w:tc>
        <w:tc>
          <w:tcPr>
            <w:tcW w:w="886" w:type="dxa"/>
            <w:tcBorders>
              <w:top w:val="nil"/>
              <w:left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2 2</w:t>
            </w:r>
            <w:r>
              <w:rPr>
                <w:rFonts w:cs="Arial"/>
                <w:sz w:val="16"/>
                <w:szCs w:val="16"/>
              </w:rPr>
              <w:t>10</w:t>
            </w:r>
          </w:p>
        </w:tc>
        <w:tc>
          <w:tcPr>
            <w:tcW w:w="887" w:type="dxa"/>
            <w:tcBorders>
              <w:top w:val="nil"/>
              <w:left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2 549</w:t>
            </w:r>
          </w:p>
        </w:tc>
        <w:tc>
          <w:tcPr>
            <w:tcW w:w="886" w:type="dxa"/>
            <w:tcBorders>
              <w:top w:val="nil"/>
              <w:left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2 373</w:t>
            </w:r>
          </w:p>
        </w:tc>
        <w:tc>
          <w:tcPr>
            <w:tcW w:w="887" w:type="dxa"/>
            <w:tcBorders>
              <w:top w:val="nil"/>
              <w:lef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2 196</w:t>
            </w:r>
          </w:p>
        </w:tc>
      </w:tr>
      <w:tr w:rsidR="00D912FA" w:rsidRPr="00C24253" w:rsidTr="00974752">
        <w:trPr>
          <w:trHeight w:val="340"/>
        </w:trPr>
        <w:tc>
          <w:tcPr>
            <w:tcW w:w="1749" w:type="dxa"/>
            <w:tcBorders>
              <w:right w:val="single" w:sz="4" w:space="0" w:color="auto"/>
            </w:tcBorders>
            <w:shd w:val="clear" w:color="auto" w:fill="auto"/>
            <w:noWrap/>
            <w:tcMar>
              <w:right w:w="113" w:type="dxa"/>
            </w:tcMar>
            <w:vAlign w:val="center"/>
            <w:hideMark/>
          </w:tcPr>
          <w:p w:rsidR="00D912FA" w:rsidRPr="00C24253" w:rsidRDefault="00D912FA" w:rsidP="00974752">
            <w:pPr>
              <w:jc w:val="left"/>
              <w:rPr>
                <w:rFonts w:cs="Arial"/>
                <w:sz w:val="16"/>
                <w:szCs w:val="16"/>
              </w:rPr>
            </w:pPr>
            <w:r w:rsidRPr="00C24253">
              <w:rPr>
                <w:rFonts w:cs="Arial"/>
                <w:sz w:val="16"/>
                <w:szCs w:val="16"/>
              </w:rPr>
              <w:t>Rozvedení</w:t>
            </w:r>
          </w:p>
        </w:tc>
        <w:tc>
          <w:tcPr>
            <w:tcW w:w="886" w:type="dxa"/>
            <w:tcBorders>
              <w:left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571</w:t>
            </w:r>
          </w:p>
        </w:tc>
        <w:tc>
          <w:tcPr>
            <w:tcW w:w="886" w:type="dxa"/>
            <w:tcBorders>
              <w:left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811</w:t>
            </w:r>
          </w:p>
        </w:tc>
        <w:tc>
          <w:tcPr>
            <w:tcW w:w="887" w:type="dxa"/>
            <w:tcBorders>
              <w:left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1 071</w:t>
            </w:r>
          </w:p>
        </w:tc>
        <w:tc>
          <w:tcPr>
            <w:tcW w:w="886" w:type="dxa"/>
            <w:tcBorders>
              <w:left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241</w:t>
            </w:r>
          </w:p>
        </w:tc>
        <w:tc>
          <w:tcPr>
            <w:tcW w:w="887" w:type="dxa"/>
            <w:tcBorders>
              <w:left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352</w:t>
            </w:r>
          </w:p>
        </w:tc>
        <w:tc>
          <w:tcPr>
            <w:tcW w:w="886" w:type="dxa"/>
            <w:tcBorders>
              <w:left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46</w:t>
            </w:r>
            <w:r>
              <w:rPr>
                <w:rFonts w:cs="Arial"/>
                <w:sz w:val="16"/>
                <w:szCs w:val="16"/>
              </w:rPr>
              <w:t>5</w:t>
            </w:r>
          </w:p>
        </w:tc>
        <w:tc>
          <w:tcPr>
            <w:tcW w:w="887" w:type="dxa"/>
            <w:tcBorders>
              <w:left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330</w:t>
            </w:r>
          </w:p>
        </w:tc>
        <w:tc>
          <w:tcPr>
            <w:tcW w:w="886" w:type="dxa"/>
            <w:tcBorders>
              <w:left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459</w:t>
            </w:r>
          </w:p>
        </w:tc>
        <w:tc>
          <w:tcPr>
            <w:tcW w:w="887" w:type="dxa"/>
            <w:tcBorders>
              <w:lef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606</w:t>
            </w:r>
          </w:p>
        </w:tc>
      </w:tr>
      <w:tr w:rsidR="00D912FA" w:rsidRPr="00C24253" w:rsidTr="00974752">
        <w:trPr>
          <w:trHeight w:val="340"/>
        </w:trPr>
        <w:tc>
          <w:tcPr>
            <w:tcW w:w="1749" w:type="dxa"/>
            <w:tcBorders>
              <w:right w:val="single" w:sz="4" w:space="0" w:color="auto"/>
            </w:tcBorders>
            <w:shd w:val="clear" w:color="auto" w:fill="auto"/>
            <w:noWrap/>
            <w:tcMar>
              <w:right w:w="113" w:type="dxa"/>
            </w:tcMar>
            <w:vAlign w:val="center"/>
            <w:hideMark/>
          </w:tcPr>
          <w:p w:rsidR="00D912FA" w:rsidRPr="00C24253" w:rsidRDefault="00D912FA" w:rsidP="00974752">
            <w:pPr>
              <w:jc w:val="left"/>
              <w:rPr>
                <w:rFonts w:cs="Arial"/>
                <w:sz w:val="16"/>
                <w:szCs w:val="16"/>
              </w:rPr>
            </w:pPr>
            <w:r w:rsidRPr="00C24253">
              <w:rPr>
                <w:rFonts w:cs="Arial"/>
                <w:sz w:val="16"/>
                <w:szCs w:val="16"/>
              </w:rPr>
              <w:t>Ovdovělí</w:t>
            </w:r>
          </w:p>
        </w:tc>
        <w:tc>
          <w:tcPr>
            <w:tcW w:w="886" w:type="dxa"/>
            <w:tcBorders>
              <w:left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822</w:t>
            </w:r>
          </w:p>
        </w:tc>
        <w:tc>
          <w:tcPr>
            <w:tcW w:w="886" w:type="dxa"/>
            <w:tcBorders>
              <w:left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784</w:t>
            </w:r>
          </w:p>
        </w:tc>
        <w:tc>
          <w:tcPr>
            <w:tcW w:w="887" w:type="dxa"/>
            <w:tcBorders>
              <w:left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760</w:t>
            </w:r>
          </w:p>
        </w:tc>
        <w:tc>
          <w:tcPr>
            <w:tcW w:w="886" w:type="dxa"/>
            <w:tcBorders>
              <w:left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127</w:t>
            </w:r>
          </w:p>
        </w:tc>
        <w:tc>
          <w:tcPr>
            <w:tcW w:w="887" w:type="dxa"/>
            <w:tcBorders>
              <w:left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122</w:t>
            </w:r>
          </w:p>
        </w:tc>
        <w:tc>
          <w:tcPr>
            <w:tcW w:w="886" w:type="dxa"/>
            <w:tcBorders>
              <w:left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126</w:t>
            </w:r>
          </w:p>
        </w:tc>
        <w:tc>
          <w:tcPr>
            <w:tcW w:w="887" w:type="dxa"/>
            <w:tcBorders>
              <w:left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695</w:t>
            </w:r>
          </w:p>
        </w:tc>
        <w:tc>
          <w:tcPr>
            <w:tcW w:w="886" w:type="dxa"/>
            <w:tcBorders>
              <w:left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662</w:t>
            </w:r>
          </w:p>
        </w:tc>
        <w:tc>
          <w:tcPr>
            <w:tcW w:w="887" w:type="dxa"/>
            <w:tcBorders>
              <w:lef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634</w:t>
            </w:r>
          </w:p>
        </w:tc>
      </w:tr>
      <w:tr w:rsidR="00D912FA" w:rsidRPr="00C24253" w:rsidTr="00974752">
        <w:trPr>
          <w:trHeight w:val="340"/>
        </w:trPr>
        <w:tc>
          <w:tcPr>
            <w:tcW w:w="1749" w:type="dxa"/>
            <w:tcBorders>
              <w:bottom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left"/>
              <w:rPr>
                <w:rFonts w:cs="Arial"/>
                <w:sz w:val="16"/>
                <w:szCs w:val="16"/>
              </w:rPr>
            </w:pPr>
            <w:r w:rsidRPr="00C24253">
              <w:rPr>
                <w:rFonts w:cs="Arial"/>
                <w:sz w:val="16"/>
                <w:szCs w:val="16"/>
              </w:rPr>
              <w:t>Nezjištěn</w:t>
            </w:r>
          </w:p>
        </w:tc>
        <w:tc>
          <w:tcPr>
            <w:tcW w:w="886" w:type="dxa"/>
            <w:tcBorders>
              <w:left w:val="single" w:sz="4" w:space="0" w:color="auto"/>
              <w:bottom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9</w:t>
            </w:r>
          </w:p>
        </w:tc>
        <w:tc>
          <w:tcPr>
            <w:tcW w:w="886" w:type="dxa"/>
            <w:tcBorders>
              <w:left w:val="single" w:sz="4" w:space="0" w:color="auto"/>
              <w:bottom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55</w:t>
            </w:r>
          </w:p>
        </w:tc>
        <w:tc>
          <w:tcPr>
            <w:tcW w:w="887" w:type="dxa"/>
            <w:tcBorders>
              <w:left w:val="single" w:sz="4" w:space="0" w:color="auto"/>
              <w:bottom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18</w:t>
            </w:r>
          </w:p>
        </w:tc>
        <w:tc>
          <w:tcPr>
            <w:tcW w:w="886" w:type="dxa"/>
            <w:tcBorders>
              <w:left w:val="single" w:sz="4" w:space="0" w:color="auto"/>
              <w:bottom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Pr>
                <w:rFonts w:cs="Arial"/>
                <w:sz w:val="16"/>
                <w:szCs w:val="16"/>
              </w:rPr>
              <w:t>6</w:t>
            </w:r>
          </w:p>
        </w:tc>
        <w:tc>
          <w:tcPr>
            <w:tcW w:w="887" w:type="dxa"/>
            <w:tcBorders>
              <w:left w:val="single" w:sz="4" w:space="0" w:color="auto"/>
              <w:bottom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29</w:t>
            </w:r>
          </w:p>
        </w:tc>
        <w:tc>
          <w:tcPr>
            <w:tcW w:w="886" w:type="dxa"/>
            <w:tcBorders>
              <w:left w:val="single" w:sz="4" w:space="0" w:color="auto"/>
              <w:bottom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11</w:t>
            </w:r>
          </w:p>
        </w:tc>
        <w:tc>
          <w:tcPr>
            <w:tcW w:w="887" w:type="dxa"/>
            <w:tcBorders>
              <w:left w:val="single" w:sz="4" w:space="0" w:color="auto"/>
              <w:bottom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3</w:t>
            </w:r>
          </w:p>
        </w:tc>
        <w:tc>
          <w:tcPr>
            <w:tcW w:w="886" w:type="dxa"/>
            <w:tcBorders>
              <w:left w:val="single" w:sz="4" w:space="0" w:color="auto"/>
              <w:bottom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26</w:t>
            </w:r>
          </w:p>
        </w:tc>
        <w:tc>
          <w:tcPr>
            <w:tcW w:w="887" w:type="dxa"/>
            <w:tcBorders>
              <w:left w:val="single" w:sz="4" w:space="0" w:color="auto"/>
              <w:bottom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Pr>
                <w:rFonts w:cs="Arial"/>
                <w:sz w:val="16"/>
                <w:szCs w:val="16"/>
              </w:rPr>
              <w:t>7</w:t>
            </w:r>
          </w:p>
        </w:tc>
      </w:tr>
      <w:tr w:rsidR="00D912FA" w:rsidRPr="00C24253" w:rsidTr="00974752">
        <w:trPr>
          <w:trHeight w:val="284"/>
        </w:trPr>
        <w:tc>
          <w:tcPr>
            <w:tcW w:w="1749" w:type="dxa"/>
            <w:tcBorders>
              <w:top w:val="single" w:sz="4" w:space="0" w:color="auto"/>
              <w:bottom w:val="nil"/>
              <w:right w:val="single" w:sz="4" w:space="0" w:color="auto"/>
            </w:tcBorders>
            <w:shd w:val="clear" w:color="auto" w:fill="auto"/>
            <w:tcMar>
              <w:right w:w="113" w:type="dxa"/>
            </w:tcMar>
            <w:vAlign w:val="center"/>
            <w:hideMark/>
          </w:tcPr>
          <w:p w:rsidR="00D912FA" w:rsidRPr="00C24253" w:rsidRDefault="00D912FA" w:rsidP="00974752">
            <w:pPr>
              <w:jc w:val="left"/>
              <w:rPr>
                <w:rFonts w:cs="Arial"/>
                <w:sz w:val="16"/>
                <w:szCs w:val="16"/>
              </w:rPr>
            </w:pPr>
            <w:r w:rsidRPr="00C24253">
              <w:rPr>
                <w:rFonts w:cs="Arial"/>
                <w:sz w:val="16"/>
                <w:szCs w:val="16"/>
              </w:rPr>
              <w:t>%</w:t>
            </w:r>
          </w:p>
        </w:tc>
        <w:tc>
          <w:tcPr>
            <w:tcW w:w="886" w:type="dxa"/>
            <w:tcBorders>
              <w:top w:val="single" w:sz="4" w:space="0" w:color="auto"/>
              <w:left w:val="single" w:sz="4" w:space="0" w:color="auto"/>
              <w:bottom w:val="nil"/>
              <w:right w:val="single" w:sz="4" w:space="0" w:color="auto"/>
            </w:tcBorders>
            <w:shd w:val="clear" w:color="auto" w:fill="auto"/>
            <w:vAlign w:val="center"/>
          </w:tcPr>
          <w:p w:rsidR="00D912FA" w:rsidRPr="00C24253" w:rsidRDefault="00D912FA" w:rsidP="00974752">
            <w:pPr>
              <w:jc w:val="center"/>
              <w:rPr>
                <w:rFonts w:cs="Arial"/>
                <w:sz w:val="16"/>
                <w:szCs w:val="16"/>
              </w:rPr>
            </w:pPr>
          </w:p>
        </w:tc>
        <w:tc>
          <w:tcPr>
            <w:tcW w:w="886" w:type="dxa"/>
            <w:tcBorders>
              <w:top w:val="single" w:sz="4" w:space="0" w:color="auto"/>
              <w:left w:val="single" w:sz="4" w:space="0" w:color="auto"/>
              <w:bottom w:val="nil"/>
              <w:right w:val="single" w:sz="4" w:space="0" w:color="auto"/>
            </w:tcBorders>
            <w:shd w:val="clear" w:color="auto" w:fill="auto"/>
            <w:vAlign w:val="center"/>
          </w:tcPr>
          <w:p w:rsidR="00D912FA" w:rsidRPr="00C24253" w:rsidRDefault="00D912FA" w:rsidP="00974752">
            <w:pPr>
              <w:jc w:val="center"/>
              <w:rPr>
                <w:rFonts w:cs="Arial"/>
                <w:sz w:val="16"/>
                <w:szCs w:val="16"/>
              </w:rPr>
            </w:pPr>
          </w:p>
        </w:tc>
        <w:tc>
          <w:tcPr>
            <w:tcW w:w="887" w:type="dxa"/>
            <w:tcBorders>
              <w:top w:val="single" w:sz="4" w:space="0" w:color="auto"/>
              <w:left w:val="single" w:sz="4" w:space="0" w:color="auto"/>
              <w:bottom w:val="nil"/>
              <w:right w:val="single" w:sz="4" w:space="0" w:color="auto"/>
            </w:tcBorders>
            <w:shd w:val="clear" w:color="auto" w:fill="auto"/>
            <w:vAlign w:val="center"/>
          </w:tcPr>
          <w:p w:rsidR="00D912FA" w:rsidRPr="00C24253" w:rsidRDefault="00D912FA" w:rsidP="00974752">
            <w:pPr>
              <w:jc w:val="center"/>
              <w:rPr>
                <w:rFonts w:cs="Arial"/>
                <w:sz w:val="16"/>
                <w:szCs w:val="16"/>
              </w:rPr>
            </w:pPr>
          </w:p>
        </w:tc>
        <w:tc>
          <w:tcPr>
            <w:tcW w:w="886" w:type="dxa"/>
            <w:tcBorders>
              <w:top w:val="single" w:sz="4" w:space="0" w:color="auto"/>
              <w:left w:val="single" w:sz="4" w:space="0" w:color="auto"/>
              <w:bottom w:val="nil"/>
              <w:right w:val="single" w:sz="4" w:space="0" w:color="auto"/>
            </w:tcBorders>
            <w:shd w:val="clear" w:color="auto" w:fill="auto"/>
            <w:vAlign w:val="center"/>
          </w:tcPr>
          <w:p w:rsidR="00D912FA" w:rsidRPr="00C24253" w:rsidRDefault="00D912FA" w:rsidP="00974752">
            <w:pPr>
              <w:jc w:val="center"/>
              <w:rPr>
                <w:rFonts w:cs="Arial"/>
                <w:sz w:val="16"/>
                <w:szCs w:val="16"/>
              </w:rPr>
            </w:pPr>
          </w:p>
        </w:tc>
        <w:tc>
          <w:tcPr>
            <w:tcW w:w="887" w:type="dxa"/>
            <w:tcBorders>
              <w:top w:val="single" w:sz="4" w:space="0" w:color="auto"/>
              <w:left w:val="single" w:sz="4" w:space="0" w:color="auto"/>
              <w:bottom w:val="nil"/>
              <w:right w:val="single" w:sz="4" w:space="0" w:color="auto"/>
            </w:tcBorders>
            <w:shd w:val="clear" w:color="auto" w:fill="auto"/>
            <w:vAlign w:val="center"/>
          </w:tcPr>
          <w:p w:rsidR="00D912FA" w:rsidRPr="00C24253" w:rsidRDefault="00D912FA" w:rsidP="00974752">
            <w:pPr>
              <w:jc w:val="center"/>
              <w:rPr>
                <w:rFonts w:cs="Arial"/>
                <w:sz w:val="16"/>
                <w:szCs w:val="16"/>
              </w:rPr>
            </w:pPr>
          </w:p>
        </w:tc>
        <w:tc>
          <w:tcPr>
            <w:tcW w:w="886" w:type="dxa"/>
            <w:tcBorders>
              <w:top w:val="single" w:sz="4" w:space="0" w:color="auto"/>
              <w:left w:val="single" w:sz="4" w:space="0" w:color="auto"/>
              <w:bottom w:val="nil"/>
              <w:right w:val="single" w:sz="4" w:space="0" w:color="auto"/>
            </w:tcBorders>
            <w:shd w:val="clear" w:color="auto" w:fill="auto"/>
            <w:vAlign w:val="center"/>
          </w:tcPr>
          <w:p w:rsidR="00D912FA" w:rsidRPr="00C24253" w:rsidRDefault="00D912FA" w:rsidP="00974752">
            <w:pPr>
              <w:jc w:val="center"/>
              <w:rPr>
                <w:rFonts w:cs="Arial"/>
                <w:sz w:val="16"/>
                <w:szCs w:val="16"/>
              </w:rPr>
            </w:pPr>
          </w:p>
        </w:tc>
        <w:tc>
          <w:tcPr>
            <w:tcW w:w="887" w:type="dxa"/>
            <w:tcBorders>
              <w:top w:val="single" w:sz="4" w:space="0" w:color="auto"/>
              <w:left w:val="single" w:sz="4" w:space="0" w:color="auto"/>
              <w:bottom w:val="nil"/>
              <w:right w:val="single" w:sz="4" w:space="0" w:color="auto"/>
            </w:tcBorders>
            <w:shd w:val="clear" w:color="auto" w:fill="auto"/>
            <w:vAlign w:val="center"/>
          </w:tcPr>
          <w:p w:rsidR="00D912FA" w:rsidRPr="00C24253" w:rsidRDefault="00D912FA" w:rsidP="00974752">
            <w:pPr>
              <w:jc w:val="center"/>
              <w:rPr>
                <w:rFonts w:cs="Arial"/>
                <w:sz w:val="16"/>
                <w:szCs w:val="16"/>
              </w:rPr>
            </w:pPr>
          </w:p>
        </w:tc>
        <w:tc>
          <w:tcPr>
            <w:tcW w:w="886" w:type="dxa"/>
            <w:tcBorders>
              <w:top w:val="single" w:sz="4" w:space="0" w:color="auto"/>
              <w:left w:val="single" w:sz="4" w:space="0" w:color="auto"/>
              <w:bottom w:val="nil"/>
              <w:right w:val="single" w:sz="4" w:space="0" w:color="auto"/>
            </w:tcBorders>
            <w:shd w:val="clear" w:color="auto" w:fill="auto"/>
            <w:vAlign w:val="center"/>
          </w:tcPr>
          <w:p w:rsidR="00D912FA" w:rsidRPr="00C24253" w:rsidRDefault="00D912FA" w:rsidP="00974752">
            <w:pPr>
              <w:jc w:val="center"/>
              <w:rPr>
                <w:rFonts w:cs="Arial"/>
                <w:sz w:val="16"/>
                <w:szCs w:val="16"/>
              </w:rPr>
            </w:pPr>
          </w:p>
        </w:tc>
        <w:tc>
          <w:tcPr>
            <w:tcW w:w="887" w:type="dxa"/>
            <w:tcBorders>
              <w:top w:val="single" w:sz="4" w:space="0" w:color="auto"/>
              <w:left w:val="single" w:sz="4" w:space="0" w:color="auto"/>
              <w:bottom w:val="nil"/>
            </w:tcBorders>
            <w:shd w:val="clear" w:color="auto" w:fill="auto"/>
            <w:vAlign w:val="center"/>
          </w:tcPr>
          <w:p w:rsidR="00D912FA" w:rsidRPr="00C24253" w:rsidRDefault="00D912FA" w:rsidP="00974752">
            <w:pPr>
              <w:jc w:val="center"/>
              <w:rPr>
                <w:rFonts w:cs="Arial"/>
                <w:sz w:val="16"/>
                <w:szCs w:val="16"/>
              </w:rPr>
            </w:pPr>
          </w:p>
        </w:tc>
      </w:tr>
      <w:tr w:rsidR="00D912FA" w:rsidRPr="00C24253" w:rsidTr="00974752">
        <w:trPr>
          <w:trHeight w:val="340"/>
        </w:trPr>
        <w:tc>
          <w:tcPr>
            <w:tcW w:w="1749" w:type="dxa"/>
            <w:tcBorders>
              <w:top w:val="nil"/>
              <w:right w:val="single" w:sz="4" w:space="0" w:color="auto"/>
            </w:tcBorders>
            <w:shd w:val="clear" w:color="auto" w:fill="auto"/>
            <w:noWrap/>
            <w:tcMar>
              <w:right w:w="113" w:type="dxa"/>
            </w:tcMar>
            <w:vAlign w:val="center"/>
            <w:hideMark/>
          </w:tcPr>
          <w:p w:rsidR="00D912FA" w:rsidRPr="00C24253" w:rsidRDefault="00D912FA" w:rsidP="00974752">
            <w:pPr>
              <w:jc w:val="left"/>
              <w:rPr>
                <w:rFonts w:cs="Arial"/>
                <w:sz w:val="16"/>
                <w:szCs w:val="16"/>
              </w:rPr>
            </w:pPr>
            <w:r w:rsidRPr="00C24253">
              <w:rPr>
                <w:rFonts w:cs="Arial"/>
                <w:sz w:val="16"/>
                <w:szCs w:val="16"/>
              </w:rPr>
              <w:t>Svobodní</w:t>
            </w:r>
          </w:p>
        </w:tc>
        <w:tc>
          <w:tcPr>
            <w:tcW w:w="886" w:type="dxa"/>
            <w:tcBorders>
              <w:top w:val="nil"/>
              <w:left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20,2</w:t>
            </w:r>
          </w:p>
        </w:tc>
        <w:tc>
          <w:tcPr>
            <w:tcW w:w="886" w:type="dxa"/>
            <w:tcBorders>
              <w:top w:val="nil"/>
              <w:left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25,4</w:t>
            </w:r>
          </w:p>
        </w:tc>
        <w:tc>
          <w:tcPr>
            <w:tcW w:w="887" w:type="dxa"/>
            <w:tcBorders>
              <w:top w:val="nil"/>
              <w:left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29,8</w:t>
            </w:r>
          </w:p>
        </w:tc>
        <w:tc>
          <w:tcPr>
            <w:tcW w:w="886" w:type="dxa"/>
            <w:tcBorders>
              <w:top w:val="nil"/>
              <w:left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25,0</w:t>
            </w:r>
          </w:p>
        </w:tc>
        <w:tc>
          <w:tcPr>
            <w:tcW w:w="887" w:type="dxa"/>
            <w:tcBorders>
              <w:top w:val="nil"/>
              <w:left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30,5</w:t>
            </w:r>
          </w:p>
        </w:tc>
        <w:tc>
          <w:tcPr>
            <w:tcW w:w="886" w:type="dxa"/>
            <w:tcBorders>
              <w:top w:val="nil"/>
              <w:left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35,0</w:t>
            </w:r>
          </w:p>
        </w:tc>
        <w:tc>
          <w:tcPr>
            <w:tcW w:w="887" w:type="dxa"/>
            <w:tcBorders>
              <w:top w:val="nil"/>
              <w:left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15,7</w:t>
            </w:r>
          </w:p>
        </w:tc>
        <w:tc>
          <w:tcPr>
            <w:tcW w:w="886" w:type="dxa"/>
            <w:tcBorders>
              <w:top w:val="nil"/>
              <w:left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20,7</w:t>
            </w:r>
          </w:p>
        </w:tc>
        <w:tc>
          <w:tcPr>
            <w:tcW w:w="887" w:type="dxa"/>
            <w:tcBorders>
              <w:top w:val="nil"/>
              <w:lef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24,9</w:t>
            </w:r>
          </w:p>
        </w:tc>
      </w:tr>
      <w:tr w:rsidR="00D912FA" w:rsidRPr="00C24253" w:rsidTr="00974752">
        <w:trPr>
          <w:trHeight w:val="340"/>
        </w:trPr>
        <w:tc>
          <w:tcPr>
            <w:tcW w:w="1749" w:type="dxa"/>
            <w:tcBorders>
              <w:right w:val="single" w:sz="4" w:space="0" w:color="auto"/>
            </w:tcBorders>
            <w:shd w:val="clear" w:color="auto" w:fill="auto"/>
            <w:noWrap/>
            <w:tcMar>
              <w:right w:w="113" w:type="dxa"/>
            </w:tcMar>
            <w:vAlign w:val="center"/>
            <w:hideMark/>
          </w:tcPr>
          <w:p w:rsidR="00D912FA" w:rsidRPr="00C24253" w:rsidRDefault="00D912FA" w:rsidP="00974752">
            <w:pPr>
              <w:jc w:val="left"/>
              <w:rPr>
                <w:rFonts w:cs="Arial"/>
                <w:sz w:val="16"/>
                <w:szCs w:val="16"/>
              </w:rPr>
            </w:pPr>
            <w:r w:rsidRPr="00C24253">
              <w:rPr>
                <w:rFonts w:cs="Arial"/>
                <w:sz w:val="16"/>
                <w:szCs w:val="16"/>
              </w:rPr>
              <w:t>Ženatí/Vdané</w:t>
            </w:r>
          </w:p>
        </w:tc>
        <w:tc>
          <w:tcPr>
            <w:tcW w:w="886" w:type="dxa"/>
            <w:tcBorders>
              <w:left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62,6</w:t>
            </w:r>
          </w:p>
        </w:tc>
        <w:tc>
          <w:tcPr>
            <w:tcW w:w="886" w:type="dxa"/>
            <w:tcBorders>
              <w:left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55,3</w:t>
            </w:r>
          </w:p>
        </w:tc>
        <w:tc>
          <w:tcPr>
            <w:tcW w:w="887" w:type="dxa"/>
            <w:tcBorders>
              <w:left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49,4</w:t>
            </w:r>
          </w:p>
        </w:tc>
        <w:tc>
          <w:tcPr>
            <w:tcW w:w="886" w:type="dxa"/>
            <w:tcBorders>
              <w:left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65,4</w:t>
            </w:r>
          </w:p>
        </w:tc>
        <w:tc>
          <w:tcPr>
            <w:tcW w:w="887" w:type="dxa"/>
            <w:tcBorders>
              <w:left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57,4</w:t>
            </w:r>
          </w:p>
        </w:tc>
        <w:tc>
          <w:tcPr>
            <w:tcW w:w="886" w:type="dxa"/>
            <w:tcBorders>
              <w:left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51,1</w:t>
            </w:r>
          </w:p>
        </w:tc>
        <w:tc>
          <w:tcPr>
            <w:tcW w:w="887" w:type="dxa"/>
            <w:tcBorders>
              <w:left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60,0</w:t>
            </w:r>
          </w:p>
        </w:tc>
        <w:tc>
          <w:tcPr>
            <w:tcW w:w="886" w:type="dxa"/>
            <w:tcBorders>
              <w:left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53,4</w:t>
            </w:r>
          </w:p>
        </w:tc>
        <w:tc>
          <w:tcPr>
            <w:tcW w:w="887" w:type="dxa"/>
            <w:tcBorders>
              <w:lef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47,9</w:t>
            </w:r>
          </w:p>
        </w:tc>
      </w:tr>
      <w:tr w:rsidR="00D912FA" w:rsidRPr="00C24253" w:rsidTr="00974752">
        <w:trPr>
          <w:trHeight w:val="340"/>
        </w:trPr>
        <w:tc>
          <w:tcPr>
            <w:tcW w:w="1749" w:type="dxa"/>
            <w:tcBorders>
              <w:right w:val="single" w:sz="4" w:space="0" w:color="auto"/>
            </w:tcBorders>
            <w:shd w:val="clear" w:color="auto" w:fill="auto"/>
            <w:noWrap/>
            <w:tcMar>
              <w:right w:w="113" w:type="dxa"/>
            </w:tcMar>
            <w:vAlign w:val="center"/>
            <w:hideMark/>
          </w:tcPr>
          <w:p w:rsidR="00D912FA" w:rsidRPr="00C24253" w:rsidRDefault="00D912FA" w:rsidP="00974752">
            <w:pPr>
              <w:jc w:val="left"/>
              <w:rPr>
                <w:rFonts w:cs="Arial"/>
                <w:sz w:val="16"/>
                <w:szCs w:val="16"/>
              </w:rPr>
            </w:pPr>
            <w:r w:rsidRPr="00C24253">
              <w:rPr>
                <w:rFonts w:cs="Arial"/>
                <w:sz w:val="16"/>
                <w:szCs w:val="16"/>
              </w:rPr>
              <w:t>Rozvedení</w:t>
            </w:r>
          </w:p>
        </w:tc>
        <w:tc>
          <w:tcPr>
            <w:tcW w:w="886" w:type="dxa"/>
            <w:tcBorders>
              <w:left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7,0</w:t>
            </w:r>
          </w:p>
        </w:tc>
        <w:tc>
          <w:tcPr>
            <w:tcW w:w="886" w:type="dxa"/>
            <w:tcBorders>
              <w:left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9,5</w:t>
            </w:r>
          </w:p>
        </w:tc>
        <w:tc>
          <w:tcPr>
            <w:tcW w:w="887" w:type="dxa"/>
            <w:tcBorders>
              <w:left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12,0</w:t>
            </w:r>
          </w:p>
        </w:tc>
        <w:tc>
          <w:tcPr>
            <w:tcW w:w="886" w:type="dxa"/>
            <w:tcBorders>
              <w:left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6,2</w:t>
            </w:r>
          </w:p>
        </w:tc>
        <w:tc>
          <w:tcPr>
            <w:tcW w:w="887" w:type="dxa"/>
            <w:tcBorders>
              <w:left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8,5</w:t>
            </w:r>
          </w:p>
        </w:tc>
        <w:tc>
          <w:tcPr>
            <w:tcW w:w="886" w:type="dxa"/>
            <w:tcBorders>
              <w:left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10,8</w:t>
            </w:r>
          </w:p>
        </w:tc>
        <w:tc>
          <w:tcPr>
            <w:tcW w:w="887" w:type="dxa"/>
            <w:tcBorders>
              <w:left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7,8</w:t>
            </w:r>
          </w:p>
        </w:tc>
        <w:tc>
          <w:tcPr>
            <w:tcW w:w="886" w:type="dxa"/>
            <w:tcBorders>
              <w:left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10,3</w:t>
            </w:r>
          </w:p>
        </w:tc>
        <w:tc>
          <w:tcPr>
            <w:tcW w:w="887" w:type="dxa"/>
            <w:tcBorders>
              <w:lef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13,2</w:t>
            </w:r>
          </w:p>
        </w:tc>
      </w:tr>
      <w:tr w:rsidR="00D912FA" w:rsidRPr="00C24253" w:rsidTr="00974752">
        <w:trPr>
          <w:trHeight w:val="340"/>
        </w:trPr>
        <w:tc>
          <w:tcPr>
            <w:tcW w:w="1749" w:type="dxa"/>
            <w:tcBorders>
              <w:bottom w:val="nil"/>
              <w:right w:val="single" w:sz="4" w:space="0" w:color="auto"/>
            </w:tcBorders>
            <w:shd w:val="clear" w:color="auto" w:fill="auto"/>
            <w:noWrap/>
            <w:tcMar>
              <w:right w:w="113" w:type="dxa"/>
            </w:tcMar>
            <w:vAlign w:val="center"/>
            <w:hideMark/>
          </w:tcPr>
          <w:p w:rsidR="00D912FA" w:rsidRPr="00C24253" w:rsidRDefault="00D912FA" w:rsidP="00974752">
            <w:pPr>
              <w:jc w:val="left"/>
              <w:rPr>
                <w:rFonts w:cs="Arial"/>
                <w:sz w:val="16"/>
                <w:szCs w:val="16"/>
              </w:rPr>
            </w:pPr>
            <w:r w:rsidRPr="00C24253">
              <w:rPr>
                <w:rFonts w:cs="Arial"/>
                <w:sz w:val="16"/>
                <w:szCs w:val="16"/>
              </w:rPr>
              <w:t>Ovdovělí</w:t>
            </w:r>
          </w:p>
        </w:tc>
        <w:tc>
          <w:tcPr>
            <w:tcW w:w="886" w:type="dxa"/>
            <w:tcBorders>
              <w:left w:val="single" w:sz="4" w:space="0" w:color="auto"/>
              <w:bottom w:val="nil"/>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10,1</w:t>
            </w:r>
          </w:p>
        </w:tc>
        <w:tc>
          <w:tcPr>
            <w:tcW w:w="886" w:type="dxa"/>
            <w:tcBorders>
              <w:left w:val="single" w:sz="4" w:space="0" w:color="auto"/>
              <w:bottom w:val="nil"/>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9,2</w:t>
            </w:r>
          </w:p>
        </w:tc>
        <w:tc>
          <w:tcPr>
            <w:tcW w:w="887" w:type="dxa"/>
            <w:tcBorders>
              <w:left w:val="single" w:sz="4" w:space="0" w:color="auto"/>
              <w:bottom w:val="nil"/>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8,5</w:t>
            </w:r>
          </w:p>
        </w:tc>
        <w:tc>
          <w:tcPr>
            <w:tcW w:w="886" w:type="dxa"/>
            <w:tcBorders>
              <w:left w:val="single" w:sz="4" w:space="0" w:color="auto"/>
              <w:bottom w:val="nil"/>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3,3</w:t>
            </w:r>
          </w:p>
        </w:tc>
        <w:tc>
          <w:tcPr>
            <w:tcW w:w="887" w:type="dxa"/>
            <w:tcBorders>
              <w:left w:val="single" w:sz="4" w:space="0" w:color="auto"/>
              <w:bottom w:val="nil"/>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3,0</w:t>
            </w:r>
          </w:p>
        </w:tc>
        <w:tc>
          <w:tcPr>
            <w:tcW w:w="886" w:type="dxa"/>
            <w:tcBorders>
              <w:left w:val="single" w:sz="4" w:space="0" w:color="auto"/>
              <w:bottom w:val="nil"/>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2,9</w:t>
            </w:r>
          </w:p>
        </w:tc>
        <w:tc>
          <w:tcPr>
            <w:tcW w:w="887" w:type="dxa"/>
            <w:tcBorders>
              <w:left w:val="single" w:sz="4" w:space="0" w:color="auto"/>
              <w:bottom w:val="nil"/>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16,4</w:t>
            </w:r>
          </w:p>
        </w:tc>
        <w:tc>
          <w:tcPr>
            <w:tcW w:w="886" w:type="dxa"/>
            <w:tcBorders>
              <w:left w:val="single" w:sz="4" w:space="0" w:color="auto"/>
              <w:bottom w:val="nil"/>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14,9</w:t>
            </w:r>
          </w:p>
        </w:tc>
        <w:tc>
          <w:tcPr>
            <w:tcW w:w="887" w:type="dxa"/>
            <w:tcBorders>
              <w:left w:val="single" w:sz="4" w:space="0" w:color="auto"/>
              <w:bottom w:val="nil"/>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13,8</w:t>
            </w:r>
          </w:p>
        </w:tc>
      </w:tr>
      <w:tr w:rsidR="00D912FA" w:rsidRPr="00C24253" w:rsidTr="00974752">
        <w:trPr>
          <w:trHeight w:val="340"/>
        </w:trPr>
        <w:tc>
          <w:tcPr>
            <w:tcW w:w="1749" w:type="dxa"/>
            <w:tcBorders>
              <w:top w:val="nil"/>
              <w:bottom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left"/>
              <w:rPr>
                <w:rFonts w:cs="Arial"/>
                <w:sz w:val="16"/>
                <w:szCs w:val="16"/>
              </w:rPr>
            </w:pPr>
            <w:r w:rsidRPr="00C24253">
              <w:rPr>
                <w:rFonts w:cs="Arial"/>
                <w:sz w:val="16"/>
                <w:szCs w:val="16"/>
              </w:rPr>
              <w:t>Nezjištěn</w:t>
            </w:r>
          </w:p>
        </w:tc>
        <w:tc>
          <w:tcPr>
            <w:tcW w:w="886" w:type="dxa"/>
            <w:tcBorders>
              <w:top w:val="nil"/>
              <w:left w:val="single" w:sz="4" w:space="0" w:color="auto"/>
              <w:bottom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0,1</w:t>
            </w:r>
          </w:p>
        </w:tc>
        <w:tc>
          <w:tcPr>
            <w:tcW w:w="886" w:type="dxa"/>
            <w:tcBorders>
              <w:top w:val="nil"/>
              <w:left w:val="single" w:sz="4" w:space="0" w:color="auto"/>
              <w:bottom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0,6</w:t>
            </w:r>
          </w:p>
        </w:tc>
        <w:tc>
          <w:tcPr>
            <w:tcW w:w="887" w:type="dxa"/>
            <w:tcBorders>
              <w:top w:val="nil"/>
              <w:left w:val="single" w:sz="4" w:space="0" w:color="auto"/>
              <w:bottom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0,2</w:t>
            </w:r>
          </w:p>
        </w:tc>
        <w:tc>
          <w:tcPr>
            <w:tcW w:w="886" w:type="dxa"/>
            <w:tcBorders>
              <w:top w:val="nil"/>
              <w:left w:val="single" w:sz="4" w:space="0" w:color="auto"/>
              <w:bottom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0,1</w:t>
            </w:r>
          </w:p>
        </w:tc>
        <w:tc>
          <w:tcPr>
            <w:tcW w:w="887" w:type="dxa"/>
            <w:tcBorders>
              <w:top w:val="nil"/>
              <w:left w:val="single" w:sz="4" w:space="0" w:color="auto"/>
              <w:bottom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0,7</w:t>
            </w:r>
          </w:p>
        </w:tc>
        <w:tc>
          <w:tcPr>
            <w:tcW w:w="886" w:type="dxa"/>
            <w:tcBorders>
              <w:top w:val="nil"/>
              <w:left w:val="single" w:sz="4" w:space="0" w:color="auto"/>
              <w:bottom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0,2</w:t>
            </w:r>
          </w:p>
        </w:tc>
        <w:tc>
          <w:tcPr>
            <w:tcW w:w="887" w:type="dxa"/>
            <w:tcBorders>
              <w:top w:val="nil"/>
              <w:left w:val="single" w:sz="4" w:space="0" w:color="auto"/>
              <w:bottom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0,1</w:t>
            </w:r>
          </w:p>
        </w:tc>
        <w:tc>
          <w:tcPr>
            <w:tcW w:w="886" w:type="dxa"/>
            <w:tcBorders>
              <w:top w:val="nil"/>
              <w:left w:val="single" w:sz="4" w:space="0" w:color="auto"/>
              <w:bottom w:val="single" w:sz="4" w:space="0" w:color="auto"/>
              <w:right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0,6</w:t>
            </w:r>
          </w:p>
        </w:tc>
        <w:tc>
          <w:tcPr>
            <w:tcW w:w="887" w:type="dxa"/>
            <w:tcBorders>
              <w:top w:val="nil"/>
              <w:left w:val="single" w:sz="4" w:space="0" w:color="auto"/>
              <w:bottom w:val="single" w:sz="4" w:space="0" w:color="auto"/>
            </w:tcBorders>
            <w:shd w:val="clear" w:color="auto" w:fill="auto"/>
            <w:noWrap/>
            <w:tcMar>
              <w:right w:w="113" w:type="dxa"/>
            </w:tcMar>
            <w:vAlign w:val="center"/>
            <w:hideMark/>
          </w:tcPr>
          <w:p w:rsidR="00D912FA" w:rsidRPr="00C24253" w:rsidRDefault="00D912FA" w:rsidP="00974752">
            <w:pPr>
              <w:jc w:val="right"/>
              <w:rPr>
                <w:rFonts w:cs="Arial"/>
                <w:sz w:val="16"/>
                <w:szCs w:val="16"/>
              </w:rPr>
            </w:pPr>
            <w:r w:rsidRPr="00C24253">
              <w:rPr>
                <w:rFonts w:cs="Arial"/>
                <w:sz w:val="16"/>
                <w:szCs w:val="16"/>
              </w:rPr>
              <w:t>0,2</w:t>
            </w:r>
          </w:p>
        </w:tc>
      </w:tr>
    </w:tbl>
    <w:p w:rsidR="00D912FA" w:rsidRPr="00C24253" w:rsidRDefault="00D912FA" w:rsidP="00D912FA">
      <w:pPr>
        <w:spacing w:before="60"/>
        <w:rPr>
          <w:rFonts w:eastAsia="Calibri" w:cs="Arial"/>
          <w:i/>
          <w:sz w:val="16"/>
          <w:szCs w:val="16"/>
        </w:rPr>
      </w:pPr>
      <w:r w:rsidRPr="00C24253">
        <w:rPr>
          <w:rFonts w:cs="Arial"/>
          <w:i/>
          <w:sz w:val="16"/>
          <w:szCs w:val="16"/>
        </w:rPr>
        <w:t>*bez osob s </w:t>
      </w:r>
      <w:r w:rsidRPr="00AC3B24">
        <w:rPr>
          <w:rFonts w:cs="Arial"/>
          <w:i/>
          <w:color w:val="000000" w:themeColor="text1"/>
          <w:sz w:val="16"/>
          <w:szCs w:val="16"/>
        </w:rPr>
        <w:t>nezjištěným věkem</w:t>
      </w:r>
      <w:r w:rsidRPr="00C24253">
        <w:rPr>
          <w:rFonts w:cs="Arial"/>
          <w:i/>
          <w:sz w:val="16"/>
          <w:szCs w:val="16"/>
        </w:rPr>
        <w:t xml:space="preserve"> a registrovaných partnerství</w:t>
      </w:r>
    </w:p>
    <w:p w:rsidR="00D912FA" w:rsidRPr="00742879" w:rsidRDefault="00D912FA" w:rsidP="004B4F8D">
      <w:pPr>
        <w:pStyle w:val="31"/>
        <w:numPr>
          <w:ilvl w:val="1"/>
          <w:numId w:val="47"/>
        </w:numPr>
        <w:spacing w:before="0"/>
        <w:ind w:left="567" w:hanging="567"/>
      </w:pPr>
      <w:r w:rsidRPr="00C24253">
        <w:br w:type="page"/>
      </w:r>
      <w:r w:rsidRPr="00742879">
        <w:lastRenderedPageBreak/>
        <w:t>Sňatečnost</w:t>
      </w:r>
    </w:p>
    <w:p w:rsidR="00D912FA" w:rsidRPr="00C24253" w:rsidRDefault="00D912FA" w:rsidP="00D912FA">
      <w:pPr>
        <w:autoSpaceDE w:val="0"/>
        <w:autoSpaceDN w:val="0"/>
        <w:adjustRightInd w:val="0"/>
        <w:spacing w:after="120"/>
        <w:rPr>
          <w:rFonts w:cs="Arial"/>
          <w:sz w:val="20"/>
          <w:szCs w:val="20"/>
        </w:rPr>
      </w:pPr>
      <w:r w:rsidRPr="00C24253">
        <w:rPr>
          <w:rFonts w:cs="Arial"/>
          <w:sz w:val="20"/>
          <w:szCs w:val="20"/>
        </w:rPr>
        <w:t>Až do konce 80. let minulého století byla úroveň sňatečnosti v České republice vysoká. Do manželství vst</w:t>
      </w:r>
      <w:r w:rsidRPr="00C24253">
        <w:rPr>
          <w:rFonts w:cs="Arial"/>
          <w:sz w:val="20"/>
          <w:szCs w:val="20"/>
        </w:rPr>
        <w:t>u</w:t>
      </w:r>
      <w:r w:rsidRPr="00C24253">
        <w:rPr>
          <w:rFonts w:cs="Arial"/>
          <w:sz w:val="20"/>
          <w:szCs w:val="20"/>
        </w:rPr>
        <w:t>povalo 90-95 % mužů a  95-97 % žen, kteří sňatek uzavírali převážně ve velmi nízkém věku. Průměrný věk svobodných nevěst se pohyboval mezi 21-22 roky, svobodných ženichů mezi 24-25 roky. Oběma ukazateli se Česká republika řadila na přední místa v Evropě. Po roce 1989 se situace začala měnit, a to poměrně zásadním způsobem. Výrazně se snížila celková intenzita sňatečnosti, lidé žijí častěji v neformálních souž</w:t>
      </w:r>
      <w:r w:rsidRPr="00C24253">
        <w:rPr>
          <w:rFonts w:cs="Arial"/>
          <w:sz w:val="20"/>
          <w:szCs w:val="20"/>
        </w:rPr>
        <w:t>i</w:t>
      </w:r>
      <w:r w:rsidRPr="00C24253">
        <w:rPr>
          <w:rFonts w:cs="Arial"/>
          <w:sz w:val="20"/>
          <w:szCs w:val="20"/>
        </w:rPr>
        <w:t>tích a uzavření prvního manželství (a založení rodiny) se posouvá do pozdějšího věku. Pokles úrovně sň</w:t>
      </w:r>
      <w:r w:rsidRPr="00C24253">
        <w:rPr>
          <w:rFonts w:cs="Arial"/>
          <w:sz w:val="20"/>
          <w:szCs w:val="20"/>
        </w:rPr>
        <w:t>a</w:t>
      </w:r>
      <w:r w:rsidRPr="00C24253">
        <w:rPr>
          <w:rFonts w:cs="Arial"/>
          <w:sz w:val="20"/>
          <w:szCs w:val="20"/>
        </w:rPr>
        <w:t>tečnosti a posun její nejvyšší úrovně do vyššího věku má nicméně negativní vliv na reprodukci. Vdané ženy mají totiž plodnost obecně vyšší. Dalším důsledkem je růst podílu dětí rodících se mimo manželství.</w:t>
      </w:r>
    </w:p>
    <w:p w:rsidR="00D912FA" w:rsidRPr="00C24253" w:rsidRDefault="00D912FA" w:rsidP="00D912FA">
      <w:pPr>
        <w:autoSpaceDE w:val="0"/>
        <w:autoSpaceDN w:val="0"/>
        <w:adjustRightInd w:val="0"/>
        <w:spacing w:after="120"/>
        <w:rPr>
          <w:rFonts w:cs="Arial"/>
          <w:sz w:val="20"/>
          <w:szCs w:val="20"/>
        </w:rPr>
      </w:pPr>
      <w:r w:rsidRPr="00C24253">
        <w:rPr>
          <w:rFonts w:cs="Arial"/>
          <w:sz w:val="20"/>
          <w:szCs w:val="20"/>
        </w:rPr>
        <w:t>Zatímco do začátku devadesátých let minulého století byly roční počty sňatků ovlivněny zejména velikostí sňatkuschopného obyvatelstva a některými opatřeními rodinné politiky, jakými byly např. zrušení podpory při sňatku od ledna 1957 ve výši 1 000 Kč či zavedení novomanželských půjček v roce 1973, resp. jejich zruš</w:t>
      </w:r>
      <w:r w:rsidRPr="00C24253">
        <w:rPr>
          <w:rFonts w:cs="Arial"/>
          <w:sz w:val="20"/>
          <w:szCs w:val="20"/>
        </w:rPr>
        <w:t>e</w:t>
      </w:r>
      <w:r w:rsidRPr="00C24253">
        <w:rPr>
          <w:rFonts w:cs="Arial"/>
          <w:sz w:val="20"/>
          <w:szCs w:val="20"/>
        </w:rPr>
        <w:t>ní od 1. 1. 1991, v první polovině 90. let roční počty sňatků vlivem poklesu zájmu o vstup do manželství ryc</w:t>
      </w:r>
      <w:r w:rsidRPr="00C24253">
        <w:rPr>
          <w:rFonts w:cs="Arial"/>
          <w:sz w:val="20"/>
          <w:szCs w:val="20"/>
        </w:rPr>
        <w:t>h</w:t>
      </w:r>
      <w:r w:rsidRPr="00C24253">
        <w:rPr>
          <w:rFonts w:cs="Arial"/>
          <w:sz w:val="20"/>
          <w:szCs w:val="20"/>
        </w:rPr>
        <w:t>le klesaly. Ve druhé polovině 90. let pak kolísaly kolem hodnoty 55 tisíc, později</w:t>
      </w:r>
      <w:r w:rsidR="00D423B3">
        <w:rPr>
          <w:rFonts w:cs="Arial"/>
          <w:sz w:val="20"/>
          <w:szCs w:val="20"/>
        </w:rPr>
        <w:t xml:space="preserve"> se ještě dále mírně snížily, a </w:t>
      </w:r>
      <w:r w:rsidRPr="00C24253">
        <w:rPr>
          <w:rFonts w:cs="Arial"/>
          <w:sz w:val="20"/>
          <w:szCs w:val="20"/>
        </w:rPr>
        <w:t xml:space="preserve">to i přesto, že do věku vysoké sňatečnosti se dostali mladí lidé ze silných populačních ročníků 70. let. </w:t>
      </w:r>
    </w:p>
    <w:p w:rsidR="00D912FA" w:rsidRPr="00C24253" w:rsidRDefault="00D912FA" w:rsidP="00D912FA">
      <w:pPr>
        <w:autoSpaceDE w:val="0"/>
        <w:autoSpaceDN w:val="0"/>
        <w:adjustRightInd w:val="0"/>
        <w:spacing w:after="120"/>
        <w:rPr>
          <w:rFonts w:cs="Arial"/>
          <w:sz w:val="20"/>
          <w:szCs w:val="20"/>
        </w:rPr>
      </w:pPr>
      <w:r w:rsidRPr="00C24253">
        <w:rPr>
          <w:rFonts w:cs="Arial"/>
          <w:sz w:val="20"/>
          <w:szCs w:val="20"/>
        </w:rPr>
        <w:t xml:space="preserve">V letech 2011-2012 bylo uzavřeno </w:t>
      </w:r>
      <w:r>
        <w:rPr>
          <w:rFonts w:cs="Arial"/>
          <w:sz w:val="20"/>
          <w:szCs w:val="20"/>
        </w:rPr>
        <w:t xml:space="preserve">ročně </w:t>
      </w:r>
      <w:r w:rsidRPr="00C24253">
        <w:rPr>
          <w:rFonts w:cs="Arial"/>
          <w:sz w:val="20"/>
          <w:szCs w:val="20"/>
        </w:rPr>
        <w:t>již jen 45 tisíc nových manželství. K poslednímu většímu výkyvu ve směru zvýšení (na 57 tisíc) došlo v roce 2007 a to v důsledku mimořádně vysokého počtu uzavřených ma</w:t>
      </w:r>
      <w:r w:rsidRPr="00C24253">
        <w:rPr>
          <w:rFonts w:cs="Arial"/>
          <w:sz w:val="20"/>
          <w:szCs w:val="20"/>
        </w:rPr>
        <w:t>n</w:t>
      </w:r>
      <w:r w:rsidRPr="00C24253">
        <w:rPr>
          <w:rFonts w:cs="Arial"/>
          <w:sz w:val="20"/>
          <w:szCs w:val="20"/>
        </w:rPr>
        <w:t xml:space="preserve">želství 7. 7. 2007 (4 tisíce). Toto datum se třemi sedmičkami navíc připadlo na sobotu, na den, který je pro uzavírání sňatků nejpreferovanější. </w:t>
      </w:r>
    </w:p>
    <w:p w:rsidR="00D912FA" w:rsidRPr="00C24253" w:rsidRDefault="00D912FA" w:rsidP="00D912FA">
      <w:pPr>
        <w:autoSpaceDE w:val="0"/>
        <w:autoSpaceDN w:val="0"/>
        <w:adjustRightInd w:val="0"/>
        <w:spacing w:after="120"/>
        <w:rPr>
          <w:rFonts w:cs="Arial"/>
          <w:sz w:val="20"/>
          <w:szCs w:val="20"/>
        </w:rPr>
      </w:pPr>
      <w:r w:rsidRPr="00C24253">
        <w:rPr>
          <w:rFonts w:cs="Arial"/>
          <w:sz w:val="20"/>
          <w:szCs w:val="20"/>
        </w:rPr>
        <w:t>P</w:t>
      </w:r>
      <w:r w:rsidRPr="00C24253">
        <w:rPr>
          <w:rFonts w:eastAsia="Calibri" w:cs="Arial"/>
          <w:sz w:val="20"/>
          <w:szCs w:val="20"/>
        </w:rPr>
        <w:t xml:space="preserve">ro sňatečnost v České republice je stále typická relativně silná homogamie. </w:t>
      </w:r>
      <w:r w:rsidRPr="00C24253">
        <w:rPr>
          <w:rFonts w:cs="Arial"/>
          <w:sz w:val="20"/>
          <w:szCs w:val="20"/>
        </w:rPr>
        <w:t>Z přibližně osmdesáti procent převažují</w:t>
      </w:r>
      <w:r w:rsidRPr="00C24253">
        <w:rPr>
          <w:rFonts w:eastAsia="Calibri" w:cs="Arial"/>
          <w:sz w:val="20"/>
          <w:szCs w:val="20"/>
        </w:rPr>
        <w:t xml:space="preserve"> sňatky mužů</w:t>
      </w:r>
      <w:r w:rsidRPr="00C24253">
        <w:rPr>
          <w:rFonts w:cs="Arial"/>
          <w:sz w:val="20"/>
          <w:szCs w:val="20"/>
        </w:rPr>
        <w:t xml:space="preserve"> a žen stejného rodinného stavu</w:t>
      </w:r>
      <w:r w:rsidRPr="00C24253">
        <w:rPr>
          <w:rFonts w:eastAsia="Calibri" w:cs="Arial"/>
          <w:sz w:val="20"/>
          <w:szCs w:val="20"/>
        </w:rPr>
        <w:t>, nadpoloviční většina uzavíraných svazků je mezi mužem a ženou stejného stupně vzdělání, průměrný věkový rozdíl snoubenců není příliš velký a v čase se příliš nemění (</w:t>
      </w:r>
      <w:r w:rsidRPr="00C24253">
        <w:rPr>
          <w:rFonts w:cs="Arial"/>
          <w:sz w:val="20"/>
          <w:szCs w:val="20"/>
        </w:rPr>
        <w:t xml:space="preserve">udržuje se okolo </w:t>
      </w:r>
      <w:r w:rsidRPr="00C24253">
        <w:rPr>
          <w:rFonts w:eastAsia="Calibri" w:cs="Arial"/>
          <w:sz w:val="20"/>
          <w:szCs w:val="20"/>
        </w:rPr>
        <w:t>tří let)</w:t>
      </w:r>
      <w:r w:rsidRPr="00C24253">
        <w:rPr>
          <w:rFonts w:cs="Arial"/>
          <w:sz w:val="20"/>
          <w:szCs w:val="20"/>
        </w:rPr>
        <w:t>.</w:t>
      </w:r>
      <w:r w:rsidRPr="00C24253">
        <w:rPr>
          <w:rFonts w:eastAsia="Calibri" w:cs="Arial"/>
          <w:sz w:val="20"/>
          <w:szCs w:val="20"/>
        </w:rPr>
        <w:t xml:space="preserve"> Také bydliště muže a ženy nejsou (před uzavřením manželství) od sebe příliš vzdálená</w:t>
      </w:r>
      <w:r w:rsidRPr="00C24253">
        <w:rPr>
          <w:rFonts w:cs="Arial"/>
          <w:sz w:val="20"/>
          <w:szCs w:val="20"/>
        </w:rPr>
        <w:t>, většinu tvoří sňatky</w:t>
      </w:r>
      <w:r w:rsidRPr="00C24253">
        <w:rPr>
          <w:rFonts w:eastAsia="Calibri" w:cs="Arial"/>
          <w:sz w:val="20"/>
          <w:szCs w:val="20"/>
        </w:rPr>
        <w:t xml:space="preserve"> muže a ženy s bydlištěm ve stejném okrese</w:t>
      </w:r>
      <w:r w:rsidRPr="00C24253">
        <w:rPr>
          <w:rFonts w:cs="Arial"/>
          <w:sz w:val="20"/>
          <w:szCs w:val="20"/>
        </w:rPr>
        <w:t>.</w:t>
      </w:r>
      <w:r w:rsidRPr="00C24253">
        <w:rPr>
          <w:rFonts w:eastAsia="Calibri" w:cs="Arial"/>
          <w:sz w:val="20"/>
          <w:szCs w:val="20"/>
        </w:rPr>
        <w:t xml:space="preserve"> </w:t>
      </w:r>
    </w:p>
    <w:p w:rsidR="00D912FA" w:rsidRPr="00C24253" w:rsidRDefault="00D912FA" w:rsidP="00D912FA">
      <w:pPr>
        <w:autoSpaceDE w:val="0"/>
        <w:autoSpaceDN w:val="0"/>
        <w:adjustRightInd w:val="0"/>
        <w:spacing w:before="360" w:after="120"/>
        <w:rPr>
          <w:rFonts w:cs="Arial"/>
          <w:b/>
          <w:sz w:val="20"/>
          <w:szCs w:val="20"/>
        </w:rPr>
      </w:pPr>
      <w:r w:rsidRPr="00C24253">
        <w:rPr>
          <w:rFonts w:cs="Arial"/>
          <w:b/>
          <w:sz w:val="20"/>
          <w:szCs w:val="20"/>
        </w:rPr>
        <w:t>Sňatky a sňatečnost v letech 1991 až 2012</w:t>
      </w:r>
    </w:p>
    <w:tbl>
      <w:tblPr>
        <w:tblW w:w="4950" w:type="pct"/>
        <w:tblInd w:w="5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968"/>
        <w:gridCol w:w="968"/>
        <w:gridCol w:w="968"/>
        <w:gridCol w:w="968"/>
        <w:gridCol w:w="968"/>
        <w:gridCol w:w="968"/>
        <w:gridCol w:w="968"/>
        <w:gridCol w:w="968"/>
        <w:gridCol w:w="968"/>
        <w:gridCol w:w="968"/>
      </w:tblGrid>
      <w:tr w:rsidR="00D912FA" w:rsidRPr="00C24253" w:rsidTr="00974752">
        <w:trPr>
          <w:trHeight w:val="340"/>
        </w:trPr>
        <w:tc>
          <w:tcPr>
            <w:tcW w:w="500" w:type="pct"/>
            <w:vMerge w:val="restart"/>
            <w:tcBorders>
              <w:top w:val="single" w:sz="4" w:space="0" w:color="auto"/>
              <w:right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Rok</w:t>
            </w:r>
          </w:p>
        </w:tc>
        <w:tc>
          <w:tcPr>
            <w:tcW w:w="500" w:type="pct"/>
            <w:vMerge w:val="restart"/>
            <w:tcBorders>
              <w:top w:val="single" w:sz="4" w:space="0" w:color="auto"/>
              <w:left w:val="single" w:sz="4" w:space="0" w:color="auto"/>
              <w:right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Sňatky</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1. sňatky (%)</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12FA" w:rsidRPr="00C24253" w:rsidRDefault="00D912FA" w:rsidP="00974752">
            <w:pPr>
              <w:jc w:val="center"/>
              <w:rPr>
                <w:rFonts w:cs="Arial"/>
                <w:sz w:val="16"/>
                <w:szCs w:val="16"/>
              </w:rPr>
            </w:pPr>
            <w:r w:rsidRPr="00C24253">
              <w:rPr>
                <w:rFonts w:cs="Arial"/>
                <w:sz w:val="16"/>
                <w:szCs w:val="16"/>
              </w:rPr>
              <w:t>Prvosňatečnost* (%)</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12FA" w:rsidRPr="00C24253" w:rsidRDefault="00D912FA" w:rsidP="00974752">
            <w:pPr>
              <w:jc w:val="center"/>
              <w:rPr>
                <w:rFonts w:cs="Arial"/>
                <w:sz w:val="16"/>
                <w:szCs w:val="16"/>
              </w:rPr>
            </w:pPr>
            <w:r w:rsidRPr="00C24253">
              <w:rPr>
                <w:rFonts w:cs="Arial"/>
                <w:sz w:val="16"/>
                <w:szCs w:val="16"/>
              </w:rPr>
              <w:t>Průměrný věk při</w:t>
            </w:r>
          </w:p>
          <w:p w:rsidR="00D912FA" w:rsidRPr="00C24253" w:rsidRDefault="00D912FA" w:rsidP="00974752">
            <w:pPr>
              <w:jc w:val="center"/>
              <w:rPr>
                <w:rFonts w:cs="Arial"/>
                <w:sz w:val="16"/>
                <w:szCs w:val="16"/>
              </w:rPr>
            </w:pPr>
            <w:r w:rsidRPr="00C24253">
              <w:rPr>
                <w:rFonts w:cs="Arial"/>
                <w:sz w:val="16"/>
                <w:szCs w:val="16"/>
              </w:rPr>
              <w:t>1. sňatku</w:t>
            </w:r>
          </w:p>
        </w:tc>
        <w:tc>
          <w:tcPr>
            <w:tcW w:w="1000" w:type="pct"/>
            <w:gridSpan w:val="2"/>
            <w:tcBorders>
              <w:top w:val="single" w:sz="4" w:space="0" w:color="auto"/>
              <w:left w:val="single" w:sz="4" w:space="0" w:color="auto"/>
              <w:bottom w:val="single" w:sz="4" w:space="0" w:color="auto"/>
            </w:tcBorders>
            <w:shd w:val="clear" w:color="auto" w:fill="auto"/>
            <w:vAlign w:val="center"/>
            <w:hideMark/>
          </w:tcPr>
          <w:p w:rsidR="00D912FA" w:rsidRPr="00C24253" w:rsidRDefault="00D912FA" w:rsidP="00974752">
            <w:pPr>
              <w:jc w:val="center"/>
              <w:rPr>
                <w:rFonts w:cs="Arial"/>
                <w:sz w:val="16"/>
                <w:szCs w:val="16"/>
              </w:rPr>
            </w:pPr>
            <w:r w:rsidRPr="00C24253">
              <w:rPr>
                <w:rFonts w:cs="Arial"/>
                <w:sz w:val="16"/>
                <w:szCs w:val="16"/>
              </w:rPr>
              <w:t xml:space="preserve">Sňatečnost </w:t>
            </w:r>
          </w:p>
          <w:p w:rsidR="00D912FA" w:rsidRPr="00C24253" w:rsidRDefault="00D912FA" w:rsidP="00974752">
            <w:pPr>
              <w:jc w:val="center"/>
              <w:rPr>
                <w:rFonts w:cs="Arial"/>
                <w:sz w:val="16"/>
                <w:szCs w:val="16"/>
              </w:rPr>
            </w:pPr>
            <w:r w:rsidRPr="00C24253">
              <w:rPr>
                <w:rFonts w:cs="Arial"/>
                <w:sz w:val="16"/>
                <w:szCs w:val="16"/>
              </w:rPr>
              <w:t>rozvedených (%)</w:t>
            </w:r>
          </w:p>
        </w:tc>
      </w:tr>
      <w:tr w:rsidR="00D912FA" w:rsidRPr="00C24253" w:rsidTr="00974752">
        <w:trPr>
          <w:trHeight w:val="340"/>
        </w:trPr>
        <w:tc>
          <w:tcPr>
            <w:tcW w:w="500" w:type="pct"/>
            <w:vMerge/>
            <w:tcBorders>
              <w:bottom w:val="single" w:sz="4" w:space="0" w:color="auto"/>
              <w:right w:val="single" w:sz="4" w:space="0" w:color="auto"/>
            </w:tcBorders>
            <w:shd w:val="clear" w:color="auto" w:fill="auto"/>
            <w:noWrap/>
            <w:vAlign w:val="center"/>
            <w:hideMark/>
          </w:tcPr>
          <w:p w:rsidR="00D912FA" w:rsidRPr="00C24253" w:rsidRDefault="00D912FA" w:rsidP="00974752">
            <w:pPr>
              <w:jc w:val="center"/>
              <w:rPr>
                <w:rFonts w:cs="Arial"/>
                <w:sz w:val="16"/>
                <w:szCs w:val="16"/>
              </w:rPr>
            </w:pPr>
          </w:p>
        </w:tc>
        <w:tc>
          <w:tcPr>
            <w:tcW w:w="500" w:type="pct"/>
            <w:vMerge/>
            <w:tcBorders>
              <w:left w:val="single" w:sz="4" w:space="0" w:color="auto"/>
              <w:bottom w:val="single" w:sz="4" w:space="0" w:color="auto"/>
              <w:right w:val="single" w:sz="4" w:space="0" w:color="auto"/>
            </w:tcBorders>
            <w:shd w:val="clear" w:color="auto" w:fill="auto"/>
            <w:noWrap/>
            <w:vAlign w:val="center"/>
            <w:hideMark/>
          </w:tcPr>
          <w:p w:rsidR="00D912FA" w:rsidRPr="00C24253" w:rsidRDefault="00D912FA" w:rsidP="00974752">
            <w:pPr>
              <w:jc w:val="center"/>
              <w:rPr>
                <w:rFonts w:cs="Arial"/>
                <w:sz w:val="16"/>
                <w:szCs w:val="16"/>
              </w:rPr>
            </w:pP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muž</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žena</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muži</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ženy</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muži</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ženy</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muž</w:t>
            </w:r>
          </w:p>
        </w:tc>
        <w:tc>
          <w:tcPr>
            <w:tcW w:w="500" w:type="pct"/>
            <w:tcBorders>
              <w:top w:val="single" w:sz="4" w:space="0" w:color="auto"/>
              <w:left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žena</w:t>
            </w:r>
          </w:p>
        </w:tc>
      </w:tr>
      <w:tr w:rsidR="00D912FA" w:rsidRPr="00C24253" w:rsidTr="00974752">
        <w:trPr>
          <w:trHeight w:val="340"/>
        </w:trPr>
        <w:tc>
          <w:tcPr>
            <w:tcW w:w="500" w:type="pct"/>
            <w:tcBorders>
              <w:top w:val="single" w:sz="4" w:space="0" w:color="auto"/>
              <w:right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1991</w:t>
            </w:r>
          </w:p>
        </w:tc>
        <w:tc>
          <w:tcPr>
            <w:tcW w:w="500" w:type="pct"/>
            <w:tcBorders>
              <w:top w:val="single" w:sz="4" w:space="0" w:color="auto"/>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71 973</w:t>
            </w:r>
          </w:p>
        </w:tc>
        <w:tc>
          <w:tcPr>
            <w:tcW w:w="500" w:type="pct"/>
            <w:tcBorders>
              <w:top w:val="single" w:sz="4" w:space="0" w:color="auto"/>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77,1</w:t>
            </w:r>
          </w:p>
        </w:tc>
        <w:tc>
          <w:tcPr>
            <w:tcW w:w="500" w:type="pct"/>
            <w:tcBorders>
              <w:top w:val="single" w:sz="4" w:space="0" w:color="auto"/>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77,5</w:t>
            </w:r>
          </w:p>
        </w:tc>
        <w:tc>
          <w:tcPr>
            <w:tcW w:w="500" w:type="pct"/>
            <w:tcBorders>
              <w:top w:val="single" w:sz="4" w:space="0" w:color="auto"/>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84,4</w:t>
            </w:r>
          </w:p>
        </w:tc>
        <w:tc>
          <w:tcPr>
            <w:tcW w:w="500" w:type="pct"/>
            <w:tcBorders>
              <w:top w:val="single" w:sz="4" w:space="0" w:color="auto"/>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91,2</w:t>
            </w:r>
          </w:p>
        </w:tc>
        <w:tc>
          <w:tcPr>
            <w:tcW w:w="500" w:type="pct"/>
            <w:tcBorders>
              <w:top w:val="single" w:sz="4" w:space="0" w:color="auto"/>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24,7</w:t>
            </w:r>
          </w:p>
        </w:tc>
        <w:tc>
          <w:tcPr>
            <w:tcW w:w="500" w:type="pct"/>
            <w:tcBorders>
              <w:top w:val="single" w:sz="4" w:space="0" w:color="auto"/>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22,3</w:t>
            </w:r>
          </w:p>
        </w:tc>
        <w:tc>
          <w:tcPr>
            <w:tcW w:w="500" w:type="pct"/>
            <w:tcBorders>
              <w:top w:val="single" w:sz="4" w:space="0" w:color="auto"/>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51,2</w:t>
            </w:r>
          </w:p>
        </w:tc>
        <w:tc>
          <w:tcPr>
            <w:tcW w:w="500" w:type="pct"/>
            <w:tcBorders>
              <w:top w:val="single" w:sz="4" w:space="0" w:color="auto"/>
              <w:lef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51,2</w:t>
            </w:r>
          </w:p>
        </w:tc>
      </w:tr>
      <w:tr w:rsidR="00D912FA" w:rsidRPr="00C24253" w:rsidTr="00974752">
        <w:trPr>
          <w:trHeight w:val="340"/>
        </w:trPr>
        <w:tc>
          <w:tcPr>
            <w:tcW w:w="500" w:type="pct"/>
            <w:tcBorders>
              <w:right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1995</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54 956</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75,5</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75,8</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73,2</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79,9</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26,7</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24,6</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42,1</w:t>
            </w:r>
          </w:p>
        </w:tc>
        <w:tc>
          <w:tcPr>
            <w:tcW w:w="500" w:type="pct"/>
            <w:tcBorders>
              <w:lef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41,6</w:t>
            </w:r>
          </w:p>
        </w:tc>
      </w:tr>
      <w:tr w:rsidR="00D912FA" w:rsidRPr="00C24253" w:rsidTr="00974752">
        <w:trPr>
          <w:trHeight w:val="340"/>
        </w:trPr>
        <w:tc>
          <w:tcPr>
            <w:tcW w:w="500" w:type="pct"/>
            <w:tcBorders>
              <w:right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2001</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52 374</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74,2</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74,9</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66,0</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72,5</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29,3</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26,9</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43,2</w:t>
            </w:r>
          </w:p>
        </w:tc>
        <w:tc>
          <w:tcPr>
            <w:tcW w:w="500" w:type="pct"/>
            <w:tcBorders>
              <w:lef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41,8</w:t>
            </w:r>
          </w:p>
        </w:tc>
      </w:tr>
      <w:tr w:rsidR="00D912FA" w:rsidRPr="00C24253" w:rsidTr="00974752">
        <w:trPr>
          <w:trHeight w:val="340"/>
        </w:trPr>
        <w:tc>
          <w:tcPr>
            <w:tcW w:w="500" w:type="pct"/>
            <w:tcBorders>
              <w:right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2002</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52 732</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74,0</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74,6</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66,2</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72,4</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29,7</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27,3</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43,4</w:t>
            </w:r>
          </w:p>
        </w:tc>
        <w:tc>
          <w:tcPr>
            <w:tcW w:w="500" w:type="pct"/>
            <w:tcBorders>
              <w:lef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42,2</w:t>
            </w:r>
          </w:p>
        </w:tc>
      </w:tr>
      <w:tr w:rsidR="00D912FA" w:rsidRPr="00C24253" w:rsidTr="00974752">
        <w:trPr>
          <w:trHeight w:val="340"/>
        </w:trPr>
        <w:tc>
          <w:tcPr>
            <w:tcW w:w="500" w:type="pct"/>
            <w:tcBorders>
              <w:right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2003</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48 943</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73,6</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74,3</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62,5</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68,7</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30,3</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27,7</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40,4</w:t>
            </w:r>
          </w:p>
        </w:tc>
        <w:tc>
          <w:tcPr>
            <w:tcW w:w="500" w:type="pct"/>
            <w:tcBorders>
              <w:lef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39,1</w:t>
            </w:r>
          </w:p>
        </w:tc>
      </w:tr>
      <w:tr w:rsidR="00D912FA" w:rsidRPr="00C24253" w:rsidTr="00974752">
        <w:trPr>
          <w:trHeight w:val="340"/>
        </w:trPr>
        <w:tc>
          <w:tcPr>
            <w:tcW w:w="500" w:type="pct"/>
            <w:tcBorders>
              <w:right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2004</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51 447</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73,7</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74,1</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63,6</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69,8</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30,5</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28,0</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41,8</w:t>
            </w:r>
          </w:p>
        </w:tc>
        <w:tc>
          <w:tcPr>
            <w:tcW w:w="500" w:type="pct"/>
            <w:tcBorders>
              <w:lef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40,8</w:t>
            </w:r>
          </w:p>
        </w:tc>
      </w:tr>
      <w:tr w:rsidR="00D912FA" w:rsidRPr="00C24253" w:rsidTr="00974752">
        <w:trPr>
          <w:trHeight w:val="340"/>
        </w:trPr>
        <w:tc>
          <w:tcPr>
            <w:tcW w:w="500" w:type="pct"/>
            <w:tcBorders>
              <w:right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2005</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51 829</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74,0</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74,5</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62,8</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69,1</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30,8</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28,1</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41,7</w:t>
            </w:r>
          </w:p>
        </w:tc>
        <w:tc>
          <w:tcPr>
            <w:tcW w:w="500" w:type="pct"/>
            <w:tcBorders>
              <w:lef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40,7</w:t>
            </w:r>
          </w:p>
        </w:tc>
      </w:tr>
      <w:tr w:rsidR="00D912FA" w:rsidRPr="00C24253" w:rsidTr="00974752">
        <w:trPr>
          <w:trHeight w:val="340"/>
        </w:trPr>
        <w:tc>
          <w:tcPr>
            <w:tcW w:w="500" w:type="pct"/>
            <w:tcBorders>
              <w:right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2006</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52 860</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74,1</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74,9</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62,9</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69,7</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31,0</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28,4</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42,5</w:t>
            </w:r>
          </w:p>
        </w:tc>
        <w:tc>
          <w:tcPr>
            <w:tcW w:w="500" w:type="pct"/>
            <w:tcBorders>
              <w:lef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40,9</w:t>
            </w:r>
          </w:p>
        </w:tc>
      </w:tr>
      <w:tr w:rsidR="00D912FA" w:rsidRPr="00C24253" w:rsidTr="00974752">
        <w:trPr>
          <w:trHeight w:val="340"/>
        </w:trPr>
        <w:tc>
          <w:tcPr>
            <w:tcW w:w="500" w:type="pct"/>
            <w:tcBorders>
              <w:right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2007</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57 157</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73,0</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73,5</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64,5</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71,1</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31,2</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28,6</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47,9</w:t>
            </w:r>
          </w:p>
        </w:tc>
        <w:tc>
          <w:tcPr>
            <w:tcW w:w="500" w:type="pct"/>
            <w:tcBorders>
              <w:lef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46,6</w:t>
            </w:r>
          </w:p>
        </w:tc>
      </w:tr>
      <w:tr w:rsidR="00D912FA" w:rsidRPr="00C24253" w:rsidTr="00974752">
        <w:trPr>
          <w:trHeight w:val="340"/>
        </w:trPr>
        <w:tc>
          <w:tcPr>
            <w:tcW w:w="500" w:type="pct"/>
            <w:tcBorders>
              <w:right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2008</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52 457</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72,5</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72,7</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59,6</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66,1</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31,4</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28,8</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44,5</w:t>
            </w:r>
          </w:p>
        </w:tc>
        <w:tc>
          <w:tcPr>
            <w:tcW w:w="500" w:type="pct"/>
            <w:tcBorders>
              <w:lef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44,0</w:t>
            </w:r>
          </w:p>
        </w:tc>
      </w:tr>
      <w:tr w:rsidR="00D912FA" w:rsidRPr="00C24253" w:rsidTr="00974752">
        <w:trPr>
          <w:trHeight w:val="340"/>
        </w:trPr>
        <w:tc>
          <w:tcPr>
            <w:tcW w:w="500" w:type="pct"/>
            <w:tcBorders>
              <w:right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2009</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47 862</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72,8</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73,6</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56,1</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62,7</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32,0</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29,2</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40,4</w:t>
            </w:r>
          </w:p>
        </w:tc>
        <w:tc>
          <w:tcPr>
            <w:tcW w:w="500" w:type="pct"/>
            <w:tcBorders>
              <w:lef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38,9</w:t>
            </w:r>
          </w:p>
        </w:tc>
      </w:tr>
      <w:tr w:rsidR="00D912FA" w:rsidRPr="00C24253" w:rsidTr="00974752">
        <w:trPr>
          <w:trHeight w:val="340"/>
        </w:trPr>
        <w:tc>
          <w:tcPr>
            <w:tcW w:w="500" w:type="pct"/>
            <w:tcBorders>
              <w:right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2010</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46 746</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73,6</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74,3</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54,9</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61,6</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32,2</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29,4</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38,4</w:t>
            </w:r>
          </w:p>
        </w:tc>
        <w:tc>
          <w:tcPr>
            <w:tcW w:w="500" w:type="pct"/>
            <w:tcBorders>
              <w:lef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37,2</w:t>
            </w:r>
          </w:p>
        </w:tc>
      </w:tr>
      <w:tr w:rsidR="00D912FA" w:rsidRPr="00C24253" w:rsidTr="00974752">
        <w:trPr>
          <w:trHeight w:val="340"/>
        </w:trPr>
        <w:tc>
          <w:tcPr>
            <w:tcW w:w="500" w:type="pct"/>
            <w:tcBorders>
              <w:right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2011</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45 137</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73,9</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74,1</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53,5</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61,0</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32,2</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29,6</w:t>
            </w:r>
          </w:p>
        </w:tc>
        <w:tc>
          <w:tcPr>
            <w:tcW w:w="500" w:type="pct"/>
            <w:tcBorders>
              <w:left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36,9</w:t>
            </w:r>
          </w:p>
        </w:tc>
        <w:tc>
          <w:tcPr>
            <w:tcW w:w="500" w:type="pct"/>
            <w:tcBorders>
              <w:lef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36,6</w:t>
            </w:r>
          </w:p>
        </w:tc>
      </w:tr>
      <w:tr w:rsidR="00D912FA" w:rsidRPr="00C24253" w:rsidTr="00974752">
        <w:trPr>
          <w:trHeight w:val="340"/>
        </w:trPr>
        <w:tc>
          <w:tcPr>
            <w:tcW w:w="500" w:type="pct"/>
            <w:tcBorders>
              <w:right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2012</w:t>
            </w:r>
          </w:p>
        </w:tc>
        <w:tc>
          <w:tcPr>
            <w:tcW w:w="500" w:type="pct"/>
            <w:tcBorders>
              <w:left w:val="single" w:sz="4" w:space="0" w:color="auto"/>
              <w:bottom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45 206</w:t>
            </w:r>
          </w:p>
        </w:tc>
        <w:tc>
          <w:tcPr>
            <w:tcW w:w="500" w:type="pct"/>
            <w:tcBorders>
              <w:left w:val="single" w:sz="4" w:space="0" w:color="auto"/>
              <w:bottom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74,8</w:t>
            </w:r>
          </w:p>
        </w:tc>
        <w:tc>
          <w:tcPr>
            <w:tcW w:w="500" w:type="pct"/>
            <w:tcBorders>
              <w:left w:val="single" w:sz="4" w:space="0" w:color="auto"/>
              <w:bottom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75,6</w:t>
            </w:r>
          </w:p>
        </w:tc>
        <w:tc>
          <w:tcPr>
            <w:tcW w:w="500" w:type="pct"/>
            <w:tcBorders>
              <w:left w:val="single" w:sz="4" w:space="0" w:color="auto"/>
              <w:bottom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53,2</w:t>
            </w:r>
          </w:p>
        </w:tc>
        <w:tc>
          <w:tcPr>
            <w:tcW w:w="500" w:type="pct"/>
            <w:tcBorders>
              <w:left w:val="single" w:sz="4" w:space="0" w:color="auto"/>
              <w:bottom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60,6</w:t>
            </w:r>
          </w:p>
        </w:tc>
        <w:tc>
          <w:tcPr>
            <w:tcW w:w="500" w:type="pct"/>
            <w:tcBorders>
              <w:left w:val="single" w:sz="4" w:space="0" w:color="auto"/>
              <w:bottom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32,3</w:t>
            </w:r>
          </w:p>
        </w:tc>
        <w:tc>
          <w:tcPr>
            <w:tcW w:w="500" w:type="pct"/>
            <w:tcBorders>
              <w:left w:val="single" w:sz="4" w:space="0" w:color="auto"/>
              <w:bottom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29,6</w:t>
            </w:r>
          </w:p>
        </w:tc>
        <w:tc>
          <w:tcPr>
            <w:tcW w:w="500" w:type="pct"/>
            <w:tcBorders>
              <w:left w:val="single" w:sz="4" w:space="0" w:color="auto"/>
              <w:bottom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36,4</w:t>
            </w:r>
          </w:p>
        </w:tc>
        <w:tc>
          <w:tcPr>
            <w:tcW w:w="500" w:type="pct"/>
            <w:tcBorders>
              <w:left w:val="single" w:sz="4" w:space="0" w:color="auto"/>
              <w:bottom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34,9</w:t>
            </w:r>
          </w:p>
        </w:tc>
      </w:tr>
    </w:tbl>
    <w:p w:rsidR="00D912FA" w:rsidRPr="00C24253" w:rsidRDefault="00D912FA" w:rsidP="00D912FA">
      <w:pPr>
        <w:autoSpaceDE w:val="0"/>
        <w:autoSpaceDN w:val="0"/>
        <w:adjustRightInd w:val="0"/>
        <w:spacing w:before="100"/>
        <w:rPr>
          <w:rFonts w:cs="Arial"/>
          <w:i/>
          <w:sz w:val="16"/>
          <w:szCs w:val="16"/>
        </w:rPr>
      </w:pPr>
      <w:r w:rsidRPr="00C24253">
        <w:rPr>
          <w:rFonts w:cs="Arial"/>
          <w:i/>
          <w:sz w:val="16"/>
          <w:szCs w:val="16"/>
        </w:rPr>
        <w:t>*Podíl osob, které před dovršením věku 50 let uzavřou alespoň jeden sňatek (údaj z tabulek sňatečnosti svobodných).</w:t>
      </w:r>
    </w:p>
    <w:p w:rsidR="00D912FA" w:rsidRPr="00C24253" w:rsidRDefault="00D912FA" w:rsidP="00D912FA">
      <w:pPr>
        <w:autoSpaceDE w:val="0"/>
        <w:autoSpaceDN w:val="0"/>
        <w:adjustRightInd w:val="0"/>
        <w:spacing w:before="360" w:after="120"/>
        <w:rPr>
          <w:rFonts w:cs="Arial"/>
          <w:sz w:val="20"/>
          <w:szCs w:val="20"/>
        </w:rPr>
      </w:pPr>
      <w:r w:rsidRPr="00C24253">
        <w:rPr>
          <w:rFonts w:cs="Arial"/>
          <w:sz w:val="20"/>
          <w:szCs w:val="20"/>
        </w:rPr>
        <w:t>Hlavní příčinou výrazného poklesu úrovně sňatečnosti v České republice od devadesátých let minulého st</w:t>
      </w:r>
      <w:r w:rsidRPr="00C24253">
        <w:rPr>
          <w:rFonts w:cs="Arial"/>
          <w:sz w:val="20"/>
          <w:szCs w:val="20"/>
        </w:rPr>
        <w:t>o</w:t>
      </w:r>
      <w:r w:rsidRPr="00C24253">
        <w:rPr>
          <w:rFonts w:cs="Arial"/>
          <w:sz w:val="20"/>
          <w:szCs w:val="20"/>
        </w:rPr>
        <w:t xml:space="preserve">letí bylo snížení celkové intenzity sňatečnosti svobodných. </w:t>
      </w:r>
    </w:p>
    <w:p w:rsidR="00D912FA" w:rsidRPr="00C24253" w:rsidRDefault="00D912FA" w:rsidP="00D912FA">
      <w:pPr>
        <w:autoSpaceDE w:val="0"/>
        <w:autoSpaceDN w:val="0"/>
        <w:adjustRightInd w:val="0"/>
        <w:spacing w:after="120"/>
        <w:rPr>
          <w:rFonts w:cs="Arial"/>
          <w:sz w:val="20"/>
          <w:szCs w:val="20"/>
        </w:rPr>
      </w:pPr>
      <w:r w:rsidRPr="00C24253">
        <w:rPr>
          <w:rFonts w:cs="Arial"/>
          <w:sz w:val="20"/>
          <w:szCs w:val="20"/>
        </w:rPr>
        <w:lastRenderedPageBreak/>
        <w:t>Podíl mužů a žen uzavírajících svůj první sňatek do věku 50 let (tzv. prvosňatečnost) se zmenšil o více než třetinu a při zachování současné úrovně sňatečnosti svobodných by tak do věku 50 let uzavřelo alespoň jeden sňatek pouze 53 % mužů a 61 % žen, zatímco na počátku 90. let to bylo 85, resp. 92 %</w:t>
      </w:r>
      <w:r w:rsidRPr="00C24253">
        <w:rPr>
          <w:rStyle w:val="Znakapoznpodarou"/>
          <w:rFonts w:cs="Arial"/>
          <w:sz w:val="20"/>
          <w:szCs w:val="20"/>
        </w:rPr>
        <w:footnoteReference w:id="1"/>
      </w:r>
      <w:r w:rsidRPr="00C24253">
        <w:rPr>
          <w:rFonts w:cs="Arial"/>
          <w:sz w:val="20"/>
          <w:szCs w:val="20"/>
        </w:rPr>
        <w:t xml:space="preserve">. </w:t>
      </w:r>
    </w:p>
    <w:p w:rsidR="00D912FA" w:rsidRPr="00C24253" w:rsidRDefault="00D912FA" w:rsidP="00D912FA">
      <w:pPr>
        <w:autoSpaceDE w:val="0"/>
        <w:autoSpaceDN w:val="0"/>
        <w:adjustRightInd w:val="0"/>
        <w:spacing w:after="120"/>
        <w:rPr>
          <w:rFonts w:cs="Arial"/>
          <w:sz w:val="20"/>
          <w:szCs w:val="20"/>
        </w:rPr>
      </w:pPr>
      <w:r w:rsidRPr="00C24253">
        <w:rPr>
          <w:rFonts w:cs="Arial"/>
          <w:sz w:val="20"/>
          <w:szCs w:val="20"/>
        </w:rPr>
        <w:t>V důsledku posunu uzavírání manželství do pozdějšího věku nejvíce poklesla sňatečnost ve věku do 25 let. Od druhé poloviny devadesátých let se sice mírně zvyšovala sňatečnost mužů starších třicet let a žen již od věku těsně před třicítkou, snížení v mladším věku to ale nevyrovnalo. Po roce 2007 se navíc sňatečnost starších v celkovém trendu opět snižovala, popř. stagnovala. Kromě toho, že se věk maximální sňatečnosti svobodných přesunul do vyššího věku, a to z 19-21 let u žen a 22-24 roků u mužů v roce 1991 na 27-29, resp. 29-31 let v roce 2012, výrazně poklesly i samotné hodnoty nejvyšší sňatečnosti vyjádřené pravděp</w:t>
      </w:r>
      <w:r w:rsidRPr="00C24253">
        <w:rPr>
          <w:rFonts w:cs="Arial"/>
          <w:sz w:val="20"/>
          <w:szCs w:val="20"/>
        </w:rPr>
        <w:t>o</w:t>
      </w:r>
      <w:r w:rsidRPr="00C24253">
        <w:rPr>
          <w:rFonts w:cs="Arial"/>
          <w:sz w:val="20"/>
          <w:szCs w:val="20"/>
        </w:rPr>
        <w:t>dobností uzavření sňatku (na méně než 40 % hodnot z roku 1991).</w:t>
      </w:r>
    </w:p>
    <w:p w:rsidR="00D912FA" w:rsidRPr="00C24253" w:rsidRDefault="00D912FA" w:rsidP="00D912FA">
      <w:pPr>
        <w:autoSpaceDE w:val="0"/>
        <w:autoSpaceDN w:val="0"/>
        <w:adjustRightInd w:val="0"/>
        <w:spacing w:after="240"/>
        <w:rPr>
          <w:rFonts w:cs="Arial"/>
          <w:sz w:val="20"/>
          <w:szCs w:val="20"/>
        </w:rPr>
      </w:pPr>
      <w:r w:rsidRPr="00C24253">
        <w:rPr>
          <w:rFonts w:cs="Arial"/>
          <w:sz w:val="20"/>
          <w:szCs w:val="20"/>
        </w:rPr>
        <w:t>Tyto změny ve vývoji sňatečnosti svobodných podle věku se projevily výrazným, pravidelným a nepřetržitým růstem průměrného věku při vstupu do prvního manželství, který se v případě mužů mezi roky 1991 a 2012 zvýšil o 7,6 roku na 32,3, u žen o 7,3 roku na 29,6 roku.</w:t>
      </w:r>
    </w:p>
    <w:p w:rsidR="00D912FA" w:rsidRPr="00C24253" w:rsidRDefault="00517FA8" w:rsidP="00D912FA">
      <w:pPr>
        <w:autoSpaceDE w:val="0"/>
        <w:autoSpaceDN w:val="0"/>
        <w:adjustRightInd w:val="0"/>
        <w:spacing w:after="120"/>
        <w:rPr>
          <w:rFonts w:cs="Arial"/>
          <w:sz w:val="20"/>
          <w:szCs w:val="20"/>
        </w:rPr>
      </w:pPr>
      <w:r w:rsidRPr="00517FA8">
        <w:rPr>
          <w:noProof/>
        </w:rPr>
        <w:pict>
          <v:shape id="obrázek 52" o:spid="_x0000_s1652" type="#_x0000_t75" style="position:absolute;left:0;text-align:left;margin-left:0;margin-top:0;width:444.75pt;height:279.7pt;z-index:251656704;visibility:visible;mso-wrap-distance-bottom:2.85pt;mso-position-horizontal:center">
            <v:imagedata r:id="rId12" o:title=""/>
            <w10:wrap type="topAndBottom"/>
          </v:shape>
        </w:pict>
      </w:r>
      <w:r w:rsidR="00D912FA" w:rsidRPr="00C24253">
        <w:rPr>
          <w:rFonts w:cs="Arial"/>
          <w:sz w:val="20"/>
          <w:szCs w:val="20"/>
        </w:rPr>
        <w:t xml:space="preserve"> Zastoupení prvních sňatků mužů a žen se v čase o něco snížilo (v posledních čtyřech letech ale zase ros</w:t>
      </w:r>
      <w:r w:rsidR="00D912FA" w:rsidRPr="00C24253">
        <w:rPr>
          <w:rFonts w:cs="Arial"/>
          <w:sz w:val="20"/>
          <w:szCs w:val="20"/>
        </w:rPr>
        <w:t>t</w:t>
      </w:r>
      <w:r w:rsidR="00D912FA" w:rsidRPr="00C24253">
        <w:rPr>
          <w:rFonts w:cs="Arial"/>
          <w:sz w:val="20"/>
          <w:szCs w:val="20"/>
        </w:rPr>
        <w:t>lo), zvýšil se tak podíl druhých a dalších sňatků a tudíž i význam opakované sňatečnosti na celkové úrovni sňatečnosti. Nicméně i úroveň sňatečnosti rozvedených se po roce 1989 snížila. Zřetelně klesající trend měla v první polovině 90. let, v dalších letech její intenzita spíše stagnovala, resp. se ještě lehce snížila (v</w:t>
      </w:r>
      <w:r w:rsidR="00D912FA" w:rsidRPr="00C24253">
        <w:rPr>
          <w:rFonts w:cs="Arial"/>
          <w:sz w:val="20"/>
          <w:szCs w:val="20"/>
        </w:rPr>
        <w:t>ý</w:t>
      </w:r>
      <w:r w:rsidR="00D912FA" w:rsidRPr="00C24253">
        <w:rPr>
          <w:rFonts w:cs="Arial"/>
          <w:sz w:val="20"/>
          <w:szCs w:val="20"/>
        </w:rPr>
        <w:t xml:space="preserve">raznější výkyv ve smyslu zvýšení nastal v roce 1997 a 2007). </w:t>
      </w:r>
    </w:p>
    <w:p w:rsidR="00D912FA" w:rsidRPr="00C24253" w:rsidRDefault="00D912FA" w:rsidP="00D912FA">
      <w:pPr>
        <w:autoSpaceDE w:val="0"/>
        <w:autoSpaceDN w:val="0"/>
        <w:adjustRightInd w:val="0"/>
        <w:spacing w:before="120" w:after="120"/>
        <w:rPr>
          <w:rFonts w:cs="Arial"/>
          <w:sz w:val="20"/>
          <w:szCs w:val="20"/>
        </w:rPr>
      </w:pPr>
      <w:r w:rsidRPr="00C24253">
        <w:rPr>
          <w:rFonts w:cs="Arial"/>
          <w:sz w:val="20"/>
          <w:szCs w:val="20"/>
        </w:rPr>
        <w:t xml:space="preserve">Před 20 lety další sňatek uzavírala více než polovina rozvedených mužů a žen, v letech 2010-2012 to nebylo ani čtyřicet procent. </w:t>
      </w:r>
    </w:p>
    <w:p w:rsidR="00D912FA" w:rsidRPr="00C24253" w:rsidRDefault="00D912FA" w:rsidP="00D912FA">
      <w:pPr>
        <w:autoSpaceDE w:val="0"/>
        <w:autoSpaceDN w:val="0"/>
        <w:adjustRightInd w:val="0"/>
        <w:spacing w:before="120" w:after="120"/>
        <w:rPr>
          <w:rFonts w:cs="Arial"/>
          <w:sz w:val="20"/>
          <w:szCs w:val="20"/>
        </w:rPr>
      </w:pPr>
      <w:r w:rsidRPr="00C24253">
        <w:rPr>
          <w:rFonts w:cs="Arial"/>
          <w:sz w:val="20"/>
          <w:szCs w:val="20"/>
        </w:rPr>
        <w:t xml:space="preserve">Úroveň sňatečnosti rozvedených se snížila i přes zvyšující se podíl těchto osob v populaci. Neznamená to ale, že všichni tito lidé nežijí v partnerských soužitích. Nesezdaná soužití jsou právě v této kategorii častá (podle sčítání 1991 a 2001 dokonce nejčastější) a výsledky posledních tří sčítání ukázaly v mezidobí jejich nárůst. </w:t>
      </w:r>
    </w:p>
    <w:p w:rsidR="00D912FA" w:rsidRPr="00C24253" w:rsidRDefault="00D912FA" w:rsidP="00D912FA">
      <w:pPr>
        <w:autoSpaceDE w:val="0"/>
        <w:autoSpaceDN w:val="0"/>
        <w:adjustRightInd w:val="0"/>
        <w:spacing w:before="120" w:after="360"/>
        <w:rPr>
          <w:rFonts w:ascii="Calibri" w:eastAsia="Calibri" w:hAnsi="Calibri"/>
          <w:szCs w:val="20"/>
        </w:rPr>
      </w:pPr>
      <w:r w:rsidRPr="00C24253">
        <w:rPr>
          <w:rFonts w:cs="Arial"/>
          <w:sz w:val="20"/>
          <w:szCs w:val="20"/>
        </w:rPr>
        <w:t xml:space="preserve">Intenzita opakovaného vstupu do manželství je mírně vyšší u mužů, u obou pohlaví ale platí, že její úroveň klesá s prodlužující se dobou od rozvodu, i když na začátku druhé dekády 21. století už ne tak rychle jako dříve, neboť nejvíce se snížila právě úroveň sňatečnosti rozvedených krátce od rozvodu. Naopak opakovaná sňatečnost po pěti a více letech od rozvodu se dále mírně zvýšila. Prodlužoval se tak průměrný interval mezi rozvodem a dalším sňatkem, který je již okolo 8 let, což je přibližně o 3,5 roku více než na počátku 90. let. </w:t>
      </w:r>
    </w:p>
    <w:p w:rsidR="00D912FA" w:rsidRPr="00C24253" w:rsidRDefault="00D912FA" w:rsidP="004B4F8D">
      <w:pPr>
        <w:pStyle w:val="31"/>
        <w:numPr>
          <w:ilvl w:val="1"/>
          <w:numId w:val="47"/>
        </w:numPr>
        <w:ind w:left="567" w:hanging="567"/>
      </w:pPr>
      <w:r w:rsidRPr="00C24253">
        <w:lastRenderedPageBreak/>
        <w:t>Rozvodovost</w:t>
      </w:r>
    </w:p>
    <w:p w:rsidR="00D912FA" w:rsidRPr="00C24253" w:rsidRDefault="00D912FA" w:rsidP="00D912FA">
      <w:pPr>
        <w:spacing w:after="120"/>
        <w:rPr>
          <w:rFonts w:cs="Arial"/>
          <w:sz w:val="20"/>
          <w:szCs w:val="20"/>
        </w:rPr>
      </w:pPr>
      <w:r w:rsidRPr="00C24253">
        <w:rPr>
          <w:rFonts w:eastAsia="Calibri" w:cs="Arial"/>
          <w:sz w:val="20"/>
          <w:szCs w:val="20"/>
        </w:rPr>
        <w:t>Na rozdíl od většiny ostatních demografických procesů se intenzita rozvodovosti v České republice výrazně</w:t>
      </w:r>
      <w:r w:rsidRPr="00C24253">
        <w:rPr>
          <w:rFonts w:cs="Arial"/>
          <w:sz w:val="20"/>
          <w:szCs w:val="20"/>
        </w:rPr>
        <w:t>ji</w:t>
      </w:r>
      <w:r w:rsidRPr="00C24253">
        <w:rPr>
          <w:rFonts w:eastAsia="Calibri" w:cs="Arial"/>
          <w:sz w:val="20"/>
          <w:szCs w:val="20"/>
        </w:rPr>
        <w:t xml:space="preserve"> ne</w:t>
      </w:r>
      <w:r w:rsidRPr="00C24253">
        <w:rPr>
          <w:rFonts w:cs="Arial"/>
          <w:sz w:val="20"/>
          <w:szCs w:val="20"/>
        </w:rPr>
        <w:t>m</w:t>
      </w:r>
      <w:r w:rsidRPr="00C24253">
        <w:rPr>
          <w:rFonts w:eastAsia="Calibri" w:cs="Arial"/>
          <w:sz w:val="20"/>
          <w:szCs w:val="20"/>
        </w:rPr>
        <w:t xml:space="preserve">ěnila </w:t>
      </w:r>
      <w:r w:rsidRPr="00C24253">
        <w:rPr>
          <w:rFonts w:cs="Arial"/>
          <w:sz w:val="20"/>
          <w:szCs w:val="20"/>
        </w:rPr>
        <w:t>až v posledních dvou dekádách, ale</w:t>
      </w:r>
      <w:r w:rsidRPr="00C24253">
        <w:rPr>
          <w:rFonts w:eastAsia="Calibri" w:cs="Arial"/>
          <w:sz w:val="20"/>
          <w:szCs w:val="20"/>
        </w:rPr>
        <w:t xml:space="preserve"> </w:t>
      </w:r>
      <w:r w:rsidRPr="00C24253">
        <w:rPr>
          <w:rFonts w:cs="Arial"/>
          <w:sz w:val="20"/>
          <w:szCs w:val="20"/>
        </w:rPr>
        <w:t>v</w:t>
      </w:r>
      <w:r w:rsidRPr="00C24253">
        <w:rPr>
          <w:rFonts w:eastAsia="Calibri" w:cs="Arial"/>
          <w:sz w:val="20"/>
          <w:szCs w:val="20"/>
        </w:rPr>
        <w:t xml:space="preserve">livem postupných úprav rozvodové legislativy ve </w:t>
      </w:r>
      <w:r w:rsidRPr="00522702">
        <w:rPr>
          <w:rFonts w:eastAsia="Calibri" w:cs="Arial"/>
          <w:sz w:val="20"/>
          <w:szCs w:val="20"/>
        </w:rPr>
        <w:t>směru lib</w:t>
      </w:r>
      <w:r w:rsidRPr="00522702">
        <w:rPr>
          <w:rFonts w:eastAsia="Calibri" w:cs="Arial"/>
          <w:sz w:val="20"/>
          <w:szCs w:val="20"/>
        </w:rPr>
        <w:t>e</w:t>
      </w:r>
      <w:r w:rsidRPr="00522702">
        <w:rPr>
          <w:rFonts w:eastAsia="Calibri" w:cs="Arial"/>
          <w:sz w:val="20"/>
          <w:szCs w:val="20"/>
        </w:rPr>
        <w:t xml:space="preserve">ralizace (např. zrušení principu viny při rozvodu novým </w:t>
      </w:r>
      <w:r w:rsidR="00C961EE" w:rsidRPr="00522702">
        <w:rPr>
          <w:rFonts w:eastAsia="Calibri" w:cs="Arial"/>
          <w:sz w:val="20"/>
          <w:szCs w:val="20"/>
        </w:rPr>
        <w:t>Z</w:t>
      </w:r>
      <w:r w:rsidRPr="00522702">
        <w:rPr>
          <w:rFonts w:eastAsia="Calibri" w:cs="Arial"/>
          <w:sz w:val="20"/>
          <w:szCs w:val="20"/>
        </w:rPr>
        <w:t>ákonem o rodině č. 94/1963 Sb.</w:t>
      </w:r>
      <w:r w:rsidR="00C961EE" w:rsidRPr="00522702">
        <w:rPr>
          <w:rFonts w:eastAsia="Calibri" w:cs="Arial"/>
          <w:sz w:val="20"/>
          <w:szCs w:val="20"/>
        </w:rPr>
        <w:t>,</w:t>
      </w:r>
      <w:r w:rsidRPr="00522702">
        <w:rPr>
          <w:rFonts w:eastAsia="Calibri" w:cs="Arial"/>
          <w:sz w:val="20"/>
          <w:szCs w:val="20"/>
        </w:rPr>
        <w:t xml:space="preserve"> či zrušení pře</w:t>
      </w:r>
      <w:r w:rsidRPr="00522702">
        <w:rPr>
          <w:rFonts w:eastAsia="Calibri" w:cs="Arial"/>
          <w:sz w:val="20"/>
          <w:szCs w:val="20"/>
        </w:rPr>
        <w:t>d</w:t>
      </w:r>
      <w:r w:rsidRPr="00522702">
        <w:rPr>
          <w:rFonts w:eastAsia="Calibri" w:cs="Arial"/>
          <w:sz w:val="20"/>
          <w:szCs w:val="20"/>
        </w:rPr>
        <w:t xml:space="preserve">běžného řízení o smíření manželů novelou </w:t>
      </w:r>
      <w:r w:rsidR="00522702">
        <w:rPr>
          <w:rFonts w:eastAsia="Calibri" w:cs="Arial"/>
          <w:sz w:val="20"/>
          <w:szCs w:val="20"/>
        </w:rPr>
        <w:t>O</w:t>
      </w:r>
      <w:r w:rsidRPr="00522702">
        <w:rPr>
          <w:rFonts w:eastAsia="Calibri" w:cs="Arial"/>
          <w:sz w:val="20"/>
          <w:szCs w:val="20"/>
        </w:rPr>
        <w:t>bčanského soudního řádu č. 49/1975 Sb</w:t>
      </w:r>
      <w:r w:rsidR="00522702">
        <w:rPr>
          <w:rFonts w:eastAsia="Calibri" w:cs="Arial"/>
          <w:sz w:val="20"/>
          <w:szCs w:val="20"/>
        </w:rPr>
        <w:t>.)</w:t>
      </w:r>
      <w:r w:rsidRPr="00522702">
        <w:rPr>
          <w:rFonts w:eastAsia="Calibri" w:cs="Arial"/>
          <w:sz w:val="20"/>
          <w:szCs w:val="20"/>
        </w:rPr>
        <w:t xml:space="preserve"> sekularizace spole</w:t>
      </w:r>
      <w:r w:rsidRPr="00522702">
        <w:rPr>
          <w:rFonts w:eastAsia="Calibri" w:cs="Arial"/>
          <w:sz w:val="20"/>
          <w:szCs w:val="20"/>
        </w:rPr>
        <w:t>č</w:t>
      </w:r>
      <w:r w:rsidRPr="00522702">
        <w:rPr>
          <w:rFonts w:eastAsia="Calibri" w:cs="Arial"/>
          <w:sz w:val="20"/>
          <w:szCs w:val="20"/>
        </w:rPr>
        <w:t>nosti,</w:t>
      </w:r>
      <w:r w:rsidRPr="00522702">
        <w:rPr>
          <w:rFonts w:cs="Arial"/>
          <w:sz w:val="20"/>
          <w:szCs w:val="20"/>
        </w:rPr>
        <w:t xml:space="preserve"> tolerance k rozvodům, vysoké sňatečnosti v nízkém věku, </w:t>
      </w:r>
      <w:r w:rsidRPr="00522702">
        <w:rPr>
          <w:rFonts w:eastAsia="Calibri" w:cs="Arial"/>
          <w:sz w:val="20"/>
          <w:szCs w:val="20"/>
        </w:rPr>
        <w:t>častých sňatků “vynucených</w:t>
      </w:r>
      <w:r w:rsidRPr="00C24253">
        <w:rPr>
          <w:rFonts w:eastAsia="Calibri" w:cs="Arial"/>
          <w:sz w:val="20"/>
          <w:szCs w:val="20"/>
        </w:rPr>
        <w:t xml:space="preserve">“ těhotenstvím partnerky aj., se úroveň rozvodovosti </w:t>
      </w:r>
      <w:r w:rsidRPr="00C24253">
        <w:rPr>
          <w:rFonts w:cs="Arial"/>
          <w:sz w:val="20"/>
          <w:szCs w:val="20"/>
        </w:rPr>
        <w:t xml:space="preserve">postupně </w:t>
      </w:r>
      <w:r w:rsidRPr="00C24253">
        <w:rPr>
          <w:rFonts w:eastAsia="Calibri" w:cs="Arial"/>
          <w:sz w:val="20"/>
          <w:szCs w:val="20"/>
        </w:rPr>
        <w:t xml:space="preserve">zvyšovala již v průběhu </w:t>
      </w:r>
      <w:r w:rsidRPr="00C24253">
        <w:rPr>
          <w:rFonts w:cs="Arial"/>
          <w:sz w:val="20"/>
          <w:szCs w:val="20"/>
        </w:rPr>
        <w:t>předchozích</w:t>
      </w:r>
      <w:r w:rsidRPr="00C24253">
        <w:rPr>
          <w:rFonts w:eastAsia="Calibri" w:cs="Arial"/>
          <w:sz w:val="20"/>
          <w:szCs w:val="20"/>
        </w:rPr>
        <w:t xml:space="preserve"> desetiletí. </w:t>
      </w:r>
      <w:r w:rsidRPr="00C24253">
        <w:rPr>
          <w:rFonts w:cs="Arial"/>
          <w:sz w:val="20"/>
          <w:szCs w:val="20"/>
        </w:rPr>
        <w:t>Zatímco v první polovině padesátých let dvacátého století končila rozvodem desetina manželství, v roce 1975 byla poprvé překonána h</w:t>
      </w:r>
      <w:r w:rsidRPr="00C24253">
        <w:rPr>
          <w:rFonts w:eastAsia="Calibri" w:cs="Arial"/>
          <w:sz w:val="20"/>
          <w:szCs w:val="20"/>
        </w:rPr>
        <w:t xml:space="preserve">ranice třiceti procent, </w:t>
      </w:r>
      <w:r w:rsidRPr="00C24253">
        <w:rPr>
          <w:rFonts w:ascii="Calibri" w:eastAsia="Calibri" w:hAnsi="Calibri"/>
          <w:szCs w:val="20"/>
        </w:rPr>
        <w:t xml:space="preserve">do přelomu </w:t>
      </w:r>
      <w:r w:rsidRPr="00C24253">
        <w:rPr>
          <w:rFonts w:eastAsia="Calibri" w:cs="Arial"/>
          <w:sz w:val="20"/>
          <w:szCs w:val="20"/>
        </w:rPr>
        <w:t>osmdesátých a devade</w:t>
      </w:r>
      <w:r w:rsidR="00D423B3">
        <w:rPr>
          <w:rFonts w:eastAsia="Calibri" w:cs="Arial"/>
          <w:sz w:val="20"/>
          <w:szCs w:val="20"/>
        </w:rPr>
        <w:t>sátých let se zvýšila na 37 % a </w:t>
      </w:r>
      <w:r w:rsidRPr="00C24253">
        <w:rPr>
          <w:rFonts w:eastAsia="Calibri" w:cs="Arial"/>
          <w:sz w:val="20"/>
          <w:szCs w:val="20"/>
        </w:rPr>
        <w:t xml:space="preserve">za dalších patnáct let se její úroveň vyšplhala na 49 % dosažených v roce 2004. </w:t>
      </w:r>
      <w:r w:rsidRPr="00C24253">
        <w:rPr>
          <w:rFonts w:cs="Arial"/>
          <w:sz w:val="20"/>
          <w:szCs w:val="20"/>
        </w:rPr>
        <w:t>Po roce 2005 úroveň rozvodovosti v celkovém trendu již stagnuje, od maxima v roce 2010 (50 % manželství končících rozvodem) dokonce poklesla zpět na úroveň z počátku nového tisíciletí (okolo 45 %).</w:t>
      </w:r>
    </w:p>
    <w:p w:rsidR="00D912FA" w:rsidRPr="00C24253" w:rsidRDefault="00D912FA" w:rsidP="00D912FA">
      <w:pPr>
        <w:spacing w:after="120"/>
        <w:rPr>
          <w:rFonts w:eastAsia="Calibri" w:cs="Arial"/>
          <w:sz w:val="20"/>
          <w:szCs w:val="20"/>
        </w:rPr>
      </w:pPr>
      <w:r w:rsidRPr="00C24253">
        <w:rPr>
          <w:rFonts w:eastAsia="Calibri" w:cs="Arial"/>
          <w:sz w:val="20"/>
          <w:szCs w:val="20"/>
        </w:rPr>
        <w:t>Zhruba od poloviny osmdesátých let minulého století se v České republice ročně rozvádí okolo 30 tisíc ma</w:t>
      </w:r>
      <w:r w:rsidRPr="00C24253">
        <w:rPr>
          <w:rFonts w:eastAsia="Calibri" w:cs="Arial"/>
          <w:sz w:val="20"/>
          <w:szCs w:val="20"/>
        </w:rPr>
        <w:t>n</w:t>
      </w:r>
      <w:r w:rsidRPr="00C24253">
        <w:rPr>
          <w:rFonts w:eastAsia="Calibri" w:cs="Arial"/>
          <w:sz w:val="20"/>
          <w:szCs w:val="20"/>
        </w:rPr>
        <w:t>že</w:t>
      </w:r>
      <w:r w:rsidRPr="00C24253">
        <w:rPr>
          <w:rFonts w:cs="Arial"/>
          <w:sz w:val="20"/>
          <w:szCs w:val="20"/>
        </w:rPr>
        <w:t>lství, když v posledních dvou letech (2011-2012) o něco méně, jako důsledek poklesu intenzity rozvod</w:t>
      </w:r>
      <w:r w:rsidRPr="00C24253">
        <w:rPr>
          <w:rFonts w:cs="Arial"/>
          <w:sz w:val="20"/>
          <w:szCs w:val="20"/>
        </w:rPr>
        <w:t>o</w:t>
      </w:r>
      <w:r w:rsidRPr="00C24253">
        <w:rPr>
          <w:rFonts w:cs="Arial"/>
          <w:sz w:val="20"/>
          <w:szCs w:val="20"/>
        </w:rPr>
        <w:t>vosti a nižších počtů uzavřených manželství v předchozích letech, která se na začátku druhého desetiletí nejvíce rozváděla.</w:t>
      </w:r>
      <w:r w:rsidRPr="00C24253">
        <w:rPr>
          <w:rFonts w:eastAsia="Calibri" w:cs="Arial"/>
          <w:sz w:val="20"/>
          <w:szCs w:val="20"/>
        </w:rPr>
        <w:t xml:space="preserve"> K výraznějšímu výkyvu</w:t>
      </w:r>
      <w:r w:rsidRPr="00C24253">
        <w:rPr>
          <w:rFonts w:cs="Arial"/>
          <w:sz w:val="20"/>
          <w:szCs w:val="20"/>
        </w:rPr>
        <w:t xml:space="preserve"> došlo</w:t>
      </w:r>
      <w:r w:rsidRPr="00C24253">
        <w:rPr>
          <w:rFonts w:eastAsia="Calibri" w:cs="Arial"/>
          <w:sz w:val="20"/>
          <w:szCs w:val="20"/>
        </w:rPr>
        <w:t xml:space="preserve"> </w:t>
      </w:r>
      <w:r w:rsidRPr="00C24253">
        <w:rPr>
          <w:rFonts w:cs="Arial"/>
          <w:sz w:val="20"/>
          <w:szCs w:val="20"/>
        </w:rPr>
        <w:t>v</w:t>
      </w:r>
      <w:r w:rsidRPr="00C24253">
        <w:rPr>
          <w:rFonts w:eastAsia="Calibri" w:cs="Arial"/>
          <w:sz w:val="20"/>
          <w:szCs w:val="20"/>
        </w:rPr>
        <w:t> roce 1999</w:t>
      </w:r>
      <w:r w:rsidRPr="00C24253">
        <w:rPr>
          <w:rFonts w:cs="Arial"/>
          <w:sz w:val="20"/>
          <w:szCs w:val="20"/>
        </w:rPr>
        <w:t>, kdy bylo registrováno 24 tisíc rozvodů.</w:t>
      </w:r>
      <w:r w:rsidRPr="00C24253">
        <w:rPr>
          <w:rFonts w:eastAsia="Calibri" w:cs="Arial"/>
          <w:sz w:val="20"/>
          <w:szCs w:val="20"/>
        </w:rPr>
        <w:t xml:space="preserve"> </w:t>
      </w:r>
      <w:r w:rsidRPr="00C24253">
        <w:rPr>
          <w:rFonts w:cs="Arial"/>
          <w:sz w:val="20"/>
          <w:szCs w:val="20"/>
        </w:rPr>
        <w:t>Dův</w:t>
      </w:r>
      <w:r w:rsidRPr="00C24253">
        <w:rPr>
          <w:rFonts w:cs="Arial"/>
          <w:sz w:val="20"/>
          <w:szCs w:val="20"/>
        </w:rPr>
        <w:t>o</w:t>
      </w:r>
      <w:r w:rsidRPr="00C24253">
        <w:rPr>
          <w:rFonts w:cs="Arial"/>
          <w:sz w:val="20"/>
          <w:szCs w:val="20"/>
        </w:rPr>
        <w:t>dem byla</w:t>
      </w:r>
      <w:r w:rsidRPr="00C24253">
        <w:rPr>
          <w:rFonts w:eastAsia="Calibri" w:cs="Arial"/>
          <w:sz w:val="20"/>
          <w:szCs w:val="20"/>
        </w:rPr>
        <w:t xml:space="preserve"> novelizace zákona o rodině (č. 91/1998 Sb., s platností od srpna 1998</w:t>
      </w:r>
      <w:r w:rsidR="00D423B3">
        <w:rPr>
          <w:rFonts w:eastAsia="Calibri" w:cs="Arial"/>
          <w:sz w:val="20"/>
          <w:szCs w:val="20"/>
        </w:rPr>
        <w:t>), v jejímž rámci se upravily i </w:t>
      </w:r>
      <w:r w:rsidRPr="00C24253">
        <w:rPr>
          <w:rFonts w:eastAsia="Calibri" w:cs="Arial"/>
          <w:sz w:val="20"/>
          <w:szCs w:val="20"/>
        </w:rPr>
        <w:t xml:space="preserve">podmínky rozvodu. Vliv legislativní úpravy se projevil </w:t>
      </w:r>
      <w:r w:rsidRPr="00C24253">
        <w:rPr>
          <w:rFonts w:cs="Arial"/>
          <w:sz w:val="20"/>
          <w:szCs w:val="20"/>
        </w:rPr>
        <w:t xml:space="preserve">pouze </w:t>
      </w:r>
      <w:r w:rsidRPr="00C24253">
        <w:rPr>
          <w:rFonts w:eastAsia="Calibri" w:cs="Arial"/>
          <w:sz w:val="20"/>
          <w:szCs w:val="20"/>
        </w:rPr>
        <w:t>v dočasném poklesu charakteristik rozvodovo</w:t>
      </w:r>
      <w:r w:rsidRPr="00C24253">
        <w:rPr>
          <w:rFonts w:eastAsia="Calibri" w:cs="Arial"/>
          <w:sz w:val="20"/>
          <w:szCs w:val="20"/>
        </w:rPr>
        <w:t>s</w:t>
      </w:r>
      <w:r w:rsidRPr="00C24253">
        <w:rPr>
          <w:rFonts w:eastAsia="Calibri" w:cs="Arial"/>
          <w:sz w:val="20"/>
          <w:szCs w:val="20"/>
        </w:rPr>
        <w:t xml:space="preserve">ti, hned </w:t>
      </w:r>
      <w:r w:rsidRPr="00C24253">
        <w:rPr>
          <w:rFonts w:cs="Arial"/>
          <w:sz w:val="20"/>
          <w:szCs w:val="20"/>
        </w:rPr>
        <w:t xml:space="preserve">v následujícím </w:t>
      </w:r>
      <w:r w:rsidRPr="00C24253">
        <w:rPr>
          <w:rFonts w:eastAsia="Calibri" w:cs="Arial"/>
          <w:sz w:val="20"/>
          <w:szCs w:val="20"/>
        </w:rPr>
        <w:t xml:space="preserve">roce se počet rozvodů prakticky vrátil na původní </w:t>
      </w:r>
      <w:r w:rsidR="00D423B3">
        <w:rPr>
          <w:rFonts w:eastAsia="Calibri" w:cs="Arial"/>
          <w:sz w:val="20"/>
          <w:szCs w:val="20"/>
        </w:rPr>
        <w:t>úroveň. Jednalo se tedy spíše o </w:t>
      </w:r>
      <w:r w:rsidRPr="00C24253">
        <w:rPr>
          <w:rFonts w:eastAsia="Calibri" w:cs="Arial"/>
          <w:sz w:val="20"/>
          <w:szCs w:val="20"/>
        </w:rPr>
        <w:t>pozdržení rozvodů v důsledku zkomplikování a prodloužení doby vyřízení již podaných žádostí, zejména v případě rozvodů manželství s nezletilými dětmi (snížení počtu rozvodů v roce 1999, bylo způsobeno zejména poklesem rozvodů manželství s nezletilými dětmi)</w:t>
      </w:r>
      <w:r w:rsidRPr="00C24253">
        <w:rPr>
          <w:rFonts w:cs="Arial"/>
          <w:sz w:val="20"/>
          <w:szCs w:val="20"/>
        </w:rPr>
        <w:t>.</w:t>
      </w:r>
      <w:r w:rsidRPr="00C24253">
        <w:rPr>
          <w:rFonts w:eastAsia="Calibri" w:cs="Arial"/>
          <w:sz w:val="20"/>
          <w:szCs w:val="20"/>
        </w:rPr>
        <w:t xml:space="preserve"> </w:t>
      </w:r>
    </w:p>
    <w:p w:rsidR="00D912FA" w:rsidRPr="00C24253" w:rsidRDefault="00D912FA" w:rsidP="00D912FA">
      <w:pPr>
        <w:autoSpaceDE w:val="0"/>
        <w:autoSpaceDN w:val="0"/>
        <w:adjustRightInd w:val="0"/>
        <w:spacing w:before="360" w:after="120"/>
        <w:rPr>
          <w:rFonts w:eastAsia="Calibri" w:cs="Arial"/>
          <w:b/>
          <w:sz w:val="20"/>
          <w:szCs w:val="20"/>
        </w:rPr>
      </w:pPr>
      <w:r w:rsidRPr="00C24253">
        <w:rPr>
          <w:rFonts w:eastAsia="Calibri" w:cs="Arial"/>
          <w:b/>
          <w:sz w:val="20"/>
          <w:szCs w:val="20"/>
        </w:rPr>
        <w:t>Rozvody a rozvodovost v letech 1991 až 2012</w:t>
      </w:r>
    </w:p>
    <w:tbl>
      <w:tblPr>
        <w:tblW w:w="4950" w:type="pct"/>
        <w:tblInd w:w="5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1075"/>
        <w:gridCol w:w="1075"/>
        <w:gridCol w:w="1077"/>
        <w:gridCol w:w="1075"/>
        <w:gridCol w:w="1077"/>
        <w:gridCol w:w="1075"/>
        <w:gridCol w:w="1076"/>
        <w:gridCol w:w="1074"/>
        <w:gridCol w:w="1076"/>
      </w:tblGrid>
      <w:tr w:rsidR="00D912FA" w:rsidRPr="00C24253" w:rsidTr="00974752">
        <w:trPr>
          <w:trHeight w:val="567"/>
        </w:trPr>
        <w:tc>
          <w:tcPr>
            <w:tcW w:w="555" w:type="pct"/>
            <w:vMerge w:val="restart"/>
            <w:tcBorders>
              <w:top w:val="single" w:sz="4" w:space="0" w:color="auto"/>
              <w:bottom w:val="nil"/>
              <w:right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Rok</w:t>
            </w:r>
          </w:p>
        </w:tc>
        <w:tc>
          <w:tcPr>
            <w:tcW w:w="555" w:type="pct"/>
            <w:vMerge w:val="restart"/>
            <w:tcBorders>
              <w:top w:val="single" w:sz="4" w:space="0" w:color="auto"/>
              <w:left w:val="single" w:sz="4" w:space="0" w:color="auto"/>
              <w:bottom w:val="nil"/>
              <w:right w:val="single" w:sz="4" w:space="0" w:color="auto"/>
            </w:tcBorders>
            <w:shd w:val="clear" w:color="auto" w:fill="auto"/>
            <w:vAlign w:val="center"/>
            <w:hideMark/>
          </w:tcPr>
          <w:p w:rsidR="00D912FA" w:rsidRPr="00C24253" w:rsidRDefault="00D912FA" w:rsidP="00974752">
            <w:pPr>
              <w:jc w:val="center"/>
              <w:rPr>
                <w:rFonts w:cs="Arial"/>
                <w:sz w:val="16"/>
                <w:szCs w:val="16"/>
              </w:rPr>
            </w:pPr>
            <w:r w:rsidRPr="00C24253">
              <w:rPr>
                <w:rFonts w:cs="Arial"/>
                <w:sz w:val="16"/>
                <w:szCs w:val="16"/>
              </w:rPr>
              <w:t>Počet rozv</w:t>
            </w:r>
            <w:r w:rsidRPr="00C24253">
              <w:rPr>
                <w:rFonts w:cs="Arial"/>
                <w:sz w:val="16"/>
                <w:szCs w:val="16"/>
              </w:rPr>
              <w:t>o</w:t>
            </w:r>
            <w:r w:rsidRPr="00C24253">
              <w:rPr>
                <w:rFonts w:cs="Arial"/>
                <w:sz w:val="16"/>
                <w:szCs w:val="16"/>
              </w:rPr>
              <w:t>dů</w:t>
            </w:r>
          </w:p>
        </w:tc>
        <w:tc>
          <w:tcPr>
            <w:tcW w:w="556" w:type="pct"/>
            <w:vMerge w:val="restart"/>
            <w:tcBorders>
              <w:top w:val="single" w:sz="4" w:space="0" w:color="auto"/>
              <w:left w:val="single" w:sz="4" w:space="0" w:color="auto"/>
              <w:bottom w:val="nil"/>
              <w:right w:val="single" w:sz="4" w:space="0" w:color="auto"/>
            </w:tcBorders>
            <w:shd w:val="clear" w:color="auto" w:fill="auto"/>
            <w:vAlign w:val="center"/>
            <w:hideMark/>
          </w:tcPr>
          <w:p w:rsidR="00D912FA" w:rsidRPr="00C24253" w:rsidRDefault="00D912FA" w:rsidP="00974752">
            <w:pPr>
              <w:jc w:val="center"/>
              <w:rPr>
                <w:rFonts w:cs="Arial"/>
                <w:sz w:val="16"/>
                <w:szCs w:val="16"/>
              </w:rPr>
            </w:pPr>
            <w:r w:rsidRPr="00C24253">
              <w:rPr>
                <w:rFonts w:cs="Arial"/>
                <w:sz w:val="16"/>
                <w:szCs w:val="16"/>
              </w:rPr>
              <w:t>Úhrnná rozvodovost (%)</w:t>
            </w:r>
          </w:p>
        </w:tc>
        <w:tc>
          <w:tcPr>
            <w:tcW w:w="555" w:type="pct"/>
            <w:vMerge w:val="restart"/>
            <w:tcBorders>
              <w:top w:val="single" w:sz="4" w:space="0" w:color="auto"/>
              <w:left w:val="single" w:sz="4" w:space="0" w:color="auto"/>
              <w:bottom w:val="nil"/>
              <w:right w:val="single" w:sz="4" w:space="0" w:color="auto"/>
            </w:tcBorders>
            <w:shd w:val="clear" w:color="auto" w:fill="auto"/>
            <w:vAlign w:val="center"/>
            <w:hideMark/>
          </w:tcPr>
          <w:p w:rsidR="00D912FA" w:rsidRPr="00C24253" w:rsidRDefault="00D912FA" w:rsidP="00974752">
            <w:pPr>
              <w:jc w:val="center"/>
              <w:rPr>
                <w:rFonts w:cs="Arial"/>
                <w:sz w:val="16"/>
                <w:szCs w:val="16"/>
              </w:rPr>
            </w:pPr>
            <w:r w:rsidRPr="00C24253">
              <w:rPr>
                <w:rFonts w:cs="Arial"/>
                <w:sz w:val="16"/>
                <w:szCs w:val="16"/>
              </w:rPr>
              <w:t>Průměrná délka trvání rozvedených manželství (roky)</w:t>
            </w:r>
          </w:p>
        </w:tc>
        <w:tc>
          <w:tcPr>
            <w:tcW w:w="556" w:type="pct"/>
            <w:vMerge w:val="restart"/>
            <w:tcBorders>
              <w:top w:val="single" w:sz="4" w:space="0" w:color="auto"/>
              <w:left w:val="single" w:sz="4" w:space="0" w:color="auto"/>
              <w:bottom w:val="nil"/>
              <w:right w:val="single" w:sz="4" w:space="0" w:color="auto"/>
            </w:tcBorders>
            <w:shd w:val="clear" w:color="auto" w:fill="auto"/>
            <w:vAlign w:val="center"/>
            <w:hideMark/>
          </w:tcPr>
          <w:p w:rsidR="00D912FA" w:rsidRPr="00C24253" w:rsidRDefault="00D912FA" w:rsidP="00974752">
            <w:pPr>
              <w:jc w:val="center"/>
              <w:rPr>
                <w:rFonts w:cs="Arial"/>
                <w:sz w:val="16"/>
                <w:szCs w:val="16"/>
              </w:rPr>
            </w:pPr>
            <w:r w:rsidRPr="00C24253">
              <w:rPr>
                <w:rFonts w:cs="Arial"/>
                <w:sz w:val="16"/>
                <w:szCs w:val="16"/>
              </w:rPr>
              <w:t>Podíl rozv</w:t>
            </w:r>
            <w:r w:rsidRPr="00C24253">
              <w:rPr>
                <w:rFonts w:cs="Arial"/>
                <w:sz w:val="16"/>
                <w:szCs w:val="16"/>
              </w:rPr>
              <w:t>o</w:t>
            </w:r>
            <w:r w:rsidRPr="00C24253">
              <w:rPr>
                <w:rFonts w:cs="Arial"/>
                <w:sz w:val="16"/>
                <w:szCs w:val="16"/>
              </w:rPr>
              <w:t>dů na návrh ženy (%)</w:t>
            </w:r>
          </w:p>
        </w:tc>
        <w:tc>
          <w:tcPr>
            <w:tcW w:w="111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12FA" w:rsidRPr="00C24253" w:rsidRDefault="00D912FA" w:rsidP="00974752">
            <w:pPr>
              <w:jc w:val="center"/>
              <w:rPr>
                <w:rFonts w:cs="Arial"/>
                <w:sz w:val="16"/>
                <w:szCs w:val="16"/>
              </w:rPr>
            </w:pPr>
            <w:r w:rsidRPr="00C24253">
              <w:rPr>
                <w:rFonts w:cs="Arial"/>
                <w:sz w:val="16"/>
                <w:szCs w:val="16"/>
              </w:rPr>
              <w:t>Podíl opakovaných rozvodů (%)</w:t>
            </w:r>
          </w:p>
        </w:tc>
        <w:tc>
          <w:tcPr>
            <w:tcW w:w="1111" w:type="pct"/>
            <w:gridSpan w:val="2"/>
            <w:tcBorders>
              <w:top w:val="single" w:sz="4" w:space="0" w:color="auto"/>
              <w:left w:val="single" w:sz="4" w:space="0" w:color="auto"/>
              <w:bottom w:val="single" w:sz="4" w:space="0" w:color="auto"/>
            </w:tcBorders>
            <w:shd w:val="clear" w:color="auto" w:fill="auto"/>
            <w:vAlign w:val="center"/>
            <w:hideMark/>
          </w:tcPr>
          <w:p w:rsidR="00D912FA" w:rsidRPr="00C24253" w:rsidRDefault="00D912FA" w:rsidP="00974752">
            <w:pPr>
              <w:jc w:val="center"/>
              <w:rPr>
                <w:rFonts w:cs="Arial"/>
                <w:sz w:val="16"/>
                <w:szCs w:val="16"/>
              </w:rPr>
            </w:pPr>
            <w:r w:rsidRPr="00C24253">
              <w:rPr>
                <w:rFonts w:cs="Arial"/>
                <w:sz w:val="16"/>
                <w:szCs w:val="16"/>
              </w:rPr>
              <w:t xml:space="preserve">Rozvody </w:t>
            </w:r>
          </w:p>
          <w:p w:rsidR="00D912FA" w:rsidRPr="00C24253" w:rsidRDefault="00D912FA" w:rsidP="00974752">
            <w:pPr>
              <w:jc w:val="center"/>
              <w:rPr>
                <w:rFonts w:cs="Arial"/>
                <w:sz w:val="16"/>
                <w:szCs w:val="16"/>
              </w:rPr>
            </w:pPr>
            <w:r w:rsidRPr="00C24253">
              <w:rPr>
                <w:rFonts w:cs="Arial"/>
                <w:sz w:val="16"/>
                <w:szCs w:val="16"/>
              </w:rPr>
              <w:t>s nezletilými dětmi</w:t>
            </w:r>
          </w:p>
        </w:tc>
      </w:tr>
      <w:tr w:rsidR="00D912FA" w:rsidRPr="00C24253" w:rsidTr="00974752">
        <w:trPr>
          <w:trHeight w:hRule="exact" w:val="1134"/>
        </w:trPr>
        <w:tc>
          <w:tcPr>
            <w:tcW w:w="555" w:type="pct"/>
            <w:vMerge/>
            <w:tcBorders>
              <w:top w:val="nil"/>
              <w:bottom w:val="single" w:sz="4" w:space="0" w:color="auto"/>
              <w:right w:val="single" w:sz="4" w:space="0" w:color="auto"/>
            </w:tcBorders>
            <w:shd w:val="clear" w:color="auto" w:fill="auto"/>
            <w:noWrap/>
            <w:vAlign w:val="center"/>
            <w:hideMark/>
          </w:tcPr>
          <w:p w:rsidR="00D912FA" w:rsidRPr="00C24253" w:rsidRDefault="00D912FA" w:rsidP="00974752">
            <w:pPr>
              <w:jc w:val="center"/>
              <w:rPr>
                <w:rFonts w:cs="Arial"/>
                <w:sz w:val="16"/>
                <w:szCs w:val="16"/>
              </w:rPr>
            </w:pPr>
          </w:p>
        </w:tc>
        <w:tc>
          <w:tcPr>
            <w:tcW w:w="555" w:type="pct"/>
            <w:vMerge/>
            <w:tcBorders>
              <w:top w:val="nil"/>
              <w:left w:val="single" w:sz="4" w:space="0" w:color="auto"/>
              <w:bottom w:val="single" w:sz="4" w:space="0" w:color="auto"/>
              <w:right w:val="single" w:sz="4" w:space="0" w:color="auto"/>
            </w:tcBorders>
            <w:shd w:val="clear" w:color="auto" w:fill="auto"/>
            <w:noWrap/>
            <w:vAlign w:val="center"/>
            <w:hideMark/>
          </w:tcPr>
          <w:p w:rsidR="00D912FA" w:rsidRPr="00C24253" w:rsidRDefault="00D912FA" w:rsidP="00974752">
            <w:pPr>
              <w:jc w:val="center"/>
              <w:rPr>
                <w:rFonts w:cs="Arial"/>
                <w:sz w:val="16"/>
                <w:szCs w:val="16"/>
              </w:rPr>
            </w:pPr>
          </w:p>
        </w:tc>
        <w:tc>
          <w:tcPr>
            <w:tcW w:w="556" w:type="pct"/>
            <w:vMerge/>
            <w:tcBorders>
              <w:top w:val="nil"/>
              <w:left w:val="single" w:sz="4" w:space="0" w:color="auto"/>
              <w:bottom w:val="single" w:sz="4" w:space="0" w:color="auto"/>
              <w:right w:val="single" w:sz="4" w:space="0" w:color="auto"/>
            </w:tcBorders>
            <w:shd w:val="clear" w:color="auto" w:fill="auto"/>
            <w:noWrap/>
            <w:vAlign w:val="center"/>
            <w:hideMark/>
          </w:tcPr>
          <w:p w:rsidR="00D912FA" w:rsidRPr="00C24253" w:rsidRDefault="00D912FA" w:rsidP="00974752">
            <w:pPr>
              <w:jc w:val="center"/>
              <w:rPr>
                <w:rFonts w:cs="Arial"/>
                <w:sz w:val="16"/>
                <w:szCs w:val="16"/>
              </w:rPr>
            </w:pPr>
          </w:p>
        </w:tc>
        <w:tc>
          <w:tcPr>
            <w:tcW w:w="555" w:type="pct"/>
            <w:vMerge/>
            <w:tcBorders>
              <w:top w:val="nil"/>
              <w:left w:val="single" w:sz="4" w:space="0" w:color="auto"/>
              <w:bottom w:val="single" w:sz="4" w:space="0" w:color="auto"/>
              <w:right w:val="single" w:sz="4" w:space="0" w:color="auto"/>
            </w:tcBorders>
            <w:shd w:val="clear" w:color="auto" w:fill="auto"/>
            <w:noWrap/>
            <w:vAlign w:val="center"/>
            <w:hideMark/>
          </w:tcPr>
          <w:p w:rsidR="00D912FA" w:rsidRPr="00C24253" w:rsidRDefault="00D912FA" w:rsidP="00974752">
            <w:pPr>
              <w:jc w:val="center"/>
              <w:rPr>
                <w:rFonts w:cs="Arial"/>
                <w:sz w:val="16"/>
                <w:szCs w:val="16"/>
              </w:rPr>
            </w:pPr>
          </w:p>
        </w:tc>
        <w:tc>
          <w:tcPr>
            <w:tcW w:w="556" w:type="pct"/>
            <w:vMerge/>
            <w:tcBorders>
              <w:top w:val="nil"/>
              <w:left w:val="single" w:sz="4" w:space="0" w:color="auto"/>
              <w:bottom w:val="single" w:sz="4" w:space="0" w:color="auto"/>
              <w:right w:val="single" w:sz="4" w:space="0" w:color="auto"/>
            </w:tcBorders>
            <w:shd w:val="clear" w:color="auto" w:fill="auto"/>
            <w:noWrap/>
            <w:vAlign w:val="center"/>
            <w:hideMark/>
          </w:tcPr>
          <w:p w:rsidR="00D912FA" w:rsidRPr="00C24253" w:rsidRDefault="00D912FA" w:rsidP="00974752">
            <w:pPr>
              <w:jc w:val="center"/>
              <w:rPr>
                <w:rFonts w:cs="Arial"/>
                <w:sz w:val="16"/>
                <w:szCs w:val="16"/>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12FA" w:rsidRPr="00C24253" w:rsidRDefault="00D912FA" w:rsidP="00974752">
            <w:pPr>
              <w:jc w:val="center"/>
              <w:rPr>
                <w:rFonts w:cs="Arial"/>
                <w:sz w:val="16"/>
                <w:szCs w:val="16"/>
              </w:rPr>
            </w:pPr>
            <w:r w:rsidRPr="00C24253">
              <w:rPr>
                <w:rFonts w:cs="Arial"/>
                <w:sz w:val="16"/>
                <w:szCs w:val="16"/>
              </w:rPr>
              <w:t>na straně muže</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12FA" w:rsidRPr="00C24253" w:rsidRDefault="00D912FA" w:rsidP="00974752">
            <w:pPr>
              <w:jc w:val="center"/>
              <w:rPr>
                <w:rFonts w:cs="Arial"/>
                <w:sz w:val="16"/>
                <w:szCs w:val="16"/>
              </w:rPr>
            </w:pPr>
            <w:r w:rsidRPr="00C24253">
              <w:rPr>
                <w:rFonts w:cs="Arial"/>
                <w:sz w:val="16"/>
                <w:szCs w:val="16"/>
              </w:rPr>
              <w:t>na straně ženy</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12FA" w:rsidRPr="00C24253" w:rsidRDefault="00D912FA" w:rsidP="00974752">
            <w:pPr>
              <w:jc w:val="center"/>
              <w:rPr>
                <w:rFonts w:cs="Arial"/>
                <w:sz w:val="16"/>
                <w:szCs w:val="16"/>
              </w:rPr>
            </w:pPr>
            <w:r w:rsidRPr="00C24253">
              <w:rPr>
                <w:rFonts w:cs="Arial"/>
                <w:sz w:val="16"/>
                <w:szCs w:val="16"/>
              </w:rPr>
              <w:t>podíl ze všech ro</w:t>
            </w:r>
            <w:r w:rsidRPr="00C24253">
              <w:rPr>
                <w:rFonts w:cs="Arial"/>
                <w:sz w:val="16"/>
                <w:szCs w:val="16"/>
              </w:rPr>
              <w:t>z</w:t>
            </w:r>
            <w:r w:rsidRPr="00C24253">
              <w:rPr>
                <w:rFonts w:cs="Arial"/>
                <w:sz w:val="16"/>
                <w:szCs w:val="16"/>
              </w:rPr>
              <w:t>vedených manželství (%)</w:t>
            </w:r>
          </w:p>
        </w:tc>
        <w:tc>
          <w:tcPr>
            <w:tcW w:w="556" w:type="pct"/>
            <w:tcBorders>
              <w:top w:val="single" w:sz="4" w:space="0" w:color="auto"/>
              <w:left w:val="single" w:sz="4" w:space="0" w:color="auto"/>
              <w:bottom w:val="single" w:sz="4" w:space="0" w:color="auto"/>
            </w:tcBorders>
            <w:shd w:val="clear" w:color="auto" w:fill="auto"/>
            <w:vAlign w:val="center"/>
            <w:hideMark/>
          </w:tcPr>
          <w:p w:rsidR="00D912FA" w:rsidRPr="00C24253" w:rsidRDefault="00D912FA" w:rsidP="00974752">
            <w:pPr>
              <w:jc w:val="center"/>
              <w:rPr>
                <w:rFonts w:cs="Arial"/>
                <w:sz w:val="16"/>
                <w:szCs w:val="16"/>
              </w:rPr>
            </w:pPr>
            <w:r w:rsidRPr="00C24253">
              <w:rPr>
                <w:rFonts w:cs="Arial"/>
                <w:sz w:val="16"/>
                <w:szCs w:val="16"/>
              </w:rPr>
              <w:t>průměrný počet nezl</w:t>
            </w:r>
            <w:r w:rsidRPr="00C24253">
              <w:rPr>
                <w:rFonts w:cs="Arial"/>
                <w:sz w:val="16"/>
                <w:szCs w:val="16"/>
              </w:rPr>
              <w:t>e</w:t>
            </w:r>
            <w:r w:rsidRPr="00C24253">
              <w:rPr>
                <w:rFonts w:cs="Arial"/>
                <w:sz w:val="16"/>
                <w:szCs w:val="16"/>
              </w:rPr>
              <w:t>tilých dětí</w:t>
            </w:r>
          </w:p>
        </w:tc>
      </w:tr>
      <w:tr w:rsidR="00D912FA" w:rsidRPr="00C24253" w:rsidTr="00974752">
        <w:trPr>
          <w:trHeight w:val="340"/>
        </w:trPr>
        <w:tc>
          <w:tcPr>
            <w:tcW w:w="555" w:type="pct"/>
            <w:tcBorders>
              <w:top w:val="single" w:sz="4" w:space="0" w:color="auto"/>
              <w:right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1991</w:t>
            </w:r>
          </w:p>
        </w:tc>
        <w:tc>
          <w:tcPr>
            <w:tcW w:w="555" w:type="pct"/>
            <w:tcBorders>
              <w:top w:val="single" w:sz="4" w:space="0" w:color="auto"/>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29 366</w:t>
            </w:r>
          </w:p>
        </w:tc>
        <w:tc>
          <w:tcPr>
            <w:tcW w:w="556" w:type="pct"/>
            <w:tcBorders>
              <w:top w:val="single" w:sz="4" w:space="0" w:color="auto"/>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34,8</w:t>
            </w:r>
          </w:p>
        </w:tc>
        <w:tc>
          <w:tcPr>
            <w:tcW w:w="555" w:type="pct"/>
            <w:tcBorders>
              <w:top w:val="single" w:sz="4" w:space="0" w:color="auto"/>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10,1</w:t>
            </w:r>
          </w:p>
        </w:tc>
        <w:tc>
          <w:tcPr>
            <w:tcW w:w="556" w:type="pct"/>
            <w:tcBorders>
              <w:top w:val="single" w:sz="4" w:space="0" w:color="auto"/>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64,6</w:t>
            </w:r>
          </w:p>
        </w:tc>
        <w:tc>
          <w:tcPr>
            <w:tcW w:w="555" w:type="pct"/>
            <w:tcBorders>
              <w:top w:val="single" w:sz="4" w:space="0" w:color="auto"/>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18,2</w:t>
            </w:r>
          </w:p>
        </w:tc>
        <w:tc>
          <w:tcPr>
            <w:tcW w:w="556" w:type="pct"/>
            <w:tcBorders>
              <w:top w:val="single" w:sz="4" w:space="0" w:color="auto"/>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19,1</w:t>
            </w:r>
          </w:p>
        </w:tc>
        <w:tc>
          <w:tcPr>
            <w:tcW w:w="555" w:type="pct"/>
            <w:tcBorders>
              <w:top w:val="single" w:sz="4" w:space="0" w:color="auto"/>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71,7</w:t>
            </w:r>
          </w:p>
        </w:tc>
        <w:tc>
          <w:tcPr>
            <w:tcW w:w="556" w:type="pct"/>
            <w:tcBorders>
              <w:top w:val="single" w:sz="4" w:space="0" w:color="auto"/>
              <w:left w:val="single" w:sz="4" w:space="0" w:color="auto"/>
              <w:bottom w:val="nil"/>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1,68</w:t>
            </w:r>
          </w:p>
        </w:tc>
      </w:tr>
      <w:tr w:rsidR="00D912FA" w:rsidRPr="00C24253" w:rsidTr="00974752">
        <w:trPr>
          <w:trHeight w:val="340"/>
        </w:trPr>
        <w:tc>
          <w:tcPr>
            <w:tcW w:w="555" w:type="pct"/>
            <w:tcBorders>
              <w:right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1995</w:t>
            </w:r>
          </w:p>
        </w:tc>
        <w:tc>
          <w:tcPr>
            <w:tcW w:w="555"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31 135</w:t>
            </w:r>
          </w:p>
        </w:tc>
        <w:tc>
          <w:tcPr>
            <w:tcW w:w="556"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38,4</w:t>
            </w:r>
          </w:p>
        </w:tc>
        <w:tc>
          <w:tcPr>
            <w:tcW w:w="555"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10,5</w:t>
            </w:r>
          </w:p>
        </w:tc>
        <w:tc>
          <w:tcPr>
            <w:tcW w:w="556"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67,1</w:t>
            </w:r>
          </w:p>
        </w:tc>
        <w:tc>
          <w:tcPr>
            <w:tcW w:w="555"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18,3</w:t>
            </w:r>
          </w:p>
        </w:tc>
        <w:tc>
          <w:tcPr>
            <w:tcW w:w="556"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18,1</w:t>
            </w:r>
          </w:p>
        </w:tc>
        <w:tc>
          <w:tcPr>
            <w:tcW w:w="555"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71,0</w:t>
            </w:r>
          </w:p>
        </w:tc>
        <w:tc>
          <w:tcPr>
            <w:tcW w:w="556" w:type="pct"/>
            <w:tcBorders>
              <w:top w:val="nil"/>
              <w:left w:val="single" w:sz="4" w:space="0" w:color="auto"/>
              <w:bottom w:val="nil"/>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1,72</w:t>
            </w:r>
          </w:p>
        </w:tc>
      </w:tr>
      <w:tr w:rsidR="00D912FA" w:rsidRPr="00C24253" w:rsidTr="00974752">
        <w:trPr>
          <w:trHeight w:val="340"/>
        </w:trPr>
        <w:tc>
          <w:tcPr>
            <w:tcW w:w="555" w:type="pct"/>
            <w:tcBorders>
              <w:right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2001</w:t>
            </w:r>
          </w:p>
        </w:tc>
        <w:tc>
          <w:tcPr>
            <w:tcW w:w="555"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31 586</w:t>
            </w:r>
          </w:p>
        </w:tc>
        <w:tc>
          <w:tcPr>
            <w:tcW w:w="556"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44,7</w:t>
            </w:r>
          </w:p>
        </w:tc>
        <w:tc>
          <w:tcPr>
            <w:tcW w:w="555"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11,3</w:t>
            </w:r>
          </w:p>
        </w:tc>
        <w:tc>
          <w:tcPr>
            <w:tcW w:w="556"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67,2</w:t>
            </w:r>
          </w:p>
        </w:tc>
        <w:tc>
          <w:tcPr>
            <w:tcW w:w="555"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19,4</w:t>
            </w:r>
          </w:p>
        </w:tc>
        <w:tc>
          <w:tcPr>
            <w:tcW w:w="556"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18,5</w:t>
            </w:r>
          </w:p>
        </w:tc>
        <w:tc>
          <w:tcPr>
            <w:tcW w:w="555"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65,1</w:t>
            </w:r>
          </w:p>
        </w:tc>
        <w:tc>
          <w:tcPr>
            <w:tcW w:w="556" w:type="pct"/>
            <w:tcBorders>
              <w:top w:val="nil"/>
              <w:left w:val="single" w:sz="4" w:space="0" w:color="auto"/>
              <w:bottom w:val="nil"/>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1,48</w:t>
            </w:r>
          </w:p>
        </w:tc>
      </w:tr>
      <w:tr w:rsidR="00D912FA" w:rsidRPr="00C24253" w:rsidTr="00974752">
        <w:trPr>
          <w:trHeight w:val="340"/>
        </w:trPr>
        <w:tc>
          <w:tcPr>
            <w:tcW w:w="555" w:type="pct"/>
            <w:tcBorders>
              <w:right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2002</w:t>
            </w:r>
          </w:p>
        </w:tc>
        <w:tc>
          <w:tcPr>
            <w:tcW w:w="555"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31 758</w:t>
            </w:r>
          </w:p>
        </w:tc>
        <w:tc>
          <w:tcPr>
            <w:tcW w:w="556"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45,7</w:t>
            </w:r>
          </w:p>
        </w:tc>
        <w:tc>
          <w:tcPr>
            <w:tcW w:w="555"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11,5</w:t>
            </w:r>
          </w:p>
        </w:tc>
        <w:tc>
          <w:tcPr>
            <w:tcW w:w="556"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66,6</w:t>
            </w:r>
          </w:p>
        </w:tc>
        <w:tc>
          <w:tcPr>
            <w:tcW w:w="555"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19,5</w:t>
            </w:r>
          </w:p>
        </w:tc>
        <w:tc>
          <w:tcPr>
            <w:tcW w:w="556"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18,6</w:t>
            </w:r>
          </w:p>
        </w:tc>
        <w:tc>
          <w:tcPr>
            <w:tcW w:w="555"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64,3</w:t>
            </w:r>
          </w:p>
        </w:tc>
        <w:tc>
          <w:tcPr>
            <w:tcW w:w="556" w:type="pct"/>
            <w:tcBorders>
              <w:top w:val="nil"/>
              <w:left w:val="single" w:sz="4" w:space="0" w:color="auto"/>
              <w:bottom w:val="nil"/>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1,48</w:t>
            </w:r>
          </w:p>
        </w:tc>
      </w:tr>
      <w:tr w:rsidR="00D912FA" w:rsidRPr="00C24253" w:rsidTr="00974752">
        <w:trPr>
          <w:trHeight w:val="340"/>
        </w:trPr>
        <w:tc>
          <w:tcPr>
            <w:tcW w:w="555" w:type="pct"/>
            <w:tcBorders>
              <w:right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2003</w:t>
            </w:r>
          </w:p>
        </w:tc>
        <w:tc>
          <w:tcPr>
            <w:tcW w:w="555"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32 824</w:t>
            </w:r>
          </w:p>
        </w:tc>
        <w:tc>
          <w:tcPr>
            <w:tcW w:w="556"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48,0</w:t>
            </w:r>
          </w:p>
        </w:tc>
        <w:tc>
          <w:tcPr>
            <w:tcW w:w="555"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11,8</w:t>
            </w:r>
          </w:p>
        </w:tc>
        <w:tc>
          <w:tcPr>
            <w:tcW w:w="556"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66,2</w:t>
            </w:r>
          </w:p>
        </w:tc>
        <w:tc>
          <w:tcPr>
            <w:tcW w:w="555"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19,1</w:t>
            </w:r>
          </w:p>
        </w:tc>
        <w:tc>
          <w:tcPr>
            <w:tcW w:w="556"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19,0</w:t>
            </w:r>
          </w:p>
        </w:tc>
        <w:tc>
          <w:tcPr>
            <w:tcW w:w="555"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63,1</w:t>
            </w:r>
          </w:p>
        </w:tc>
        <w:tc>
          <w:tcPr>
            <w:tcW w:w="556" w:type="pct"/>
            <w:tcBorders>
              <w:top w:val="nil"/>
              <w:left w:val="single" w:sz="4" w:space="0" w:color="auto"/>
              <w:bottom w:val="nil"/>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1,49</w:t>
            </w:r>
          </w:p>
        </w:tc>
      </w:tr>
      <w:tr w:rsidR="00D912FA" w:rsidRPr="00C24253" w:rsidTr="00974752">
        <w:trPr>
          <w:trHeight w:val="340"/>
        </w:trPr>
        <w:tc>
          <w:tcPr>
            <w:tcW w:w="555" w:type="pct"/>
            <w:tcBorders>
              <w:right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2004</w:t>
            </w:r>
          </w:p>
        </w:tc>
        <w:tc>
          <w:tcPr>
            <w:tcW w:w="555"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33 060</w:t>
            </w:r>
          </w:p>
        </w:tc>
        <w:tc>
          <w:tcPr>
            <w:tcW w:w="556"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49,3</w:t>
            </w:r>
          </w:p>
        </w:tc>
        <w:tc>
          <w:tcPr>
            <w:tcW w:w="555"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11,9</w:t>
            </w:r>
          </w:p>
        </w:tc>
        <w:tc>
          <w:tcPr>
            <w:tcW w:w="556"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66,9</w:t>
            </w:r>
          </w:p>
        </w:tc>
        <w:tc>
          <w:tcPr>
            <w:tcW w:w="555"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19,5</w:t>
            </w:r>
          </w:p>
        </w:tc>
        <w:tc>
          <w:tcPr>
            <w:tcW w:w="556"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19,0</w:t>
            </w:r>
          </w:p>
        </w:tc>
        <w:tc>
          <w:tcPr>
            <w:tcW w:w="555"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62,9</w:t>
            </w:r>
          </w:p>
        </w:tc>
        <w:tc>
          <w:tcPr>
            <w:tcW w:w="556" w:type="pct"/>
            <w:tcBorders>
              <w:top w:val="nil"/>
              <w:left w:val="single" w:sz="4" w:space="0" w:color="auto"/>
              <w:bottom w:val="nil"/>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1,49</w:t>
            </w:r>
          </w:p>
        </w:tc>
      </w:tr>
      <w:tr w:rsidR="00D912FA" w:rsidRPr="00C24253" w:rsidTr="00974752">
        <w:trPr>
          <w:trHeight w:val="340"/>
        </w:trPr>
        <w:tc>
          <w:tcPr>
            <w:tcW w:w="555" w:type="pct"/>
            <w:tcBorders>
              <w:right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2005</w:t>
            </w:r>
          </w:p>
        </w:tc>
        <w:tc>
          <w:tcPr>
            <w:tcW w:w="555"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31 288</w:t>
            </w:r>
          </w:p>
        </w:tc>
        <w:tc>
          <w:tcPr>
            <w:tcW w:w="556"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47,3</w:t>
            </w:r>
          </w:p>
        </w:tc>
        <w:tc>
          <w:tcPr>
            <w:tcW w:w="555"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12,2</w:t>
            </w:r>
          </w:p>
        </w:tc>
        <w:tc>
          <w:tcPr>
            <w:tcW w:w="556"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66,4</w:t>
            </w:r>
          </w:p>
        </w:tc>
        <w:tc>
          <w:tcPr>
            <w:tcW w:w="555"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19,9</w:t>
            </w:r>
          </w:p>
        </w:tc>
        <w:tc>
          <w:tcPr>
            <w:tcW w:w="556"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19,1</w:t>
            </w:r>
          </w:p>
        </w:tc>
        <w:tc>
          <w:tcPr>
            <w:tcW w:w="555"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61,4</w:t>
            </w:r>
          </w:p>
        </w:tc>
        <w:tc>
          <w:tcPr>
            <w:tcW w:w="556" w:type="pct"/>
            <w:tcBorders>
              <w:top w:val="nil"/>
              <w:left w:val="single" w:sz="4" w:space="0" w:color="auto"/>
              <w:bottom w:val="nil"/>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1,50</w:t>
            </w:r>
          </w:p>
        </w:tc>
      </w:tr>
      <w:tr w:rsidR="00D912FA" w:rsidRPr="00C24253" w:rsidTr="00974752">
        <w:trPr>
          <w:trHeight w:val="340"/>
        </w:trPr>
        <w:tc>
          <w:tcPr>
            <w:tcW w:w="555" w:type="pct"/>
            <w:tcBorders>
              <w:right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2006</w:t>
            </w:r>
          </w:p>
        </w:tc>
        <w:tc>
          <w:tcPr>
            <w:tcW w:w="555"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31 415</w:t>
            </w:r>
          </w:p>
        </w:tc>
        <w:tc>
          <w:tcPr>
            <w:tcW w:w="556"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48,7</w:t>
            </w:r>
          </w:p>
        </w:tc>
        <w:tc>
          <w:tcPr>
            <w:tcW w:w="555"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12,0</w:t>
            </w:r>
          </w:p>
        </w:tc>
        <w:tc>
          <w:tcPr>
            <w:tcW w:w="556"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66,7</w:t>
            </w:r>
          </w:p>
        </w:tc>
        <w:tc>
          <w:tcPr>
            <w:tcW w:w="555"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20,0</w:t>
            </w:r>
          </w:p>
        </w:tc>
        <w:tc>
          <w:tcPr>
            <w:tcW w:w="556"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19,2</w:t>
            </w:r>
          </w:p>
        </w:tc>
        <w:tc>
          <w:tcPr>
            <w:tcW w:w="555"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60,5</w:t>
            </w:r>
          </w:p>
        </w:tc>
        <w:tc>
          <w:tcPr>
            <w:tcW w:w="556" w:type="pct"/>
            <w:tcBorders>
              <w:top w:val="nil"/>
              <w:left w:val="single" w:sz="4" w:space="0" w:color="auto"/>
              <w:bottom w:val="nil"/>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1,48</w:t>
            </w:r>
          </w:p>
        </w:tc>
      </w:tr>
      <w:tr w:rsidR="00D912FA" w:rsidRPr="00C24253" w:rsidTr="00974752">
        <w:trPr>
          <w:trHeight w:val="340"/>
        </w:trPr>
        <w:tc>
          <w:tcPr>
            <w:tcW w:w="555" w:type="pct"/>
            <w:tcBorders>
              <w:right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2007</w:t>
            </w:r>
          </w:p>
        </w:tc>
        <w:tc>
          <w:tcPr>
            <w:tcW w:w="555"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31 129</w:t>
            </w:r>
          </w:p>
        </w:tc>
        <w:tc>
          <w:tcPr>
            <w:tcW w:w="556"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48,7</w:t>
            </w:r>
          </w:p>
        </w:tc>
        <w:tc>
          <w:tcPr>
            <w:tcW w:w="555"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12,3</w:t>
            </w:r>
          </w:p>
        </w:tc>
        <w:tc>
          <w:tcPr>
            <w:tcW w:w="556"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66,0</w:t>
            </w:r>
          </w:p>
        </w:tc>
        <w:tc>
          <w:tcPr>
            <w:tcW w:w="555"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20,0</w:t>
            </w:r>
          </w:p>
        </w:tc>
        <w:tc>
          <w:tcPr>
            <w:tcW w:w="556"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19,4</w:t>
            </w:r>
          </w:p>
        </w:tc>
        <w:tc>
          <w:tcPr>
            <w:tcW w:w="555"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59,1</w:t>
            </w:r>
          </w:p>
        </w:tc>
        <w:tc>
          <w:tcPr>
            <w:tcW w:w="556" w:type="pct"/>
            <w:tcBorders>
              <w:top w:val="nil"/>
              <w:left w:val="single" w:sz="4" w:space="0" w:color="auto"/>
              <w:bottom w:val="nil"/>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1,50</w:t>
            </w:r>
          </w:p>
        </w:tc>
      </w:tr>
      <w:tr w:rsidR="00D912FA" w:rsidRPr="00C24253" w:rsidTr="00974752">
        <w:trPr>
          <w:trHeight w:val="340"/>
        </w:trPr>
        <w:tc>
          <w:tcPr>
            <w:tcW w:w="555" w:type="pct"/>
            <w:tcBorders>
              <w:right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2008</w:t>
            </w:r>
          </w:p>
        </w:tc>
        <w:tc>
          <w:tcPr>
            <w:tcW w:w="555"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31 300</w:t>
            </w:r>
          </w:p>
        </w:tc>
        <w:tc>
          <w:tcPr>
            <w:tcW w:w="556"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49,6</w:t>
            </w:r>
          </w:p>
        </w:tc>
        <w:tc>
          <w:tcPr>
            <w:tcW w:w="555"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12,3</w:t>
            </w:r>
          </w:p>
        </w:tc>
        <w:tc>
          <w:tcPr>
            <w:tcW w:w="556"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65,0</w:t>
            </w:r>
          </w:p>
        </w:tc>
        <w:tc>
          <w:tcPr>
            <w:tcW w:w="555"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19,3</w:t>
            </w:r>
          </w:p>
        </w:tc>
        <w:tc>
          <w:tcPr>
            <w:tcW w:w="556"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18,9</w:t>
            </w:r>
          </w:p>
        </w:tc>
        <w:tc>
          <w:tcPr>
            <w:tcW w:w="555"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58,1</w:t>
            </w:r>
          </w:p>
        </w:tc>
        <w:tc>
          <w:tcPr>
            <w:tcW w:w="556" w:type="pct"/>
            <w:tcBorders>
              <w:top w:val="nil"/>
              <w:left w:val="single" w:sz="4" w:space="0" w:color="auto"/>
              <w:bottom w:val="nil"/>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1,49</w:t>
            </w:r>
          </w:p>
        </w:tc>
      </w:tr>
      <w:tr w:rsidR="00D912FA" w:rsidRPr="00C24253" w:rsidTr="00974752">
        <w:trPr>
          <w:trHeight w:val="340"/>
        </w:trPr>
        <w:tc>
          <w:tcPr>
            <w:tcW w:w="555" w:type="pct"/>
            <w:tcBorders>
              <w:right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2009</w:t>
            </w:r>
          </w:p>
        </w:tc>
        <w:tc>
          <w:tcPr>
            <w:tcW w:w="555"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29 133</w:t>
            </w:r>
          </w:p>
        </w:tc>
        <w:tc>
          <w:tcPr>
            <w:tcW w:w="556"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46,8</w:t>
            </w:r>
          </w:p>
        </w:tc>
        <w:tc>
          <w:tcPr>
            <w:tcW w:w="555"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12,5</w:t>
            </w:r>
          </w:p>
        </w:tc>
        <w:tc>
          <w:tcPr>
            <w:tcW w:w="556"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64,7</w:t>
            </w:r>
          </w:p>
        </w:tc>
        <w:tc>
          <w:tcPr>
            <w:tcW w:w="555"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19,4</w:t>
            </w:r>
          </w:p>
        </w:tc>
        <w:tc>
          <w:tcPr>
            <w:tcW w:w="556"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19,0</w:t>
            </w:r>
          </w:p>
        </w:tc>
        <w:tc>
          <w:tcPr>
            <w:tcW w:w="555"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57,8</w:t>
            </w:r>
          </w:p>
        </w:tc>
        <w:tc>
          <w:tcPr>
            <w:tcW w:w="556" w:type="pct"/>
            <w:tcBorders>
              <w:top w:val="nil"/>
              <w:left w:val="single" w:sz="4" w:space="0" w:color="auto"/>
              <w:bottom w:val="nil"/>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1,49</w:t>
            </w:r>
          </w:p>
        </w:tc>
      </w:tr>
      <w:tr w:rsidR="00D912FA" w:rsidRPr="00C24253" w:rsidTr="00974752">
        <w:trPr>
          <w:trHeight w:val="340"/>
        </w:trPr>
        <w:tc>
          <w:tcPr>
            <w:tcW w:w="555" w:type="pct"/>
            <w:tcBorders>
              <w:right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2010</w:t>
            </w:r>
          </w:p>
        </w:tc>
        <w:tc>
          <w:tcPr>
            <w:tcW w:w="555"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30 783</w:t>
            </w:r>
          </w:p>
        </w:tc>
        <w:tc>
          <w:tcPr>
            <w:tcW w:w="556"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50,0</w:t>
            </w:r>
          </w:p>
        </w:tc>
        <w:tc>
          <w:tcPr>
            <w:tcW w:w="555"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12,7</w:t>
            </w:r>
          </w:p>
        </w:tc>
        <w:tc>
          <w:tcPr>
            <w:tcW w:w="556"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65,4</w:t>
            </w:r>
          </w:p>
        </w:tc>
        <w:tc>
          <w:tcPr>
            <w:tcW w:w="555"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19,5</w:t>
            </w:r>
          </w:p>
        </w:tc>
        <w:tc>
          <w:tcPr>
            <w:tcW w:w="556"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18,8</w:t>
            </w:r>
          </w:p>
        </w:tc>
        <w:tc>
          <w:tcPr>
            <w:tcW w:w="555"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57,3</w:t>
            </w:r>
          </w:p>
        </w:tc>
        <w:tc>
          <w:tcPr>
            <w:tcW w:w="556" w:type="pct"/>
            <w:tcBorders>
              <w:top w:val="nil"/>
              <w:left w:val="single" w:sz="4" w:space="0" w:color="auto"/>
              <w:bottom w:val="nil"/>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1,50</w:t>
            </w:r>
          </w:p>
        </w:tc>
      </w:tr>
      <w:tr w:rsidR="00D912FA" w:rsidRPr="00C24253" w:rsidTr="00974752">
        <w:trPr>
          <w:trHeight w:val="340"/>
        </w:trPr>
        <w:tc>
          <w:tcPr>
            <w:tcW w:w="555" w:type="pct"/>
            <w:tcBorders>
              <w:right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2011</w:t>
            </w:r>
          </w:p>
        </w:tc>
        <w:tc>
          <w:tcPr>
            <w:tcW w:w="555"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28 113</w:t>
            </w:r>
          </w:p>
        </w:tc>
        <w:tc>
          <w:tcPr>
            <w:tcW w:w="556"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46,2</w:t>
            </w:r>
          </w:p>
        </w:tc>
        <w:tc>
          <w:tcPr>
            <w:tcW w:w="555"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12,9</w:t>
            </w:r>
          </w:p>
        </w:tc>
        <w:tc>
          <w:tcPr>
            <w:tcW w:w="556"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64,6</w:t>
            </w:r>
          </w:p>
        </w:tc>
        <w:tc>
          <w:tcPr>
            <w:tcW w:w="555"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19,4</w:t>
            </w:r>
          </w:p>
        </w:tc>
        <w:tc>
          <w:tcPr>
            <w:tcW w:w="556"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19,1</w:t>
            </w:r>
          </w:p>
        </w:tc>
        <w:tc>
          <w:tcPr>
            <w:tcW w:w="555" w:type="pct"/>
            <w:tcBorders>
              <w:top w:val="nil"/>
              <w:left w:val="single" w:sz="4" w:space="0" w:color="auto"/>
              <w:bottom w:val="nil"/>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56,3</w:t>
            </w:r>
          </w:p>
        </w:tc>
        <w:tc>
          <w:tcPr>
            <w:tcW w:w="556" w:type="pct"/>
            <w:tcBorders>
              <w:top w:val="nil"/>
              <w:left w:val="single" w:sz="4" w:space="0" w:color="auto"/>
              <w:bottom w:val="nil"/>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1,50</w:t>
            </w:r>
          </w:p>
        </w:tc>
      </w:tr>
      <w:tr w:rsidR="00D912FA" w:rsidRPr="00C24253" w:rsidTr="00974752">
        <w:trPr>
          <w:trHeight w:val="340"/>
        </w:trPr>
        <w:tc>
          <w:tcPr>
            <w:tcW w:w="555" w:type="pct"/>
            <w:tcBorders>
              <w:right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2012</w:t>
            </w:r>
          </w:p>
        </w:tc>
        <w:tc>
          <w:tcPr>
            <w:tcW w:w="555" w:type="pct"/>
            <w:tcBorders>
              <w:top w:val="nil"/>
              <w:left w:val="single" w:sz="4" w:space="0" w:color="auto"/>
              <w:bottom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26 402</w:t>
            </w:r>
          </w:p>
        </w:tc>
        <w:tc>
          <w:tcPr>
            <w:tcW w:w="556" w:type="pct"/>
            <w:tcBorders>
              <w:top w:val="nil"/>
              <w:left w:val="single" w:sz="4" w:space="0" w:color="auto"/>
              <w:bottom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44,5</w:t>
            </w:r>
          </w:p>
        </w:tc>
        <w:tc>
          <w:tcPr>
            <w:tcW w:w="555" w:type="pct"/>
            <w:tcBorders>
              <w:top w:val="nil"/>
              <w:left w:val="single" w:sz="4" w:space="0" w:color="auto"/>
              <w:bottom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12,8</w:t>
            </w:r>
          </w:p>
        </w:tc>
        <w:tc>
          <w:tcPr>
            <w:tcW w:w="556" w:type="pct"/>
            <w:tcBorders>
              <w:top w:val="nil"/>
              <w:left w:val="single" w:sz="4" w:space="0" w:color="auto"/>
              <w:bottom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64,4</w:t>
            </w:r>
          </w:p>
        </w:tc>
        <w:tc>
          <w:tcPr>
            <w:tcW w:w="555" w:type="pct"/>
            <w:tcBorders>
              <w:top w:val="nil"/>
              <w:left w:val="single" w:sz="4" w:space="0" w:color="auto"/>
              <w:bottom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19,4</w:t>
            </w:r>
          </w:p>
        </w:tc>
        <w:tc>
          <w:tcPr>
            <w:tcW w:w="556" w:type="pct"/>
            <w:tcBorders>
              <w:top w:val="nil"/>
              <w:left w:val="single" w:sz="4" w:space="0" w:color="auto"/>
              <w:bottom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19,1</w:t>
            </w:r>
          </w:p>
        </w:tc>
        <w:tc>
          <w:tcPr>
            <w:tcW w:w="555" w:type="pct"/>
            <w:tcBorders>
              <w:top w:val="nil"/>
              <w:left w:val="single" w:sz="4" w:space="0" w:color="auto"/>
              <w:bottom w:val="single" w:sz="4" w:space="0" w:color="auto"/>
              <w:right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57,5</w:t>
            </w:r>
          </w:p>
        </w:tc>
        <w:tc>
          <w:tcPr>
            <w:tcW w:w="556" w:type="pct"/>
            <w:tcBorders>
              <w:top w:val="nil"/>
              <w:left w:val="single" w:sz="4" w:space="0" w:color="auto"/>
              <w:bottom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1,51</w:t>
            </w:r>
          </w:p>
        </w:tc>
      </w:tr>
    </w:tbl>
    <w:p w:rsidR="00D912FA" w:rsidRPr="00C24253" w:rsidRDefault="00D912FA" w:rsidP="00D912FA">
      <w:pPr>
        <w:autoSpaceDE w:val="0"/>
        <w:autoSpaceDN w:val="0"/>
        <w:adjustRightInd w:val="0"/>
        <w:spacing w:before="360" w:after="120"/>
        <w:rPr>
          <w:rFonts w:eastAsia="Calibri" w:cs="Arial"/>
          <w:sz w:val="20"/>
          <w:szCs w:val="20"/>
        </w:rPr>
      </w:pPr>
      <w:r w:rsidRPr="00C24253">
        <w:rPr>
          <w:rFonts w:eastAsia="Calibri" w:cs="Arial"/>
          <w:sz w:val="20"/>
          <w:szCs w:val="20"/>
        </w:rPr>
        <w:t>N</w:t>
      </w:r>
      <w:r w:rsidRPr="00C24253">
        <w:rPr>
          <w:rFonts w:cs="Arial"/>
          <w:sz w:val="20"/>
          <w:szCs w:val="20"/>
        </w:rPr>
        <w:t>avrhovateli rozvodu jsou z většiny, resp. zhruba ze dvou třetin, ženy. V období 1991-2012 se podíl návrhů na rozvod podaný ženou pohyboval mezi 64 % (v roce 2012) a 69 % (v roce 1998). Dlouhodobě stabilní je také s</w:t>
      </w:r>
      <w:r w:rsidRPr="00C24253">
        <w:rPr>
          <w:rFonts w:eastAsia="Calibri" w:cs="Arial"/>
          <w:sz w:val="20"/>
          <w:szCs w:val="20"/>
        </w:rPr>
        <w:t>truktura rozvodů podle pořadí. O první rozvod muže či ženy se v posl</w:t>
      </w:r>
      <w:r w:rsidR="00D423B3">
        <w:rPr>
          <w:rFonts w:eastAsia="Calibri" w:cs="Arial"/>
          <w:sz w:val="20"/>
          <w:szCs w:val="20"/>
        </w:rPr>
        <w:t>edních dvaceti letech jednalo v </w:t>
      </w:r>
      <w:r w:rsidRPr="00C24253">
        <w:rPr>
          <w:rFonts w:eastAsia="Calibri" w:cs="Arial"/>
          <w:sz w:val="20"/>
          <w:szCs w:val="20"/>
        </w:rPr>
        <w:t xml:space="preserve">81 % případech, druhé rozvody tvořily 17 % úhrnu, třetí a další zbývající 2 %. Toto složení je stejné pro muže i ženy, nicméně diferencuje se podle úrovně vzdělání rozvádějících se osob. Mezi muži i ženami se základním vzděláním se vyskytuje vyšší podíl těch, kteří se rozvedli více než jednou, u žen platí významnější </w:t>
      </w:r>
      <w:r w:rsidRPr="00C24253">
        <w:rPr>
          <w:rFonts w:eastAsia="Calibri" w:cs="Arial"/>
          <w:sz w:val="20"/>
          <w:szCs w:val="20"/>
        </w:rPr>
        <w:lastRenderedPageBreak/>
        <w:t xml:space="preserve">závislost nižšího podílu opakovaných rozvodů s rostoucí vzdělanostní úrovní v celém vzdělanostním spektru (u mužů je tato korelace slabší). Podíl rozvodů manželství s nezletilými dětmi se od druhé poloviny 90. let v souvislosti s poklesem plodnosti a nárůstem </w:t>
      </w:r>
      <w:r>
        <w:rPr>
          <w:rFonts w:eastAsia="Calibri" w:cs="Arial"/>
          <w:sz w:val="20"/>
          <w:szCs w:val="20"/>
        </w:rPr>
        <w:t xml:space="preserve">rozvodů </w:t>
      </w:r>
      <w:r w:rsidRPr="00C24253">
        <w:rPr>
          <w:rFonts w:eastAsia="Calibri" w:cs="Arial"/>
          <w:sz w:val="20"/>
          <w:szCs w:val="20"/>
        </w:rPr>
        <w:t>déletrvajících manželství snižoval (72 % v roce 1991, 58 % v roce 2012), i když mezi roky 2011 a 2012 mírně vzrostl. V průběhu sledovaných let 1991-2012 se ročně rozvodem rozpadalo 14-21 tisíc rodin s dětmi. Průměrný počet nezletilých dětí v rozvádějících se manželství</w:t>
      </w:r>
      <w:r>
        <w:rPr>
          <w:rFonts w:eastAsia="Calibri" w:cs="Arial"/>
          <w:sz w:val="20"/>
          <w:szCs w:val="20"/>
        </w:rPr>
        <w:t>ch</w:t>
      </w:r>
      <w:r w:rsidRPr="00C24253">
        <w:rPr>
          <w:rFonts w:eastAsia="Calibri" w:cs="Arial"/>
          <w:sz w:val="20"/>
          <w:szCs w:val="20"/>
        </w:rPr>
        <w:t xml:space="preserve"> s dětmi se </w:t>
      </w:r>
      <w:r>
        <w:rPr>
          <w:rFonts w:eastAsia="Calibri" w:cs="Arial"/>
          <w:sz w:val="20"/>
          <w:szCs w:val="20"/>
        </w:rPr>
        <w:t>po roce 2000</w:t>
      </w:r>
      <w:r w:rsidRPr="00C24253">
        <w:rPr>
          <w:rFonts w:eastAsia="Calibri" w:cs="Arial"/>
          <w:sz w:val="20"/>
          <w:szCs w:val="20"/>
        </w:rPr>
        <w:t xml:space="preserve"> ustálil na 1,5.</w:t>
      </w:r>
    </w:p>
    <w:p w:rsidR="00D912FA" w:rsidRPr="00C24253" w:rsidRDefault="00D912FA" w:rsidP="00D912FA">
      <w:pPr>
        <w:spacing w:before="120" w:after="120"/>
        <w:rPr>
          <w:rFonts w:eastAsia="Calibri" w:cs="Arial"/>
          <w:sz w:val="20"/>
          <w:szCs w:val="20"/>
        </w:rPr>
      </w:pPr>
      <w:r w:rsidRPr="00C24253">
        <w:rPr>
          <w:rFonts w:eastAsia="Calibri" w:cs="Arial"/>
          <w:sz w:val="20"/>
          <w:szCs w:val="20"/>
        </w:rPr>
        <w:t>Od počátku devadesátých let 20. století se začala výrazněji měnit struktura rozvodů podle doby uplynulé od sňatku. Postupně se snižoval podíl rozvodů do deseti let od uzavření manželství, zejména pak rozvodů do pěti let od sňatku, jejichž podíl se mezi roky 1991 a 2012 snížil o více jak čtyřicet procent.</w:t>
      </w:r>
    </w:p>
    <w:p w:rsidR="00D912FA" w:rsidRPr="00C24253" w:rsidRDefault="00517FA8" w:rsidP="00D912FA">
      <w:pPr>
        <w:rPr>
          <w:rFonts w:eastAsia="Calibri" w:cs="Arial"/>
          <w:sz w:val="20"/>
          <w:szCs w:val="20"/>
        </w:rPr>
      </w:pPr>
      <w:r>
        <w:rPr>
          <w:rFonts w:eastAsia="Calibri" w:cs="Arial"/>
          <w:noProof/>
          <w:sz w:val="20"/>
          <w:szCs w:val="20"/>
        </w:rPr>
        <w:pict>
          <v:shape id="obrázek 8" o:spid="_x0000_s1651" type="#_x0000_t75" style="position:absolute;left:0;text-align:left;margin-left:243.8pt;margin-top:85.9pt;width:243pt;height:242.3pt;z-index:-251655680;visibility:visible" wrapcoords="-133 0 -133 21529 21600 21529 21600 0 -133 0">
            <v:imagedata r:id="rId13" o:title=""/>
            <w10:wrap type="tight"/>
          </v:shape>
        </w:pict>
      </w:r>
      <w:r>
        <w:rPr>
          <w:rFonts w:eastAsia="Calibri" w:cs="Arial"/>
          <w:noProof/>
          <w:sz w:val="20"/>
          <w:szCs w:val="20"/>
        </w:rPr>
        <w:pict>
          <v:shape id="obrázek 5" o:spid="_x0000_s1650" type="#_x0000_t75" style="position:absolute;left:0;text-align:left;margin-left:-2.85pt;margin-top:85.9pt;width:243.9pt;height:242.2pt;z-index:251655680;visibility:visible">
            <v:imagedata r:id="rId14" o:title=""/>
            <w10:wrap type="square"/>
          </v:shape>
        </w:pict>
      </w:r>
      <w:r w:rsidR="00D912FA" w:rsidRPr="00C24253">
        <w:rPr>
          <w:rFonts w:eastAsia="Calibri" w:cs="Arial"/>
          <w:sz w:val="20"/>
          <w:szCs w:val="20"/>
        </w:rPr>
        <w:t>Mezi déletrvajícími manželstvími se nejvýrazněji zvýšilo zastoupení rozvodů manželství, která trvala do sv</w:t>
      </w:r>
      <w:r w:rsidR="00D912FA" w:rsidRPr="00C24253">
        <w:rPr>
          <w:rFonts w:eastAsia="Calibri" w:cs="Arial"/>
          <w:sz w:val="20"/>
          <w:szCs w:val="20"/>
        </w:rPr>
        <w:t>é</w:t>
      </w:r>
      <w:r w:rsidR="00D912FA" w:rsidRPr="00C24253">
        <w:rPr>
          <w:rFonts w:eastAsia="Calibri" w:cs="Arial"/>
          <w:sz w:val="20"/>
          <w:szCs w:val="20"/>
        </w:rPr>
        <w:t>ho zániku rozvodem 25 a více let, kdy se jejich podíl zvýšil téměř na trojnásobek. Podíly rozvodů sezdaných párů ukončených rozvodem v intervalu okolo průměrné délky trvání manželství měly v čase vývoj nerovn</w:t>
      </w:r>
      <w:r w:rsidR="00D912FA" w:rsidRPr="00C24253">
        <w:rPr>
          <w:rFonts w:eastAsia="Calibri" w:cs="Arial"/>
          <w:sz w:val="20"/>
          <w:szCs w:val="20"/>
        </w:rPr>
        <w:t>o</w:t>
      </w:r>
      <w:r w:rsidR="00D912FA" w:rsidRPr="00C24253">
        <w:rPr>
          <w:rFonts w:eastAsia="Calibri" w:cs="Arial"/>
          <w:sz w:val="20"/>
          <w:szCs w:val="20"/>
        </w:rPr>
        <w:t>měrný, nicméně hodnoty podílů na počátku a na konci hodnoceného období se příliš neliší. Popsané změny ve struktuře rozvodů podle doby uplynulé od sňatku jsou výsledkem změn v úrovni rozvodovosti podle této časové proměnné.</w:t>
      </w:r>
    </w:p>
    <w:p w:rsidR="00D912FA" w:rsidRPr="00C24253" w:rsidRDefault="00D912FA" w:rsidP="00D912FA">
      <w:pPr>
        <w:spacing w:before="260" w:after="120"/>
        <w:rPr>
          <w:rFonts w:cs="Arial"/>
          <w:sz w:val="20"/>
          <w:szCs w:val="20"/>
        </w:rPr>
      </w:pPr>
      <w:r w:rsidRPr="00C24253">
        <w:rPr>
          <w:rFonts w:eastAsia="Calibri" w:cs="Arial"/>
          <w:sz w:val="20"/>
          <w:szCs w:val="20"/>
        </w:rPr>
        <w:t>Rostla zejména r</w:t>
      </w:r>
      <w:r w:rsidRPr="00C24253">
        <w:rPr>
          <w:rFonts w:cs="Arial"/>
          <w:sz w:val="20"/>
          <w:szCs w:val="20"/>
        </w:rPr>
        <w:t>ozvodovost po deseti letech od uzavření manželství, která navíc stála za vzestupem celk</w:t>
      </w:r>
      <w:r w:rsidRPr="00C24253">
        <w:rPr>
          <w:rFonts w:cs="Arial"/>
          <w:sz w:val="20"/>
          <w:szCs w:val="20"/>
        </w:rPr>
        <w:t>o</w:t>
      </w:r>
      <w:r w:rsidRPr="00C24253">
        <w:rPr>
          <w:rFonts w:cs="Arial"/>
          <w:sz w:val="20"/>
          <w:szCs w:val="20"/>
        </w:rPr>
        <w:t>vé úrovně rozvodovosti v České republice v uplynulých dvou desetiletích, zatímco intenzita rozvodovosti ve velmi krátké době od sňatku (do tří dokončených let) se snížila. Oproti situa</w:t>
      </w:r>
      <w:r w:rsidR="00D423B3">
        <w:rPr>
          <w:rFonts w:cs="Arial"/>
          <w:sz w:val="20"/>
          <w:szCs w:val="20"/>
        </w:rPr>
        <w:t>ci z počátku 21. století byla v </w:t>
      </w:r>
      <w:r w:rsidRPr="00C24253">
        <w:rPr>
          <w:rFonts w:cs="Arial"/>
          <w:sz w:val="20"/>
          <w:szCs w:val="20"/>
        </w:rPr>
        <w:t>roce 2012 při stejné výši celkové rozvodovosti nižší hladina rozvodovosti až do třinácti let uplynulých od vstupu do manželství. I přes tyto strukturální změny rozvodovosti zůstává stále nejvyšší intenzita rozvod</w:t>
      </w:r>
      <w:r w:rsidRPr="00C24253">
        <w:rPr>
          <w:rFonts w:cs="Arial"/>
          <w:sz w:val="20"/>
          <w:szCs w:val="20"/>
        </w:rPr>
        <w:t>o</w:t>
      </w:r>
      <w:r w:rsidRPr="00C24253">
        <w:rPr>
          <w:rFonts w:cs="Arial"/>
          <w:sz w:val="20"/>
          <w:szCs w:val="20"/>
        </w:rPr>
        <w:t>vosti relativně brzy od sňatku, v intervalu od dvou do pěti dokončených let trvání manželského svazku. V této době rozvodem končí v průměru 2,5 ze 100 původních sňatků. Počátkem 90. let minulého století se max</w:t>
      </w:r>
      <w:r w:rsidRPr="00C24253">
        <w:rPr>
          <w:rFonts w:cs="Arial"/>
          <w:sz w:val="20"/>
          <w:szCs w:val="20"/>
        </w:rPr>
        <w:t>i</w:t>
      </w:r>
      <w:r w:rsidRPr="00C24253">
        <w:rPr>
          <w:rFonts w:cs="Arial"/>
          <w:sz w:val="20"/>
          <w:szCs w:val="20"/>
        </w:rPr>
        <w:t>mální rozvodovost vyskytovala ve druhém a třetím dokončeném roce, kdy se rozváděly 3 % sezdaných párů.</w:t>
      </w:r>
    </w:p>
    <w:p w:rsidR="00D912FA" w:rsidRPr="00C24253" w:rsidRDefault="00D912FA" w:rsidP="00D912FA">
      <w:pPr>
        <w:spacing w:after="120"/>
        <w:rPr>
          <w:rFonts w:eastAsia="Calibri" w:cs="Arial"/>
          <w:sz w:val="20"/>
          <w:szCs w:val="20"/>
        </w:rPr>
      </w:pPr>
      <w:r w:rsidRPr="00C24253">
        <w:rPr>
          <w:rFonts w:eastAsia="Calibri" w:cs="Arial"/>
          <w:sz w:val="20"/>
          <w:szCs w:val="20"/>
        </w:rPr>
        <w:t>Vzhledem k poklesu počtů osob vstupujících do manželství a rozšiřování nesezdaných (popř. jiných forem) soužití se může jevit intenzita rozvodovosti postupně jako méně důležitá, nicméně úroveň rozpadu nesezd</w:t>
      </w:r>
      <w:r w:rsidRPr="00C24253">
        <w:rPr>
          <w:rFonts w:eastAsia="Calibri" w:cs="Arial"/>
          <w:sz w:val="20"/>
          <w:szCs w:val="20"/>
        </w:rPr>
        <w:t>a</w:t>
      </w:r>
      <w:r w:rsidRPr="00C24253">
        <w:rPr>
          <w:rFonts w:eastAsia="Calibri" w:cs="Arial"/>
          <w:sz w:val="20"/>
          <w:szCs w:val="20"/>
        </w:rPr>
        <w:t>ných párů bude pravděpodobně ještě vyšší.</w:t>
      </w:r>
    </w:p>
    <w:p w:rsidR="00D912FA" w:rsidRPr="00C24253" w:rsidRDefault="00D912FA" w:rsidP="004B4F8D">
      <w:pPr>
        <w:pStyle w:val="31"/>
        <w:numPr>
          <w:ilvl w:val="1"/>
          <w:numId w:val="47"/>
        </w:numPr>
        <w:ind w:left="360" w:hanging="360"/>
      </w:pPr>
      <w:r w:rsidRPr="00C24253">
        <w:t xml:space="preserve">Porodnost </w:t>
      </w:r>
    </w:p>
    <w:p w:rsidR="00D912FA" w:rsidRPr="00C24253" w:rsidRDefault="00D912FA" w:rsidP="00D912FA">
      <w:pPr>
        <w:spacing w:after="120"/>
        <w:rPr>
          <w:rFonts w:cs="Arial"/>
          <w:sz w:val="20"/>
          <w:szCs w:val="20"/>
        </w:rPr>
      </w:pPr>
      <w:r w:rsidRPr="00C24253">
        <w:rPr>
          <w:rFonts w:cs="Arial"/>
          <w:sz w:val="20"/>
          <w:szCs w:val="20"/>
        </w:rPr>
        <w:t>Porodnost byla jednou ze složek reprodukčního chování populace České republiky, které se v reakci na změnu vnějších ekonomických a</w:t>
      </w:r>
      <w:r>
        <w:rPr>
          <w:rFonts w:cs="Arial"/>
          <w:sz w:val="20"/>
          <w:szCs w:val="20"/>
        </w:rPr>
        <w:t xml:space="preserve"> sociální podmínek po roce 1989</w:t>
      </w:r>
      <w:r w:rsidRPr="00C24253">
        <w:rPr>
          <w:rFonts w:cs="Arial"/>
          <w:sz w:val="20"/>
          <w:szCs w:val="20"/>
        </w:rPr>
        <w:t xml:space="preserve"> proměnily nejvýrazněji. Ke změně došlo nejen z hlediska její celkové úrovně, ale i jejích struktur. </w:t>
      </w:r>
    </w:p>
    <w:p w:rsidR="00D912FA" w:rsidRPr="00C24253" w:rsidRDefault="00D912FA" w:rsidP="00D912FA">
      <w:pPr>
        <w:spacing w:after="120"/>
        <w:rPr>
          <w:rFonts w:eastAsia="Calibri" w:cs="Arial"/>
          <w:sz w:val="20"/>
          <w:szCs w:val="20"/>
        </w:rPr>
      </w:pPr>
      <w:r w:rsidRPr="00C24253">
        <w:rPr>
          <w:rFonts w:eastAsia="Calibri" w:cs="Arial"/>
          <w:sz w:val="20"/>
          <w:szCs w:val="20"/>
        </w:rPr>
        <w:br w:type="page"/>
      </w:r>
      <w:r w:rsidRPr="00C24253">
        <w:rPr>
          <w:rFonts w:eastAsia="Calibri" w:cs="Arial"/>
          <w:sz w:val="20"/>
          <w:szCs w:val="20"/>
        </w:rPr>
        <w:lastRenderedPageBreak/>
        <w:t xml:space="preserve">Vývoj v posledních dvou dekádách lze rozdělit do čtyř etap. </w:t>
      </w:r>
    </w:p>
    <w:p w:rsidR="00D912FA" w:rsidRPr="00C24253" w:rsidRDefault="00D912FA" w:rsidP="00D912FA">
      <w:pPr>
        <w:pStyle w:val="odrkyzlevaodsazeno0"/>
        <w:rPr>
          <w:rFonts w:eastAsia="Calibri"/>
        </w:rPr>
      </w:pPr>
      <w:r w:rsidRPr="00C24253">
        <w:rPr>
          <w:rFonts w:eastAsia="Calibri"/>
        </w:rPr>
        <w:t>První etapou je období let 1991-1996, kdy došlo ke značnému poklesu počtu narozených dětí a úro</w:t>
      </w:r>
      <w:r w:rsidRPr="00C24253">
        <w:rPr>
          <w:rFonts w:eastAsia="Calibri"/>
        </w:rPr>
        <w:t>v</w:t>
      </w:r>
      <w:r w:rsidRPr="00C24253">
        <w:rPr>
          <w:rFonts w:eastAsia="Calibri"/>
        </w:rPr>
        <w:t xml:space="preserve">ně plodnosti. Roční počty živě narozených dětí se snížily ze 129 tisíc na 91 tisíc a průměrný počet dětí připadajících na jednu ženu reprodukčního věku klesl z 1,86 na 1,19 dítěte. </w:t>
      </w:r>
    </w:p>
    <w:p w:rsidR="00D912FA" w:rsidRPr="00C24253" w:rsidRDefault="00D912FA" w:rsidP="00D912FA">
      <w:pPr>
        <w:pStyle w:val="odrkyzlevaodsazeno0"/>
        <w:rPr>
          <w:rFonts w:eastAsia="Calibri"/>
        </w:rPr>
      </w:pPr>
      <w:r w:rsidRPr="00C24253">
        <w:rPr>
          <w:rFonts w:eastAsia="Calibri"/>
        </w:rPr>
        <w:t xml:space="preserve">Druhé období, 1997-2001, lze charakterizovat stabilizací, resp. mírným prohloubením poklesu. V roce 1999 dosáhla výše plodnosti nejnižší úrovně v celém období statistického sledování (úhrnná plodnost na úrovni 1,13 dítěte). </w:t>
      </w:r>
    </w:p>
    <w:p w:rsidR="00D912FA" w:rsidRPr="00C24253" w:rsidRDefault="00D912FA" w:rsidP="00D912FA">
      <w:pPr>
        <w:pStyle w:val="odrkyzlevaodsazeno0"/>
        <w:rPr>
          <w:rFonts w:eastAsia="Calibri" w:cs="Arial"/>
        </w:rPr>
      </w:pPr>
      <w:r w:rsidRPr="00C24253">
        <w:rPr>
          <w:rFonts w:eastAsia="Calibri"/>
        </w:rPr>
        <w:t xml:space="preserve">Ve třetí etapě, v letech 2002-2010 se počty živě narozených dětí i úhrnná plodnost pomalu zvyšovaly, věku nejvyšší plodnosti dosáhly ženy nejsilnějších ročníků ze 70. let. </w:t>
      </w:r>
      <w:r w:rsidRPr="00C24253">
        <w:rPr>
          <w:rFonts w:eastAsia="Calibri" w:cs="Arial"/>
        </w:rPr>
        <w:t>Nejčetnějším populačním ročn</w:t>
      </w:r>
      <w:r w:rsidRPr="00C24253">
        <w:rPr>
          <w:rFonts w:eastAsia="Calibri" w:cs="Arial"/>
        </w:rPr>
        <w:t>í</w:t>
      </w:r>
      <w:r w:rsidRPr="00C24253">
        <w:rPr>
          <w:rFonts w:eastAsia="Calibri" w:cs="Arial"/>
        </w:rPr>
        <w:t xml:space="preserve">kem narozených byl rok 2008, kdy se živě narodilo téměř 120 tisíc dětí. </w:t>
      </w:r>
    </w:p>
    <w:p w:rsidR="00D912FA" w:rsidRPr="00C24253" w:rsidRDefault="00D912FA" w:rsidP="00D912FA">
      <w:pPr>
        <w:pStyle w:val="odrkyzlevaodsazeno0"/>
        <w:rPr>
          <w:rFonts w:eastAsia="Calibri" w:cs="Arial"/>
        </w:rPr>
      </w:pPr>
      <w:r w:rsidRPr="00C24253">
        <w:rPr>
          <w:rFonts w:eastAsia="Calibri" w:cs="Arial"/>
        </w:rPr>
        <w:t>V</w:t>
      </w:r>
      <w:r>
        <w:rPr>
          <w:rFonts w:eastAsia="Calibri" w:cs="Arial"/>
        </w:rPr>
        <w:t>e</w:t>
      </w:r>
      <w:r w:rsidRPr="00C24253">
        <w:rPr>
          <w:rFonts w:eastAsia="Calibri" w:cs="Arial"/>
        </w:rPr>
        <w:t xml:space="preserve"> čtvrtém období vymezeném roky 2011 a 2012 se celková úroveň plodnosti stabilizovala na úrovni mírně pod 1,5 dítěte připadajícího na jednu ženu, avšak ve srovnání s předchozím obdobím s nižšími počty narozených dětí (necelých 109 tisíc v obou letech), neboť ve věku nejvyšší plodnosti byly méně početné generace žen. </w:t>
      </w:r>
    </w:p>
    <w:p w:rsidR="00D912FA" w:rsidRPr="00C24253" w:rsidRDefault="00D912FA" w:rsidP="00D912FA">
      <w:pPr>
        <w:pStyle w:val="odrkyzlevaodsazeno0"/>
        <w:numPr>
          <w:ilvl w:val="0"/>
          <w:numId w:val="0"/>
        </w:numPr>
        <w:rPr>
          <w:rFonts w:eastAsia="Calibri" w:cs="Arial"/>
        </w:rPr>
      </w:pPr>
      <w:r w:rsidRPr="00C24253">
        <w:rPr>
          <w:rFonts w:eastAsia="Calibri" w:cs="Arial"/>
        </w:rPr>
        <w:t>V průběhu všech období probíhal posun věku zakládání rodiny do pozdějšího věku a vzestup podílu dětí rodících se mimo manželství.</w:t>
      </w:r>
    </w:p>
    <w:p w:rsidR="00D912FA" w:rsidRPr="00C24253" w:rsidRDefault="00D912FA" w:rsidP="00D912FA">
      <w:pPr>
        <w:pStyle w:val="Zkladntext"/>
        <w:spacing w:before="360"/>
        <w:ind w:firstLine="0"/>
        <w:rPr>
          <w:b/>
          <w:bCs/>
          <w:spacing w:val="-1"/>
        </w:rPr>
      </w:pPr>
      <w:r w:rsidRPr="00C24253">
        <w:rPr>
          <w:b/>
          <w:bCs/>
          <w:spacing w:val="-1"/>
        </w:rPr>
        <w:t>Počty narozených dětí v letech 1991 až 2012</w:t>
      </w:r>
    </w:p>
    <w:tbl>
      <w:tblPr>
        <w:tblW w:w="4950" w:type="pct"/>
        <w:tblInd w:w="57"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4A0"/>
      </w:tblPr>
      <w:tblGrid>
        <w:gridCol w:w="1075"/>
        <w:gridCol w:w="1075"/>
        <w:gridCol w:w="1083"/>
        <w:gridCol w:w="1074"/>
        <w:gridCol w:w="1076"/>
        <w:gridCol w:w="1074"/>
        <w:gridCol w:w="1076"/>
        <w:gridCol w:w="1074"/>
        <w:gridCol w:w="1073"/>
      </w:tblGrid>
      <w:tr w:rsidR="00D912FA" w:rsidRPr="00C24253" w:rsidTr="00974752">
        <w:trPr>
          <w:trHeight w:val="284"/>
        </w:trPr>
        <w:tc>
          <w:tcPr>
            <w:tcW w:w="555" w:type="pct"/>
            <w:vMerge w:val="restart"/>
            <w:tcBorders>
              <w:top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Rok</w:t>
            </w:r>
          </w:p>
        </w:tc>
        <w:tc>
          <w:tcPr>
            <w:tcW w:w="1114" w:type="pct"/>
            <w:gridSpan w:val="2"/>
            <w:tcBorders>
              <w:top w:val="single" w:sz="4" w:space="0" w:color="auto"/>
              <w:bottom w:val="single" w:sz="4" w:space="0" w:color="auto"/>
            </w:tcBorders>
            <w:shd w:val="clear" w:color="auto" w:fill="auto"/>
            <w:vAlign w:val="center"/>
            <w:hideMark/>
          </w:tcPr>
          <w:p w:rsidR="00D912FA" w:rsidRPr="00C24253" w:rsidRDefault="00D912FA" w:rsidP="00974752">
            <w:pPr>
              <w:jc w:val="center"/>
              <w:rPr>
                <w:rFonts w:cs="Arial"/>
                <w:sz w:val="16"/>
                <w:szCs w:val="16"/>
              </w:rPr>
            </w:pPr>
            <w:r w:rsidRPr="00C24253">
              <w:rPr>
                <w:rFonts w:cs="Arial"/>
                <w:sz w:val="16"/>
                <w:szCs w:val="16"/>
              </w:rPr>
              <w:t>Narození</w:t>
            </w:r>
          </w:p>
        </w:tc>
        <w:tc>
          <w:tcPr>
            <w:tcW w:w="3331" w:type="pct"/>
            <w:gridSpan w:val="6"/>
            <w:tcBorders>
              <w:top w:val="single" w:sz="4" w:space="0" w:color="auto"/>
              <w:bottom w:val="single" w:sz="4" w:space="0" w:color="auto"/>
            </w:tcBorders>
            <w:shd w:val="clear" w:color="auto" w:fill="auto"/>
            <w:vAlign w:val="center"/>
            <w:hideMark/>
          </w:tcPr>
          <w:p w:rsidR="00D912FA" w:rsidRPr="00C24253" w:rsidRDefault="00D912FA" w:rsidP="00974752">
            <w:pPr>
              <w:jc w:val="center"/>
              <w:rPr>
                <w:rFonts w:cs="Arial"/>
                <w:sz w:val="16"/>
                <w:szCs w:val="16"/>
              </w:rPr>
            </w:pPr>
            <w:r w:rsidRPr="00C24253">
              <w:rPr>
                <w:rFonts w:cs="Arial"/>
                <w:sz w:val="16"/>
                <w:szCs w:val="16"/>
              </w:rPr>
              <w:t>Živě narození</w:t>
            </w:r>
          </w:p>
        </w:tc>
      </w:tr>
      <w:tr w:rsidR="00D912FA" w:rsidRPr="00C24253" w:rsidTr="00974752">
        <w:trPr>
          <w:trHeight w:val="680"/>
        </w:trPr>
        <w:tc>
          <w:tcPr>
            <w:tcW w:w="555" w:type="pct"/>
            <w:vMerge/>
            <w:tcBorders>
              <w:top w:val="nil"/>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p>
        </w:tc>
        <w:tc>
          <w:tcPr>
            <w:tcW w:w="555" w:type="pct"/>
            <w:tcBorders>
              <w:top w:val="single" w:sz="4" w:space="0" w:color="auto"/>
              <w:bottom w:val="single" w:sz="4" w:space="0" w:color="auto"/>
            </w:tcBorders>
            <w:shd w:val="clear" w:color="auto" w:fill="auto"/>
            <w:vAlign w:val="center"/>
            <w:hideMark/>
          </w:tcPr>
          <w:p w:rsidR="00D912FA" w:rsidRPr="00C24253" w:rsidRDefault="00D912FA" w:rsidP="00974752">
            <w:pPr>
              <w:jc w:val="center"/>
              <w:rPr>
                <w:rFonts w:cs="Arial"/>
                <w:sz w:val="16"/>
                <w:szCs w:val="16"/>
              </w:rPr>
            </w:pPr>
            <w:r w:rsidRPr="00C24253">
              <w:rPr>
                <w:rFonts w:cs="Arial"/>
                <w:sz w:val="16"/>
                <w:szCs w:val="16"/>
              </w:rPr>
              <w:t>živě</w:t>
            </w:r>
          </w:p>
        </w:tc>
        <w:tc>
          <w:tcPr>
            <w:tcW w:w="558" w:type="pct"/>
            <w:tcBorders>
              <w:top w:val="single" w:sz="4" w:space="0" w:color="auto"/>
              <w:bottom w:val="single" w:sz="4" w:space="0" w:color="auto"/>
            </w:tcBorders>
            <w:shd w:val="clear" w:color="auto" w:fill="auto"/>
            <w:vAlign w:val="center"/>
            <w:hideMark/>
          </w:tcPr>
          <w:p w:rsidR="00D912FA" w:rsidRPr="00C24253" w:rsidRDefault="00D912FA" w:rsidP="00974752">
            <w:pPr>
              <w:jc w:val="center"/>
              <w:rPr>
                <w:rFonts w:cs="Arial"/>
                <w:sz w:val="16"/>
                <w:szCs w:val="16"/>
              </w:rPr>
            </w:pPr>
            <w:r w:rsidRPr="00C24253">
              <w:rPr>
                <w:rFonts w:cs="Arial"/>
                <w:sz w:val="16"/>
                <w:szCs w:val="16"/>
              </w:rPr>
              <w:t>mrtvě</w:t>
            </w:r>
          </w:p>
        </w:tc>
        <w:tc>
          <w:tcPr>
            <w:tcW w:w="555" w:type="pct"/>
            <w:tcBorders>
              <w:top w:val="single" w:sz="4" w:space="0" w:color="auto"/>
              <w:bottom w:val="single" w:sz="4" w:space="0" w:color="auto"/>
            </w:tcBorders>
            <w:shd w:val="clear" w:color="auto" w:fill="auto"/>
            <w:vAlign w:val="center"/>
            <w:hideMark/>
          </w:tcPr>
          <w:p w:rsidR="00D912FA" w:rsidRPr="00C24253" w:rsidRDefault="00D912FA" w:rsidP="00974752">
            <w:pPr>
              <w:jc w:val="center"/>
              <w:rPr>
                <w:rFonts w:cs="Arial"/>
                <w:sz w:val="16"/>
                <w:szCs w:val="16"/>
              </w:rPr>
            </w:pPr>
            <w:r w:rsidRPr="00C24253">
              <w:rPr>
                <w:rFonts w:cs="Arial"/>
                <w:sz w:val="16"/>
                <w:szCs w:val="16"/>
              </w:rPr>
              <w:t>v manželství</w:t>
            </w:r>
          </w:p>
        </w:tc>
        <w:tc>
          <w:tcPr>
            <w:tcW w:w="556" w:type="pct"/>
            <w:tcBorders>
              <w:top w:val="single" w:sz="4" w:space="0" w:color="auto"/>
              <w:bottom w:val="single" w:sz="4" w:space="0" w:color="auto"/>
            </w:tcBorders>
            <w:shd w:val="clear" w:color="auto" w:fill="auto"/>
            <w:vAlign w:val="center"/>
            <w:hideMark/>
          </w:tcPr>
          <w:p w:rsidR="00D912FA" w:rsidRPr="00C24253" w:rsidRDefault="00D912FA" w:rsidP="00974752">
            <w:pPr>
              <w:jc w:val="center"/>
              <w:rPr>
                <w:rFonts w:cs="Arial"/>
                <w:sz w:val="16"/>
                <w:szCs w:val="16"/>
              </w:rPr>
            </w:pPr>
            <w:r w:rsidRPr="00C24253">
              <w:rPr>
                <w:rFonts w:cs="Arial"/>
                <w:sz w:val="16"/>
                <w:szCs w:val="16"/>
              </w:rPr>
              <w:t>mimo ma</w:t>
            </w:r>
            <w:r w:rsidRPr="00C24253">
              <w:rPr>
                <w:rFonts w:cs="Arial"/>
                <w:sz w:val="16"/>
                <w:szCs w:val="16"/>
              </w:rPr>
              <w:t>n</w:t>
            </w:r>
            <w:r w:rsidRPr="00C24253">
              <w:rPr>
                <w:rFonts w:cs="Arial"/>
                <w:sz w:val="16"/>
                <w:szCs w:val="16"/>
              </w:rPr>
              <w:t>želství</w:t>
            </w:r>
          </w:p>
        </w:tc>
        <w:tc>
          <w:tcPr>
            <w:tcW w:w="555" w:type="pct"/>
            <w:tcBorders>
              <w:top w:val="single" w:sz="4" w:space="0" w:color="auto"/>
              <w:bottom w:val="single" w:sz="4" w:space="0" w:color="auto"/>
            </w:tcBorders>
            <w:shd w:val="clear" w:color="auto" w:fill="auto"/>
            <w:vAlign w:val="center"/>
            <w:hideMark/>
          </w:tcPr>
          <w:p w:rsidR="00D912FA" w:rsidRPr="00C24253" w:rsidRDefault="00D912FA" w:rsidP="00974752">
            <w:pPr>
              <w:jc w:val="center"/>
              <w:rPr>
                <w:rFonts w:cs="Arial"/>
                <w:sz w:val="16"/>
                <w:szCs w:val="16"/>
              </w:rPr>
            </w:pPr>
            <w:r w:rsidRPr="00C24253">
              <w:rPr>
                <w:rFonts w:cs="Arial"/>
                <w:sz w:val="16"/>
                <w:szCs w:val="16"/>
              </w:rPr>
              <w:t>mimo ma</w:t>
            </w:r>
            <w:r w:rsidRPr="00C24253">
              <w:rPr>
                <w:rFonts w:cs="Arial"/>
                <w:sz w:val="16"/>
                <w:szCs w:val="16"/>
              </w:rPr>
              <w:t>n</w:t>
            </w:r>
            <w:r w:rsidRPr="00C24253">
              <w:rPr>
                <w:rFonts w:cs="Arial"/>
                <w:sz w:val="16"/>
                <w:szCs w:val="16"/>
              </w:rPr>
              <w:t>želství (%)</w:t>
            </w:r>
          </w:p>
        </w:tc>
        <w:tc>
          <w:tcPr>
            <w:tcW w:w="556" w:type="pct"/>
            <w:tcBorders>
              <w:top w:val="single" w:sz="4" w:space="0" w:color="auto"/>
              <w:bottom w:val="single" w:sz="4" w:space="0" w:color="auto"/>
            </w:tcBorders>
            <w:shd w:val="clear" w:color="auto" w:fill="auto"/>
            <w:vAlign w:val="center"/>
            <w:hideMark/>
          </w:tcPr>
          <w:p w:rsidR="00D912FA" w:rsidRPr="00C24253" w:rsidRDefault="00D912FA" w:rsidP="00974752">
            <w:pPr>
              <w:jc w:val="center"/>
              <w:rPr>
                <w:rFonts w:cs="Arial"/>
                <w:sz w:val="16"/>
                <w:szCs w:val="16"/>
              </w:rPr>
            </w:pPr>
            <w:r w:rsidRPr="00C24253">
              <w:rPr>
                <w:rFonts w:cs="Arial"/>
                <w:sz w:val="16"/>
                <w:szCs w:val="16"/>
              </w:rPr>
              <w:t>1. pořadí</w:t>
            </w:r>
          </w:p>
        </w:tc>
        <w:tc>
          <w:tcPr>
            <w:tcW w:w="555" w:type="pct"/>
            <w:tcBorders>
              <w:top w:val="single" w:sz="4" w:space="0" w:color="auto"/>
              <w:bottom w:val="single" w:sz="4" w:space="0" w:color="auto"/>
            </w:tcBorders>
            <w:shd w:val="clear" w:color="auto" w:fill="auto"/>
            <w:vAlign w:val="center"/>
            <w:hideMark/>
          </w:tcPr>
          <w:p w:rsidR="00D912FA" w:rsidRPr="00C24253" w:rsidRDefault="00D912FA" w:rsidP="00974752">
            <w:pPr>
              <w:jc w:val="center"/>
              <w:rPr>
                <w:rFonts w:cs="Arial"/>
                <w:sz w:val="16"/>
                <w:szCs w:val="16"/>
              </w:rPr>
            </w:pPr>
            <w:r w:rsidRPr="00C24253">
              <w:rPr>
                <w:rFonts w:cs="Arial"/>
                <w:sz w:val="16"/>
                <w:szCs w:val="16"/>
              </w:rPr>
              <w:t>2. pořadí</w:t>
            </w:r>
          </w:p>
        </w:tc>
        <w:tc>
          <w:tcPr>
            <w:tcW w:w="555" w:type="pct"/>
            <w:tcBorders>
              <w:top w:val="single" w:sz="4" w:space="0" w:color="auto"/>
              <w:bottom w:val="single" w:sz="4" w:space="0" w:color="auto"/>
            </w:tcBorders>
            <w:shd w:val="clear" w:color="auto" w:fill="auto"/>
            <w:vAlign w:val="center"/>
            <w:hideMark/>
          </w:tcPr>
          <w:p w:rsidR="00D912FA" w:rsidRPr="00C24253" w:rsidRDefault="00D912FA" w:rsidP="00974752">
            <w:pPr>
              <w:jc w:val="center"/>
              <w:rPr>
                <w:rFonts w:cs="Arial"/>
                <w:sz w:val="16"/>
                <w:szCs w:val="16"/>
              </w:rPr>
            </w:pPr>
            <w:r w:rsidRPr="00C24253">
              <w:rPr>
                <w:rFonts w:cs="Arial"/>
                <w:sz w:val="16"/>
                <w:szCs w:val="16"/>
              </w:rPr>
              <w:t>3. a vyšší pořadí</w:t>
            </w:r>
          </w:p>
        </w:tc>
      </w:tr>
      <w:tr w:rsidR="00D912FA" w:rsidRPr="00C24253" w:rsidTr="00974752">
        <w:trPr>
          <w:trHeight w:hRule="exact" w:val="284"/>
        </w:trPr>
        <w:tc>
          <w:tcPr>
            <w:tcW w:w="555" w:type="pct"/>
            <w:tcBorders>
              <w:top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1991</w:t>
            </w:r>
          </w:p>
        </w:tc>
        <w:tc>
          <w:tcPr>
            <w:tcW w:w="555" w:type="pct"/>
            <w:tcBorders>
              <w:top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129 354</w:t>
            </w:r>
          </w:p>
        </w:tc>
        <w:tc>
          <w:tcPr>
            <w:tcW w:w="558" w:type="pct"/>
            <w:tcBorders>
              <w:top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496</w:t>
            </w:r>
          </w:p>
        </w:tc>
        <w:tc>
          <w:tcPr>
            <w:tcW w:w="555" w:type="pct"/>
            <w:tcBorders>
              <w:top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116 651</w:t>
            </w:r>
          </w:p>
        </w:tc>
        <w:tc>
          <w:tcPr>
            <w:tcW w:w="556" w:type="pct"/>
            <w:tcBorders>
              <w:top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12 703</w:t>
            </w:r>
          </w:p>
        </w:tc>
        <w:tc>
          <w:tcPr>
            <w:tcW w:w="555" w:type="pct"/>
            <w:tcBorders>
              <w:top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9,8</w:t>
            </w:r>
          </w:p>
        </w:tc>
        <w:tc>
          <w:tcPr>
            <w:tcW w:w="556" w:type="pct"/>
            <w:tcBorders>
              <w:top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64 762</w:t>
            </w:r>
          </w:p>
        </w:tc>
        <w:tc>
          <w:tcPr>
            <w:tcW w:w="555" w:type="pct"/>
            <w:tcBorders>
              <w:top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45 916</w:t>
            </w:r>
          </w:p>
        </w:tc>
        <w:tc>
          <w:tcPr>
            <w:tcW w:w="555" w:type="pct"/>
            <w:tcBorders>
              <w:top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18 676</w:t>
            </w:r>
          </w:p>
        </w:tc>
      </w:tr>
      <w:tr w:rsidR="00D912FA" w:rsidRPr="00C24253" w:rsidTr="00974752">
        <w:trPr>
          <w:trHeight w:hRule="exact" w:val="284"/>
        </w:trPr>
        <w:tc>
          <w:tcPr>
            <w:tcW w:w="555"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1995</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96 097</w:t>
            </w:r>
          </w:p>
        </w:tc>
        <w:tc>
          <w:tcPr>
            <w:tcW w:w="558"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300</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81 150</w:t>
            </w:r>
          </w:p>
        </w:tc>
        <w:tc>
          <w:tcPr>
            <w:tcW w:w="55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14 947</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15,6</w:t>
            </w:r>
          </w:p>
        </w:tc>
        <w:tc>
          <w:tcPr>
            <w:tcW w:w="55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44 522</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37 026</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14 549</w:t>
            </w:r>
          </w:p>
        </w:tc>
      </w:tr>
      <w:tr w:rsidR="00D912FA" w:rsidRPr="00C24253" w:rsidTr="00974752">
        <w:trPr>
          <w:trHeight w:hRule="exact" w:val="284"/>
        </w:trPr>
        <w:tc>
          <w:tcPr>
            <w:tcW w:w="555"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2001</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90 715</w:t>
            </w:r>
          </w:p>
        </w:tc>
        <w:tc>
          <w:tcPr>
            <w:tcW w:w="558"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263</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69 439</w:t>
            </w:r>
          </w:p>
        </w:tc>
        <w:tc>
          <w:tcPr>
            <w:tcW w:w="55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21 276</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23,5</w:t>
            </w:r>
          </w:p>
        </w:tc>
        <w:tc>
          <w:tcPr>
            <w:tcW w:w="55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43 337</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34 216</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13 162</w:t>
            </w:r>
          </w:p>
        </w:tc>
      </w:tr>
      <w:tr w:rsidR="00D912FA" w:rsidRPr="00C24253" w:rsidTr="00974752">
        <w:trPr>
          <w:trHeight w:hRule="exact" w:val="284"/>
        </w:trPr>
        <w:tc>
          <w:tcPr>
            <w:tcW w:w="555"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2002</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92 786</w:t>
            </w:r>
          </w:p>
        </w:tc>
        <w:tc>
          <w:tcPr>
            <w:tcW w:w="558"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261</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69 327</w:t>
            </w:r>
          </w:p>
        </w:tc>
        <w:tc>
          <w:tcPr>
            <w:tcW w:w="55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23 459</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25,3</w:t>
            </w:r>
          </w:p>
        </w:tc>
        <w:tc>
          <w:tcPr>
            <w:tcW w:w="55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44 745</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34 447</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13 594</w:t>
            </w:r>
          </w:p>
        </w:tc>
      </w:tr>
      <w:tr w:rsidR="00D912FA" w:rsidRPr="00C24253" w:rsidTr="00974752">
        <w:trPr>
          <w:trHeight w:hRule="exact" w:val="284"/>
        </w:trPr>
        <w:tc>
          <w:tcPr>
            <w:tcW w:w="555"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2003</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93 685</w:t>
            </w:r>
          </w:p>
        </w:tc>
        <w:tc>
          <w:tcPr>
            <w:tcW w:w="558"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272</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66 972</w:t>
            </w:r>
          </w:p>
        </w:tc>
        <w:tc>
          <w:tcPr>
            <w:tcW w:w="55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26 713</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28,5</w:t>
            </w:r>
          </w:p>
        </w:tc>
        <w:tc>
          <w:tcPr>
            <w:tcW w:w="55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45 363</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34 823</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13 499</w:t>
            </w:r>
          </w:p>
        </w:tc>
      </w:tr>
      <w:tr w:rsidR="00D912FA" w:rsidRPr="00C24253" w:rsidTr="00974752">
        <w:trPr>
          <w:trHeight w:hRule="exact" w:val="284"/>
        </w:trPr>
        <w:tc>
          <w:tcPr>
            <w:tcW w:w="555"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2004</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97 664</w:t>
            </w:r>
          </w:p>
        </w:tc>
        <w:tc>
          <w:tcPr>
            <w:tcW w:w="558"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265</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67 825</w:t>
            </w:r>
          </w:p>
        </w:tc>
        <w:tc>
          <w:tcPr>
            <w:tcW w:w="55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29 839</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30,6</w:t>
            </w:r>
          </w:p>
        </w:tc>
        <w:tc>
          <w:tcPr>
            <w:tcW w:w="55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48 066</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35 669</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13 929</w:t>
            </w:r>
          </w:p>
        </w:tc>
      </w:tr>
      <w:tr w:rsidR="00D912FA" w:rsidRPr="00C24253" w:rsidTr="00974752">
        <w:trPr>
          <w:trHeight w:hRule="exact" w:val="284"/>
        </w:trPr>
        <w:tc>
          <w:tcPr>
            <w:tcW w:w="555"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2005</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102 211</w:t>
            </w:r>
          </w:p>
        </w:tc>
        <w:tc>
          <w:tcPr>
            <w:tcW w:w="558"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287</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69 802</w:t>
            </w:r>
          </w:p>
        </w:tc>
        <w:tc>
          <w:tcPr>
            <w:tcW w:w="55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32 409</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31,7</w:t>
            </w:r>
          </w:p>
        </w:tc>
        <w:tc>
          <w:tcPr>
            <w:tcW w:w="55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49 930</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37 993</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14 288</w:t>
            </w:r>
          </w:p>
        </w:tc>
      </w:tr>
      <w:tr w:rsidR="00D912FA" w:rsidRPr="00C24253" w:rsidTr="00974752">
        <w:trPr>
          <w:trHeight w:hRule="exact" w:val="284"/>
        </w:trPr>
        <w:tc>
          <w:tcPr>
            <w:tcW w:w="555"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2006</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105 831</w:t>
            </w:r>
          </w:p>
        </w:tc>
        <w:tc>
          <w:tcPr>
            <w:tcW w:w="558"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299</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70 572</w:t>
            </w:r>
          </w:p>
        </w:tc>
        <w:tc>
          <w:tcPr>
            <w:tcW w:w="55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35 259</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33,3</w:t>
            </w:r>
          </w:p>
        </w:tc>
        <w:tc>
          <w:tcPr>
            <w:tcW w:w="55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51 823</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39 038</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14 970</w:t>
            </w:r>
          </w:p>
        </w:tc>
      </w:tr>
      <w:tr w:rsidR="00D912FA" w:rsidRPr="00C24253" w:rsidTr="00974752">
        <w:trPr>
          <w:trHeight w:hRule="exact" w:val="284"/>
        </w:trPr>
        <w:tc>
          <w:tcPr>
            <w:tcW w:w="555"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2007</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114 632</w:t>
            </w:r>
          </w:p>
        </w:tc>
        <w:tc>
          <w:tcPr>
            <w:tcW w:w="558"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315</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75 095</w:t>
            </w:r>
          </w:p>
        </w:tc>
        <w:tc>
          <w:tcPr>
            <w:tcW w:w="55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39 537</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34,5</w:t>
            </w:r>
          </w:p>
        </w:tc>
        <w:tc>
          <w:tcPr>
            <w:tcW w:w="55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54 050</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43 400</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17 182</w:t>
            </w:r>
          </w:p>
        </w:tc>
      </w:tr>
      <w:tr w:rsidR="00D912FA" w:rsidRPr="00C24253" w:rsidTr="00974752">
        <w:trPr>
          <w:trHeight w:hRule="exact" w:val="284"/>
        </w:trPr>
        <w:tc>
          <w:tcPr>
            <w:tcW w:w="555"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2008</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119 570</w:t>
            </w:r>
          </w:p>
        </w:tc>
        <w:tc>
          <w:tcPr>
            <w:tcW w:w="558"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272</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76 113</w:t>
            </w:r>
          </w:p>
        </w:tc>
        <w:tc>
          <w:tcPr>
            <w:tcW w:w="55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43 457</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36,3</w:t>
            </w:r>
          </w:p>
        </w:tc>
        <w:tc>
          <w:tcPr>
            <w:tcW w:w="55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56 941</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45 291</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17 338</w:t>
            </w:r>
          </w:p>
        </w:tc>
      </w:tr>
      <w:tr w:rsidR="00D912FA" w:rsidRPr="00C24253" w:rsidTr="00974752">
        <w:trPr>
          <w:trHeight w:hRule="exact" w:val="284"/>
        </w:trPr>
        <w:tc>
          <w:tcPr>
            <w:tcW w:w="555"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2009</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118 348</w:t>
            </w:r>
          </w:p>
        </w:tc>
        <w:tc>
          <w:tcPr>
            <w:tcW w:w="558"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319</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72 394</w:t>
            </w:r>
          </w:p>
        </w:tc>
        <w:tc>
          <w:tcPr>
            <w:tcW w:w="55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45 954</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38,8</w:t>
            </w:r>
          </w:p>
        </w:tc>
        <w:tc>
          <w:tcPr>
            <w:tcW w:w="55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56 039</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45 206</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17 103</w:t>
            </w:r>
          </w:p>
        </w:tc>
      </w:tr>
      <w:tr w:rsidR="00D912FA" w:rsidRPr="00C24253" w:rsidTr="00974752">
        <w:trPr>
          <w:trHeight w:hRule="exact" w:val="284"/>
        </w:trPr>
        <w:tc>
          <w:tcPr>
            <w:tcW w:w="555"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2010</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117 153</w:t>
            </w:r>
          </w:p>
        </w:tc>
        <w:tc>
          <w:tcPr>
            <w:tcW w:w="558"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293</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69 989</w:t>
            </w:r>
          </w:p>
        </w:tc>
        <w:tc>
          <w:tcPr>
            <w:tcW w:w="55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47 164</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40,3</w:t>
            </w:r>
          </w:p>
        </w:tc>
        <w:tc>
          <w:tcPr>
            <w:tcW w:w="55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54 331</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45 514</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17 308</w:t>
            </w:r>
          </w:p>
        </w:tc>
      </w:tr>
      <w:tr w:rsidR="00D912FA" w:rsidRPr="00C24253" w:rsidTr="00974752">
        <w:trPr>
          <w:trHeight w:hRule="exact" w:val="284"/>
        </w:trPr>
        <w:tc>
          <w:tcPr>
            <w:tcW w:w="555"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2011</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108 673</w:t>
            </w:r>
          </w:p>
        </w:tc>
        <w:tc>
          <w:tcPr>
            <w:tcW w:w="558"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317</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63 252</w:t>
            </w:r>
          </w:p>
        </w:tc>
        <w:tc>
          <w:tcPr>
            <w:tcW w:w="55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45 421</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41,8</w:t>
            </w:r>
          </w:p>
        </w:tc>
        <w:tc>
          <w:tcPr>
            <w:tcW w:w="55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50 989</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42 156</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15 528</w:t>
            </w:r>
          </w:p>
        </w:tc>
      </w:tr>
      <w:tr w:rsidR="00D912FA" w:rsidRPr="00C24253" w:rsidTr="00974752">
        <w:trPr>
          <w:trHeight w:hRule="exact" w:val="284"/>
        </w:trPr>
        <w:tc>
          <w:tcPr>
            <w:tcW w:w="555"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2012</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108 576</w:t>
            </w:r>
          </w:p>
        </w:tc>
        <w:tc>
          <w:tcPr>
            <w:tcW w:w="558"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lang w:val="en-US"/>
              </w:rPr>
            </w:pPr>
            <w:r w:rsidRPr="00C24253">
              <w:rPr>
                <w:rFonts w:cs="Arial"/>
                <w:sz w:val="16"/>
                <w:szCs w:val="16"/>
                <w:lang w:val="en-US"/>
              </w:rPr>
              <w:t>*</w:t>
            </w:r>
            <w:r w:rsidRPr="00C24253">
              <w:rPr>
                <w:rFonts w:cs="Arial"/>
                <w:sz w:val="16"/>
                <w:szCs w:val="16"/>
              </w:rPr>
              <w:t>379</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61 488</w:t>
            </w:r>
          </w:p>
        </w:tc>
        <w:tc>
          <w:tcPr>
            <w:tcW w:w="55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47 088</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43,4</w:t>
            </w:r>
          </w:p>
        </w:tc>
        <w:tc>
          <w:tcPr>
            <w:tcW w:w="55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51 476</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41 826</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15 274</w:t>
            </w:r>
          </w:p>
        </w:tc>
      </w:tr>
    </w:tbl>
    <w:p w:rsidR="00D912FA" w:rsidRPr="00C24253" w:rsidRDefault="00D912FA" w:rsidP="00D912FA">
      <w:pPr>
        <w:spacing w:before="60" w:after="120"/>
        <w:rPr>
          <w:rFonts w:cs="Arial"/>
          <w:bCs/>
          <w:i/>
          <w:spacing w:val="-1"/>
          <w:sz w:val="16"/>
          <w:szCs w:val="16"/>
        </w:rPr>
      </w:pPr>
      <w:r w:rsidRPr="00C24253">
        <w:rPr>
          <w:rFonts w:cs="Arial"/>
          <w:bCs/>
          <w:i/>
          <w:spacing w:val="-1"/>
          <w:sz w:val="16"/>
          <w:szCs w:val="16"/>
        </w:rPr>
        <w:t xml:space="preserve">*Od 1. 4. 2012 vstoupila zákonem č. 372/2011 Sb., o zdravotních službách, v platnost nová definice potratu, která následně ovlivnila i počty mrtvě narozených dětí. </w:t>
      </w:r>
    </w:p>
    <w:p w:rsidR="00D912FA" w:rsidRPr="00C24253" w:rsidRDefault="00D912FA" w:rsidP="00D912FA">
      <w:pPr>
        <w:spacing w:before="240" w:after="120"/>
        <w:rPr>
          <w:rFonts w:eastAsia="Calibri" w:cs="Arial"/>
          <w:sz w:val="20"/>
          <w:szCs w:val="20"/>
        </w:rPr>
      </w:pPr>
      <w:r w:rsidRPr="00C24253">
        <w:rPr>
          <w:rFonts w:eastAsia="Calibri" w:cs="Arial"/>
          <w:sz w:val="20"/>
          <w:szCs w:val="20"/>
        </w:rPr>
        <w:t>Jednou ze zásadních strukturálních proměn plodnosti žen v České republice po roce 1989 je celkový posun rození dětí do vyššího věku. Plodnost mladých žen se výrazně snížila, plodnost žen starších naopak naros</w:t>
      </w:r>
      <w:r w:rsidRPr="00C24253">
        <w:rPr>
          <w:rFonts w:eastAsia="Calibri" w:cs="Arial"/>
          <w:sz w:val="20"/>
          <w:szCs w:val="20"/>
        </w:rPr>
        <w:t>t</w:t>
      </w:r>
      <w:r w:rsidRPr="00C24253">
        <w:rPr>
          <w:rFonts w:eastAsia="Calibri" w:cs="Arial"/>
          <w:sz w:val="20"/>
          <w:szCs w:val="20"/>
        </w:rPr>
        <w:t>la. Reprodukční chování populace se v tomto ohledu rychle přiblížilo západoevropskému modelu. Nositeli této změny byli mladí lidé narození v 70. letech, zejména generace narozených v roce 1974 a později. Pr</w:t>
      </w:r>
      <w:r w:rsidRPr="00C24253">
        <w:rPr>
          <w:rFonts w:eastAsia="Calibri" w:cs="Arial"/>
          <w:sz w:val="20"/>
          <w:szCs w:val="20"/>
        </w:rPr>
        <w:t>ů</w:t>
      </w:r>
      <w:r w:rsidRPr="00C24253">
        <w:rPr>
          <w:rFonts w:eastAsia="Calibri" w:cs="Arial"/>
          <w:sz w:val="20"/>
          <w:szCs w:val="20"/>
        </w:rPr>
        <w:t>měrný věk matek při narození dítěte se od roku 1991 do roku 2012 zvýšil v úhrnu o 5 let, průměrný věk ma</w:t>
      </w:r>
      <w:r w:rsidRPr="00C24253">
        <w:rPr>
          <w:rFonts w:eastAsia="Calibri" w:cs="Arial"/>
          <w:sz w:val="20"/>
          <w:szCs w:val="20"/>
        </w:rPr>
        <w:t>t</w:t>
      </w:r>
      <w:r w:rsidRPr="00C24253">
        <w:rPr>
          <w:rFonts w:eastAsia="Calibri" w:cs="Arial"/>
          <w:sz w:val="20"/>
          <w:szCs w:val="20"/>
        </w:rPr>
        <w:t xml:space="preserve">ky na počátku reprodukce, tj. při narození 1. dítěte, dokonce o 5,5 roku. </w:t>
      </w:r>
    </w:p>
    <w:p w:rsidR="00D912FA" w:rsidRPr="00C24253" w:rsidRDefault="00D912FA" w:rsidP="00D912FA">
      <w:pPr>
        <w:spacing w:after="120"/>
        <w:rPr>
          <w:rFonts w:eastAsia="Calibri" w:cs="Arial"/>
          <w:sz w:val="20"/>
          <w:szCs w:val="20"/>
        </w:rPr>
      </w:pPr>
      <w:r w:rsidRPr="00C24253">
        <w:rPr>
          <w:rFonts w:eastAsia="Calibri" w:cs="Arial"/>
          <w:sz w:val="20"/>
          <w:szCs w:val="20"/>
        </w:rPr>
        <w:t>V posledních pěti letech byl růst průměrného věku žen při porodu již pomalejší. Výrazné snížení plodnosti žen ve věku do 25 let zároveň stálo za mimořádným poklesem celkové úrovně plodnosti v ČR v 90. letech 20. století. Plodnost žen starších se sice zvýšila, avšak o vyrovnání úbytku v mladších vě</w:t>
      </w:r>
      <w:r w:rsidRPr="00C24253">
        <w:rPr>
          <w:rFonts w:eastAsia="Calibri" w:cs="Arial"/>
          <w:sz w:val="20"/>
          <w:szCs w:val="20"/>
        </w:rPr>
        <w:softHyphen/>
        <w:t>kových kategoriích se nejednalo ani zdaleka. Věkově specifické míry plodnosti v letech 2011-2012 navíc ukazují na zastavení vzestupu plodnosti 30-39letých žen, plodnost žen 25-29 přestala růst, resp. se dokonce snížila, ještě o dva roky dříve.</w:t>
      </w:r>
    </w:p>
    <w:p w:rsidR="00D912FA" w:rsidRPr="00C24253" w:rsidRDefault="00D912FA" w:rsidP="00D912FA">
      <w:pPr>
        <w:tabs>
          <w:tab w:val="left" w:pos="540"/>
        </w:tabs>
        <w:spacing w:after="120"/>
        <w:rPr>
          <w:rFonts w:cs="Arial"/>
          <w:b/>
          <w:sz w:val="20"/>
          <w:szCs w:val="20"/>
        </w:rPr>
      </w:pPr>
      <w:r w:rsidRPr="00C24253">
        <w:rPr>
          <w:rFonts w:cs="Arial"/>
          <w:b/>
          <w:sz w:val="20"/>
          <w:szCs w:val="20"/>
        </w:rPr>
        <w:br w:type="page"/>
      </w:r>
      <w:r w:rsidRPr="00C24253">
        <w:rPr>
          <w:rFonts w:cs="Arial"/>
          <w:b/>
          <w:sz w:val="20"/>
          <w:szCs w:val="20"/>
        </w:rPr>
        <w:lastRenderedPageBreak/>
        <w:t>Míry plodnosti a reprodukce v letech 1991 až 2012</w:t>
      </w:r>
    </w:p>
    <w:tbl>
      <w:tblPr>
        <w:tblW w:w="4950" w:type="pct"/>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tblPr>
      <w:tblGrid>
        <w:gridCol w:w="880"/>
        <w:gridCol w:w="881"/>
        <w:gridCol w:w="881"/>
        <w:gridCol w:w="881"/>
        <w:gridCol w:w="881"/>
        <w:gridCol w:w="881"/>
        <w:gridCol w:w="881"/>
        <w:gridCol w:w="881"/>
        <w:gridCol w:w="881"/>
        <w:gridCol w:w="881"/>
        <w:gridCol w:w="871"/>
      </w:tblGrid>
      <w:tr w:rsidR="00D912FA" w:rsidRPr="00C24253" w:rsidTr="00974752">
        <w:trPr>
          <w:trHeight w:val="284"/>
        </w:trPr>
        <w:tc>
          <w:tcPr>
            <w:tcW w:w="455" w:type="pct"/>
            <w:vMerge w:val="restart"/>
            <w:tcBorders>
              <w:top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Rok</w:t>
            </w:r>
          </w:p>
        </w:tc>
        <w:tc>
          <w:tcPr>
            <w:tcW w:w="2730" w:type="pct"/>
            <w:gridSpan w:val="6"/>
            <w:tcBorders>
              <w:top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Míry plodnosti podle věku (na 1 000 žen)</w:t>
            </w:r>
          </w:p>
        </w:tc>
        <w:tc>
          <w:tcPr>
            <w:tcW w:w="455" w:type="pct"/>
            <w:vMerge w:val="restart"/>
            <w:tcBorders>
              <w:top w:val="single" w:sz="4" w:space="0" w:color="auto"/>
              <w:bottom w:val="single" w:sz="4" w:space="0" w:color="auto"/>
            </w:tcBorders>
            <w:shd w:val="clear" w:color="auto" w:fill="auto"/>
            <w:vAlign w:val="center"/>
            <w:hideMark/>
          </w:tcPr>
          <w:p w:rsidR="00D912FA" w:rsidRPr="00C24253" w:rsidRDefault="00D912FA" w:rsidP="00974752">
            <w:pPr>
              <w:jc w:val="center"/>
              <w:rPr>
                <w:rFonts w:cs="Arial"/>
                <w:sz w:val="16"/>
                <w:szCs w:val="16"/>
              </w:rPr>
            </w:pPr>
            <w:r w:rsidRPr="00C24253">
              <w:rPr>
                <w:rFonts w:cs="Arial"/>
                <w:sz w:val="16"/>
                <w:szCs w:val="16"/>
              </w:rPr>
              <w:t>Úhrnná plodnost</w:t>
            </w:r>
          </w:p>
        </w:tc>
        <w:tc>
          <w:tcPr>
            <w:tcW w:w="910" w:type="pct"/>
            <w:gridSpan w:val="2"/>
            <w:tcBorders>
              <w:top w:val="single" w:sz="4" w:space="0" w:color="auto"/>
              <w:bottom w:val="single" w:sz="4" w:space="0" w:color="auto"/>
            </w:tcBorders>
            <w:shd w:val="clear" w:color="auto" w:fill="auto"/>
            <w:vAlign w:val="center"/>
            <w:hideMark/>
          </w:tcPr>
          <w:p w:rsidR="00D912FA" w:rsidRPr="00C24253" w:rsidRDefault="00D912FA" w:rsidP="00974752">
            <w:pPr>
              <w:jc w:val="center"/>
              <w:rPr>
                <w:rFonts w:cs="Arial"/>
                <w:sz w:val="16"/>
                <w:szCs w:val="16"/>
              </w:rPr>
            </w:pPr>
            <w:r w:rsidRPr="00C24253">
              <w:rPr>
                <w:rFonts w:cs="Arial"/>
                <w:sz w:val="16"/>
                <w:szCs w:val="16"/>
              </w:rPr>
              <w:t>Průměrný věk žen</w:t>
            </w:r>
          </w:p>
        </w:tc>
        <w:tc>
          <w:tcPr>
            <w:tcW w:w="450" w:type="pct"/>
            <w:vMerge w:val="restart"/>
            <w:tcBorders>
              <w:top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Čistá míra repro-dukce</w:t>
            </w:r>
          </w:p>
        </w:tc>
      </w:tr>
      <w:tr w:rsidR="00D912FA" w:rsidRPr="00C24253" w:rsidTr="00974752">
        <w:trPr>
          <w:trHeight w:val="851"/>
        </w:trPr>
        <w:tc>
          <w:tcPr>
            <w:tcW w:w="455" w:type="pct"/>
            <w:vMerge/>
            <w:tcBorders>
              <w:top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p>
        </w:tc>
        <w:tc>
          <w:tcPr>
            <w:tcW w:w="455" w:type="pct"/>
            <w:tcBorders>
              <w:top w:val="single" w:sz="4" w:space="0" w:color="auto"/>
              <w:bottom w:val="single" w:sz="4" w:space="0" w:color="auto"/>
            </w:tcBorders>
            <w:shd w:val="clear" w:color="auto" w:fill="auto"/>
            <w:vAlign w:val="center"/>
            <w:hideMark/>
          </w:tcPr>
          <w:p w:rsidR="00D912FA" w:rsidRPr="00C24253" w:rsidRDefault="00D912FA" w:rsidP="00974752">
            <w:pPr>
              <w:jc w:val="center"/>
              <w:rPr>
                <w:rFonts w:cs="Arial"/>
                <w:sz w:val="16"/>
                <w:szCs w:val="16"/>
              </w:rPr>
            </w:pPr>
            <w:r w:rsidRPr="00C24253">
              <w:rPr>
                <w:rFonts w:cs="Arial"/>
                <w:sz w:val="16"/>
                <w:szCs w:val="16"/>
              </w:rPr>
              <w:t>15-19</w:t>
            </w:r>
          </w:p>
        </w:tc>
        <w:tc>
          <w:tcPr>
            <w:tcW w:w="455" w:type="pct"/>
            <w:tcBorders>
              <w:top w:val="single" w:sz="4" w:space="0" w:color="auto"/>
              <w:bottom w:val="single" w:sz="4" w:space="0" w:color="auto"/>
            </w:tcBorders>
            <w:shd w:val="clear" w:color="auto" w:fill="auto"/>
            <w:vAlign w:val="center"/>
            <w:hideMark/>
          </w:tcPr>
          <w:p w:rsidR="00D912FA" w:rsidRPr="00C24253" w:rsidRDefault="00D912FA" w:rsidP="00974752">
            <w:pPr>
              <w:jc w:val="center"/>
              <w:rPr>
                <w:rFonts w:cs="Arial"/>
                <w:sz w:val="16"/>
                <w:szCs w:val="16"/>
              </w:rPr>
            </w:pPr>
            <w:r w:rsidRPr="00C24253">
              <w:rPr>
                <w:rFonts w:cs="Arial"/>
                <w:sz w:val="16"/>
                <w:szCs w:val="16"/>
              </w:rPr>
              <w:t>20-24</w:t>
            </w:r>
          </w:p>
        </w:tc>
        <w:tc>
          <w:tcPr>
            <w:tcW w:w="455" w:type="pct"/>
            <w:tcBorders>
              <w:top w:val="single" w:sz="4" w:space="0" w:color="auto"/>
              <w:bottom w:val="single" w:sz="4" w:space="0" w:color="auto"/>
            </w:tcBorders>
            <w:shd w:val="clear" w:color="auto" w:fill="auto"/>
            <w:vAlign w:val="center"/>
            <w:hideMark/>
          </w:tcPr>
          <w:p w:rsidR="00D912FA" w:rsidRPr="00C24253" w:rsidRDefault="00D912FA" w:rsidP="00974752">
            <w:pPr>
              <w:jc w:val="center"/>
              <w:rPr>
                <w:rFonts w:cs="Arial"/>
                <w:sz w:val="16"/>
                <w:szCs w:val="16"/>
              </w:rPr>
            </w:pPr>
            <w:r w:rsidRPr="00C24253">
              <w:rPr>
                <w:rFonts w:cs="Arial"/>
                <w:sz w:val="16"/>
                <w:szCs w:val="16"/>
              </w:rPr>
              <w:t>25-29</w:t>
            </w:r>
          </w:p>
        </w:tc>
        <w:tc>
          <w:tcPr>
            <w:tcW w:w="455" w:type="pct"/>
            <w:tcBorders>
              <w:top w:val="single" w:sz="4" w:space="0" w:color="auto"/>
              <w:bottom w:val="single" w:sz="4" w:space="0" w:color="auto"/>
            </w:tcBorders>
            <w:shd w:val="clear" w:color="auto" w:fill="auto"/>
            <w:vAlign w:val="center"/>
            <w:hideMark/>
          </w:tcPr>
          <w:p w:rsidR="00D912FA" w:rsidRPr="00C24253" w:rsidRDefault="00D912FA" w:rsidP="00974752">
            <w:pPr>
              <w:jc w:val="center"/>
              <w:rPr>
                <w:rFonts w:cs="Arial"/>
                <w:sz w:val="16"/>
                <w:szCs w:val="16"/>
              </w:rPr>
            </w:pPr>
            <w:r w:rsidRPr="00C24253">
              <w:rPr>
                <w:rFonts w:cs="Arial"/>
                <w:sz w:val="16"/>
                <w:szCs w:val="16"/>
              </w:rPr>
              <w:t>30-34</w:t>
            </w:r>
          </w:p>
        </w:tc>
        <w:tc>
          <w:tcPr>
            <w:tcW w:w="455" w:type="pct"/>
            <w:tcBorders>
              <w:top w:val="single" w:sz="4" w:space="0" w:color="auto"/>
              <w:bottom w:val="single" w:sz="4" w:space="0" w:color="auto"/>
            </w:tcBorders>
            <w:shd w:val="clear" w:color="auto" w:fill="auto"/>
            <w:vAlign w:val="center"/>
            <w:hideMark/>
          </w:tcPr>
          <w:p w:rsidR="00D912FA" w:rsidRPr="00C24253" w:rsidRDefault="00D912FA" w:rsidP="00974752">
            <w:pPr>
              <w:jc w:val="center"/>
              <w:rPr>
                <w:rFonts w:cs="Arial"/>
                <w:sz w:val="16"/>
                <w:szCs w:val="16"/>
              </w:rPr>
            </w:pPr>
            <w:r w:rsidRPr="00C24253">
              <w:rPr>
                <w:rFonts w:cs="Arial"/>
                <w:sz w:val="16"/>
                <w:szCs w:val="16"/>
              </w:rPr>
              <w:t>35-39</w:t>
            </w:r>
          </w:p>
        </w:tc>
        <w:tc>
          <w:tcPr>
            <w:tcW w:w="455" w:type="pct"/>
            <w:tcBorders>
              <w:top w:val="single" w:sz="4" w:space="0" w:color="auto"/>
              <w:bottom w:val="single" w:sz="4" w:space="0" w:color="auto"/>
            </w:tcBorders>
            <w:shd w:val="clear" w:color="auto" w:fill="auto"/>
            <w:vAlign w:val="center"/>
            <w:hideMark/>
          </w:tcPr>
          <w:p w:rsidR="00D912FA" w:rsidRPr="00C24253" w:rsidRDefault="00D912FA" w:rsidP="00974752">
            <w:pPr>
              <w:jc w:val="center"/>
              <w:rPr>
                <w:rFonts w:cs="Arial"/>
                <w:sz w:val="16"/>
                <w:szCs w:val="16"/>
              </w:rPr>
            </w:pPr>
            <w:r w:rsidRPr="00C24253">
              <w:rPr>
                <w:rFonts w:cs="Arial"/>
                <w:sz w:val="16"/>
                <w:szCs w:val="16"/>
              </w:rPr>
              <w:t>40-49</w:t>
            </w:r>
          </w:p>
        </w:tc>
        <w:tc>
          <w:tcPr>
            <w:tcW w:w="455" w:type="pct"/>
            <w:vMerge/>
            <w:tcBorders>
              <w:top w:val="nil"/>
              <w:bottom w:val="single" w:sz="4" w:space="0" w:color="auto"/>
            </w:tcBorders>
            <w:shd w:val="clear" w:color="auto" w:fill="auto"/>
            <w:vAlign w:val="center"/>
            <w:hideMark/>
          </w:tcPr>
          <w:p w:rsidR="00D912FA" w:rsidRPr="00C24253" w:rsidRDefault="00D912FA" w:rsidP="00974752">
            <w:pPr>
              <w:rPr>
                <w:rFonts w:cs="Arial"/>
                <w:sz w:val="16"/>
                <w:szCs w:val="16"/>
              </w:rPr>
            </w:pPr>
          </w:p>
        </w:tc>
        <w:tc>
          <w:tcPr>
            <w:tcW w:w="455" w:type="pct"/>
            <w:tcBorders>
              <w:top w:val="single" w:sz="4" w:space="0" w:color="auto"/>
              <w:bottom w:val="single" w:sz="4" w:space="0" w:color="auto"/>
            </w:tcBorders>
            <w:shd w:val="clear" w:color="auto" w:fill="auto"/>
            <w:vAlign w:val="center"/>
            <w:hideMark/>
          </w:tcPr>
          <w:p w:rsidR="00D912FA" w:rsidRPr="00C24253" w:rsidRDefault="00D912FA" w:rsidP="00974752">
            <w:pPr>
              <w:jc w:val="center"/>
              <w:rPr>
                <w:rFonts w:cs="Arial"/>
                <w:sz w:val="16"/>
                <w:szCs w:val="16"/>
              </w:rPr>
            </w:pPr>
            <w:r w:rsidRPr="00C24253">
              <w:rPr>
                <w:rFonts w:cs="Arial"/>
                <w:sz w:val="16"/>
                <w:szCs w:val="16"/>
              </w:rPr>
              <w:t>při nar</w:t>
            </w:r>
            <w:r w:rsidRPr="00C24253">
              <w:rPr>
                <w:rFonts w:cs="Arial"/>
                <w:sz w:val="16"/>
                <w:szCs w:val="16"/>
              </w:rPr>
              <w:t>o</w:t>
            </w:r>
            <w:r w:rsidRPr="00C24253">
              <w:rPr>
                <w:rFonts w:cs="Arial"/>
                <w:sz w:val="16"/>
                <w:szCs w:val="16"/>
              </w:rPr>
              <w:t>zení dítěte</w:t>
            </w:r>
          </w:p>
        </w:tc>
        <w:tc>
          <w:tcPr>
            <w:tcW w:w="455" w:type="pct"/>
            <w:tcBorders>
              <w:top w:val="single" w:sz="4" w:space="0" w:color="auto"/>
              <w:bottom w:val="single" w:sz="4" w:space="0" w:color="auto"/>
            </w:tcBorders>
            <w:shd w:val="clear" w:color="auto" w:fill="auto"/>
            <w:vAlign w:val="center"/>
            <w:hideMark/>
          </w:tcPr>
          <w:p w:rsidR="00D912FA" w:rsidRPr="00C24253" w:rsidRDefault="00D912FA" w:rsidP="00974752">
            <w:pPr>
              <w:jc w:val="center"/>
              <w:rPr>
                <w:rFonts w:cs="Arial"/>
                <w:sz w:val="16"/>
                <w:szCs w:val="16"/>
              </w:rPr>
            </w:pPr>
            <w:r w:rsidRPr="00C24253">
              <w:rPr>
                <w:rFonts w:cs="Arial"/>
                <w:sz w:val="16"/>
                <w:szCs w:val="16"/>
              </w:rPr>
              <w:t>při nar</w:t>
            </w:r>
            <w:r w:rsidRPr="00C24253">
              <w:rPr>
                <w:rFonts w:cs="Arial"/>
                <w:sz w:val="16"/>
                <w:szCs w:val="16"/>
              </w:rPr>
              <w:t>o</w:t>
            </w:r>
            <w:r w:rsidRPr="00C24253">
              <w:rPr>
                <w:rFonts w:cs="Arial"/>
                <w:sz w:val="16"/>
                <w:szCs w:val="16"/>
              </w:rPr>
              <w:t>zení 1. dítěte</w:t>
            </w:r>
          </w:p>
        </w:tc>
        <w:tc>
          <w:tcPr>
            <w:tcW w:w="450" w:type="pct"/>
            <w:vMerge/>
            <w:tcBorders>
              <w:top w:val="nil"/>
              <w:bottom w:val="single" w:sz="4" w:space="0" w:color="auto"/>
            </w:tcBorders>
            <w:shd w:val="clear" w:color="auto" w:fill="auto"/>
            <w:vAlign w:val="center"/>
            <w:hideMark/>
          </w:tcPr>
          <w:p w:rsidR="00D912FA" w:rsidRPr="00C24253" w:rsidRDefault="00D912FA" w:rsidP="00974752">
            <w:pPr>
              <w:rPr>
                <w:rFonts w:cs="Arial"/>
                <w:sz w:val="16"/>
                <w:szCs w:val="16"/>
              </w:rPr>
            </w:pPr>
          </w:p>
        </w:tc>
      </w:tr>
      <w:tr w:rsidR="00D912FA" w:rsidRPr="00C24253" w:rsidTr="00974752">
        <w:trPr>
          <w:trHeight w:val="284"/>
        </w:trPr>
        <w:tc>
          <w:tcPr>
            <w:tcW w:w="455" w:type="pct"/>
            <w:tcBorders>
              <w:top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1991</w:t>
            </w:r>
          </w:p>
        </w:tc>
        <w:tc>
          <w:tcPr>
            <w:tcW w:w="455" w:type="pct"/>
            <w:tcBorders>
              <w:top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46,7</w:t>
            </w:r>
          </w:p>
        </w:tc>
        <w:tc>
          <w:tcPr>
            <w:tcW w:w="455" w:type="pct"/>
            <w:tcBorders>
              <w:top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171,3</w:t>
            </w:r>
          </w:p>
        </w:tc>
        <w:tc>
          <w:tcPr>
            <w:tcW w:w="455" w:type="pct"/>
            <w:tcBorders>
              <w:top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101,1</w:t>
            </w:r>
          </w:p>
        </w:tc>
        <w:tc>
          <w:tcPr>
            <w:tcW w:w="455" w:type="pct"/>
            <w:tcBorders>
              <w:top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36,5</w:t>
            </w:r>
          </w:p>
        </w:tc>
        <w:tc>
          <w:tcPr>
            <w:tcW w:w="455" w:type="pct"/>
            <w:tcBorders>
              <w:top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11,1</w:t>
            </w:r>
          </w:p>
        </w:tc>
        <w:tc>
          <w:tcPr>
            <w:tcW w:w="455" w:type="pct"/>
            <w:tcBorders>
              <w:top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1,0</w:t>
            </w:r>
          </w:p>
        </w:tc>
        <w:tc>
          <w:tcPr>
            <w:tcW w:w="455" w:type="pct"/>
            <w:tcBorders>
              <w:top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1,86</w:t>
            </w:r>
          </w:p>
        </w:tc>
        <w:tc>
          <w:tcPr>
            <w:tcW w:w="455" w:type="pct"/>
            <w:tcBorders>
              <w:top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24,7</w:t>
            </w:r>
          </w:p>
        </w:tc>
        <w:tc>
          <w:tcPr>
            <w:tcW w:w="455" w:type="pct"/>
            <w:tcBorders>
              <w:top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22,4</w:t>
            </w:r>
          </w:p>
        </w:tc>
        <w:tc>
          <w:tcPr>
            <w:tcW w:w="450" w:type="pct"/>
            <w:tcBorders>
              <w:top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0,89</w:t>
            </w:r>
          </w:p>
        </w:tc>
      </w:tr>
      <w:tr w:rsidR="00D912FA" w:rsidRPr="00C24253" w:rsidTr="00974752">
        <w:trPr>
          <w:trHeight w:val="284"/>
        </w:trPr>
        <w:tc>
          <w:tcPr>
            <w:tcW w:w="455"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1995</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24,9</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102,3</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81,4</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35,2</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10,6</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0,9</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1,28</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25,8</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23,3</w:t>
            </w:r>
          </w:p>
        </w:tc>
        <w:tc>
          <w:tcPr>
            <w:tcW w:w="45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0,61</w:t>
            </w:r>
          </w:p>
        </w:tc>
      </w:tr>
      <w:tr w:rsidR="00D912FA" w:rsidRPr="00C24253" w:rsidTr="00974752">
        <w:trPr>
          <w:trHeight w:val="284"/>
        </w:trPr>
        <w:tc>
          <w:tcPr>
            <w:tcW w:w="455"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2001</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11,5</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61,4</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92,4</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48,3</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15,3</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1,2</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1,15</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27,5</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25,3</w:t>
            </w:r>
          </w:p>
        </w:tc>
        <w:tc>
          <w:tcPr>
            <w:tcW w:w="45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0,55</w:t>
            </w:r>
          </w:p>
        </w:tc>
      </w:tr>
      <w:tr w:rsidR="00D912FA" w:rsidRPr="00C24253" w:rsidTr="00974752">
        <w:trPr>
          <w:trHeight w:val="284"/>
        </w:trPr>
        <w:tc>
          <w:tcPr>
            <w:tcW w:w="455"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2002</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11,6</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58,3</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93,8</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52,9</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16,9</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1,3</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1,17</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27,8</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25,6</w:t>
            </w:r>
          </w:p>
        </w:tc>
        <w:tc>
          <w:tcPr>
            <w:tcW w:w="45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0,56</w:t>
            </w:r>
          </w:p>
        </w:tc>
      </w:tr>
      <w:tr w:rsidR="00D912FA" w:rsidRPr="00C24253" w:rsidTr="00974752">
        <w:trPr>
          <w:trHeight w:val="284"/>
        </w:trPr>
        <w:tc>
          <w:tcPr>
            <w:tcW w:w="455"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2003</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11,5</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53,8</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94,5</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57,4</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17,6</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1,5</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1,18</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28,1</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25,9</w:t>
            </w:r>
          </w:p>
        </w:tc>
        <w:tc>
          <w:tcPr>
            <w:tcW w:w="45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0,57</w:t>
            </w:r>
          </w:p>
        </w:tc>
      </w:tr>
      <w:tr w:rsidR="00D912FA" w:rsidRPr="00C24253" w:rsidTr="00974752">
        <w:trPr>
          <w:trHeight w:val="284"/>
        </w:trPr>
        <w:tc>
          <w:tcPr>
            <w:tcW w:w="455"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2004</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11,3</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50,7</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97,5</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64,5</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20,2</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1,7</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1,23</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28,3</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26,3</w:t>
            </w:r>
          </w:p>
        </w:tc>
        <w:tc>
          <w:tcPr>
            <w:tcW w:w="45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0,59</w:t>
            </w:r>
          </w:p>
        </w:tc>
      </w:tr>
      <w:tr w:rsidR="00D912FA" w:rsidRPr="00C24253" w:rsidTr="00974752">
        <w:trPr>
          <w:trHeight w:val="284"/>
        </w:trPr>
        <w:tc>
          <w:tcPr>
            <w:tcW w:w="455"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2005</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10,9</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48,7</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100,9</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72,1</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22,8</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1,9</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1,28</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28,6</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26,6</w:t>
            </w:r>
          </w:p>
        </w:tc>
        <w:tc>
          <w:tcPr>
            <w:tcW w:w="45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0,62</w:t>
            </w:r>
          </w:p>
        </w:tc>
      </w:tr>
      <w:tr w:rsidR="00D912FA" w:rsidRPr="00C24253" w:rsidTr="00974752">
        <w:trPr>
          <w:trHeight w:val="284"/>
        </w:trPr>
        <w:tc>
          <w:tcPr>
            <w:tcW w:w="455"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2006</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11,0</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46,8</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101,4</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79,1</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25,9</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2,2</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1,33</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28,9</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26,9</w:t>
            </w:r>
          </w:p>
        </w:tc>
        <w:tc>
          <w:tcPr>
            <w:tcW w:w="45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0,64</w:t>
            </w:r>
          </w:p>
        </w:tc>
      </w:tr>
      <w:tr w:rsidR="00D912FA" w:rsidRPr="00C24253" w:rsidTr="00974752">
        <w:trPr>
          <w:trHeight w:val="284"/>
        </w:trPr>
        <w:tc>
          <w:tcPr>
            <w:tcW w:w="455"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2007</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11,2</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48,0</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105,8</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89,8</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30,6</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2,5</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1,44</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29,1</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27,1</w:t>
            </w:r>
          </w:p>
        </w:tc>
        <w:tc>
          <w:tcPr>
            <w:tcW w:w="45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0,70</w:t>
            </w:r>
          </w:p>
        </w:tc>
      </w:tr>
      <w:tr w:rsidR="00D912FA" w:rsidRPr="00C24253" w:rsidTr="00974752">
        <w:trPr>
          <w:trHeight w:val="284"/>
        </w:trPr>
        <w:tc>
          <w:tcPr>
            <w:tcW w:w="455"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2008</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11,5</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47,9</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106,0</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96,3</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34,5</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2,8</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1,50</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29,3</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27,3</w:t>
            </w:r>
          </w:p>
        </w:tc>
        <w:tc>
          <w:tcPr>
            <w:tcW w:w="45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0,72</w:t>
            </w:r>
          </w:p>
        </w:tc>
      </w:tr>
      <w:tr w:rsidR="00D912FA" w:rsidRPr="00C24253" w:rsidTr="00974752">
        <w:trPr>
          <w:trHeight w:val="284"/>
        </w:trPr>
        <w:tc>
          <w:tcPr>
            <w:tcW w:w="455"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2009</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11,8</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46,8</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102,8</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97,1</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36,2</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3,0</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1,49</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29,4</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27,4</w:t>
            </w:r>
          </w:p>
        </w:tc>
        <w:tc>
          <w:tcPr>
            <w:tcW w:w="45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0,73</w:t>
            </w:r>
          </w:p>
        </w:tc>
      </w:tr>
      <w:tr w:rsidR="00D912FA" w:rsidRPr="00C24253" w:rsidTr="00974752">
        <w:trPr>
          <w:trHeight w:val="284"/>
        </w:trPr>
        <w:tc>
          <w:tcPr>
            <w:tcW w:w="455"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2010</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11,5</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45,7</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99,7</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99,0</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38,4</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3,1</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1,49</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29,6</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27,6</w:t>
            </w:r>
          </w:p>
        </w:tc>
        <w:tc>
          <w:tcPr>
            <w:tcW w:w="45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0,72</w:t>
            </w:r>
          </w:p>
        </w:tc>
      </w:tr>
      <w:tr w:rsidR="00D912FA" w:rsidRPr="00C24253" w:rsidTr="00974752">
        <w:trPr>
          <w:trHeight w:val="284"/>
        </w:trPr>
        <w:tc>
          <w:tcPr>
            <w:tcW w:w="455"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2011</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11,3</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42,4</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93,6</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95,7</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37,2</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3,2</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1,43</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29,7</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27,8</w:t>
            </w:r>
          </w:p>
        </w:tc>
        <w:tc>
          <w:tcPr>
            <w:tcW w:w="45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0,69</w:t>
            </w:r>
          </w:p>
        </w:tc>
      </w:tr>
      <w:tr w:rsidR="00D912FA" w:rsidRPr="00C24253" w:rsidTr="00974752">
        <w:trPr>
          <w:trHeight w:val="284"/>
        </w:trPr>
        <w:tc>
          <w:tcPr>
            <w:tcW w:w="455"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2012</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12,0</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42,5</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93,4</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98,1</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38,4</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3,5</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1,45</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29,8</w:t>
            </w:r>
          </w:p>
        </w:tc>
        <w:tc>
          <w:tcPr>
            <w:tcW w:w="4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27,9</w:t>
            </w:r>
          </w:p>
        </w:tc>
        <w:tc>
          <w:tcPr>
            <w:tcW w:w="45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0,70</w:t>
            </w:r>
          </w:p>
        </w:tc>
      </w:tr>
    </w:tbl>
    <w:p w:rsidR="00D912FA" w:rsidRPr="00C24253" w:rsidRDefault="00D912FA" w:rsidP="00D912FA">
      <w:pPr>
        <w:jc w:val="center"/>
        <w:rPr>
          <w:rFonts w:eastAsia="Calibri" w:cs="Arial"/>
          <w:noProof/>
          <w:sz w:val="20"/>
          <w:szCs w:val="20"/>
        </w:rPr>
      </w:pPr>
    </w:p>
    <w:p w:rsidR="00D912FA" w:rsidRPr="00C24253" w:rsidRDefault="00517FA8" w:rsidP="00D912FA">
      <w:pPr>
        <w:spacing w:before="240" w:after="120"/>
        <w:jc w:val="center"/>
        <w:rPr>
          <w:rFonts w:eastAsia="Calibri" w:cs="Arial"/>
          <w:sz w:val="20"/>
          <w:szCs w:val="20"/>
        </w:rPr>
      </w:pPr>
      <w:r w:rsidRPr="00517FA8">
        <w:rPr>
          <w:rFonts w:eastAsia="Calibri" w:cs="Arial"/>
          <w:noProof/>
          <w:sz w:val="20"/>
          <w:szCs w:val="20"/>
        </w:rPr>
        <w:pict>
          <v:shape id="obrázek 2" o:spid="_x0000_i1026" type="#_x0000_t75" style="width:454.5pt;height:227.25pt;visibility:visible;mso-wrap-style:square">
            <v:imagedata r:id="rId15" o:title=""/>
          </v:shape>
        </w:pict>
      </w:r>
    </w:p>
    <w:p w:rsidR="00D912FA" w:rsidRPr="009E2909" w:rsidRDefault="00D912FA" w:rsidP="00D912FA">
      <w:pPr>
        <w:pStyle w:val="Nadpis5"/>
        <w:numPr>
          <w:ilvl w:val="0"/>
          <w:numId w:val="0"/>
        </w:numPr>
        <w:ind w:left="720" w:hanging="720"/>
      </w:pPr>
      <w:r w:rsidRPr="009E2909">
        <w:t>Manželská a mimomanželská porodnost</w:t>
      </w:r>
    </w:p>
    <w:p w:rsidR="00D912FA" w:rsidRPr="00C24253" w:rsidRDefault="00D912FA" w:rsidP="00D912FA">
      <w:pPr>
        <w:pStyle w:val="Zkladntext"/>
        <w:tabs>
          <w:tab w:val="left" w:pos="540"/>
        </w:tabs>
        <w:ind w:firstLine="0"/>
        <w:rPr>
          <w:b/>
          <w:bCs/>
          <w:spacing w:val="-2"/>
        </w:rPr>
      </w:pPr>
      <w:r w:rsidRPr="00C24253">
        <w:rPr>
          <w:bCs/>
          <w:spacing w:val="-3"/>
        </w:rPr>
        <w:t>Další významnou strukturální proměnou porodnosti od konce 80. let je změna ve složení narozených dětí podle rodinného stavu matky.</w:t>
      </w:r>
      <w:r w:rsidRPr="00C24253">
        <w:rPr>
          <w:b/>
          <w:bCs/>
          <w:spacing w:val="-3"/>
        </w:rPr>
        <w:t xml:space="preserve"> </w:t>
      </w:r>
      <w:r w:rsidRPr="00C24253">
        <w:rPr>
          <w:bCs/>
          <w:spacing w:val="-3"/>
        </w:rPr>
        <w:t>Celkový podíl dětí narozených nevdaným ženám se zvy</w:t>
      </w:r>
      <w:r w:rsidR="00D423B3">
        <w:rPr>
          <w:bCs/>
          <w:spacing w:val="-3"/>
        </w:rPr>
        <w:t>šuje nepřetržitě od roku 1988 a </w:t>
      </w:r>
      <w:r w:rsidRPr="00C24253">
        <w:rPr>
          <w:bCs/>
          <w:spacing w:val="-3"/>
        </w:rPr>
        <w:t xml:space="preserve">do roku 2012 se zvýšil z 8 % v roce 1988 (10,0 tisíce dětí) na 43 % (47,1 tisíce dětí). </w:t>
      </w:r>
      <w:r w:rsidR="00D423B3">
        <w:rPr>
          <w:bCs/>
          <w:spacing w:val="-3"/>
        </w:rPr>
        <w:t>Za nárůstem počtu a </w:t>
      </w:r>
      <w:r w:rsidRPr="00C24253">
        <w:rPr>
          <w:bCs/>
          <w:spacing w:val="-3"/>
        </w:rPr>
        <w:t>podílu dětí rozených mimo manželství stál především vzestup počtu prvních dětí narozených nevdaným ž</w:t>
      </w:r>
      <w:r w:rsidRPr="00C24253">
        <w:rPr>
          <w:bCs/>
          <w:spacing w:val="-3"/>
        </w:rPr>
        <w:t>e</w:t>
      </w:r>
      <w:r w:rsidRPr="00C24253">
        <w:rPr>
          <w:bCs/>
          <w:spacing w:val="-3"/>
        </w:rPr>
        <w:t>nám. Zvyšovaly se ale i počty mimomanželsky narozených dětí vyššího pořadí (kompletní výjimkou byl rok 2011, kdy došlo k meziročnímu snížení počtu dětí narozených mimo manželství prvního</w:t>
      </w:r>
      <w:r w:rsidR="00D423B3">
        <w:rPr>
          <w:bCs/>
          <w:spacing w:val="-3"/>
        </w:rPr>
        <w:t>, druhého, třetího i čtvrtého a </w:t>
      </w:r>
      <w:r w:rsidRPr="00C24253">
        <w:rPr>
          <w:bCs/>
          <w:spacing w:val="-3"/>
        </w:rPr>
        <w:t>vyššího pořadí).</w:t>
      </w:r>
      <w:r w:rsidRPr="00C24253">
        <w:rPr>
          <w:b/>
          <w:bCs/>
          <w:spacing w:val="-2"/>
        </w:rPr>
        <w:t xml:space="preserve"> </w:t>
      </w:r>
    </w:p>
    <w:p w:rsidR="00D912FA" w:rsidRPr="00C24253" w:rsidRDefault="00D912FA" w:rsidP="00D912FA">
      <w:pPr>
        <w:pStyle w:val="Zkladntext"/>
        <w:tabs>
          <w:tab w:val="left" w:pos="540"/>
        </w:tabs>
        <w:ind w:firstLine="0"/>
        <w:rPr>
          <w:bCs/>
          <w:spacing w:val="-2"/>
        </w:rPr>
      </w:pPr>
      <w:r w:rsidRPr="00C24253">
        <w:rPr>
          <w:bCs/>
          <w:spacing w:val="-2"/>
        </w:rPr>
        <w:t>Naprostá většina dětí narozených mimo manželství se rodí svobodným ženám. Jejich podíl se v čase zvyšoval, v neprospěch žen rozvedených. V roce 2012 mělo 86 % dětí narozených mi</w:t>
      </w:r>
      <w:r w:rsidR="00D423B3">
        <w:rPr>
          <w:bCs/>
          <w:spacing w:val="-2"/>
        </w:rPr>
        <w:t>mo manželství matku svobodnou a </w:t>
      </w:r>
      <w:r w:rsidRPr="00C24253">
        <w:rPr>
          <w:bCs/>
          <w:spacing w:val="-2"/>
        </w:rPr>
        <w:t xml:space="preserve">rozvedenou 14 %, v roce 1991 to bylo 73 %, resp. 25 %. U svobodných se jedná zejména o velmi mladé matky, u rozvedených jde hlavně o ženy ve věku nad 30 let rodící děti vyšších pořadí, pravděpodobně v novém partnerském svazku. </w:t>
      </w:r>
    </w:p>
    <w:p w:rsidR="00D912FA" w:rsidRPr="00C24253" w:rsidRDefault="00D912FA" w:rsidP="00D912FA">
      <w:pPr>
        <w:pStyle w:val="Zkladntext"/>
        <w:tabs>
          <w:tab w:val="left" w:pos="540"/>
        </w:tabs>
        <w:ind w:firstLine="0"/>
        <w:rPr>
          <w:bCs/>
          <w:spacing w:val="-2"/>
        </w:rPr>
      </w:pPr>
      <w:r w:rsidRPr="00C24253">
        <w:rPr>
          <w:bCs/>
          <w:spacing w:val="-2"/>
        </w:rPr>
        <w:lastRenderedPageBreak/>
        <w:t xml:space="preserve">Zajímavá je struktura dětí narozených mimo manželství podle vzdělání ženy. Nejnižší podíl dětí narozených neprovdaným ženám se vyskytuje mezi vysokoškolsky vzdělanými ženami, naopak nejvyšší mezi ženami se základním vzděláním. </w:t>
      </w:r>
    </w:p>
    <w:p w:rsidR="00D912FA" w:rsidRPr="00C24253" w:rsidRDefault="00D912FA" w:rsidP="00D912FA">
      <w:pPr>
        <w:pStyle w:val="Zkladntext"/>
        <w:tabs>
          <w:tab w:val="left" w:pos="540"/>
        </w:tabs>
        <w:ind w:firstLine="0"/>
        <w:rPr>
          <w:bCs/>
          <w:spacing w:val="-2"/>
        </w:rPr>
      </w:pPr>
      <w:r w:rsidRPr="00C24253">
        <w:rPr>
          <w:bCs/>
          <w:spacing w:val="-2"/>
        </w:rPr>
        <w:t>Nepřímá závislost mezi úrovní dosaženého vzdělání a podílu dětí narozených mimo manželství platí v celém vzdělanostním spektru. Na první pohled by se z toho dalo usuzovat na nejtradičnější způsob chování u vys</w:t>
      </w:r>
      <w:r w:rsidRPr="00C24253">
        <w:rPr>
          <w:bCs/>
          <w:spacing w:val="-2"/>
        </w:rPr>
        <w:t>o</w:t>
      </w:r>
      <w:r w:rsidRPr="00C24253">
        <w:rPr>
          <w:bCs/>
          <w:spacing w:val="-2"/>
        </w:rPr>
        <w:t>koškolsky vzdělaných žen, nicméně je však třeba brát v úvahu další okolnosti, zejména ekonomického chara</w:t>
      </w:r>
      <w:r w:rsidRPr="00C24253">
        <w:rPr>
          <w:bCs/>
          <w:spacing w:val="-2"/>
        </w:rPr>
        <w:t>k</w:t>
      </w:r>
      <w:r w:rsidRPr="00C24253">
        <w:rPr>
          <w:bCs/>
          <w:spacing w:val="-2"/>
        </w:rPr>
        <w:t xml:space="preserve">teru, které spoluvytváří “výhodnost/nevýhodnost“ narození dítěte nesezdaným rodičům. U žen s nejnižším vzděláním lze ale předpokládat vyšší podíl matek samoživitelek. </w:t>
      </w:r>
    </w:p>
    <w:p w:rsidR="00D912FA" w:rsidRDefault="00D912FA" w:rsidP="00D912FA">
      <w:pPr>
        <w:pStyle w:val="Zkladntext"/>
        <w:tabs>
          <w:tab w:val="left" w:pos="540"/>
        </w:tabs>
        <w:spacing w:after="240"/>
        <w:ind w:firstLine="0"/>
        <w:rPr>
          <w:bCs/>
          <w:spacing w:val="-2"/>
        </w:rPr>
      </w:pPr>
      <w:r w:rsidRPr="00C24253">
        <w:rPr>
          <w:bCs/>
          <w:spacing w:val="-2"/>
        </w:rPr>
        <w:t>Podíl dětí rodících se mimo manželství se zvýšil u žen všech vzdělanostních úrovní, relativně nejméně (ale z vysoké výchozí hodnoty) u žen se základním vzděláním, kdy se mezi roky 1991 a 2012 jednalo o 2,5násobné zvýšení podílu mimomanželsky narozených ze všech dětí narozených ženám daného vzdělání, zatímco nav</w:t>
      </w:r>
      <w:r w:rsidRPr="00C24253">
        <w:rPr>
          <w:bCs/>
          <w:spacing w:val="-2"/>
        </w:rPr>
        <w:t>ý</w:t>
      </w:r>
      <w:r w:rsidRPr="00C24253">
        <w:rPr>
          <w:bCs/>
          <w:spacing w:val="-2"/>
        </w:rPr>
        <w:t>šení u ostatních kategorií bylo výrazně vyšší: téměř 9násobné pro ženy se středoškolským vzděláním s maturitou, 7násobné u vysokoškolsky vzdělaných žen a 6násobné u žen se středním vzděláním bez maturity. Nestejným vývojem se tato diferenciace v reprodukčním chování žen značně snížila, byla však vyvolaná obe</w:t>
      </w:r>
      <w:r w:rsidRPr="00C24253">
        <w:rPr>
          <w:bCs/>
          <w:spacing w:val="-2"/>
        </w:rPr>
        <w:t>c</w:t>
      </w:r>
      <w:r w:rsidRPr="00C24253">
        <w:rPr>
          <w:bCs/>
          <w:spacing w:val="-2"/>
        </w:rPr>
        <w:t>nou změnou společenského vnímání narození dítěte mimo manželství, která se projevila i v celkovém vzestupu počtu a podílu dětí rodících se neprovdaným ženám.</w:t>
      </w:r>
    </w:p>
    <w:p w:rsidR="00D912FA" w:rsidRPr="00D62F47" w:rsidRDefault="00517FA8" w:rsidP="00D912FA">
      <w:pPr>
        <w:pStyle w:val="Zkladntext"/>
        <w:tabs>
          <w:tab w:val="left" w:pos="540"/>
        </w:tabs>
        <w:spacing w:after="240"/>
        <w:ind w:firstLine="0"/>
        <w:jc w:val="center"/>
        <w:rPr>
          <w:bCs/>
          <w:spacing w:val="-2"/>
        </w:rPr>
      </w:pPr>
      <w:r>
        <w:rPr>
          <w:bCs/>
          <w:noProof/>
          <w:spacing w:val="-2"/>
        </w:rPr>
        <w:pict>
          <v:shape id="_x0000_s1647" type="#_x0000_t75" style="position:absolute;left:0;text-align:left;margin-left:0;margin-top:0;width:425.85pt;height:240.15pt;z-index:251658752;mso-wrap-distance-bottom:7.1pt;mso-position-horizontal:center" o:allowoverlap="f">
            <v:imagedata r:id="rId16" o:title=""/>
            <w10:wrap type="square"/>
          </v:shape>
        </w:pict>
      </w:r>
    </w:p>
    <w:p w:rsidR="00D912FA" w:rsidRPr="00C24253" w:rsidRDefault="00D912FA" w:rsidP="00D912FA">
      <w:pPr>
        <w:spacing w:before="240" w:after="120"/>
        <w:rPr>
          <w:rFonts w:ascii="Times New Roman" w:eastAsia="Calibri" w:hAnsi="Times New Roman"/>
          <w:sz w:val="24"/>
        </w:rPr>
      </w:pPr>
      <w:r w:rsidRPr="00C24253">
        <w:rPr>
          <w:rFonts w:eastAsia="Calibri" w:cs="Arial"/>
          <w:sz w:val="20"/>
          <w:szCs w:val="20"/>
        </w:rPr>
        <w:t>Z dat běžné demografické statistiky však není zjistitelné, jaký podíl mimomanželské plodnosti je zastoupen ženami bez partnera a jaký podíl je realizován v nesezdaných soužitích, tj. jaká část dětí narozených nepr</w:t>
      </w:r>
      <w:r w:rsidRPr="00C24253">
        <w:rPr>
          <w:rFonts w:eastAsia="Calibri" w:cs="Arial"/>
          <w:sz w:val="20"/>
          <w:szCs w:val="20"/>
        </w:rPr>
        <w:t>o</w:t>
      </w:r>
      <w:r w:rsidRPr="00C24253">
        <w:rPr>
          <w:rFonts w:eastAsia="Calibri" w:cs="Arial"/>
          <w:sz w:val="20"/>
          <w:szCs w:val="20"/>
        </w:rPr>
        <w:t>vdaným matkám je přiváděna do úplných rodin, a jaký podíl připadá na os</w:t>
      </w:r>
      <w:r w:rsidR="00D423B3">
        <w:rPr>
          <w:rFonts w:eastAsia="Calibri" w:cs="Arial"/>
          <w:sz w:val="20"/>
          <w:szCs w:val="20"/>
        </w:rPr>
        <w:t>amělé matky. Propojením údajů o </w:t>
      </w:r>
      <w:r w:rsidRPr="00C24253">
        <w:rPr>
          <w:rFonts w:eastAsia="Calibri" w:cs="Arial"/>
          <w:sz w:val="20"/>
          <w:szCs w:val="20"/>
        </w:rPr>
        <w:t>matkách rodící</w:t>
      </w:r>
      <w:r>
        <w:rPr>
          <w:rFonts w:eastAsia="Calibri" w:cs="Arial"/>
          <w:sz w:val="20"/>
          <w:szCs w:val="20"/>
        </w:rPr>
        <w:t>ch</w:t>
      </w:r>
      <w:r w:rsidRPr="00C24253">
        <w:rPr>
          <w:rFonts w:eastAsia="Calibri" w:cs="Arial"/>
          <w:sz w:val="20"/>
          <w:szCs w:val="20"/>
        </w:rPr>
        <w:t xml:space="preserve"> děti mimo manželství s daty o nevěstách uzavírajících sňatek lze zjistit, resp. odhadnout</w:t>
      </w:r>
      <w:r>
        <w:rPr>
          <w:rFonts w:eastAsia="Calibri" w:cs="Arial"/>
          <w:sz w:val="20"/>
          <w:szCs w:val="20"/>
        </w:rPr>
        <w:t>,</w:t>
      </w:r>
      <w:r w:rsidRPr="00C24253">
        <w:rPr>
          <w:rFonts w:eastAsia="Calibri" w:cs="Arial"/>
          <w:sz w:val="20"/>
          <w:szCs w:val="20"/>
        </w:rPr>
        <w:t xml:space="preserve"> jaká část žen přivede nejdříve na svět dítě a až následně vstoupí do manželství. Pro narozené v posledních několika letech lze tento podíl odhadovat na 25-30 %. K uzavření manželství po narození dítěte dochází nejčastěji následující kalendářní rok.</w:t>
      </w:r>
      <w:r w:rsidRPr="00C24253">
        <w:rPr>
          <w:rFonts w:ascii="Times New Roman" w:eastAsia="Calibri" w:hAnsi="Times New Roman"/>
          <w:sz w:val="24"/>
        </w:rPr>
        <w:t xml:space="preserve"> </w:t>
      </w:r>
    </w:p>
    <w:p w:rsidR="00D912FA" w:rsidRPr="00C24253" w:rsidRDefault="00D912FA" w:rsidP="00D912FA">
      <w:pPr>
        <w:spacing w:after="120"/>
        <w:rPr>
          <w:rFonts w:eastAsia="Calibri" w:cs="Arial"/>
          <w:sz w:val="20"/>
          <w:szCs w:val="20"/>
        </w:rPr>
      </w:pPr>
      <w:r w:rsidRPr="00C24253">
        <w:rPr>
          <w:rFonts w:eastAsia="Calibri" w:cs="Arial"/>
          <w:sz w:val="20"/>
          <w:szCs w:val="20"/>
        </w:rPr>
        <w:t>Oslabení vazby sňatek – narození dítěte a její proměnu lze dokumentovat i pomocí ukazatele procentního zastoupení předmanželských koncepcí, vyjadřujícího podíl prvních dětí narozených v nynějším manželství do 8 měsíců od sňatku.</w:t>
      </w:r>
      <w:r w:rsidRPr="00C24253">
        <w:rPr>
          <w:rFonts w:ascii="Times New Roman" w:eastAsia="Calibri" w:hAnsi="Times New Roman"/>
          <w:sz w:val="24"/>
        </w:rPr>
        <w:t xml:space="preserve"> </w:t>
      </w:r>
      <w:r w:rsidRPr="00C24253">
        <w:rPr>
          <w:rFonts w:eastAsia="Calibri" w:cs="Arial"/>
          <w:sz w:val="20"/>
          <w:szCs w:val="20"/>
        </w:rPr>
        <w:t xml:space="preserve">Zatímco do začátku 90. let minulého století sňatku často předcházelo otěhotnění partnerky, snadno dostupná spolehlivá antikoncepce a změna postojů mladých generací tuto situaci měnila. Důvody uzavírání/neuzavírání manželství jsou dnes více rozmanité a liší se u jednotlivých skupin populace. </w:t>
      </w:r>
    </w:p>
    <w:p w:rsidR="00D912FA" w:rsidRPr="00C24253" w:rsidRDefault="00D912FA" w:rsidP="00D912FA">
      <w:pPr>
        <w:spacing w:after="120"/>
        <w:rPr>
          <w:rFonts w:eastAsia="Calibri" w:cs="Arial"/>
          <w:sz w:val="20"/>
          <w:szCs w:val="20"/>
        </w:rPr>
      </w:pPr>
      <w:r w:rsidRPr="00C24253">
        <w:rPr>
          <w:rFonts w:eastAsia="Calibri" w:cs="Arial"/>
          <w:sz w:val="20"/>
          <w:szCs w:val="20"/>
        </w:rPr>
        <w:t>Na přelomu 80. a 90. let bylo více než 50 % prvních dětí narozených v nynějším manželství počato před sňatkem, aktuální údaje za rok 2012 ukazují na pokles až na 26 %.</w:t>
      </w:r>
      <w:r w:rsidRPr="00C24253">
        <w:rPr>
          <w:rFonts w:ascii="Calibri" w:eastAsia="Calibri" w:hAnsi="Calibri"/>
        </w:rPr>
        <w:t xml:space="preserve"> </w:t>
      </w:r>
      <w:r w:rsidRPr="00C24253">
        <w:rPr>
          <w:rFonts w:eastAsia="Calibri" w:cs="Arial"/>
          <w:sz w:val="20"/>
          <w:szCs w:val="20"/>
        </w:rPr>
        <w:t>Struktura narozených dětí podle doby uplynulé od sňatku rodičů se celkově posunula ve směru snížení koncentrace rození dětí do jednoho roku od uzavření sňatku. Na počátku 90. let minulého století se před uplynutím jednoho roku od svatby narodilo více než 65 % prvních dětí, v roce 2012 již jen 37 %, ve druhém roce trvání manželství 20, resp. 25 %, ve třetím 7, resp. 14 %.</w:t>
      </w:r>
    </w:p>
    <w:p w:rsidR="00D912FA" w:rsidRPr="00C24253" w:rsidRDefault="00D912FA" w:rsidP="00D912FA">
      <w:pPr>
        <w:spacing w:after="120"/>
        <w:rPr>
          <w:rFonts w:eastAsia="Calibri" w:cs="Arial"/>
          <w:sz w:val="20"/>
          <w:szCs w:val="20"/>
        </w:rPr>
      </w:pPr>
      <w:r w:rsidRPr="00C24253">
        <w:rPr>
          <w:rFonts w:eastAsia="Calibri" w:cs="Arial"/>
          <w:sz w:val="20"/>
          <w:szCs w:val="20"/>
        </w:rPr>
        <w:t>I přes značný vzestup počtu (a podílu) dětí narozených nevdaným ženám, se stále většina dětí rodí v manželství. Počty dětí narozených vdaným ženám rychle klesaly v první polovině 90. let a to ve všech pořadích, v dalších letech byl pokles již výrazně pomalejší a v období let 2004-2008 se počty prvních, dr</w:t>
      </w:r>
      <w:r w:rsidRPr="00C24253">
        <w:rPr>
          <w:rFonts w:eastAsia="Calibri" w:cs="Arial"/>
          <w:sz w:val="20"/>
          <w:szCs w:val="20"/>
        </w:rPr>
        <w:t>u</w:t>
      </w:r>
      <w:r w:rsidRPr="00C24253">
        <w:rPr>
          <w:rFonts w:eastAsia="Calibri" w:cs="Arial"/>
          <w:sz w:val="20"/>
          <w:szCs w:val="20"/>
        </w:rPr>
        <w:lastRenderedPageBreak/>
        <w:t xml:space="preserve">hých i třetích a dalších narozených v manželství zvyšovaly, poté opět klesaly. Snížení počtu dětí narozených v manželství nastalo především v důsledku úbytku vdaných žen (absolutní počet žen v reprodukčním věku žijících v manželství se mezi roky 1991 a 2012 snížil téměř o čtyřicet procent). </w:t>
      </w:r>
    </w:p>
    <w:p w:rsidR="00D912FA" w:rsidRPr="009E2909" w:rsidRDefault="00D912FA" w:rsidP="00D912FA">
      <w:pPr>
        <w:pStyle w:val="Nadpis5"/>
        <w:numPr>
          <w:ilvl w:val="0"/>
          <w:numId w:val="0"/>
        </w:numPr>
        <w:ind w:left="720" w:hanging="720"/>
      </w:pPr>
      <w:r w:rsidRPr="009E2909">
        <w:t>Generační plodnost žen (ze sčítání lidu)</w:t>
      </w:r>
    </w:p>
    <w:p w:rsidR="00D912FA" w:rsidRPr="00C24253" w:rsidRDefault="00D912FA" w:rsidP="00D912FA">
      <w:pPr>
        <w:spacing w:after="120"/>
        <w:rPr>
          <w:rFonts w:eastAsia="Calibri" w:cs="Arial"/>
          <w:sz w:val="20"/>
          <w:szCs w:val="20"/>
        </w:rPr>
      </w:pPr>
      <w:r w:rsidRPr="00C24253">
        <w:rPr>
          <w:rFonts w:eastAsia="Calibri" w:cs="Arial"/>
          <w:sz w:val="20"/>
          <w:szCs w:val="20"/>
        </w:rPr>
        <w:t>Otázkou na celkový počet narozených dětí se při sčítáních zjišťuje plodnost jednotlivých generací. Výsledky cenzu z roku 2011 potvrzují celkové snížení úrovně plodnosti a její posun do pozdějšího věku. Poslední g</w:t>
      </w:r>
      <w:r w:rsidRPr="00C24253">
        <w:rPr>
          <w:rFonts w:eastAsia="Calibri" w:cs="Arial"/>
          <w:sz w:val="20"/>
          <w:szCs w:val="20"/>
        </w:rPr>
        <w:t>e</w:t>
      </w:r>
      <w:r w:rsidRPr="00C24253">
        <w:rPr>
          <w:rFonts w:eastAsia="Calibri" w:cs="Arial"/>
          <w:sz w:val="20"/>
          <w:szCs w:val="20"/>
        </w:rPr>
        <w:t>nerace žen, jejichž konečná plodnost je vyšší než dvě (záchovná hranice, aby se populace vlivem plodnosti nezmenšovala) se narodily na přelomu padesátých a šedesátých let. Plodnost žen narozených v šedesátých letech byla již nižší a pokles pokračoval i u generací ze sedmdesátých let 20. století, kterým se již velmi pravděpodobně nepodaří dosáhnout úrovně konečné plodnosti, kterou zaznamenávaly generace o desetiletí starší. Např. na ročník 1974, tedy na ženy, které byly v době sčítání 36 a 37leté, připadlo k datu sčítání v průměru 1,69 dítěte na jednu ženu, zatímco stejně staré ženy generace z poloviny 60. let do tohoto věku přivedly na svět každá téměř 1,9 dítěte a jejich (prakticky) konečná plodnost zjištěná při sčítání byla 1,92, zatímco celkovou plodnost žen narozených v roce 1974 lze odhadovat na necelých 1,8, pro generace mladší ale ještě méně. Výsledky cenzu pro ženy narozené v roce 1980, k datu jeho konání 30 a 31leté, ukazují na dosavadní úroveň plodnosti 0,99 dítěte na jednu ženu a odhad jejich konečné plodnosti v Projekci ČSÚ 2013 byl 1,61.</w:t>
      </w:r>
    </w:p>
    <w:p w:rsidR="00D912FA" w:rsidRPr="00C24253" w:rsidRDefault="00D912FA" w:rsidP="00D912FA">
      <w:pPr>
        <w:autoSpaceDE w:val="0"/>
        <w:autoSpaceDN w:val="0"/>
        <w:adjustRightInd w:val="0"/>
        <w:spacing w:after="120"/>
        <w:rPr>
          <w:rFonts w:eastAsia="Calibri" w:cs="Arial"/>
          <w:sz w:val="20"/>
          <w:szCs w:val="20"/>
        </w:rPr>
      </w:pPr>
      <w:r w:rsidRPr="00C24253">
        <w:rPr>
          <w:rFonts w:eastAsia="Calibri" w:cs="Arial"/>
          <w:sz w:val="20"/>
          <w:szCs w:val="20"/>
        </w:rPr>
        <w:t>Generační míry plodnosti podle věku</w:t>
      </w:r>
      <w:r w:rsidRPr="00C24253">
        <w:rPr>
          <w:rStyle w:val="Znakapoznpodarou"/>
          <w:rFonts w:eastAsia="Calibri" w:cs="Arial"/>
          <w:sz w:val="20"/>
          <w:szCs w:val="20"/>
        </w:rPr>
        <w:footnoteReference w:id="2"/>
      </w:r>
      <w:r w:rsidRPr="00C24253">
        <w:rPr>
          <w:rFonts w:eastAsia="Calibri" w:cs="Arial"/>
          <w:sz w:val="20"/>
          <w:szCs w:val="20"/>
        </w:rPr>
        <w:t xml:space="preserve"> dokumentují změny v časování rození dětí. Zatímco ve 30 letech věku připadalo na ženy narozené v roce 1965 průměrně 1,69 dítěte, na stejně starou ženu z ročníku 1970 to bylo 1,47, z ročníku 1975 již jen 1,13 a z kohorty 1980 ještě méně, 0,94 dítěte. Věkem maximální plodnosti byl pro generaci 1965 věk 21 let, stejně jako pro ročník 1970, ale pro generaci 1975 již věk 30 let, ale úroveň jejich plodnosti v tomto věku byla výrazně nižší. Vyšší byla intenzita i v dalších věcích. Křivka měr plodnosti podle věku pro generace žen narozených v letech 1974-1975 má však atypický tvar, neboť v době socioek</w:t>
      </w:r>
      <w:r w:rsidRPr="00C24253">
        <w:rPr>
          <w:rFonts w:eastAsia="Calibri" w:cs="Arial"/>
          <w:sz w:val="20"/>
          <w:szCs w:val="20"/>
        </w:rPr>
        <w:t>o</w:t>
      </w:r>
      <w:r w:rsidRPr="00C24253">
        <w:rPr>
          <w:rFonts w:eastAsia="Calibri" w:cs="Arial"/>
          <w:sz w:val="20"/>
          <w:szCs w:val="20"/>
        </w:rPr>
        <w:t>nomických změn v 90. letech 20. století byly ve věku okolo dvaceti let a jejich plodnost v tomto věku zůstala výrazně nižší než u předchozích generací, odložená reprodukce se částečně realizovala postupně v pozdějším věku, a vytvořil se tak široký interval vysoké úrovně plodnost</w:t>
      </w:r>
      <w:r w:rsidR="00D423B3">
        <w:rPr>
          <w:rFonts w:eastAsia="Calibri" w:cs="Arial"/>
          <w:sz w:val="20"/>
          <w:szCs w:val="20"/>
        </w:rPr>
        <w:t>i (zhruba mezi 20 a 30 lety). U </w:t>
      </w:r>
      <w:r w:rsidRPr="00C24253">
        <w:rPr>
          <w:rFonts w:eastAsia="Calibri" w:cs="Arial"/>
          <w:sz w:val="20"/>
          <w:szCs w:val="20"/>
        </w:rPr>
        <w:t xml:space="preserve">mladších generací má křivka věkově specifických měr plodnosti již opět zřetelný vrchol, který ale již není tak ostrý jako u generací starších. </w:t>
      </w:r>
    </w:p>
    <w:p w:rsidR="00D912FA" w:rsidRPr="00C24253" w:rsidRDefault="00517FA8" w:rsidP="00D912FA">
      <w:pPr>
        <w:autoSpaceDE w:val="0"/>
        <w:autoSpaceDN w:val="0"/>
        <w:adjustRightInd w:val="0"/>
        <w:spacing w:before="240" w:after="120"/>
        <w:rPr>
          <w:rFonts w:eastAsia="Calibri" w:cs="Arial"/>
          <w:sz w:val="20"/>
          <w:szCs w:val="20"/>
        </w:rPr>
      </w:pPr>
      <w:r>
        <w:rPr>
          <w:rFonts w:eastAsia="Calibri" w:cs="Arial"/>
          <w:noProof/>
          <w:sz w:val="20"/>
          <w:szCs w:val="20"/>
        </w:rPr>
        <w:pict>
          <v:shape id="obrázek 9" o:spid="_x0000_s1649" type="#_x0000_t75" style="position:absolute;left:0;text-align:left;margin-left:0;margin-top:9.05pt;width:426.15pt;height:240.15pt;z-index:-251654656;visibility:visible;mso-position-horizontal:center">
            <v:imagedata r:id="rId17" o:title=""/>
            <w10:wrap type="square"/>
          </v:shape>
        </w:pict>
      </w:r>
    </w:p>
    <w:p w:rsidR="00D912FA" w:rsidRPr="00C24253" w:rsidRDefault="00D912FA" w:rsidP="00D912FA">
      <w:pPr>
        <w:spacing w:after="480"/>
        <w:rPr>
          <w:rFonts w:eastAsia="Calibri" w:cs="Arial"/>
          <w:sz w:val="20"/>
          <w:szCs w:val="20"/>
        </w:rPr>
      </w:pPr>
      <w:r w:rsidRPr="00C24253">
        <w:rPr>
          <w:rFonts w:eastAsia="Calibri" w:cs="Arial"/>
          <w:sz w:val="20"/>
          <w:szCs w:val="20"/>
        </w:rPr>
        <w:br w:type="page"/>
      </w:r>
      <w:r w:rsidRPr="00C24253">
        <w:rPr>
          <w:rFonts w:eastAsia="Calibri" w:cs="Arial"/>
          <w:sz w:val="20"/>
          <w:szCs w:val="20"/>
        </w:rPr>
        <w:lastRenderedPageBreak/>
        <w:t>Výsledky sčítání 2011, stejně jako 1991 a 2001, potvrzují, že ženy žijící v České republice jsou stále nejča</w:t>
      </w:r>
      <w:r w:rsidRPr="00C24253">
        <w:rPr>
          <w:rFonts w:eastAsia="Calibri" w:cs="Arial"/>
          <w:sz w:val="20"/>
          <w:szCs w:val="20"/>
        </w:rPr>
        <w:t>s</w:t>
      </w:r>
      <w:r w:rsidRPr="00C24253">
        <w:rPr>
          <w:rFonts w:eastAsia="Calibri" w:cs="Arial"/>
          <w:sz w:val="20"/>
          <w:szCs w:val="20"/>
        </w:rPr>
        <w:t>těji matkami 2 dětí</w:t>
      </w:r>
      <w:r w:rsidRPr="00C24253">
        <w:rPr>
          <w:rStyle w:val="Znakapoznpodarou"/>
          <w:rFonts w:eastAsia="Calibri" w:cs="Arial"/>
          <w:sz w:val="20"/>
          <w:szCs w:val="20"/>
        </w:rPr>
        <w:footnoteReference w:id="3"/>
      </w:r>
      <w:r w:rsidRPr="00C24253">
        <w:rPr>
          <w:rFonts w:eastAsia="Calibri" w:cs="Arial"/>
          <w:sz w:val="20"/>
          <w:szCs w:val="20"/>
        </w:rPr>
        <w:t>. Snížil se však podíl žen se 3 a více dětmi. Srovnání výsledků signalizuje také zvyšování podílu bezdětných žen, zejména mezi dvěma posledními cenzy. Údaje o struktuře žen podle počtu naroz</w:t>
      </w:r>
      <w:r w:rsidRPr="00C24253">
        <w:rPr>
          <w:rFonts w:eastAsia="Calibri" w:cs="Arial"/>
          <w:sz w:val="20"/>
          <w:szCs w:val="20"/>
        </w:rPr>
        <w:t>e</w:t>
      </w:r>
      <w:r w:rsidRPr="00C24253">
        <w:rPr>
          <w:rFonts w:eastAsia="Calibri" w:cs="Arial"/>
          <w:sz w:val="20"/>
          <w:szCs w:val="20"/>
        </w:rPr>
        <w:t>ných jsou sice ovlivněny probíhající změnou v časování rození</w:t>
      </w:r>
      <w:r w:rsidR="00BA621E">
        <w:rPr>
          <w:rFonts w:eastAsia="Calibri" w:cs="Arial"/>
          <w:sz w:val="20"/>
          <w:szCs w:val="20"/>
        </w:rPr>
        <w:t xml:space="preserve"> dětí, nicméně i tak lze z dat </w:t>
      </w:r>
      <w:r w:rsidRPr="00C24253">
        <w:rPr>
          <w:rFonts w:eastAsia="Calibri" w:cs="Arial"/>
          <w:sz w:val="20"/>
          <w:szCs w:val="20"/>
        </w:rPr>
        <w:t>posledního sčít</w:t>
      </w:r>
      <w:r w:rsidRPr="00C24253">
        <w:rPr>
          <w:rFonts w:eastAsia="Calibri" w:cs="Arial"/>
          <w:sz w:val="20"/>
          <w:szCs w:val="20"/>
        </w:rPr>
        <w:t>á</w:t>
      </w:r>
      <w:r w:rsidRPr="00C24253">
        <w:rPr>
          <w:rFonts w:eastAsia="Calibri" w:cs="Arial"/>
          <w:sz w:val="20"/>
          <w:szCs w:val="20"/>
        </w:rPr>
        <w:t>ní, kdy byl podíl bezdětných žen vysoký i ve věkové skupině 35-39letých (11 %), předpokládat, že zastoup</w:t>
      </w:r>
      <w:r w:rsidRPr="00C24253">
        <w:rPr>
          <w:rFonts w:eastAsia="Calibri" w:cs="Arial"/>
          <w:sz w:val="20"/>
          <w:szCs w:val="20"/>
        </w:rPr>
        <w:t>e</w:t>
      </w:r>
      <w:r w:rsidRPr="00C24253">
        <w:rPr>
          <w:rFonts w:eastAsia="Calibri" w:cs="Arial"/>
          <w:sz w:val="20"/>
          <w:szCs w:val="20"/>
        </w:rPr>
        <w:t xml:space="preserve">ní žen, které nikdy nebudou matkami, </w:t>
      </w:r>
      <w:r>
        <w:rPr>
          <w:rFonts w:eastAsia="Calibri" w:cs="Arial"/>
          <w:sz w:val="20"/>
          <w:szCs w:val="20"/>
        </w:rPr>
        <w:t xml:space="preserve">se </w:t>
      </w:r>
      <w:r w:rsidRPr="00C24253">
        <w:rPr>
          <w:rFonts w:eastAsia="Calibri" w:cs="Arial"/>
          <w:sz w:val="20"/>
          <w:szCs w:val="20"/>
        </w:rPr>
        <w:t>v populaci zvýší.</w:t>
      </w:r>
    </w:p>
    <w:p w:rsidR="00D912FA" w:rsidRPr="00C24253" w:rsidRDefault="00D912FA" w:rsidP="00D912FA">
      <w:pPr>
        <w:pStyle w:val="Zkladntext"/>
        <w:spacing w:before="360"/>
        <w:ind w:firstLine="0"/>
        <w:rPr>
          <w:b/>
          <w:iCs/>
        </w:rPr>
      </w:pPr>
      <w:r w:rsidRPr="00C24253">
        <w:rPr>
          <w:b/>
          <w:iCs/>
        </w:rPr>
        <w:t>Struktura žen podle věku a počtu narozených* ze sčítání lidu 1991, 2001 a 2011 v %</w:t>
      </w:r>
    </w:p>
    <w:tbl>
      <w:tblPr>
        <w:tblW w:w="4950" w:type="pct"/>
        <w:tblInd w:w="57"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4A0"/>
      </w:tblPr>
      <w:tblGrid>
        <w:gridCol w:w="1450"/>
        <w:gridCol w:w="548"/>
        <w:gridCol w:w="548"/>
        <w:gridCol w:w="550"/>
        <w:gridCol w:w="548"/>
        <w:gridCol w:w="550"/>
        <w:gridCol w:w="548"/>
        <w:gridCol w:w="548"/>
        <w:gridCol w:w="548"/>
        <w:gridCol w:w="550"/>
        <w:gridCol w:w="550"/>
        <w:gridCol w:w="548"/>
        <w:gridCol w:w="548"/>
        <w:gridCol w:w="548"/>
        <w:gridCol w:w="548"/>
        <w:gridCol w:w="550"/>
      </w:tblGrid>
      <w:tr w:rsidR="00D912FA" w:rsidRPr="00C24253" w:rsidTr="00974752">
        <w:trPr>
          <w:trHeight w:hRule="exact" w:val="340"/>
        </w:trPr>
        <w:tc>
          <w:tcPr>
            <w:tcW w:w="749" w:type="pct"/>
            <w:vMerge w:val="restart"/>
            <w:tcBorders>
              <w:top w:val="single" w:sz="4" w:space="0" w:color="auto"/>
              <w:bottom w:val="single" w:sz="4" w:space="0" w:color="auto"/>
            </w:tcBorders>
            <w:shd w:val="clear" w:color="auto" w:fill="auto"/>
            <w:vAlign w:val="center"/>
            <w:hideMark/>
          </w:tcPr>
          <w:p w:rsidR="00D912FA" w:rsidRPr="00C24253" w:rsidRDefault="00D912FA" w:rsidP="00974752">
            <w:pPr>
              <w:jc w:val="center"/>
              <w:rPr>
                <w:rFonts w:cs="Arial"/>
                <w:sz w:val="16"/>
                <w:szCs w:val="16"/>
              </w:rPr>
            </w:pPr>
            <w:r w:rsidRPr="00C24253">
              <w:rPr>
                <w:rFonts w:cs="Arial"/>
                <w:sz w:val="16"/>
                <w:szCs w:val="16"/>
              </w:rPr>
              <w:t xml:space="preserve">Počet </w:t>
            </w:r>
          </w:p>
          <w:p w:rsidR="00D912FA" w:rsidRPr="00C24253" w:rsidRDefault="00D912FA" w:rsidP="00974752">
            <w:pPr>
              <w:jc w:val="center"/>
              <w:rPr>
                <w:rFonts w:cs="Arial"/>
                <w:sz w:val="16"/>
                <w:szCs w:val="16"/>
              </w:rPr>
            </w:pPr>
            <w:r w:rsidRPr="00C24253">
              <w:rPr>
                <w:rFonts w:cs="Arial"/>
                <w:sz w:val="16"/>
                <w:szCs w:val="16"/>
              </w:rPr>
              <w:t>narozených dětí</w:t>
            </w:r>
          </w:p>
        </w:tc>
        <w:tc>
          <w:tcPr>
            <w:tcW w:w="850" w:type="pct"/>
            <w:gridSpan w:val="3"/>
            <w:tcBorders>
              <w:top w:val="single" w:sz="4" w:space="0" w:color="auto"/>
              <w:bottom w:val="single" w:sz="4" w:space="0" w:color="auto"/>
            </w:tcBorders>
            <w:shd w:val="clear" w:color="auto" w:fill="auto"/>
            <w:vAlign w:val="center"/>
            <w:hideMark/>
          </w:tcPr>
          <w:p w:rsidR="00D912FA" w:rsidRPr="00C24253" w:rsidRDefault="00D912FA" w:rsidP="00974752">
            <w:pPr>
              <w:jc w:val="center"/>
              <w:rPr>
                <w:rFonts w:cs="Arial"/>
                <w:sz w:val="16"/>
                <w:szCs w:val="16"/>
              </w:rPr>
            </w:pPr>
            <w:r w:rsidRPr="00C24253">
              <w:rPr>
                <w:rFonts w:cs="Arial"/>
                <w:sz w:val="16"/>
                <w:szCs w:val="16"/>
              </w:rPr>
              <w:t>15 a víceleté ženy</w:t>
            </w:r>
          </w:p>
        </w:tc>
        <w:tc>
          <w:tcPr>
            <w:tcW w:w="850" w:type="pct"/>
            <w:gridSpan w:val="3"/>
            <w:tcBorders>
              <w:top w:val="single" w:sz="4" w:space="0" w:color="auto"/>
              <w:bottom w:val="single" w:sz="4" w:space="0" w:color="auto"/>
            </w:tcBorders>
            <w:shd w:val="clear" w:color="auto" w:fill="auto"/>
            <w:vAlign w:val="center"/>
            <w:hideMark/>
          </w:tcPr>
          <w:p w:rsidR="00D912FA" w:rsidRPr="00C24253" w:rsidRDefault="00D912FA" w:rsidP="00974752">
            <w:pPr>
              <w:jc w:val="center"/>
              <w:rPr>
                <w:rFonts w:cs="Arial"/>
                <w:sz w:val="16"/>
                <w:szCs w:val="16"/>
              </w:rPr>
            </w:pPr>
            <w:r w:rsidRPr="00C24253">
              <w:rPr>
                <w:rFonts w:cs="Arial"/>
                <w:sz w:val="16"/>
                <w:szCs w:val="16"/>
              </w:rPr>
              <w:t>25-29leté ženy</w:t>
            </w:r>
          </w:p>
        </w:tc>
        <w:tc>
          <w:tcPr>
            <w:tcW w:w="850" w:type="pct"/>
            <w:gridSpan w:val="3"/>
            <w:tcBorders>
              <w:top w:val="single" w:sz="4" w:space="0" w:color="auto"/>
              <w:bottom w:val="single" w:sz="4" w:space="0" w:color="auto"/>
            </w:tcBorders>
            <w:shd w:val="clear" w:color="auto" w:fill="auto"/>
            <w:vAlign w:val="center"/>
            <w:hideMark/>
          </w:tcPr>
          <w:p w:rsidR="00D912FA" w:rsidRPr="00C24253" w:rsidRDefault="00D912FA" w:rsidP="00974752">
            <w:pPr>
              <w:jc w:val="center"/>
              <w:rPr>
                <w:rFonts w:cs="Arial"/>
                <w:sz w:val="16"/>
                <w:szCs w:val="16"/>
              </w:rPr>
            </w:pPr>
            <w:r w:rsidRPr="00C24253">
              <w:rPr>
                <w:rFonts w:cs="Arial"/>
                <w:sz w:val="16"/>
                <w:szCs w:val="16"/>
              </w:rPr>
              <w:t>30-34leté ženy</w:t>
            </w:r>
          </w:p>
        </w:tc>
        <w:tc>
          <w:tcPr>
            <w:tcW w:w="850" w:type="pct"/>
            <w:gridSpan w:val="3"/>
            <w:tcBorders>
              <w:top w:val="single" w:sz="4" w:space="0" w:color="auto"/>
              <w:bottom w:val="single" w:sz="4" w:space="0" w:color="auto"/>
            </w:tcBorders>
            <w:shd w:val="clear" w:color="auto" w:fill="auto"/>
            <w:vAlign w:val="center"/>
            <w:hideMark/>
          </w:tcPr>
          <w:p w:rsidR="00D912FA" w:rsidRPr="00C24253" w:rsidRDefault="00D912FA" w:rsidP="00974752">
            <w:pPr>
              <w:jc w:val="center"/>
              <w:rPr>
                <w:rFonts w:cs="Arial"/>
                <w:sz w:val="16"/>
                <w:szCs w:val="16"/>
              </w:rPr>
            </w:pPr>
            <w:r w:rsidRPr="00C24253">
              <w:rPr>
                <w:rFonts w:cs="Arial"/>
                <w:sz w:val="16"/>
                <w:szCs w:val="16"/>
              </w:rPr>
              <w:t>35-39leté ženy</w:t>
            </w:r>
          </w:p>
        </w:tc>
        <w:tc>
          <w:tcPr>
            <w:tcW w:w="850" w:type="pct"/>
            <w:gridSpan w:val="3"/>
            <w:tcBorders>
              <w:top w:val="single" w:sz="4" w:space="0" w:color="auto"/>
              <w:bottom w:val="single" w:sz="4" w:space="0" w:color="auto"/>
            </w:tcBorders>
            <w:shd w:val="clear" w:color="auto" w:fill="auto"/>
            <w:vAlign w:val="center"/>
            <w:hideMark/>
          </w:tcPr>
          <w:p w:rsidR="00D912FA" w:rsidRPr="00C24253" w:rsidRDefault="00D912FA" w:rsidP="00974752">
            <w:pPr>
              <w:jc w:val="center"/>
              <w:rPr>
                <w:rFonts w:cs="Arial"/>
                <w:sz w:val="16"/>
                <w:szCs w:val="16"/>
              </w:rPr>
            </w:pPr>
            <w:r w:rsidRPr="00C24253">
              <w:rPr>
                <w:rFonts w:cs="Arial"/>
                <w:sz w:val="16"/>
                <w:szCs w:val="16"/>
              </w:rPr>
              <w:t>40 a víceleté ženy**</w:t>
            </w:r>
          </w:p>
        </w:tc>
      </w:tr>
      <w:tr w:rsidR="00D912FA" w:rsidRPr="00C24253" w:rsidTr="00974752">
        <w:trPr>
          <w:trHeight w:hRule="exact" w:val="340"/>
        </w:trPr>
        <w:tc>
          <w:tcPr>
            <w:tcW w:w="749" w:type="pct"/>
            <w:vMerge/>
            <w:tcBorders>
              <w:top w:val="nil"/>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p>
        </w:tc>
        <w:tc>
          <w:tcPr>
            <w:tcW w:w="283" w:type="pct"/>
            <w:tcBorders>
              <w:top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1991</w:t>
            </w:r>
          </w:p>
        </w:tc>
        <w:tc>
          <w:tcPr>
            <w:tcW w:w="283" w:type="pct"/>
            <w:tcBorders>
              <w:top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2001</w:t>
            </w:r>
          </w:p>
        </w:tc>
        <w:tc>
          <w:tcPr>
            <w:tcW w:w="283" w:type="pct"/>
            <w:tcBorders>
              <w:top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2011</w:t>
            </w:r>
          </w:p>
        </w:tc>
        <w:tc>
          <w:tcPr>
            <w:tcW w:w="283" w:type="pct"/>
            <w:tcBorders>
              <w:top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1991</w:t>
            </w:r>
          </w:p>
        </w:tc>
        <w:tc>
          <w:tcPr>
            <w:tcW w:w="284" w:type="pct"/>
            <w:tcBorders>
              <w:top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2001</w:t>
            </w:r>
          </w:p>
        </w:tc>
        <w:tc>
          <w:tcPr>
            <w:tcW w:w="283" w:type="pct"/>
            <w:tcBorders>
              <w:top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2011</w:t>
            </w:r>
          </w:p>
        </w:tc>
        <w:tc>
          <w:tcPr>
            <w:tcW w:w="283" w:type="pct"/>
            <w:tcBorders>
              <w:top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1991</w:t>
            </w:r>
          </w:p>
        </w:tc>
        <w:tc>
          <w:tcPr>
            <w:tcW w:w="283" w:type="pct"/>
            <w:tcBorders>
              <w:top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2001</w:t>
            </w:r>
          </w:p>
        </w:tc>
        <w:tc>
          <w:tcPr>
            <w:tcW w:w="283" w:type="pct"/>
            <w:tcBorders>
              <w:top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2011</w:t>
            </w:r>
          </w:p>
        </w:tc>
        <w:tc>
          <w:tcPr>
            <w:tcW w:w="284" w:type="pct"/>
            <w:tcBorders>
              <w:top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1991</w:t>
            </w:r>
          </w:p>
        </w:tc>
        <w:tc>
          <w:tcPr>
            <w:tcW w:w="283" w:type="pct"/>
            <w:tcBorders>
              <w:top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2001</w:t>
            </w:r>
          </w:p>
        </w:tc>
        <w:tc>
          <w:tcPr>
            <w:tcW w:w="283" w:type="pct"/>
            <w:tcBorders>
              <w:top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2011</w:t>
            </w:r>
          </w:p>
        </w:tc>
        <w:tc>
          <w:tcPr>
            <w:tcW w:w="283" w:type="pct"/>
            <w:tcBorders>
              <w:top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1991</w:t>
            </w:r>
          </w:p>
        </w:tc>
        <w:tc>
          <w:tcPr>
            <w:tcW w:w="283" w:type="pct"/>
            <w:tcBorders>
              <w:top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2001</w:t>
            </w:r>
          </w:p>
        </w:tc>
        <w:tc>
          <w:tcPr>
            <w:tcW w:w="284" w:type="pct"/>
            <w:tcBorders>
              <w:top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2011</w:t>
            </w:r>
          </w:p>
        </w:tc>
      </w:tr>
      <w:tr w:rsidR="00D912FA" w:rsidRPr="00C24253" w:rsidTr="00974752">
        <w:trPr>
          <w:trHeight w:hRule="exact" w:val="284"/>
        </w:trPr>
        <w:tc>
          <w:tcPr>
            <w:tcW w:w="749" w:type="pct"/>
            <w:tcBorders>
              <w:top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0</w:t>
            </w:r>
          </w:p>
        </w:tc>
        <w:tc>
          <w:tcPr>
            <w:tcW w:w="283" w:type="pct"/>
            <w:tcBorders>
              <w:top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20,5</w:t>
            </w:r>
          </w:p>
        </w:tc>
        <w:tc>
          <w:tcPr>
            <w:tcW w:w="283" w:type="pct"/>
            <w:tcBorders>
              <w:top w:val="single" w:sz="4" w:space="0" w:color="auto"/>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19,7</w:t>
            </w:r>
          </w:p>
        </w:tc>
        <w:tc>
          <w:tcPr>
            <w:tcW w:w="283" w:type="pct"/>
            <w:tcBorders>
              <w:top w:val="single" w:sz="4" w:space="0" w:color="auto"/>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22,6</w:t>
            </w:r>
          </w:p>
        </w:tc>
        <w:tc>
          <w:tcPr>
            <w:tcW w:w="283" w:type="pct"/>
            <w:tcBorders>
              <w:top w:val="single" w:sz="4" w:space="0" w:color="auto"/>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15,5</w:t>
            </w:r>
          </w:p>
        </w:tc>
        <w:tc>
          <w:tcPr>
            <w:tcW w:w="284" w:type="pct"/>
            <w:tcBorders>
              <w:top w:val="single" w:sz="4" w:space="0" w:color="auto"/>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32,1</w:t>
            </w:r>
          </w:p>
        </w:tc>
        <w:tc>
          <w:tcPr>
            <w:tcW w:w="283" w:type="pct"/>
            <w:tcBorders>
              <w:top w:val="single" w:sz="4" w:space="0" w:color="auto"/>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61,3</w:t>
            </w:r>
          </w:p>
        </w:tc>
        <w:tc>
          <w:tcPr>
            <w:tcW w:w="283" w:type="pct"/>
            <w:tcBorders>
              <w:top w:val="single" w:sz="4" w:space="0" w:color="auto"/>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7,6</w:t>
            </w:r>
          </w:p>
        </w:tc>
        <w:tc>
          <w:tcPr>
            <w:tcW w:w="283" w:type="pct"/>
            <w:tcBorders>
              <w:top w:val="single" w:sz="4" w:space="0" w:color="auto"/>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9,9</w:t>
            </w:r>
          </w:p>
        </w:tc>
        <w:tc>
          <w:tcPr>
            <w:tcW w:w="283" w:type="pct"/>
            <w:tcBorders>
              <w:top w:val="single" w:sz="4" w:space="0" w:color="auto"/>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26,0</w:t>
            </w:r>
          </w:p>
        </w:tc>
        <w:tc>
          <w:tcPr>
            <w:tcW w:w="284" w:type="pct"/>
            <w:tcBorders>
              <w:top w:val="single" w:sz="4" w:space="0" w:color="auto"/>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5,8</w:t>
            </w:r>
          </w:p>
        </w:tc>
        <w:tc>
          <w:tcPr>
            <w:tcW w:w="283" w:type="pct"/>
            <w:tcBorders>
              <w:top w:val="single" w:sz="4" w:space="0" w:color="auto"/>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5,6</w:t>
            </w:r>
          </w:p>
        </w:tc>
        <w:tc>
          <w:tcPr>
            <w:tcW w:w="283" w:type="pct"/>
            <w:tcBorders>
              <w:top w:val="single" w:sz="4" w:space="0" w:color="auto"/>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11,0</w:t>
            </w:r>
          </w:p>
        </w:tc>
        <w:tc>
          <w:tcPr>
            <w:tcW w:w="283" w:type="pct"/>
            <w:tcBorders>
              <w:top w:val="single" w:sz="4" w:space="0" w:color="auto"/>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9,0</w:t>
            </w:r>
          </w:p>
        </w:tc>
        <w:tc>
          <w:tcPr>
            <w:tcW w:w="283" w:type="pct"/>
            <w:tcBorders>
              <w:top w:val="single" w:sz="4" w:space="0" w:color="auto"/>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5,3</w:t>
            </w:r>
          </w:p>
        </w:tc>
        <w:tc>
          <w:tcPr>
            <w:tcW w:w="284" w:type="pct"/>
            <w:tcBorders>
              <w:top w:val="single" w:sz="4" w:space="0" w:color="auto"/>
              <w:left w:val="single" w:sz="4" w:space="0" w:color="auto"/>
              <w:bottom w:val="nil"/>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5,8</w:t>
            </w:r>
          </w:p>
        </w:tc>
      </w:tr>
      <w:tr w:rsidR="00D912FA" w:rsidRPr="00C24253" w:rsidTr="00974752">
        <w:trPr>
          <w:trHeight w:hRule="exact" w:val="284"/>
        </w:trPr>
        <w:tc>
          <w:tcPr>
            <w:tcW w:w="749"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1</w:t>
            </w:r>
          </w:p>
        </w:tc>
        <w:tc>
          <w:tcPr>
            <w:tcW w:w="283" w:type="pct"/>
            <w:tcBorders>
              <w:top w:val="nil"/>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19,5</w:t>
            </w:r>
          </w:p>
        </w:tc>
        <w:tc>
          <w:tcPr>
            <w:tcW w:w="283" w:type="pct"/>
            <w:tcBorders>
              <w:top w:val="nil"/>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19,1</w:t>
            </w:r>
          </w:p>
        </w:tc>
        <w:tc>
          <w:tcPr>
            <w:tcW w:w="283" w:type="pct"/>
            <w:tcBorders>
              <w:top w:val="nil"/>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18,8</w:t>
            </w:r>
          </w:p>
        </w:tc>
        <w:tc>
          <w:tcPr>
            <w:tcW w:w="283" w:type="pct"/>
            <w:tcBorders>
              <w:top w:val="nil"/>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30,4</w:t>
            </w:r>
          </w:p>
        </w:tc>
        <w:tc>
          <w:tcPr>
            <w:tcW w:w="284" w:type="pct"/>
            <w:tcBorders>
              <w:top w:val="nil"/>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35,7</w:t>
            </w:r>
          </w:p>
        </w:tc>
        <w:tc>
          <w:tcPr>
            <w:tcW w:w="283" w:type="pct"/>
            <w:tcBorders>
              <w:top w:val="nil"/>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25,1</w:t>
            </w:r>
          </w:p>
        </w:tc>
        <w:tc>
          <w:tcPr>
            <w:tcW w:w="283" w:type="pct"/>
            <w:tcBorders>
              <w:top w:val="nil"/>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17,6</w:t>
            </w:r>
          </w:p>
        </w:tc>
        <w:tc>
          <w:tcPr>
            <w:tcW w:w="283" w:type="pct"/>
            <w:tcBorders>
              <w:top w:val="nil"/>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27,1</w:t>
            </w:r>
          </w:p>
        </w:tc>
        <w:tc>
          <w:tcPr>
            <w:tcW w:w="283" w:type="pct"/>
            <w:tcBorders>
              <w:top w:val="nil"/>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31,4</w:t>
            </w:r>
          </w:p>
        </w:tc>
        <w:tc>
          <w:tcPr>
            <w:tcW w:w="284" w:type="pct"/>
            <w:tcBorders>
              <w:top w:val="nil"/>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14,8</w:t>
            </w:r>
          </w:p>
        </w:tc>
        <w:tc>
          <w:tcPr>
            <w:tcW w:w="283" w:type="pct"/>
            <w:tcBorders>
              <w:top w:val="nil"/>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19,1</w:t>
            </w:r>
          </w:p>
        </w:tc>
        <w:tc>
          <w:tcPr>
            <w:tcW w:w="283" w:type="pct"/>
            <w:tcBorders>
              <w:top w:val="nil"/>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24,2</w:t>
            </w:r>
          </w:p>
        </w:tc>
        <w:tc>
          <w:tcPr>
            <w:tcW w:w="283" w:type="pct"/>
            <w:tcBorders>
              <w:top w:val="nil"/>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19,2</w:t>
            </w:r>
          </w:p>
        </w:tc>
        <w:tc>
          <w:tcPr>
            <w:tcW w:w="283" w:type="pct"/>
            <w:tcBorders>
              <w:top w:val="nil"/>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17,4</w:t>
            </w:r>
          </w:p>
        </w:tc>
        <w:tc>
          <w:tcPr>
            <w:tcW w:w="284" w:type="pct"/>
            <w:tcBorders>
              <w:top w:val="nil"/>
              <w:left w:val="single" w:sz="4" w:space="0" w:color="auto"/>
              <w:bottom w:val="nil"/>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17,8</w:t>
            </w:r>
          </w:p>
        </w:tc>
      </w:tr>
      <w:tr w:rsidR="00D912FA" w:rsidRPr="00C24253" w:rsidTr="00974752">
        <w:trPr>
          <w:trHeight w:hRule="exact" w:val="284"/>
        </w:trPr>
        <w:tc>
          <w:tcPr>
            <w:tcW w:w="749"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w:t>
            </w:r>
          </w:p>
        </w:tc>
        <w:tc>
          <w:tcPr>
            <w:tcW w:w="283" w:type="pct"/>
            <w:tcBorders>
              <w:top w:val="nil"/>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40,2</w:t>
            </w:r>
          </w:p>
        </w:tc>
        <w:tc>
          <w:tcPr>
            <w:tcW w:w="283" w:type="pct"/>
            <w:tcBorders>
              <w:top w:val="nil"/>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42,3</w:t>
            </w:r>
          </w:p>
        </w:tc>
        <w:tc>
          <w:tcPr>
            <w:tcW w:w="283" w:type="pct"/>
            <w:tcBorders>
              <w:top w:val="nil"/>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42,5</w:t>
            </w:r>
          </w:p>
        </w:tc>
        <w:tc>
          <w:tcPr>
            <w:tcW w:w="283" w:type="pct"/>
            <w:tcBorders>
              <w:top w:val="nil"/>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46,1</w:t>
            </w:r>
          </w:p>
        </w:tc>
        <w:tc>
          <w:tcPr>
            <w:tcW w:w="284" w:type="pct"/>
            <w:tcBorders>
              <w:top w:val="nil"/>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28,7</w:t>
            </w:r>
          </w:p>
        </w:tc>
        <w:tc>
          <w:tcPr>
            <w:tcW w:w="283" w:type="pct"/>
            <w:tcBorders>
              <w:top w:val="nil"/>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11,7</w:t>
            </w:r>
          </w:p>
        </w:tc>
        <w:tc>
          <w:tcPr>
            <w:tcW w:w="283" w:type="pct"/>
            <w:tcBorders>
              <w:top w:val="nil"/>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57,0</w:t>
            </w:r>
          </w:p>
        </w:tc>
        <w:tc>
          <w:tcPr>
            <w:tcW w:w="283" w:type="pct"/>
            <w:tcBorders>
              <w:top w:val="nil"/>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51,9</w:t>
            </w:r>
          </w:p>
        </w:tc>
        <w:tc>
          <w:tcPr>
            <w:tcW w:w="283" w:type="pct"/>
            <w:tcBorders>
              <w:top w:val="nil"/>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36,2</w:t>
            </w:r>
          </w:p>
        </w:tc>
        <w:tc>
          <w:tcPr>
            <w:tcW w:w="284" w:type="pct"/>
            <w:tcBorders>
              <w:top w:val="nil"/>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56,5</w:t>
            </w:r>
          </w:p>
        </w:tc>
        <w:tc>
          <w:tcPr>
            <w:tcW w:w="283" w:type="pct"/>
            <w:tcBorders>
              <w:top w:val="nil"/>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57,1</w:t>
            </w:r>
          </w:p>
        </w:tc>
        <w:tc>
          <w:tcPr>
            <w:tcW w:w="283" w:type="pct"/>
            <w:tcBorders>
              <w:top w:val="nil"/>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51,4</w:t>
            </w:r>
          </w:p>
        </w:tc>
        <w:tc>
          <w:tcPr>
            <w:tcW w:w="283" w:type="pct"/>
            <w:tcBorders>
              <w:top w:val="nil"/>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44,5</w:t>
            </w:r>
          </w:p>
        </w:tc>
        <w:tc>
          <w:tcPr>
            <w:tcW w:w="283" w:type="pct"/>
            <w:tcBorders>
              <w:top w:val="nil"/>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50,7</w:t>
            </w:r>
          </w:p>
        </w:tc>
        <w:tc>
          <w:tcPr>
            <w:tcW w:w="284" w:type="pct"/>
            <w:tcBorders>
              <w:top w:val="nil"/>
              <w:left w:val="single" w:sz="4" w:space="0" w:color="auto"/>
              <w:bottom w:val="nil"/>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53,7</w:t>
            </w:r>
          </w:p>
        </w:tc>
      </w:tr>
      <w:tr w:rsidR="00D912FA" w:rsidRPr="00C24253" w:rsidTr="00974752">
        <w:trPr>
          <w:trHeight w:hRule="exact" w:val="284"/>
        </w:trPr>
        <w:tc>
          <w:tcPr>
            <w:tcW w:w="749"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3</w:t>
            </w:r>
          </w:p>
        </w:tc>
        <w:tc>
          <w:tcPr>
            <w:tcW w:w="283" w:type="pct"/>
            <w:tcBorders>
              <w:top w:val="nil"/>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14,1</w:t>
            </w:r>
          </w:p>
        </w:tc>
        <w:tc>
          <w:tcPr>
            <w:tcW w:w="283" w:type="pct"/>
            <w:tcBorders>
              <w:top w:val="nil"/>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13,9</w:t>
            </w:r>
          </w:p>
        </w:tc>
        <w:tc>
          <w:tcPr>
            <w:tcW w:w="283" w:type="pct"/>
            <w:tcBorders>
              <w:top w:val="nil"/>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12,4</w:t>
            </w:r>
          </w:p>
        </w:tc>
        <w:tc>
          <w:tcPr>
            <w:tcW w:w="283" w:type="pct"/>
            <w:tcBorders>
              <w:top w:val="nil"/>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6,9</w:t>
            </w:r>
          </w:p>
        </w:tc>
        <w:tc>
          <w:tcPr>
            <w:tcW w:w="284" w:type="pct"/>
            <w:tcBorders>
              <w:top w:val="nil"/>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2,9</w:t>
            </w:r>
          </w:p>
        </w:tc>
        <w:tc>
          <w:tcPr>
            <w:tcW w:w="283" w:type="pct"/>
            <w:tcBorders>
              <w:top w:val="nil"/>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1,5</w:t>
            </w:r>
          </w:p>
        </w:tc>
        <w:tc>
          <w:tcPr>
            <w:tcW w:w="283" w:type="pct"/>
            <w:tcBorders>
              <w:top w:val="nil"/>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14,8</w:t>
            </w:r>
          </w:p>
        </w:tc>
        <w:tc>
          <w:tcPr>
            <w:tcW w:w="283" w:type="pct"/>
            <w:tcBorders>
              <w:top w:val="nil"/>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9,1</w:t>
            </w:r>
          </w:p>
        </w:tc>
        <w:tc>
          <w:tcPr>
            <w:tcW w:w="283" w:type="pct"/>
            <w:tcBorders>
              <w:top w:val="nil"/>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5,2</w:t>
            </w:r>
          </w:p>
        </w:tc>
        <w:tc>
          <w:tcPr>
            <w:tcW w:w="284" w:type="pct"/>
            <w:tcBorders>
              <w:top w:val="nil"/>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18,6</w:t>
            </w:r>
          </w:p>
        </w:tc>
        <w:tc>
          <w:tcPr>
            <w:tcW w:w="283" w:type="pct"/>
            <w:tcBorders>
              <w:top w:val="nil"/>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14,5</w:t>
            </w:r>
          </w:p>
        </w:tc>
        <w:tc>
          <w:tcPr>
            <w:tcW w:w="283" w:type="pct"/>
            <w:tcBorders>
              <w:top w:val="nil"/>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10,8</w:t>
            </w:r>
          </w:p>
        </w:tc>
        <w:tc>
          <w:tcPr>
            <w:tcW w:w="283" w:type="pct"/>
            <w:tcBorders>
              <w:top w:val="nil"/>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18,4</w:t>
            </w:r>
          </w:p>
        </w:tc>
        <w:tc>
          <w:tcPr>
            <w:tcW w:w="283" w:type="pct"/>
            <w:tcBorders>
              <w:top w:val="nil"/>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19,3</w:t>
            </w:r>
          </w:p>
        </w:tc>
        <w:tc>
          <w:tcPr>
            <w:tcW w:w="284" w:type="pct"/>
            <w:tcBorders>
              <w:top w:val="nil"/>
              <w:left w:val="single" w:sz="4" w:space="0" w:color="auto"/>
              <w:bottom w:val="nil"/>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17,4</w:t>
            </w:r>
          </w:p>
        </w:tc>
      </w:tr>
      <w:tr w:rsidR="00D912FA" w:rsidRPr="00C24253" w:rsidTr="00974752">
        <w:trPr>
          <w:trHeight w:hRule="exact" w:val="284"/>
        </w:trPr>
        <w:tc>
          <w:tcPr>
            <w:tcW w:w="749"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4</w:t>
            </w:r>
          </w:p>
        </w:tc>
        <w:tc>
          <w:tcPr>
            <w:tcW w:w="283" w:type="pct"/>
            <w:tcBorders>
              <w:top w:val="nil"/>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3,6</w:t>
            </w:r>
          </w:p>
        </w:tc>
        <w:tc>
          <w:tcPr>
            <w:tcW w:w="283" w:type="pct"/>
            <w:tcBorders>
              <w:top w:val="nil"/>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3,3</w:t>
            </w:r>
          </w:p>
        </w:tc>
        <w:tc>
          <w:tcPr>
            <w:tcW w:w="283" w:type="pct"/>
            <w:tcBorders>
              <w:top w:val="nil"/>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2,6</w:t>
            </w:r>
          </w:p>
        </w:tc>
        <w:tc>
          <w:tcPr>
            <w:tcW w:w="283" w:type="pct"/>
            <w:tcBorders>
              <w:top w:val="nil"/>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0,8</w:t>
            </w:r>
          </w:p>
        </w:tc>
        <w:tc>
          <w:tcPr>
            <w:tcW w:w="284" w:type="pct"/>
            <w:tcBorders>
              <w:top w:val="nil"/>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0,5</w:t>
            </w:r>
          </w:p>
        </w:tc>
        <w:tc>
          <w:tcPr>
            <w:tcW w:w="283" w:type="pct"/>
            <w:tcBorders>
              <w:top w:val="nil"/>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0,3</w:t>
            </w:r>
          </w:p>
        </w:tc>
        <w:tc>
          <w:tcPr>
            <w:tcW w:w="283" w:type="pct"/>
            <w:tcBorders>
              <w:top w:val="nil"/>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2,3</w:t>
            </w:r>
          </w:p>
        </w:tc>
        <w:tc>
          <w:tcPr>
            <w:tcW w:w="283" w:type="pct"/>
            <w:tcBorders>
              <w:top w:val="nil"/>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1,5</w:t>
            </w:r>
          </w:p>
        </w:tc>
        <w:tc>
          <w:tcPr>
            <w:tcW w:w="283" w:type="pct"/>
            <w:tcBorders>
              <w:top w:val="nil"/>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0,8</w:t>
            </w:r>
          </w:p>
        </w:tc>
        <w:tc>
          <w:tcPr>
            <w:tcW w:w="284" w:type="pct"/>
            <w:tcBorders>
              <w:top w:val="nil"/>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3,3</w:t>
            </w:r>
          </w:p>
        </w:tc>
        <w:tc>
          <w:tcPr>
            <w:tcW w:w="283" w:type="pct"/>
            <w:tcBorders>
              <w:top w:val="nil"/>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2,8</w:t>
            </w:r>
          </w:p>
        </w:tc>
        <w:tc>
          <w:tcPr>
            <w:tcW w:w="283" w:type="pct"/>
            <w:tcBorders>
              <w:top w:val="nil"/>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1,8</w:t>
            </w:r>
          </w:p>
        </w:tc>
        <w:tc>
          <w:tcPr>
            <w:tcW w:w="283" w:type="pct"/>
            <w:tcBorders>
              <w:top w:val="nil"/>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5,4</w:t>
            </w:r>
          </w:p>
        </w:tc>
        <w:tc>
          <w:tcPr>
            <w:tcW w:w="283" w:type="pct"/>
            <w:tcBorders>
              <w:top w:val="nil"/>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4,9</w:t>
            </w:r>
          </w:p>
        </w:tc>
        <w:tc>
          <w:tcPr>
            <w:tcW w:w="284" w:type="pct"/>
            <w:tcBorders>
              <w:top w:val="nil"/>
              <w:left w:val="single" w:sz="4" w:space="0" w:color="auto"/>
              <w:bottom w:val="nil"/>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3,7</w:t>
            </w:r>
          </w:p>
        </w:tc>
      </w:tr>
      <w:tr w:rsidR="00D912FA" w:rsidRPr="00C24253" w:rsidTr="00974752">
        <w:trPr>
          <w:trHeight w:hRule="exact" w:val="284"/>
        </w:trPr>
        <w:tc>
          <w:tcPr>
            <w:tcW w:w="749"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5+</w:t>
            </w:r>
          </w:p>
        </w:tc>
        <w:tc>
          <w:tcPr>
            <w:tcW w:w="283" w:type="pct"/>
            <w:tcBorders>
              <w:top w:val="nil"/>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2,1</w:t>
            </w:r>
          </w:p>
        </w:tc>
        <w:tc>
          <w:tcPr>
            <w:tcW w:w="283" w:type="pct"/>
            <w:tcBorders>
              <w:top w:val="nil"/>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1,7</w:t>
            </w:r>
          </w:p>
        </w:tc>
        <w:tc>
          <w:tcPr>
            <w:tcW w:w="283" w:type="pct"/>
            <w:tcBorders>
              <w:top w:val="nil"/>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1,1</w:t>
            </w:r>
          </w:p>
        </w:tc>
        <w:tc>
          <w:tcPr>
            <w:tcW w:w="283" w:type="pct"/>
            <w:tcBorders>
              <w:top w:val="nil"/>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0,2</w:t>
            </w:r>
          </w:p>
        </w:tc>
        <w:tc>
          <w:tcPr>
            <w:tcW w:w="284" w:type="pct"/>
            <w:tcBorders>
              <w:top w:val="nil"/>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0,2</w:t>
            </w:r>
          </w:p>
        </w:tc>
        <w:tc>
          <w:tcPr>
            <w:tcW w:w="283" w:type="pct"/>
            <w:tcBorders>
              <w:top w:val="nil"/>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0,2</w:t>
            </w:r>
          </w:p>
        </w:tc>
        <w:tc>
          <w:tcPr>
            <w:tcW w:w="283" w:type="pct"/>
            <w:tcBorders>
              <w:top w:val="nil"/>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0,6</w:t>
            </w:r>
          </w:p>
        </w:tc>
        <w:tc>
          <w:tcPr>
            <w:tcW w:w="283" w:type="pct"/>
            <w:tcBorders>
              <w:top w:val="nil"/>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0,6</w:t>
            </w:r>
          </w:p>
        </w:tc>
        <w:tc>
          <w:tcPr>
            <w:tcW w:w="283" w:type="pct"/>
            <w:tcBorders>
              <w:top w:val="nil"/>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0,4</w:t>
            </w:r>
          </w:p>
        </w:tc>
        <w:tc>
          <w:tcPr>
            <w:tcW w:w="284" w:type="pct"/>
            <w:tcBorders>
              <w:top w:val="nil"/>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1,0</w:t>
            </w:r>
          </w:p>
        </w:tc>
        <w:tc>
          <w:tcPr>
            <w:tcW w:w="283" w:type="pct"/>
            <w:tcBorders>
              <w:top w:val="nil"/>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1,0</w:t>
            </w:r>
          </w:p>
        </w:tc>
        <w:tc>
          <w:tcPr>
            <w:tcW w:w="283" w:type="pct"/>
            <w:tcBorders>
              <w:top w:val="nil"/>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0,7</w:t>
            </w:r>
          </w:p>
        </w:tc>
        <w:tc>
          <w:tcPr>
            <w:tcW w:w="283" w:type="pct"/>
            <w:tcBorders>
              <w:top w:val="nil"/>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3,5</w:t>
            </w:r>
          </w:p>
        </w:tc>
        <w:tc>
          <w:tcPr>
            <w:tcW w:w="283" w:type="pct"/>
            <w:tcBorders>
              <w:top w:val="nil"/>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2,6</w:t>
            </w:r>
          </w:p>
        </w:tc>
        <w:tc>
          <w:tcPr>
            <w:tcW w:w="284" w:type="pct"/>
            <w:tcBorders>
              <w:top w:val="nil"/>
              <w:left w:val="single" w:sz="4" w:space="0" w:color="auto"/>
              <w:bottom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1,6</w:t>
            </w:r>
          </w:p>
        </w:tc>
      </w:tr>
    </w:tbl>
    <w:p w:rsidR="00D912FA" w:rsidRPr="00C24253" w:rsidRDefault="00D912FA" w:rsidP="00D912FA">
      <w:pPr>
        <w:pStyle w:val="Zkladntext"/>
        <w:spacing w:before="60" w:after="0"/>
        <w:ind w:firstLine="0"/>
        <w:rPr>
          <w:rFonts w:eastAsiaTheme="minorHAnsi"/>
          <w:i/>
          <w:iCs/>
          <w:sz w:val="16"/>
          <w:szCs w:val="16"/>
          <w:lang w:eastAsia="en-US"/>
        </w:rPr>
      </w:pPr>
      <w:r w:rsidRPr="00C24253">
        <w:rPr>
          <w:rFonts w:eastAsiaTheme="minorHAnsi"/>
          <w:i/>
          <w:iCs/>
          <w:sz w:val="16"/>
          <w:szCs w:val="16"/>
          <w:lang w:eastAsia="en-US"/>
        </w:rPr>
        <w:t>* Z žen, které údaj o počtu narozených dětí uvedly.</w:t>
      </w:r>
    </w:p>
    <w:p w:rsidR="00D912FA" w:rsidRPr="00C24253" w:rsidRDefault="00D912FA" w:rsidP="00D912FA">
      <w:pPr>
        <w:pStyle w:val="Zkladntext"/>
        <w:ind w:firstLine="0"/>
        <w:rPr>
          <w:rFonts w:eastAsiaTheme="minorHAnsi"/>
          <w:i/>
          <w:iCs/>
          <w:sz w:val="16"/>
          <w:szCs w:val="16"/>
          <w:lang w:eastAsia="en-US"/>
        </w:rPr>
      </w:pPr>
      <w:r w:rsidRPr="00C24253">
        <w:rPr>
          <w:rFonts w:eastAsiaTheme="minorHAnsi"/>
          <w:i/>
          <w:iCs/>
          <w:sz w:val="16"/>
          <w:szCs w:val="16"/>
          <w:lang w:eastAsia="en-US"/>
        </w:rPr>
        <w:t>** Údaje za 40 a víceleté ženy ze sčítání 1991 jsou ovlivněny strukturou žen, které byly ve věku vysoké plodnosti ovlivněny dočasnými výraznými poklesy porodnosti.</w:t>
      </w:r>
    </w:p>
    <w:p w:rsidR="00D912FA" w:rsidRPr="00C24253" w:rsidRDefault="00D912FA" w:rsidP="00D912FA">
      <w:pPr>
        <w:spacing w:before="240" w:after="120"/>
        <w:rPr>
          <w:rFonts w:cs="Arial"/>
          <w:sz w:val="20"/>
          <w:szCs w:val="20"/>
        </w:rPr>
      </w:pPr>
      <w:r w:rsidRPr="00C24253">
        <w:rPr>
          <w:rFonts w:cs="Arial"/>
          <w:sz w:val="20"/>
          <w:szCs w:val="20"/>
        </w:rPr>
        <w:t>Ze sčítání lze analyzovat i plodnost žen diferencovanou podle dalších charakteristik, jako je např. rodinný stav, vzdělání, náboženská víra či národnost. Z hlediska rodinného stavu ma</w:t>
      </w:r>
      <w:r w:rsidR="00D423B3">
        <w:rPr>
          <w:rFonts w:cs="Arial"/>
          <w:sz w:val="20"/>
          <w:szCs w:val="20"/>
        </w:rPr>
        <w:t>jí nejvyšší plodnost ovdovělé a </w:t>
      </w:r>
      <w:r w:rsidRPr="00C24253">
        <w:rPr>
          <w:rFonts w:cs="Arial"/>
          <w:sz w:val="20"/>
          <w:szCs w:val="20"/>
        </w:rPr>
        <w:t>vdané ženy. Ovdovělé jsou však zastoupeny významněji až ve vyšších věkových skupi</w:t>
      </w:r>
      <w:r w:rsidR="00D423B3">
        <w:rPr>
          <w:rFonts w:cs="Arial"/>
          <w:sz w:val="20"/>
          <w:szCs w:val="20"/>
        </w:rPr>
        <w:t>nách, a údaj o </w:t>
      </w:r>
      <w:r w:rsidRPr="00C24253">
        <w:rPr>
          <w:rFonts w:cs="Arial"/>
          <w:sz w:val="20"/>
          <w:szCs w:val="20"/>
        </w:rPr>
        <w:t>plodnosti všech žen, resp. 15letých a starších (2,15 v roce 2011) je ovlivněn vyšší plodností starších gen</w:t>
      </w:r>
      <w:r w:rsidRPr="00C24253">
        <w:rPr>
          <w:rFonts w:cs="Arial"/>
          <w:sz w:val="20"/>
          <w:szCs w:val="20"/>
        </w:rPr>
        <w:t>e</w:t>
      </w:r>
      <w:r w:rsidRPr="00C24253">
        <w:rPr>
          <w:rFonts w:cs="Arial"/>
          <w:sz w:val="20"/>
          <w:szCs w:val="20"/>
        </w:rPr>
        <w:t xml:space="preserve">rací. Na průměrný počet dětí narozených vdaným ženám (1,94 v roce 2011) má vliv ještě nedokončená plodnost mladších vdaných žen. Plodnost žen 40 a víceletých byla již vyšší, </w:t>
      </w:r>
      <w:r w:rsidR="00D423B3">
        <w:rPr>
          <w:rFonts w:cs="Arial"/>
          <w:sz w:val="20"/>
          <w:szCs w:val="20"/>
        </w:rPr>
        <w:t>2,07. Nicméně i u těchto žen, u </w:t>
      </w:r>
      <w:r w:rsidRPr="00C24253">
        <w:rPr>
          <w:rFonts w:cs="Arial"/>
          <w:sz w:val="20"/>
          <w:szCs w:val="20"/>
        </w:rPr>
        <w:t>kterých lze považovat jejich reprodukci za téměř ukončenou, je mezi posledními dvěma sčítáními patrné mírné snížení jejich úrovně plodnosti. Naopak plodnost svobodných žen se zvýšila, což souvisí s poklesem sňatečnosti a nárůstem podílu dětí rodících se mimo manželství. Průměrný počet dětí narozených svobodné ženě (0,30 v roce 2011) je však výrazně nižší než u žen ostatních rodinných stavů, což platí i bez ohledu na věk žen. Podíl svobodných žen, které zůstávají bezdětnými poměrně výrazně klesl, když v roce 1991 jich bylo mezi 40letými a staršími 81 % bezdětných, o deset let později 70 %, a p</w:t>
      </w:r>
      <w:r w:rsidR="00D423B3">
        <w:rPr>
          <w:rFonts w:cs="Arial"/>
          <w:sz w:val="20"/>
          <w:szCs w:val="20"/>
        </w:rPr>
        <w:t>ři sčítání 2011 již jen 63 %. U </w:t>
      </w:r>
      <w:r w:rsidRPr="00C24253">
        <w:rPr>
          <w:rFonts w:cs="Arial"/>
          <w:sz w:val="20"/>
          <w:szCs w:val="20"/>
        </w:rPr>
        <w:t>žen ve věkovém intervalu 30-39 let bylo zastoupení bezdětných ale ještě</w:t>
      </w:r>
      <w:r w:rsidR="00D423B3">
        <w:rPr>
          <w:rFonts w:cs="Arial"/>
          <w:sz w:val="20"/>
          <w:szCs w:val="20"/>
        </w:rPr>
        <w:t xml:space="preserve"> menší (45 % mezi 35-39letými a </w:t>
      </w:r>
      <w:r w:rsidRPr="00C24253">
        <w:rPr>
          <w:rFonts w:cs="Arial"/>
          <w:sz w:val="20"/>
          <w:szCs w:val="20"/>
        </w:rPr>
        <w:t>56 % mezi 30-34letými v roce 2011, zatímco v roce 1991 to bylo 72, resp. 74 %).  Plodnost žen rozved</w:t>
      </w:r>
      <w:r w:rsidRPr="00C24253">
        <w:rPr>
          <w:rFonts w:cs="Arial"/>
          <w:sz w:val="20"/>
          <w:szCs w:val="20"/>
        </w:rPr>
        <w:t>e</w:t>
      </w:r>
      <w:r w:rsidRPr="00C24253">
        <w:rPr>
          <w:rFonts w:cs="Arial"/>
          <w:sz w:val="20"/>
          <w:szCs w:val="20"/>
        </w:rPr>
        <w:t>ných je obecně o něco nižší než plodnost žen vdaných a ovdovělých (na všechny rozvedené ženy v úhrnu připadlo v roce 2011 průměrně 1,88 narozeného dítěte), zkrácení reprodukčního období rozpadem manže</w:t>
      </w:r>
      <w:r w:rsidRPr="00C24253">
        <w:rPr>
          <w:rFonts w:cs="Arial"/>
          <w:sz w:val="20"/>
          <w:szCs w:val="20"/>
        </w:rPr>
        <w:t>l</w:t>
      </w:r>
      <w:r w:rsidRPr="00C24253">
        <w:rPr>
          <w:rFonts w:cs="Arial"/>
          <w:sz w:val="20"/>
          <w:szCs w:val="20"/>
        </w:rPr>
        <w:t>ství má větší vliv než to, že část žen má po rozvodu dítě/děti ještě s novým partnerem. Rozdíl oproti plodno</w:t>
      </w:r>
      <w:r w:rsidRPr="00C24253">
        <w:rPr>
          <w:rFonts w:cs="Arial"/>
          <w:sz w:val="20"/>
          <w:szCs w:val="20"/>
        </w:rPr>
        <w:t>s</w:t>
      </w:r>
      <w:r w:rsidRPr="00C24253">
        <w:rPr>
          <w:rFonts w:cs="Arial"/>
          <w:sz w:val="20"/>
          <w:szCs w:val="20"/>
        </w:rPr>
        <w:t>ti vdaných žen se však v čase zmenšil.</w:t>
      </w:r>
    </w:p>
    <w:p w:rsidR="00D912FA" w:rsidRPr="00C24253" w:rsidRDefault="00D912FA" w:rsidP="00D912FA">
      <w:pPr>
        <w:pStyle w:val="Zkladntext"/>
        <w:ind w:firstLine="0"/>
        <w:rPr>
          <w:rFonts w:eastAsiaTheme="minorHAnsi"/>
          <w:iCs/>
          <w:lang w:eastAsia="en-US"/>
        </w:rPr>
      </w:pPr>
      <w:r w:rsidRPr="00C24253">
        <w:rPr>
          <w:rFonts w:eastAsiaTheme="minorHAnsi"/>
          <w:iCs/>
          <w:lang w:eastAsia="en-US"/>
        </w:rPr>
        <w:t>Vypovídací hodnota rozdílů v plodnosti žen podle národnosti je zatížena nízkými počty žen některých náro</w:t>
      </w:r>
      <w:r w:rsidRPr="00C24253">
        <w:rPr>
          <w:rFonts w:eastAsiaTheme="minorHAnsi"/>
          <w:iCs/>
          <w:lang w:eastAsia="en-US"/>
        </w:rPr>
        <w:t>d</w:t>
      </w:r>
      <w:r w:rsidRPr="00C24253">
        <w:rPr>
          <w:rFonts w:eastAsiaTheme="minorHAnsi"/>
          <w:iCs/>
          <w:lang w:eastAsia="en-US"/>
        </w:rPr>
        <w:t>ností, a to včetně romské, ke které se při posledním sčítání přihlásilo po</w:t>
      </w:r>
      <w:r w:rsidR="00D423B3">
        <w:rPr>
          <w:rFonts w:eastAsiaTheme="minorHAnsi"/>
          <w:iCs/>
          <w:lang w:eastAsia="en-US"/>
        </w:rPr>
        <w:t>uze 1 667 žen starších 15 let a </w:t>
      </w:r>
      <w:r w:rsidRPr="00C24253">
        <w:rPr>
          <w:rFonts w:eastAsiaTheme="minorHAnsi"/>
          <w:iCs/>
          <w:lang w:eastAsia="en-US"/>
        </w:rPr>
        <w:t>z nich ještě 107 údaj o počtu narozených dětí neuvedlo</w:t>
      </w:r>
      <w:r w:rsidRPr="00C24253">
        <w:rPr>
          <w:rFonts w:eastAsiaTheme="minorHAnsi"/>
          <w:vertAlign w:val="superscript"/>
          <w:lang w:eastAsia="en-US"/>
        </w:rPr>
        <w:footnoteReference w:id="4"/>
      </w:r>
      <w:r w:rsidRPr="00C24253">
        <w:rPr>
          <w:rFonts w:eastAsiaTheme="minorHAnsi"/>
          <w:iCs/>
          <w:lang w:eastAsia="en-US"/>
        </w:rPr>
        <w:t>. I přes nízké počty žen, které při sčítáních dekl</w:t>
      </w:r>
      <w:r w:rsidRPr="00C24253">
        <w:rPr>
          <w:rFonts w:eastAsiaTheme="minorHAnsi"/>
          <w:iCs/>
          <w:lang w:eastAsia="en-US"/>
        </w:rPr>
        <w:t>a</w:t>
      </w:r>
      <w:r w:rsidRPr="00C24253">
        <w:rPr>
          <w:rFonts w:eastAsiaTheme="minorHAnsi"/>
          <w:iCs/>
          <w:lang w:eastAsia="en-US"/>
        </w:rPr>
        <w:t>rovaly romskou národnost, byla u nich ve srovnání s ostatními početněji zastoupenými národnostmi zjištěna výrazně nadprůměrná plodnost, a to ve všech věkových skupinách. Největší rozdíl oproti ženám s českou národností byl ve věkové skupině 25-29 let, kdy plodnost romských žen zjištěná při sčítání v roce 2011 byla 3,5krát vyšší než plodnost žen s českou národností, v dalších sledovaných věkových skupinách (viz tabulka Plodnost žen podle věku, rodinného stavu, národnosti, náboženské víry a vzdělání při sčítání lidu 1991, 2001 a 2011) byla jejich plodnost vyšší „jen“ 1,6-1,7krát. Je pravděpodobné, že mnohé romské ženy při sč</w:t>
      </w:r>
      <w:r w:rsidRPr="00C24253">
        <w:rPr>
          <w:rFonts w:eastAsiaTheme="minorHAnsi"/>
          <w:iCs/>
          <w:lang w:eastAsia="en-US"/>
        </w:rPr>
        <w:t>í</w:t>
      </w:r>
      <w:r w:rsidRPr="00C24253">
        <w:rPr>
          <w:rFonts w:eastAsiaTheme="minorHAnsi"/>
          <w:iCs/>
          <w:lang w:eastAsia="en-US"/>
        </w:rPr>
        <w:t>tání uváděly slovenskou nebo maďarskou národnost a přispěly tak k rovněž nadprůměrné plodnosti žen těchto národností, která platí ale pouze pro plodnost nejmladších žen (do 25</w:t>
      </w:r>
      <w:r w:rsidR="00D423B3">
        <w:rPr>
          <w:rFonts w:eastAsiaTheme="minorHAnsi"/>
          <w:iCs/>
          <w:lang w:eastAsia="en-US"/>
        </w:rPr>
        <w:t xml:space="preserve"> let věku) a žen starších (40 a </w:t>
      </w:r>
      <w:r w:rsidRPr="00C24253">
        <w:rPr>
          <w:rFonts w:eastAsiaTheme="minorHAnsi"/>
          <w:iCs/>
          <w:lang w:eastAsia="en-US"/>
        </w:rPr>
        <w:t xml:space="preserve">víceletých). Rozdíly v plodnosti žen ostatních národností vůči té většinové jsou ve srovnání s ženami s romskou národností již mnohem menší. </w:t>
      </w:r>
    </w:p>
    <w:p w:rsidR="00D912FA" w:rsidRPr="00C24253" w:rsidRDefault="00D912FA" w:rsidP="00D912FA">
      <w:pPr>
        <w:pStyle w:val="Zkladntext"/>
        <w:ind w:firstLine="0"/>
        <w:rPr>
          <w:rFonts w:eastAsiaTheme="minorHAnsi"/>
          <w:iCs/>
          <w:lang w:eastAsia="en-US"/>
        </w:rPr>
      </w:pPr>
      <w:r w:rsidRPr="00C24253">
        <w:rPr>
          <w:rFonts w:eastAsiaTheme="minorHAnsi"/>
          <w:iCs/>
          <w:lang w:eastAsia="en-US"/>
        </w:rPr>
        <w:lastRenderedPageBreak/>
        <w:t>Z početněji zastoupených národnostních menšin byla při posledních třech sčítáních vyšší celková úroveň plodnosti zjištěna také u polských a německých žen, když u žen s deklarovanou německou národností to bylo díky vyšší konečné plodnosti nejstarších generací, tj. těch, kterým bylo v době sčítání 70 a více let. N</w:t>
      </w:r>
      <w:r w:rsidRPr="00C24253">
        <w:rPr>
          <w:rFonts w:eastAsiaTheme="minorHAnsi"/>
          <w:iCs/>
          <w:lang w:eastAsia="en-US"/>
        </w:rPr>
        <w:t>a</w:t>
      </w:r>
      <w:r w:rsidRPr="00C24253">
        <w:rPr>
          <w:rFonts w:eastAsiaTheme="minorHAnsi"/>
          <w:iCs/>
          <w:lang w:eastAsia="en-US"/>
        </w:rPr>
        <w:t>opak podprůměrná plodnost byla z dalších početně nejvíce zastoupených národnostních menšin registrov</w:t>
      </w:r>
      <w:r w:rsidRPr="00C24253">
        <w:rPr>
          <w:rFonts w:eastAsiaTheme="minorHAnsi"/>
          <w:iCs/>
          <w:lang w:eastAsia="en-US"/>
        </w:rPr>
        <w:t>á</w:t>
      </w:r>
      <w:r w:rsidRPr="00C24253">
        <w:rPr>
          <w:rFonts w:eastAsiaTheme="minorHAnsi"/>
          <w:iCs/>
          <w:lang w:eastAsia="en-US"/>
        </w:rPr>
        <w:t>na u ukrajinských, ruských a vietnamských žen. Jejich věková struktura je však mladší a údaj o plodnosti všech žen je ovlivněn vyšším podílem žen s nedokončenou plodností a charakterem migrace, resp. dův</w:t>
      </w:r>
      <w:r w:rsidRPr="00C24253">
        <w:rPr>
          <w:rFonts w:eastAsiaTheme="minorHAnsi"/>
          <w:iCs/>
          <w:lang w:eastAsia="en-US"/>
        </w:rPr>
        <w:t>o</w:t>
      </w:r>
      <w:r w:rsidRPr="00C24253">
        <w:rPr>
          <w:rFonts w:eastAsiaTheme="minorHAnsi"/>
          <w:iCs/>
          <w:lang w:eastAsia="en-US"/>
        </w:rPr>
        <w:t>dem jejich příchodu do České republiky a délkou jejich pobytu. Nicméně plodnost ukrajinských žen ve věku 20-29 let byla vyšší než žen s českou národností, vietnamské ženy měly vyšší plodnost dokonce až do v</w:t>
      </w:r>
      <w:r w:rsidRPr="00C24253">
        <w:rPr>
          <w:rFonts w:eastAsiaTheme="minorHAnsi"/>
          <w:iCs/>
          <w:lang w:eastAsia="en-US"/>
        </w:rPr>
        <w:t>ě</w:t>
      </w:r>
      <w:r w:rsidRPr="00C24253">
        <w:rPr>
          <w:rFonts w:eastAsiaTheme="minorHAnsi"/>
          <w:iCs/>
          <w:lang w:eastAsia="en-US"/>
        </w:rPr>
        <w:t>kové skupiny 40-44 let.</w:t>
      </w:r>
      <w:r w:rsidRPr="00C24253">
        <w:rPr>
          <w:iCs/>
        </w:rPr>
        <w:tab/>
      </w:r>
    </w:p>
    <w:p w:rsidR="00D912FA" w:rsidRPr="00C24253" w:rsidRDefault="00D912FA" w:rsidP="00D912FA">
      <w:pPr>
        <w:pStyle w:val="Zkladntext"/>
        <w:spacing w:before="360"/>
        <w:ind w:firstLine="0"/>
        <w:rPr>
          <w:rFonts w:eastAsiaTheme="minorHAnsi"/>
          <w:b/>
          <w:iCs/>
          <w:lang w:eastAsia="en-US"/>
        </w:rPr>
      </w:pPr>
      <w:r w:rsidRPr="00C24253">
        <w:rPr>
          <w:rFonts w:eastAsiaTheme="minorHAnsi"/>
          <w:b/>
          <w:iCs/>
          <w:lang w:eastAsia="en-US"/>
        </w:rPr>
        <w:t>Plodnost žen podle věku, rodinného stavu, národnosti, náboženské víry a vzdělání při sčítání lidu 1991, 2001 a 2011</w:t>
      </w:r>
    </w:p>
    <w:tbl>
      <w:tblPr>
        <w:tblW w:w="4950" w:type="pct"/>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tblPr>
      <w:tblGrid>
        <w:gridCol w:w="2043"/>
        <w:gridCol w:w="510"/>
        <w:gridCol w:w="509"/>
        <w:gridCol w:w="521"/>
        <w:gridCol w:w="509"/>
        <w:gridCol w:w="509"/>
        <w:gridCol w:w="509"/>
        <w:gridCol w:w="509"/>
        <w:gridCol w:w="509"/>
        <w:gridCol w:w="509"/>
        <w:gridCol w:w="509"/>
        <w:gridCol w:w="509"/>
        <w:gridCol w:w="509"/>
        <w:gridCol w:w="509"/>
        <w:gridCol w:w="509"/>
        <w:gridCol w:w="498"/>
      </w:tblGrid>
      <w:tr w:rsidR="00D912FA" w:rsidRPr="00C24253" w:rsidTr="00974752">
        <w:trPr>
          <w:trHeight w:val="284"/>
        </w:trPr>
        <w:tc>
          <w:tcPr>
            <w:tcW w:w="1055" w:type="pct"/>
            <w:vMerge w:val="restart"/>
            <w:tcBorders>
              <w:top w:val="single" w:sz="4" w:space="0" w:color="auto"/>
            </w:tcBorders>
            <w:shd w:val="clear" w:color="auto" w:fill="auto"/>
            <w:noWrap/>
            <w:vAlign w:val="center"/>
            <w:hideMark/>
          </w:tcPr>
          <w:p w:rsidR="00D912FA" w:rsidRPr="00C24253" w:rsidRDefault="00D912FA" w:rsidP="00974752">
            <w:pPr>
              <w:rPr>
                <w:rFonts w:cs="Arial"/>
                <w:sz w:val="16"/>
                <w:szCs w:val="16"/>
              </w:rPr>
            </w:pPr>
            <w:r w:rsidRPr="00C24253">
              <w:rPr>
                <w:rFonts w:cs="Arial"/>
                <w:sz w:val="16"/>
                <w:szCs w:val="16"/>
              </w:rPr>
              <w:t>Proměnná</w:t>
            </w:r>
          </w:p>
        </w:tc>
        <w:tc>
          <w:tcPr>
            <w:tcW w:w="263" w:type="pct"/>
            <w:tcBorders>
              <w:top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1991</w:t>
            </w:r>
          </w:p>
        </w:tc>
        <w:tc>
          <w:tcPr>
            <w:tcW w:w="263" w:type="pct"/>
            <w:tcBorders>
              <w:top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2001</w:t>
            </w:r>
          </w:p>
        </w:tc>
        <w:tc>
          <w:tcPr>
            <w:tcW w:w="269" w:type="pct"/>
            <w:tcBorders>
              <w:top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2011</w:t>
            </w:r>
          </w:p>
        </w:tc>
        <w:tc>
          <w:tcPr>
            <w:tcW w:w="263" w:type="pct"/>
            <w:tcBorders>
              <w:top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1991</w:t>
            </w:r>
          </w:p>
        </w:tc>
        <w:tc>
          <w:tcPr>
            <w:tcW w:w="263" w:type="pct"/>
            <w:tcBorders>
              <w:top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2001</w:t>
            </w:r>
          </w:p>
        </w:tc>
        <w:tc>
          <w:tcPr>
            <w:tcW w:w="263" w:type="pct"/>
            <w:tcBorders>
              <w:top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2011</w:t>
            </w:r>
          </w:p>
        </w:tc>
        <w:tc>
          <w:tcPr>
            <w:tcW w:w="263" w:type="pct"/>
            <w:tcBorders>
              <w:top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1991</w:t>
            </w:r>
          </w:p>
        </w:tc>
        <w:tc>
          <w:tcPr>
            <w:tcW w:w="263" w:type="pct"/>
            <w:tcBorders>
              <w:top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2001</w:t>
            </w:r>
          </w:p>
        </w:tc>
        <w:tc>
          <w:tcPr>
            <w:tcW w:w="263" w:type="pct"/>
            <w:tcBorders>
              <w:top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2011</w:t>
            </w:r>
          </w:p>
        </w:tc>
        <w:tc>
          <w:tcPr>
            <w:tcW w:w="263" w:type="pct"/>
            <w:tcBorders>
              <w:top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1991</w:t>
            </w:r>
          </w:p>
        </w:tc>
        <w:tc>
          <w:tcPr>
            <w:tcW w:w="263" w:type="pct"/>
            <w:tcBorders>
              <w:top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2001</w:t>
            </w:r>
          </w:p>
        </w:tc>
        <w:tc>
          <w:tcPr>
            <w:tcW w:w="263" w:type="pct"/>
            <w:tcBorders>
              <w:top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2011</w:t>
            </w:r>
          </w:p>
        </w:tc>
        <w:tc>
          <w:tcPr>
            <w:tcW w:w="263" w:type="pct"/>
            <w:tcBorders>
              <w:top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1991</w:t>
            </w:r>
          </w:p>
        </w:tc>
        <w:tc>
          <w:tcPr>
            <w:tcW w:w="263" w:type="pct"/>
            <w:tcBorders>
              <w:top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2001</w:t>
            </w:r>
          </w:p>
        </w:tc>
        <w:tc>
          <w:tcPr>
            <w:tcW w:w="257" w:type="pct"/>
            <w:tcBorders>
              <w:top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2011</w:t>
            </w:r>
          </w:p>
        </w:tc>
      </w:tr>
      <w:tr w:rsidR="00D912FA" w:rsidRPr="00C24253" w:rsidTr="00974752">
        <w:trPr>
          <w:trHeight w:val="284"/>
        </w:trPr>
        <w:tc>
          <w:tcPr>
            <w:tcW w:w="1055" w:type="pct"/>
            <w:vMerge/>
            <w:tcBorders>
              <w:bottom w:val="single" w:sz="4" w:space="0" w:color="auto"/>
            </w:tcBorders>
            <w:shd w:val="clear" w:color="auto" w:fill="auto"/>
            <w:noWrap/>
            <w:vAlign w:val="center"/>
            <w:hideMark/>
          </w:tcPr>
          <w:p w:rsidR="00D912FA" w:rsidRPr="00C24253" w:rsidRDefault="00D912FA" w:rsidP="00974752">
            <w:pPr>
              <w:rPr>
                <w:rFonts w:cs="Arial"/>
                <w:sz w:val="16"/>
                <w:szCs w:val="16"/>
              </w:rPr>
            </w:pPr>
          </w:p>
        </w:tc>
        <w:tc>
          <w:tcPr>
            <w:tcW w:w="795" w:type="pct"/>
            <w:gridSpan w:val="3"/>
            <w:tcBorders>
              <w:top w:val="single" w:sz="4" w:space="0" w:color="auto"/>
              <w:bottom w:val="single" w:sz="4" w:space="0" w:color="auto"/>
            </w:tcBorders>
            <w:shd w:val="clear" w:color="auto" w:fill="auto"/>
            <w:vAlign w:val="center"/>
            <w:hideMark/>
          </w:tcPr>
          <w:p w:rsidR="00D912FA" w:rsidRPr="00C24253" w:rsidRDefault="00D912FA" w:rsidP="00974752">
            <w:pPr>
              <w:jc w:val="center"/>
              <w:rPr>
                <w:rFonts w:cs="Arial"/>
                <w:sz w:val="16"/>
                <w:szCs w:val="16"/>
              </w:rPr>
            </w:pPr>
            <w:r w:rsidRPr="00C24253">
              <w:rPr>
                <w:rFonts w:cs="Arial"/>
                <w:sz w:val="16"/>
                <w:szCs w:val="16"/>
              </w:rPr>
              <w:t>15+</w:t>
            </w:r>
          </w:p>
        </w:tc>
        <w:tc>
          <w:tcPr>
            <w:tcW w:w="789" w:type="pct"/>
            <w:gridSpan w:val="3"/>
            <w:tcBorders>
              <w:top w:val="single" w:sz="4" w:space="0" w:color="auto"/>
              <w:bottom w:val="single" w:sz="4" w:space="0" w:color="auto"/>
            </w:tcBorders>
            <w:shd w:val="clear" w:color="auto" w:fill="auto"/>
            <w:vAlign w:val="center"/>
            <w:hideMark/>
          </w:tcPr>
          <w:p w:rsidR="00D912FA" w:rsidRPr="00C24253" w:rsidRDefault="00D912FA" w:rsidP="00974752">
            <w:pPr>
              <w:jc w:val="center"/>
              <w:rPr>
                <w:rFonts w:cs="Arial"/>
                <w:sz w:val="16"/>
                <w:szCs w:val="16"/>
              </w:rPr>
            </w:pPr>
            <w:r w:rsidRPr="00C24253">
              <w:rPr>
                <w:rFonts w:cs="Arial"/>
                <w:sz w:val="16"/>
                <w:szCs w:val="16"/>
              </w:rPr>
              <w:t>25-29</w:t>
            </w:r>
          </w:p>
        </w:tc>
        <w:tc>
          <w:tcPr>
            <w:tcW w:w="789" w:type="pct"/>
            <w:gridSpan w:val="3"/>
            <w:tcBorders>
              <w:top w:val="single" w:sz="4" w:space="0" w:color="auto"/>
              <w:bottom w:val="single" w:sz="4" w:space="0" w:color="auto"/>
            </w:tcBorders>
            <w:shd w:val="clear" w:color="auto" w:fill="auto"/>
            <w:vAlign w:val="center"/>
            <w:hideMark/>
          </w:tcPr>
          <w:p w:rsidR="00D912FA" w:rsidRPr="00C24253" w:rsidRDefault="00D912FA" w:rsidP="00974752">
            <w:pPr>
              <w:jc w:val="center"/>
              <w:rPr>
                <w:rFonts w:cs="Arial"/>
                <w:sz w:val="16"/>
                <w:szCs w:val="16"/>
              </w:rPr>
            </w:pPr>
            <w:r w:rsidRPr="00C24253">
              <w:rPr>
                <w:rFonts w:cs="Arial"/>
                <w:sz w:val="16"/>
                <w:szCs w:val="16"/>
              </w:rPr>
              <w:t>30-34</w:t>
            </w:r>
          </w:p>
        </w:tc>
        <w:tc>
          <w:tcPr>
            <w:tcW w:w="789" w:type="pct"/>
            <w:gridSpan w:val="3"/>
            <w:tcBorders>
              <w:top w:val="single" w:sz="4" w:space="0" w:color="auto"/>
              <w:bottom w:val="single" w:sz="4" w:space="0" w:color="auto"/>
            </w:tcBorders>
            <w:shd w:val="clear" w:color="auto" w:fill="auto"/>
            <w:vAlign w:val="center"/>
            <w:hideMark/>
          </w:tcPr>
          <w:p w:rsidR="00D912FA" w:rsidRPr="00C24253" w:rsidRDefault="00D912FA" w:rsidP="00974752">
            <w:pPr>
              <w:jc w:val="center"/>
              <w:rPr>
                <w:rFonts w:cs="Arial"/>
                <w:sz w:val="16"/>
                <w:szCs w:val="16"/>
              </w:rPr>
            </w:pPr>
            <w:r w:rsidRPr="00C24253">
              <w:rPr>
                <w:rFonts w:cs="Arial"/>
                <w:sz w:val="16"/>
                <w:szCs w:val="16"/>
              </w:rPr>
              <w:t>35-39</w:t>
            </w:r>
          </w:p>
        </w:tc>
        <w:tc>
          <w:tcPr>
            <w:tcW w:w="783" w:type="pct"/>
            <w:gridSpan w:val="3"/>
            <w:tcBorders>
              <w:top w:val="single" w:sz="4" w:space="0" w:color="auto"/>
              <w:bottom w:val="single" w:sz="4" w:space="0" w:color="auto"/>
            </w:tcBorders>
            <w:shd w:val="clear" w:color="auto" w:fill="auto"/>
            <w:vAlign w:val="center"/>
            <w:hideMark/>
          </w:tcPr>
          <w:p w:rsidR="00D912FA" w:rsidRPr="00C24253" w:rsidRDefault="00D912FA" w:rsidP="00974752">
            <w:pPr>
              <w:jc w:val="center"/>
              <w:rPr>
                <w:rFonts w:cs="Arial"/>
                <w:sz w:val="16"/>
                <w:szCs w:val="16"/>
              </w:rPr>
            </w:pPr>
            <w:r w:rsidRPr="00C24253">
              <w:rPr>
                <w:rFonts w:cs="Arial"/>
                <w:sz w:val="16"/>
                <w:szCs w:val="16"/>
              </w:rPr>
              <w:t>40+</w:t>
            </w:r>
          </w:p>
        </w:tc>
      </w:tr>
      <w:tr w:rsidR="00D912FA" w:rsidRPr="00C24253" w:rsidTr="00974752">
        <w:trPr>
          <w:trHeight w:val="454"/>
        </w:trPr>
        <w:tc>
          <w:tcPr>
            <w:tcW w:w="1055" w:type="pct"/>
            <w:tcBorders>
              <w:top w:val="single" w:sz="4" w:space="0" w:color="auto"/>
              <w:bottom w:val="single" w:sz="4" w:space="0" w:color="auto"/>
            </w:tcBorders>
            <w:shd w:val="clear" w:color="auto" w:fill="auto"/>
            <w:noWrap/>
            <w:vAlign w:val="center"/>
            <w:hideMark/>
          </w:tcPr>
          <w:p w:rsidR="00D912FA" w:rsidRPr="00C24253" w:rsidRDefault="00D912FA" w:rsidP="00974752">
            <w:pPr>
              <w:rPr>
                <w:rFonts w:cs="Arial"/>
                <w:b/>
                <w:bCs/>
                <w:sz w:val="16"/>
                <w:szCs w:val="16"/>
              </w:rPr>
            </w:pPr>
            <w:r w:rsidRPr="00C24253">
              <w:rPr>
                <w:rFonts w:cs="Arial"/>
                <w:b/>
                <w:bCs/>
                <w:sz w:val="16"/>
                <w:szCs w:val="16"/>
              </w:rPr>
              <w:t>Ženy celkem</w:t>
            </w:r>
          </w:p>
        </w:tc>
        <w:tc>
          <w:tcPr>
            <w:tcW w:w="263" w:type="pct"/>
            <w:tcBorders>
              <w:top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1,69</w:t>
            </w:r>
          </w:p>
        </w:tc>
        <w:tc>
          <w:tcPr>
            <w:tcW w:w="263" w:type="pct"/>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1,68</w:t>
            </w:r>
          </w:p>
        </w:tc>
        <w:tc>
          <w:tcPr>
            <w:tcW w:w="269" w:type="pct"/>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1,58</w:t>
            </w:r>
          </w:p>
        </w:tc>
        <w:tc>
          <w:tcPr>
            <w:tcW w:w="263" w:type="pct"/>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1,48</w:t>
            </w:r>
          </w:p>
        </w:tc>
        <w:tc>
          <w:tcPr>
            <w:tcW w:w="263" w:type="pct"/>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1,05</w:t>
            </w:r>
          </w:p>
        </w:tc>
        <w:tc>
          <w:tcPr>
            <w:tcW w:w="263" w:type="pct"/>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0,55</w:t>
            </w:r>
          </w:p>
        </w:tc>
        <w:tc>
          <w:tcPr>
            <w:tcW w:w="263" w:type="pct"/>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1,89</w:t>
            </w:r>
          </w:p>
        </w:tc>
        <w:tc>
          <w:tcPr>
            <w:tcW w:w="263" w:type="pct"/>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1,67</w:t>
            </w:r>
          </w:p>
        </w:tc>
        <w:tc>
          <w:tcPr>
            <w:tcW w:w="263" w:type="pct"/>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1,25</w:t>
            </w:r>
          </w:p>
        </w:tc>
        <w:tc>
          <w:tcPr>
            <w:tcW w:w="263" w:type="pct"/>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2,03</w:t>
            </w:r>
          </w:p>
        </w:tc>
        <w:tc>
          <w:tcPr>
            <w:tcW w:w="263" w:type="pct"/>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1,93</w:t>
            </w:r>
          </w:p>
        </w:tc>
        <w:tc>
          <w:tcPr>
            <w:tcW w:w="263" w:type="pct"/>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1,71</w:t>
            </w:r>
          </w:p>
        </w:tc>
        <w:tc>
          <w:tcPr>
            <w:tcW w:w="263" w:type="pct"/>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2,06</w:t>
            </w:r>
          </w:p>
        </w:tc>
        <w:tc>
          <w:tcPr>
            <w:tcW w:w="263" w:type="pct"/>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2,11</w:t>
            </w:r>
          </w:p>
        </w:tc>
        <w:tc>
          <w:tcPr>
            <w:tcW w:w="257" w:type="pct"/>
            <w:tcBorders>
              <w:top w:val="single" w:sz="4" w:space="0" w:color="auto"/>
              <w:left w:val="single" w:sz="4" w:space="0" w:color="auto"/>
              <w:bottom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2,01</w:t>
            </w:r>
          </w:p>
        </w:tc>
      </w:tr>
      <w:tr w:rsidR="00D912FA" w:rsidRPr="00C24253" w:rsidTr="00974752">
        <w:trPr>
          <w:trHeight w:val="284"/>
        </w:trPr>
        <w:tc>
          <w:tcPr>
            <w:tcW w:w="1055" w:type="pct"/>
            <w:tcBorders>
              <w:top w:val="single" w:sz="4" w:space="0" w:color="auto"/>
            </w:tcBorders>
            <w:shd w:val="clear" w:color="auto" w:fill="auto"/>
            <w:noWrap/>
            <w:vAlign w:val="center"/>
            <w:hideMark/>
          </w:tcPr>
          <w:p w:rsidR="00D912FA" w:rsidRPr="00C24253" w:rsidRDefault="00D912FA" w:rsidP="00974752">
            <w:pPr>
              <w:rPr>
                <w:rFonts w:cs="Arial"/>
                <w:b/>
                <w:bCs/>
                <w:sz w:val="16"/>
                <w:szCs w:val="16"/>
              </w:rPr>
            </w:pPr>
            <w:r w:rsidRPr="00C24253">
              <w:rPr>
                <w:rFonts w:cs="Arial"/>
                <w:b/>
                <w:bCs/>
                <w:sz w:val="16"/>
                <w:szCs w:val="16"/>
              </w:rPr>
              <w:t>Rodinný stav</w:t>
            </w:r>
          </w:p>
        </w:tc>
        <w:tc>
          <w:tcPr>
            <w:tcW w:w="263" w:type="pct"/>
            <w:tcBorders>
              <w:top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rPr>
                <w:rFonts w:cs="Arial"/>
                <w:sz w:val="16"/>
                <w:szCs w:val="16"/>
              </w:rPr>
            </w:pPr>
          </w:p>
        </w:tc>
        <w:tc>
          <w:tcPr>
            <w:tcW w:w="263" w:type="pct"/>
            <w:tcBorders>
              <w:top w:val="single" w:sz="4" w:space="0" w:color="auto"/>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rPr>
                <w:rFonts w:cs="Arial"/>
                <w:sz w:val="16"/>
                <w:szCs w:val="16"/>
              </w:rPr>
            </w:pPr>
          </w:p>
        </w:tc>
        <w:tc>
          <w:tcPr>
            <w:tcW w:w="269" w:type="pct"/>
            <w:tcBorders>
              <w:top w:val="single" w:sz="4" w:space="0" w:color="auto"/>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rPr>
                <w:rFonts w:cs="Arial"/>
                <w:sz w:val="16"/>
                <w:szCs w:val="16"/>
              </w:rPr>
            </w:pPr>
          </w:p>
        </w:tc>
        <w:tc>
          <w:tcPr>
            <w:tcW w:w="263" w:type="pct"/>
            <w:tcBorders>
              <w:top w:val="single" w:sz="4" w:space="0" w:color="auto"/>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rPr>
                <w:rFonts w:cs="Arial"/>
                <w:sz w:val="16"/>
                <w:szCs w:val="16"/>
              </w:rPr>
            </w:pPr>
          </w:p>
        </w:tc>
        <w:tc>
          <w:tcPr>
            <w:tcW w:w="263" w:type="pct"/>
            <w:tcBorders>
              <w:top w:val="single" w:sz="4" w:space="0" w:color="auto"/>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rPr>
                <w:rFonts w:cs="Arial"/>
                <w:sz w:val="16"/>
                <w:szCs w:val="16"/>
              </w:rPr>
            </w:pPr>
          </w:p>
        </w:tc>
        <w:tc>
          <w:tcPr>
            <w:tcW w:w="263" w:type="pct"/>
            <w:tcBorders>
              <w:top w:val="single" w:sz="4" w:space="0" w:color="auto"/>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rPr>
                <w:rFonts w:cs="Arial"/>
                <w:sz w:val="16"/>
                <w:szCs w:val="16"/>
              </w:rPr>
            </w:pPr>
          </w:p>
        </w:tc>
        <w:tc>
          <w:tcPr>
            <w:tcW w:w="263" w:type="pct"/>
            <w:tcBorders>
              <w:top w:val="single" w:sz="4" w:space="0" w:color="auto"/>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rPr>
                <w:rFonts w:cs="Arial"/>
                <w:sz w:val="16"/>
                <w:szCs w:val="16"/>
              </w:rPr>
            </w:pPr>
          </w:p>
        </w:tc>
        <w:tc>
          <w:tcPr>
            <w:tcW w:w="263" w:type="pct"/>
            <w:tcBorders>
              <w:top w:val="single" w:sz="4" w:space="0" w:color="auto"/>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rPr>
                <w:rFonts w:cs="Arial"/>
                <w:sz w:val="16"/>
                <w:szCs w:val="16"/>
              </w:rPr>
            </w:pPr>
          </w:p>
        </w:tc>
        <w:tc>
          <w:tcPr>
            <w:tcW w:w="263" w:type="pct"/>
            <w:tcBorders>
              <w:top w:val="single" w:sz="4" w:space="0" w:color="auto"/>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rPr>
                <w:rFonts w:cs="Arial"/>
                <w:sz w:val="16"/>
                <w:szCs w:val="16"/>
              </w:rPr>
            </w:pPr>
          </w:p>
        </w:tc>
        <w:tc>
          <w:tcPr>
            <w:tcW w:w="263" w:type="pct"/>
            <w:tcBorders>
              <w:top w:val="single" w:sz="4" w:space="0" w:color="auto"/>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rPr>
                <w:rFonts w:cs="Arial"/>
                <w:sz w:val="16"/>
                <w:szCs w:val="16"/>
              </w:rPr>
            </w:pPr>
          </w:p>
        </w:tc>
        <w:tc>
          <w:tcPr>
            <w:tcW w:w="263" w:type="pct"/>
            <w:tcBorders>
              <w:top w:val="single" w:sz="4" w:space="0" w:color="auto"/>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rPr>
                <w:rFonts w:cs="Arial"/>
                <w:sz w:val="16"/>
                <w:szCs w:val="16"/>
              </w:rPr>
            </w:pPr>
          </w:p>
        </w:tc>
        <w:tc>
          <w:tcPr>
            <w:tcW w:w="263" w:type="pct"/>
            <w:tcBorders>
              <w:top w:val="single" w:sz="4" w:space="0" w:color="auto"/>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rPr>
                <w:rFonts w:cs="Arial"/>
                <w:sz w:val="16"/>
                <w:szCs w:val="16"/>
              </w:rPr>
            </w:pPr>
          </w:p>
        </w:tc>
        <w:tc>
          <w:tcPr>
            <w:tcW w:w="263" w:type="pct"/>
            <w:tcBorders>
              <w:top w:val="single" w:sz="4" w:space="0" w:color="auto"/>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rPr>
                <w:rFonts w:cs="Arial"/>
                <w:sz w:val="16"/>
                <w:szCs w:val="16"/>
              </w:rPr>
            </w:pPr>
          </w:p>
        </w:tc>
        <w:tc>
          <w:tcPr>
            <w:tcW w:w="263" w:type="pct"/>
            <w:tcBorders>
              <w:top w:val="single" w:sz="4" w:space="0" w:color="auto"/>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rPr>
                <w:rFonts w:cs="Arial"/>
                <w:sz w:val="16"/>
                <w:szCs w:val="16"/>
              </w:rPr>
            </w:pPr>
          </w:p>
        </w:tc>
        <w:tc>
          <w:tcPr>
            <w:tcW w:w="257" w:type="pct"/>
            <w:tcBorders>
              <w:top w:val="single" w:sz="4" w:space="0" w:color="auto"/>
              <w:left w:val="single" w:sz="4" w:space="0" w:color="auto"/>
            </w:tcBorders>
            <w:shd w:val="clear" w:color="auto" w:fill="auto"/>
            <w:noWrap/>
            <w:tcMar>
              <w:left w:w="85" w:type="dxa"/>
              <w:right w:w="85" w:type="dxa"/>
            </w:tcMar>
            <w:vAlign w:val="center"/>
            <w:hideMark/>
          </w:tcPr>
          <w:p w:rsidR="00D912FA" w:rsidRPr="00C24253" w:rsidRDefault="00D912FA" w:rsidP="00974752">
            <w:pPr>
              <w:rPr>
                <w:rFonts w:cs="Arial"/>
                <w:sz w:val="16"/>
                <w:szCs w:val="16"/>
              </w:rPr>
            </w:pPr>
          </w:p>
        </w:tc>
      </w:tr>
      <w:tr w:rsidR="00D912FA" w:rsidRPr="00C24253" w:rsidTr="00974752">
        <w:trPr>
          <w:trHeight w:val="284"/>
        </w:trPr>
        <w:tc>
          <w:tcPr>
            <w:tcW w:w="1055" w:type="pct"/>
            <w:shd w:val="clear" w:color="auto" w:fill="auto"/>
            <w:noWrap/>
            <w:vAlign w:val="center"/>
            <w:hideMark/>
          </w:tcPr>
          <w:p w:rsidR="00D912FA" w:rsidRPr="00C24253" w:rsidRDefault="00D912FA" w:rsidP="00974752">
            <w:pPr>
              <w:rPr>
                <w:rFonts w:cs="Arial"/>
                <w:sz w:val="16"/>
                <w:szCs w:val="16"/>
              </w:rPr>
            </w:pPr>
            <w:r w:rsidRPr="00C24253">
              <w:rPr>
                <w:rFonts w:cs="Arial"/>
                <w:sz w:val="16"/>
                <w:szCs w:val="16"/>
              </w:rPr>
              <w:t>svobodná</w:t>
            </w:r>
          </w:p>
        </w:tc>
        <w:tc>
          <w:tcPr>
            <w:tcW w:w="263" w:type="pct"/>
            <w:tcBorders>
              <w:top w:val="nil"/>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0,09</w:t>
            </w:r>
          </w:p>
        </w:tc>
        <w:tc>
          <w:tcPr>
            <w:tcW w:w="263" w:type="pct"/>
            <w:tcBorders>
              <w:top w:val="nil"/>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0,16</w:t>
            </w:r>
          </w:p>
        </w:tc>
        <w:tc>
          <w:tcPr>
            <w:tcW w:w="269" w:type="pct"/>
            <w:tcBorders>
              <w:top w:val="nil"/>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0,30</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0,24</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0,29</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0,30</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0,36</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0,54</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0,64</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0,39</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0,59</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0,88</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0,29</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0,44</w:t>
            </w:r>
          </w:p>
        </w:tc>
        <w:tc>
          <w:tcPr>
            <w:tcW w:w="257" w:type="pct"/>
            <w:tcBorders>
              <w:lef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0,57</w:t>
            </w:r>
          </w:p>
        </w:tc>
      </w:tr>
      <w:tr w:rsidR="00D912FA" w:rsidRPr="00C24253" w:rsidTr="00974752">
        <w:trPr>
          <w:trHeight w:val="284"/>
        </w:trPr>
        <w:tc>
          <w:tcPr>
            <w:tcW w:w="1055" w:type="pct"/>
            <w:shd w:val="clear" w:color="auto" w:fill="auto"/>
            <w:noWrap/>
            <w:vAlign w:val="center"/>
            <w:hideMark/>
          </w:tcPr>
          <w:p w:rsidR="00D912FA" w:rsidRPr="00C24253" w:rsidRDefault="00D912FA" w:rsidP="00974752">
            <w:pPr>
              <w:rPr>
                <w:rFonts w:cs="Arial"/>
                <w:sz w:val="16"/>
                <w:szCs w:val="16"/>
              </w:rPr>
            </w:pPr>
            <w:r w:rsidRPr="00C24253">
              <w:rPr>
                <w:rFonts w:cs="Arial"/>
                <w:sz w:val="16"/>
                <w:szCs w:val="16"/>
              </w:rPr>
              <w:t>vdaná</w:t>
            </w:r>
          </w:p>
        </w:tc>
        <w:tc>
          <w:tcPr>
            <w:tcW w:w="263" w:type="pct"/>
            <w:tcBorders>
              <w:top w:val="nil"/>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1,95</w:t>
            </w:r>
          </w:p>
        </w:tc>
        <w:tc>
          <w:tcPr>
            <w:tcW w:w="263" w:type="pct"/>
            <w:tcBorders>
              <w:top w:val="nil"/>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1,96</w:t>
            </w:r>
          </w:p>
        </w:tc>
        <w:tc>
          <w:tcPr>
            <w:tcW w:w="269" w:type="pct"/>
            <w:tcBorders>
              <w:top w:val="nil"/>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1,94</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1,65</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1,35</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1,03</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2,01</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1,82</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1,58</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2,12</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2,04</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1,91</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2,11</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2,13</w:t>
            </w:r>
          </w:p>
        </w:tc>
        <w:tc>
          <w:tcPr>
            <w:tcW w:w="257" w:type="pct"/>
            <w:tcBorders>
              <w:lef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2,07</w:t>
            </w:r>
          </w:p>
        </w:tc>
      </w:tr>
      <w:tr w:rsidR="00D912FA" w:rsidRPr="00C24253" w:rsidTr="00974752">
        <w:trPr>
          <w:trHeight w:val="284"/>
        </w:trPr>
        <w:tc>
          <w:tcPr>
            <w:tcW w:w="1055" w:type="pct"/>
            <w:tcBorders>
              <w:bottom w:val="nil"/>
            </w:tcBorders>
            <w:shd w:val="clear" w:color="auto" w:fill="auto"/>
            <w:noWrap/>
            <w:vAlign w:val="center"/>
            <w:hideMark/>
          </w:tcPr>
          <w:p w:rsidR="00D912FA" w:rsidRPr="00C24253" w:rsidRDefault="00D912FA" w:rsidP="00974752">
            <w:pPr>
              <w:rPr>
                <w:rFonts w:cs="Arial"/>
                <w:sz w:val="16"/>
                <w:szCs w:val="16"/>
              </w:rPr>
            </w:pPr>
            <w:r w:rsidRPr="00C24253">
              <w:rPr>
                <w:rFonts w:cs="Arial"/>
                <w:sz w:val="16"/>
                <w:szCs w:val="16"/>
              </w:rPr>
              <w:t>rozvedená</w:t>
            </w:r>
          </w:p>
        </w:tc>
        <w:tc>
          <w:tcPr>
            <w:tcW w:w="263" w:type="pct"/>
            <w:tcBorders>
              <w:top w:val="nil"/>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1,81</w:t>
            </w:r>
          </w:p>
        </w:tc>
        <w:tc>
          <w:tcPr>
            <w:tcW w:w="263" w:type="pct"/>
            <w:tcBorders>
              <w:top w:val="nil"/>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1,88</w:t>
            </w:r>
          </w:p>
        </w:tc>
        <w:tc>
          <w:tcPr>
            <w:tcW w:w="269" w:type="pct"/>
            <w:tcBorders>
              <w:top w:val="nil"/>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1,88</w:t>
            </w:r>
          </w:p>
        </w:tc>
        <w:tc>
          <w:tcPr>
            <w:tcW w:w="263" w:type="pct"/>
            <w:tcBorders>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1,36</w:t>
            </w:r>
          </w:p>
        </w:tc>
        <w:tc>
          <w:tcPr>
            <w:tcW w:w="263" w:type="pct"/>
            <w:tcBorders>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1,22</w:t>
            </w:r>
          </w:p>
        </w:tc>
        <w:tc>
          <w:tcPr>
            <w:tcW w:w="263" w:type="pct"/>
            <w:tcBorders>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1,04</w:t>
            </w:r>
          </w:p>
        </w:tc>
        <w:tc>
          <w:tcPr>
            <w:tcW w:w="263" w:type="pct"/>
            <w:tcBorders>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1,70</w:t>
            </w:r>
          </w:p>
        </w:tc>
        <w:tc>
          <w:tcPr>
            <w:tcW w:w="263" w:type="pct"/>
            <w:tcBorders>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1,60</w:t>
            </w:r>
          </w:p>
        </w:tc>
        <w:tc>
          <w:tcPr>
            <w:tcW w:w="263" w:type="pct"/>
            <w:tcBorders>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1,41</w:t>
            </w:r>
          </w:p>
        </w:tc>
        <w:tc>
          <w:tcPr>
            <w:tcW w:w="263" w:type="pct"/>
            <w:tcBorders>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1,87</w:t>
            </w:r>
          </w:p>
        </w:tc>
        <w:tc>
          <w:tcPr>
            <w:tcW w:w="263" w:type="pct"/>
            <w:tcBorders>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1,84</w:t>
            </w:r>
          </w:p>
        </w:tc>
        <w:tc>
          <w:tcPr>
            <w:tcW w:w="263" w:type="pct"/>
            <w:tcBorders>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1,72</w:t>
            </w:r>
          </w:p>
        </w:tc>
        <w:tc>
          <w:tcPr>
            <w:tcW w:w="263" w:type="pct"/>
            <w:tcBorders>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1,91</w:t>
            </w:r>
          </w:p>
        </w:tc>
        <w:tc>
          <w:tcPr>
            <w:tcW w:w="263" w:type="pct"/>
            <w:tcBorders>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2,02</w:t>
            </w:r>
          </w:p>
        </w:tc>
        <w:tc>
          <w:tcPr>
            <w:tcW w:w="257" w:type="pct"/>
            <w:tcBorders>
              <w:left w:val="single" w:sz="4" w:space="0" w:color="auto"/>
              <w:bottom w:val="nil"/>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1,97</w:t>
            </w:r>
          </w:p>
        </w:tc>
      </w:tr>
      <w:tr w:rsidR="00D912FA" w:rsidRPr="00C24253" w:rsidTr="00974752">
        <w:trPr>
          <w:trHeight w:val="284"/>
        </w:trPr>
        <w:tc>
          <w:tcPr>
            <w:tcW w:w="1055" w:type="pct"/>
            <w:tcBorders>
              <w:top w:val="nil"/>
              <w:bottom w:val="single" w:sz="4" w:space="0" w:color="auto"/>
            </w:tcBorders>
            <w:shd w:val="clear" w:color="auto" w:fill="auto"/>
            <w:noWrap/>
            <w:vAlign w:val="center"/>
            <w:hideMark/>
          </w:tcPr>
          <w:p w:rsidR="00D912FA" w:rsidRPr="00C24253" w:rsidRDefault="00D912FA" w:rsidP="00974752">
            <w:pPr>
              <w:rPr>
                <w:rFonts w:cs="Arial"/>
                <w:sz w:val="16"/>
                <w:szCs w:val="16"/>
              </w:rPr>
            </w:pPr>
            <w:r w:rsidRPr="00C24253">
              <w:rPr>
                <w:rFonts w:cs="Arial"/>
                <w:sz w:val="16"/>
                <w:szCs w:val="16"/>
              </w:rPr>
              <w:t>ovdovělá</w:t>
            </w:r>
          </w:p>
        </w:tc>
        <w:tc>
          <w:tcPr>
            <w:tcW w:w="263" w:type="pct"/>
            <w:tcBorders>
              <w:top w:val="nil"/>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2,20</w:t>
            </w:r>
          </w:p>
        </w:tc>
        <w:tc>
          <w:tcPr>
            <w:tcW w:w="263" w:type="pct"/>
            <w:tcBorders>
              <w:top w:val="nil"/>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2,26</w:t>
            </w:r>
          </w:p>
        </w:tc>
        <w:tc>
          <w:tcPr>
            <w:tcW w:w="269" w:type="pct"/>
            <w:tcBorders>
              <w:top w:val="nil"/>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2,15</w:t>
            </w:r>
          </w:p>
        </w:tc>
        <w:tc>
          <w:tcPr>
            <w:tcW w:w="263" w:type="pct"/>
            <w:tcBorders>
              <w:top w:val="nil"/>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1,69</w:t>
            </w:r>
          </w:p>
        </w:tc>
        <w:tc>
          <w:tcPr>
            <w:tcW w:w="263" w:type="pct"/>
            <w:tcBorders>
              <w:top w:val="nil"/>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1,47</w:t>
            </w:r>
          </w:p>
        </w:tc>
        <w:tc>
          <w:tcPr>
            <w:tcW w:w="263" w:type="pct"/>
            <w:tcBorders>
              <w:top w:val="nil"/>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1,32</w:t>
            </w:r>
          </w:p>
        </w:tc>
        <w:tc>
          <w:tcPr>
            <w:tcW w:w="263" w:type="pct"/>
            <w:tcBorders>
              <w:top w:val="nil"/>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2,04</w:t>
            </w:r>
          </w:p>
        </w:tc>
        <w:tc>
          <w:tcPr>
            <w:tcW w:w="263" w:type="pct"/>
            <w:tcBorders>
              <w:top w:val="nil"/>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1,89</w:t>
            </w:r>
          </w:p>
        </w:tc>
        <w:tc>
          <w:tcPr>
            <w:tcW w:w="263" w:type="pct"/>
            <w:tcBorders>
              <w:top w:val="nil"/>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1,58</w:t>
            </w:r>
          </w:p>
        </w:tc>
        <w:tc>
          <w:tcPr>
            <w:tcW w:w="263" w:type="pct"/>
            <w:tcBorders>
              <w:top w:val="nil"/>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2,19</w:t>
            </w:r>
          </w:p>
        </w:tc>
        <w:tc>
          <w:tcPr>
            <w:tcW w:w="263" w:type="pct"/>
            <w:tcBorders>
              <w:top w:val="nil"/>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2,08</w:t>
            </w:r>
          </w:p>
        </w:tc>
        <w:tc>
          <w:tcPr>
            <w:tcW w:w="263" w:type="pct"/>
            <w:tcBorders>
              <w:top w:val="nil"/>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1,91</w:t>
            </w:r>
          </w:p>
        </w:tc>
        <w:tc>
          <w:tcPr>
            <w:tcW w:w="263" w:type="pct"/>
            <w:tcBorders>
              <w:top w:val="nil"/>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2,20</w:t>
            </w:r>
          </w:p>
        </w:tc>
        <w:tc>
          <w:tcPr>
            <w:tcW w:w="263" w:type="pct"/>
            <w:tcBorders>
              <w:top w:val="nil"/>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2,27</w:t>
            </w:r>
          </w:p>
        </w:tc>
        <w:tc>
          <w:tcPr>
            <w:tcW w:w="257" w:type="pct"/>
            <w:tcBorders>
              <w:top w:val="nil"/>
              <w:left w:val="single" w:sz="4" w:space="0" w:color="auto"/>
              <w:bottom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2,15</w:t>
            </w:r>
          </w:p>
        </w:tc>
      </w:tr>
      <w:tr w:rsidR="00D912FA" w:rsidRPr="00C24253" w:rsidTr="00974752">
        <w:trPr>
          <w:trHeight w:val="284"/>
        </w:trPr>
        <w:tc>
          <w:tcPr>
            <w:tcW w:w="1055" w:type="pct"/>
            <w:tcBorders>
              <w:top w:val="single" w:sz="4" w:space="0" w:color="auto"/>
            </w:tcBorders>
            <w:shd w:val="clear" w:color="auto" w:fill="auto"/>
            <w:noWrap/>
            <w:vAlign w:val="center"/>
            <w:hideMark/>
          </w:tcPr>
          <w:p w:rsidR="00D912FA" w:rsidRPr="00C24253" w:rsidRDefault="00D912FA" w:rsidP="00974752">
            <w:pPr>
              <w:rPr>
                <w:rFonts w:cs="Arial"/>
                <w:b/>
                <w:bCs/>
                <w:sz w:val="16"/>
                <w:szCs w:val="16"/>
              </w:rPr>
            </w:pPr>
            <w:r w:rsidRPr="00C24253">
              <w:rPr>
                <w:rFonts w:cs="Arial"/>
                <w:b/>
                <w:bCs/>
                <w:sz w:val="16"/>
                <w:szCs w:val="16"/>
              </w:rPr>
              <w:t>Národnost</w:t>
            </w:r>
          </w:p>
        </w:tc>
        <w:tc>
          <w:tcPr>
            <w:tcW w:w="263" w:type="pct"/>
            <w:tcBorders>
              <w:top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p>
        </w:tc>
        <w:tc>
          <w:tcPr>
            <w:tcW w:w="263" w:type="pct"/>
            <w:tcBorders>
              <w:top w:val="single" w:sz="4" w:space="0" w:color="auto"/>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p>
        </w:tc>
        <w:tc>
          <w:tcPr>
            <w:tcW w:w="269" w:type="pct"/>
            <w:tcBorders>
              <w:top w:val="single" w:sz="4" w:space="0" w:color="auto"/>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p>
        </w:tc>
        <w:tc>
          <w:tcPr>
            <w:tcW w:w="263" w:type="pct"/>
            <w:tcBorders>
              <w:top w:val="single" w:sz="4" w:space="0" w:color="auto"/>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p>
        </w:tc>
        <w:tc>
          <w:tcPr>
            <w:tcW w:w="263" w:type="pct"/>
            <w:tcBorders>
              <w:top w:val="single" w:sz="4" w:space="0" w:color="auto"/>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p>
        </w:tc>
        <w:tc>
          <w:tcPr>
            <w:tcW w:w="263" w:type="pct"/>
            <w:tcBorders>
              <w:top w:val="single" w:sz="4" w:space="0" w:color="auto"/>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p>
        </w:tc>
        <w:tc>
          <w:tcPr>
            <w:tcW w:w="263" w:type="pct"/>
            <w:tcBorders>
              <w:top w:val="single" w:sz="4" w:space="0" w:color="auto"/>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p>
        </w:tc>
        <w:tc>
          <w:tcPr>
            <w:tcW w:w="263" w:type="pct"/>
            <w:tcBorders>
              <w:top w:val="single" w:sz="4" w:space="0" w:color="auto"/>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p>
        </w:tc>
        <w:tc>
          <w:tcPr>
            <w:tcW w:w="263" w:type="pct"/>
            <w:tcBorders>
              <w:top w:val="single" w:sz="4" w:space="0" w:color="auto"/>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p>
        </w:tc>
        <w:tc>
          <w:tcPr>
            <w:tcW w:w="263" w:type="pct"/>
            <w:tcBorders>
              <w:top w:val="single" w:sz="4" w:space="0" w:color="auto"/>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p>
        </w:tc>
        <w:tc>
          <w:tcPr>
            <w:tcW w:w="263" w:type="pct"/>
            <w:tcBorders>
              <w:top w:val="single" w:sz="4" w:space="0" w:color="auto"/>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p>
        </w:tc>
        <w:tc>
          <w:tcPr>
            <w:tcW w:w="263" w:type="pct"/>
            <w:tcBorders>
              <w:top w:val="single" w:sz="4" w:space="0" w:color="auto"/>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p>
        </w:tc>
        <w:tc>
          <w:tcPr>
            <w:tcW w:w="263" w:type="pct"/>
            <w:tcBorders>
              <w:top w:val="single" w:sz="4" w:space="0" w:color="auto"/>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p>
        </w:tc>
        <w:tc>
          <w:tcPr>
            <w:tcW w:w="263" w:type="pct"/>
            <w:tcBorders>
              <w:top w:val="single" w:sz="4" w:space="0" w:color="auto"/>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p>
        </w:tc>
        <w:tc>
          <w:tcPr>
            <w:tcW w:w="257" w:type="pct"/>
            <w:tcBorders>
              <w:top w:val="single" w:sz="4" w:space="0" w:color="auto"/>
              <w:lef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p>
        </w:tc>
      </w:tr>
      <w:tr w:rsidR="00D912FA" w:rsidRPr="00C24253" w:rsidTr="00974752">
        <w:trPr>
          <w:trHeight w:val="284"/>
        </w:trPr>
        <w:tc>
          <w:tcPr>
            <w:tcW w:w="1055" w:type="pct"/>
            <w:shd w:val="clear" w:color="auto" w:fill="auto"/>
            <w:noWrap/>
            <w:vAlign w:val="center"/>
            <w:hideMark/>
          </w:tcPr>
          <w:p w:rsidR="00D912FA" w:rsidRPr="00C24253" w:rsidRDefault="00D912FA" w:rsidP="00974752">
            <w:pPr>
              <w:rPr>
                <w:rFonts w:cs="Arial"/>
                <w:sz w:val="16"/>
                <w:szCs w:val="16"/>
              </w:rPr>
            </w:pPr>
            <w:r w:rsidRPr="00C24253">
              <w:rPr>
                <w:rFonts w:cs="Arial"/>
                <w:sz w:val="16"/>
                <w:szCs w:val="16"/>
              </w:rPr>
              <w:t>česká</w:t>
            </w:r>
          </w:p>
        </w:tc>
        <w:tc>
          <w:tcPr>
            <w:tcW w:w="263" w:type="pct"/>
            <w:tcBorders>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1,64</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1,66</w:t>
            </w:r>
          </w:p>
        </w:tc>
        <w:tc>
          <w:tcPr>
            <w:tcW w:w="269"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1,57</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1,46</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1,04</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0,51</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1,86</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1,67</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1,23</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2,00</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1,93</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1,70</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2,00</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2,04</w:t>
            </w:r>
          </w:p>
        </w:tc>
        <w:tc>
          <w:tcPr>
            <w:tcW w:w="257" w:type="pct"/>
            <w:tcBorders>
              <w:lef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1,98</w:t>
            </w:r>
          </w:p>
        </w:tc>
      </w:tr>
      <w:tr w:rsidR="00D912FA" w:rsidRPr="00C24253" w:rsidTr="00974752">
        <w:trPr>
          <w:trHeight w:val="284"/>
        </w:trPr>
        <w:tc>
          <w:tcPr>
            <w:tcW w:w="1055" w:type="pct"/>
            <w:shd w:val="clear" w:color="auto" w:fill="auto"/>
            <w:noWrap/>
            <w:vAlign w:val="center"/>
            <w:hideMark/>
          </w:tcPr>
          <w:p w:rsidR="00D912FA" w:rsidRPr="00C24253" w:rsidRDefault="00D912FA" w:rsidP="00974752">
            <w:pPr>
              <w:rPr>
                <w:rFonts w:cs="Arial"/>
                <w:sz w:val="16"/>
                <w:szCs w:val="16"/>
              </w:rPr>
            </w:pPr>
            <w:r w:rsidRPr="00C24253">
              <w:rPr>
                <w:rFonts w:cs="Arial"/>
                <w:sz w:val="16"/>
                <w:szCs w:val="16"/>
              </w:rPr>
              <w:t>moravská</w:t>
            </w:r>
          </w:p>
        </w:tc>
        <w:tc>
          <w:tcPr>
            <w:tcW w:w="263" w:type="pct"/>
            <w:tcBorders>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1,77</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1,76</w:t>
            </w:r>
          </w:p>
        </w:tc>
        <w:tc>
          <w:tcPr>
            <w:tcW w:w="269"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1,66</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1,52</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1,08</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0,46</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1,95</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1,77</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1,26</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2,09</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2,04</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1,77</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2,20</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2,15</w:t>
            </w:r>
          </w:p>
        </w:tc>
        <w:tc>
          <w:tcPr>
            <w:tcW w:w="257" w:type="pct"/>
            <w:tcBorders>
              <w:lef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2,14</w:t>
            </w:r>
          </w:p>
        </w:tc>
      </w:tr>
      <w:tr w:rsidR="00D912FA" w:rsidRPr="00C24253" w:rsidTr="00974752">
        <w:trPr>
          <w:trHeight w:val="284"/>
        </w:trPr>
        <w:tc>
          <w:tcPr>
            <w:tcW w:w="1055" w:type="pct"/>
            <w:shd w:val="clear" w:color="auto" w:fill="auto"/>
            <w:noWrap/>
            <w:vAlign w:val="center"/>
            <w:hideMark/>
          </w:tcPr>
          <w:p w:rsidR="00D912FA" w:rsidRPr="00C24253" w:rsidRDefault="00D912FA" w:rsidP="00974752">
            <w:pPr>
              <w:rPr>
                <w:rFonts w:cs="Arial"/>
                <w:sz w:val="16"/>
                <w:szCs w:val="16"/>
              </w:rPr>
            </w:pPr>
            <w:r w:rsidRPr="00C24253">
              <w:rPr>
                <w:rFonts w:cs="Arial"/>
                <w:sz w:val="16"/>
                <w:szCs w:val="16"/>
              </w:rPr>
              <w:t>slezská</w:t>
            </w:r>
          </w:p>
        </w:tc>
        <w:tc>
          <w:tcPr>
            <w:tcW w:w="263" w:type="pct"/>
            <w:tcBorders>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1,84</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1,79</w:t>
            </w:r>
          </w:p>
        </w:tc>
        <w:tc>
          <w:tcPr>
            <w:tcW w:w="269"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1,49</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1,56</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0,93</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0,40</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1,96</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1,78</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1,22</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2,09</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1,96</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1,73</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2,24</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2,13</w:t>
            </w:r>
          </w:p>
        </w:tc>
        <w:tc>
          <w:tcPr>
            <w:tcW w:w="257" w:type="pct"/>
            <w:tcBorders>
              <w:lef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2,12</w:t>
            </w:r>
          </w:p>
        </w:tc>
      </w:tr>
      <w:tr w:rsidR="00D912FA" w:rsidRPr="00C24253" w:rsidTr="00974752">
        <w:trPr>
          <w:trHeight w:val="284"/>
        </w:trPr>
        <w:tc>
          <w:tcPr>
            <w:tcW w:w="1055" w:type="pct"/>
            <w:shd w:val="clear" w:color="auto" w:fill="auto"/>
            <w:noWrap/>
            <w:vAlign w:val="center"/>
            <w:hideMark/>
          </w:tcPr>
          <w:p w:rsidR="00D912FA" w:rsidRPr="00C24253" w:rsidRDefault="00D912FA" w:rsidP="00974752">
            <w:pPr>
              <w:rPr>
                <w:rFonts w:cs="Arial"/>
                <w:sz w:val="16"/>
                <w:szCs w:val="16"/>
              </w:rPr>
            </w:pPr>
            <w:r w:rsidRPr="00C24253">
              <w:rPr>
                <w:rFonts w:cs="Arial"/>
                <w:sz w:val="16"/>
                <w:szCs w:val="16"/>
              </w:rPr>
              <w:t>slovenská</w:t>
            </w:r>
          </w:p>
        </w:tc>
        <w:tc>
          <w:tcPr>
            <w:tcW w:w="263" w:type="pct"/>
            <w:tcBorders>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2,32</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2,22</w:t>
            </w:r>
          </w:p>
        </w:tc>
        <w:tc>
          <w:tcPr>
            <w:tcW w:w="269"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1,76</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1,73</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1,13</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0,48</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2,10</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1,77</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1,03</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2,29</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2,06</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1,59</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2,66</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2,20</w:t>
            </w:r>
          </w:p>
        </w:tc>
        <w:tc>
          <w:tcPr>
            <w:tcW w:w="257" w:type="pct"/>
            <w:tcBorders>
              <w:lef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2,24</w:t>
            </w:r>
          </w:p>
        </w:tc>
      </w:tr>
      <w:tr w:rsidR="00D912FA" w:rsidRPr="00C24253" w:rsidTr="00974752">
        <w:trPr>
          <w:trHeight w:val="284"/>
        </w:trPr>
        <w:tc>
          <w:tcPr>
            <w:tcW w:w="1055" w:type="pct"/>
            <w:shd w:val="clear" w:color="auto" w:fill="auto"/>
            <w:noWrap/>
            <w:vAlign w:val="center"/>
            <w:hideMark/>
          </w:tcPr>
          <w:p w:rsidR="00D912FA" w:rsidRPr="00C24253" w:rsidRDefault="00D912FA" w:rsidP="00974752">
            <w:pPr>
              <w:rPr>
                <w:rFonts w:cs="Arial"/>
                <w:sz w:val="16"/>
                <w:szCs w:val="16"/>
              </w:rPr>
            </w:pPr>
            <w:r w:rsidRPr="00C24253">
              <w:rPr>
                <w:rFonts w:cs="Arial"/>
                <w:sz w:val="16"/>
                <w:szCs w:val="16"/>
              </w:rPr>
              <w:t>polská</w:t>
            </w:r>
          </w:p>
        </w:tc>
        <w:tc>
          <w:tcPr>
            <w:tcW w:w="263" w:type="pct"/>
            <w:tcBorders>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1,92</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1,95</w:t>
            </w:r>
          </w:p>
        </w:tc>
        <w:tc>
          <w:tcPr>
            <w:tcW w:w="269"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1,80</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1,47</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1,04</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0,52</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1,88</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1,69</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1,19</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2,09</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1,97</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1,70</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2,11</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2,03</w:t>
            </w:r>
          </w:p>
        </w:tc>
        <w:tc>
          <w:tcPr>
            <w:tcW w:w="257" w:type="pct"/>
            <w:tcBorders>
              <w:lef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2,05</w:t>
            </w:r>
          </w:p>
        </w:tc>
      </w:tr>
      <w:tr w:rsidR="00D912FA" w:rsidRPr="00C24253" w:rsidTr="00974752">
        <w:trPr>
          <w:trHeight w:val="284"/>
        </w:trPr>
        <w:tc>
          <w:tcPr>
            <w:tcW w:w="1055" w:type="pct"/>
            <w:shd w:val="clear" w:color="auto" w:fill="auto"/>
            <w:noWrap/>
            <w:vAlign w:val="center"/>
            <w:hideMark/>
          </w:tcPr>
          <w:p w:rsidR="00D912FA" w:rsidRPr="00C24253" w:rsidRDefault="00D912FA" w:rsidP="00974752">
            <w:pPr>
              <w:rPr>
                <w:rFonts w:cs="Arial"/>
                <w:sz w:val="16"/>
                <w:szCs w:val="16"/>
              </w:rPr>
            </w:pPr>
            <w:r w:rsidRPr="00C24253">
              <w:rPr>
                <w:rFonts w:cs="Arial"/>
                <w:sz w:val="16"/>
                <w:szCs w:val="16"/>
              </w:rPr>
              <w:t>německá</w:t>
            </w:r>
          </w:p>
        </w:tc>
        <w:tc>
          <w:tcPr>
            <w:tcW w:w="263" w:type="pct"/>
            <w:tcBorders>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1,94</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2,01</w:t>
            </w:r>
          </w:p>
        </w:tc>
        <w:tc>
          <w:tcPr>
            <w:tcW w:w="269"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1,87</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1,37</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0,94</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0,38</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1,84</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1,44</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1,13</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2,00</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1,81</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1,46</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2,05</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1,96</w:t>
            </w:r>
          </w:p>
        </w:tc>
        <w:tc>
          <w:tcPr>
            <w:tcW w:w="257" w:type="pct"/>
            <w:tcBorders>
              <w:lef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1,99</w:t>
            </w:r>
          </w:p>
        </w:tc>
      </w:tr>
      <w:tr w:rsidR="00D912FA" w:rsidRPr="00C24253" w:rsidTr="00974752">
        <w:trPr>
          <w:trHeight w:val="284"/>
        </w:trPr>
        <w:tc>
          <w:tcPr>
            <w:tcW w:w="1055" w:type="pct"/>
            <w:shd w:val="clear" w:color="auto" w:fill="auto"/>
            <w:noWrap/>
            <w:vAlign w:val="center"/>
            <w:hideMark/>
          </w:tcPr>
          <w:p w:rsidR="00D912FA" w:rsidRPr="00C24253" w:rsidRDefault="00D912FA" w:rsidP="00974752">
            <w:pPr>
              <w:rPr>
                <w:rFonts w:cs="Arial"/>
                <w:sz w:val="16"/>
                <w:szCs w:val="16"/>
              </w:rPr>
            </w:pPr>
            <w:r w:rsidRPr="00C24253">
              <w:rPr>
                <w:rFonts w:cs="Arial"/>
                <w:sz w:val="16"/>
                <w:szCs w:val="16"/>
              </w:rPr>
              <w:t>romská</w:t>
            </w:r>
          </w:p>
        </w:tc>
        <w:tc>
          <w:tcPr>
            <w:tcW w:w="263" w:type="pct"/>
            <w:tcBorders>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2,66</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2,76</w:t>
            </w:r>
          </w:p>
        </w:tc>
        <w:tc>
          <w:tcPr>
            <w:tcW w:w="269"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2,48</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2,39</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2,11</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1,82</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3,09</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3,01</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2,23</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3,45</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3,10</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2,88</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4,67</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3,37</w:t>
            </w:r>
          </w:p>
        </w:tc>
        <w:tc>
          <w:tcPr>
            <w:tcW w:w="257" w:type="pct"/>
            <w:tcBorders>
              <w:lef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3,35</w:t>
            </w:r>
          </w:p>
        </w:tc>
      </w:tr>
      <w:tr w:rsidR="00D912FA" w:rsidRPr="00C24253" w:rsidTr="00974752">
        <w:trPr>
          <w:trHeight w:val="284"/>
        </w:trPr>
        <w:tc>
          <w:tcPr>
            <w:tcW w:w="1055" w:type="pct"/>
            <w:shd w:val="clear" w:color="auto" w:fill="auto"/>
            <w:noWrap/>
            <w:vAlign w:val="center"/>
            <w:hideMark/>
          </w:tcPr>
          <w:p w:rsidR="00D912FA" w:rsidRPr="00C24253" w:rsidRDefault="00D912FA" w:rsidP="00974752">
            <w:pPr>
              <w:rPr>
                <w:rFonts w:cs="Arial"/>
                <w:sz w:val="16"/>
                <w:szCs w:val="16"/>
              </w:rPr>
            </w:pPr>
            <w:r w:rsidRPr="00C24253">
              <w:rPr>
                <w:rFonts w:cs="Arial"/>
                <w:sz w:val="16"/>
                <w:szCs w:val="16"/>
              </w:rPr>
              <w:t>maďarská</w:t>
            </w:r>
          </w:p>
        </w:tc>
        <w:tc>
          <w:tcPr>
            <w:tcW w:w="263" w:type="pct"/>
            <w:tcBorders>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2,37</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2,29</w:t>
            </w:r>
          </w:p>
        </w:tc>
        <w:tc>
          <w:tcPr>
            <w:tcW w:w="269"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1,91</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1,81</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1,11</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0,42</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2,19</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1,79</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0,99</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2,39</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2,13</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1,58</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2,67</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2,29</w:t>
            </w:r>
          </w:p>
        </w:tc>
        <w:tc>
          <w:tcPr>
            <w:tcW w:w="257" w:type="pct"/>
            <w:tcBorders>
              <w:lef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2,26</w:t>
            </w:r>
          </w:p>
        </w:tc>
      </w:tr>
      <w:tr w:rsidR="00D912FA" w:rsidRPr="00C24253" w:rsidTr="00974752">
        <w:trPr>
          <w:trHeight w:val="284"/>
        </w:trPr>
        <w:tc>
          <w:tcPr>
            <w:tcW w:w="1055" w:type="pct"/>
            <w:shd w:val="clear" w:color="auto" w:fill="auto"/>
            <w:noWrap/>
            <w:vAlign w:val="center"/>
            <w:hideMark/>
          </w:tcPr>
          <w:p w:rsidR="00D912FA" w:rsidRPr="00C24253" w:rsidRDefault="00D912FA" w:rsidP="00974752">
            <w:pPr>
              <w:rPr>
                <w:rFonts w:cs="Arial"/>
                <w:sz w:val="16"/>
                <w:szCs w:val="16"/>
              </w:rPr>
            </w:pPr>
            <w:r w:rsidRPr="00C24253">
              <w:rPr>
                <w:rFonts w:cs="Arial"/>
                <w:sz w:val="16"/>
                <w:szCs w:val="16"/>
              </w:rPr>
              <w:t>ukrajinská</w:t>
            </w:r>
          </w:p>
        </w:tc>
        <w:tc>
          <w:tcPr>
            <w:tcW w:w="263" w:type="pct"/>
            <w:tcBorders>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2,00</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1,45</w:t>
            </w:r>
          </w:p>
        </w:tc>
        <w:tc>
          <w:tcPr>
            <w:tcW w:w="269"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1,28</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1,37</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0,90</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0,77</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1,68</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1,28</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1,16</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1,92</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1,55</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1,39</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2,19</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1,75</w:t>
            </w:r>
          </w:p>
        </w:tc>
        <w:tc>
          <w:tcPr>
            <w:tcW w:w="257" w:type="pct"/>
            <w:tcBorders>
              <w:lef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1,71</w:t>
            </w:r>
          </w:p>
        </w:tc>
      </w:tr>
      <w:tr w:rsidR="00D912FA" w:rsidRPr="00C24253" w:rsidTr="00974752">
        <w:trPr>
          <w:trHeight w:val="284"/>
        </w:trPr>
        <w:tc>
          <w:tcPr>
            <w:tcW w:w="1055" w:type="pct"/>
            <w:tcBorders>
              <w:bottom w:val="nil"/>
            </w:tcBorders>
            <w:shd w:val="clear" w:color="auto" w:fill="auto"/>
            <w:noWrap/>
            <w:vAlign w:val="center"/>
            <w:hideMark/>
          </w:tcPr>
          <w:p w:rsidR="00D912FA" w:rsidRPr="00C24253" w:rsidRDefault="00D912FA" w:rsidP="00974752">
            <w:pPr>
              <w:rPr>
                <w:rFonts w:cs="Arial"/>
                <w:sz w:val="16"/>
                <w:szCs w:val="16"/>
              </w:rPr>
            </w:pPr>
            <w:r w:rsidRPr="00C24253">
              <w:rPr>
                <w:rFonts w:cs="Arial"/>
                <w:sz w:val="16"/>
                <w:szCs w:val="16"/>
              </w:rPr>
              <w:t>vietnamská</w:t>
            </w:r>
          </w:p>
        </w:tc>
        <w:tc>
          <w:tcPr>
            <w:tcW w:w="263" w:type="pct"/>
            <w:tcBorders>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0,95</w:t>
            </w:r>
          </w:p>
        </w:tc>
        <w:tc>
          <w:tcPr>
            <w:tcW w:w="263" w:type="pct"/>
            <w:tcBorders>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1,51</w:t>
            </w:r>
          </w:p>
        </w:tc>
        <w:tc>
          <w:tcPr>
            <w:tcW w:w="269" w:type="pct"/>
            <w:tcBorders>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1,29</w:t>
            </w:r>
          </w:p>
        </w:tc>
        <w:tc>
          <w:tcPr>
            <w:tcW w:w="263" w:type="pct"/>
            <w:tcBorders>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0,91</w:t>
            </w:r>
          </w:p>
        </w:tc>
        <w:tc>
          <w:tcPr>
            <w:tcW w:w="263" w:type="pct"/>
            <w:tcBorders>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1,13</w:t>
            </w:r>
          </w:p>
        </w:tc>
        <w:tc>
          <w:tcPr>
            <w:tcW w:w="263" w:type="pct"/>
            <w:tcBorders>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0,87</w:t>
            </w:r>
          </w:p>
        </w:tc>
        <w:tc>
          <w:tcPr>
            <w:tcW w:w="263" w:type="pct"/>
            <w:tcBorders>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1,04</w:t>
            </w:r>
          </w:p>
        </w:tc>
        <w:tc>
          <w:tcPr>
            <w:tcW w:w="263" w:type="pct"/>
            <w:tcBorders>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1,45</w:t>
            </w:r>
          </w:p>
        </w:tc>
        <w:tc>
          <w:tcPr>
            <w:tcW w:w="263" w:type="pct"/>
            <w:tcBorders>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1,44</w:t>
            </w:r>
          </w:p>
        </w:tc>
        <w:tc>
          <w:tcPr>
            <w:tcW w:w="263" w:type="pct"/>
            <w:tcBorders>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1,67</w:t>
            </w:r>
          </w:p>
        </w:tc>
        <w:tc>
          <w:tcPr>
            <w:tcW w:w="263" w:type="pct"/>
            <w:tcBorders>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1,68</w:t>
            </w:r>
          </w:p>
        </w:tc>
        <w:tc>
          <w:tcPr>
            <w:tcW w:w="263" w:type="pct"/>
            <w:tcBorders>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1,72</w:t>
            </w:r>
          </w:p>
        </w:tc>
        <w:tc>
          <w:tcPr>
            <w:tcW w:w="263" w:type="pct"/>
            <w:tcBorders>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2,20</w:t>
            </w:r>
          </w:p>
        </w:tc>
        <w:tc>
          <w:tcPr>
            <w:tcW w:w="263" w:type="pct"/>
            <w:tcBorders>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1,82</w:t>
            </w:r>
          </w:p>
        </w:tc>
        <w:tc>
          <w:tcPr>
            <w:tcW w:w="257" w:type="pct"/>
            <w:tcBorders>
              <w:left w:val="single" w:sz="4" w:space="0" w:color="auto"/>
              <w:bottom w:val="nil"/>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1,92</w:t>
            </w:r>
          </w:p>
        </w:tc>
      </w:tr>
      <w:tr w:rsidR="00D912FA" w:rsidRPr="00C24253" w:rsidTr="00974752">
        <w:trPr>
          <w:trHeight w:val="284"/>
        </w:trPr>
        <w:tc>
          <w:tcPr>
            <w:tcW w:w="1055" w:type="pct"/>
            <w:tcBorders>
              <w:top w:val="nil"/>
              <w:bottom w:val="single" w:sz="4" w:space="0" w:color="auto"/>
            </w:tcBorders>
            <w:shd w:val="clear" w:color="auto" w:fill="auto"/>
            <w:noWrap/>
            <w:vAlign w:val="center"/>
            <w:hideMark/>
          </w:tcPr>
          <w:p w:rsidR="00D912FA" w:rsidRPr="00C24253" w:rsidRDefault="00D912FA" w:rsidP="00974752">
            <w:pPr>
              <w:rPr>
                <w:rFonts w:cs="Arial"/>
                <w:sz w:val="16"/>
                <w:szCs w:val="16"/>
              </w:rPr>
            </w:pPr>
            <w:r w:rsidRPr="00C24253">
              <w:rPr>
                <w:rFonts w:cs="Arial"/>
                <w:sz w:val="16"/>
                <w:szCs w:val="16"/>
              </w:rPr>
              <w:t>ruská</w:t>
            </w:r>
          </w:p>
        </w:tc>
        <w:tc>
          <w:tcPr>
            <w:tcW w:w="263" w:type="pct"/>
            <w:tcBorders>
              <w:top w:val="nil"/>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1,75</w:t>
            </w:r>
          </w:p>
        </w:tc>
        <w:tc>
          <w:tcPr>
            <w:tcW w:w="263" w:type="pct"/>
            <w:tcBorders>
              <w:top w:val="nil"/>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1,45</w:t>
            </w:r>
          </w:p>
        </w:tc>
        <w:tc>
          <w:tcPr>
            <w:tcW w:w="269" w:type="pct"/>
            <w:tcBorders>
              <w:top w:val="nil"/>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1,10</w:t>
            </w:r>
          </w:p>
        </w:tc>
        <w:tc>
          <w:tcPr>
            <w:tcW w:w="263" w:type="pct"/>
            <w:tcBorders>
              <w:top w:val="nil"/>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1,21</w:t>
            </w:r>
          </w:p>
        </w:tc>
        <w:tc>
          <w:tcPr>
            <w:tcW w:w="263" w:type="pct"/>
            <w:tcBorders>
              <w:top w:val="nil"/>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0,85</w:t>
            </w:r>
          </w:p>
        </w:tc>
        <w:tc>
          <w:tcPr>
            <w:tcW w:w="263" w:type="pct"/>
            <w:tcBorders>
              <w:top w:val="nil"/>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0,39</w:t>
            </w:r>
          </w:p>
        </w:tc>
        <w:tc>
          <w:tcPr>
            <w:tcW w:w="263" w:type="pct"/>
            <w:tcBorders>
              <w:top w:val="nil"/>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1,47</w:t>
            </w:r>
          </w:p>
        </w:tc>
        <w:tc>
          <w:tcPr>
            <w:tcW w:w="263" w:type="pct"/>
            <w:tcBorders>
              <w:top w:val="nil"/>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1,21</w:t>
            </w:r>
          </w:p>
        </w:tc>
        <w:tc>
          <w:tcPr>
            <w:tcW w:w="263" w:type="pct"/>
            <w:tcBorders>
              <w:top w:val="nil"/>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1,03</w:t>
            </w:r>
          </w:p>
        </w:tc>
        <w:tc>
          <w:tcPr>
            <w:tcW w:w="263" w:type="pct"/>
            <w:tcBorders>
              <w:top w:val="nil"/>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1,62</w:t>
            </w:r>
          </w:p>
        </w:tc>
        <w:tc>
          <w:tcPr>
            <w:tcW w:w="263" w:type="pct"/>
            <w:tcBorders>
              <w:top w:val="nil"/>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1,50</w:t>
            </w:r>
          </w:p>
        </w:tc>
        <w:tc>
          <w:tcPr>
            <w:tcW w:w="263" w:type="pct"/>
            <w:tcBorders>
              <w:top w:val="nil"/>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1,40</w:t>
            </w:r>
          </w:p>
        </w:tc>
        <w:tc>
          <w:tcPr>
            <w:tcW w:w="263" w:type="pct"/>
            <w:tcBorders>
              <w:top w:val="nil"/>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1,93</w:t>
            </w:r>
          </w:p>
        </w:tc>
        <w:tc>
          <w:tcPr>
            <w:tcW w:w="263" w:type="pct"/>
            <w:tcBorders>
              <w:top w:val="nil"/>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1,61</w:t>
            </w:r>
          </w:p>
        </w:tc>
        <w:tc>
          <w:tcPr>
            <w:tcW w:w="257" w:type="pct"/>
            <w:tcBorders>
              <w:top w:val="nil"/>
              <w:left w:val="single" w:sz="4" w:space="0" w:color="auto"/>
              <w:bottom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1,56</w:t>
            </w:r>
          </w:p>
        </w:tc>
      </w:tr>
      <w:tr w:rsidR="00D912FA" w:rsidRPr="00C24253" w:rsidTr="00974752">
        <w:trPr>
          <w:trHeight w:val="284"/>
        </w:trPr>
        <w:tc>
          <w:tcPr>
            <w:tcW w:w="1055" w:type="pct"/>
            <w:tcBorders>
              <w:top w:val="single" w:sz="4" w:space="0" w:color="auto"/>
            </w:tcBorders>
            <w:shd w:val="clear" w:color="auto" w:fill="auto"/>
            <w:noWrap/>
            <w:vAlign w:val="center"/>
            <w:hideMark/>
          </w:tcPr>
          <w:p w:rsidR="00D912FA" w:rsidRPr="00C24253" w:rsidRDefault="00D912FA" w:rsidP="00974752">
            <w:pPr>
              <w:rPr>
                <w:rFonts w:cs="Arial"/>
                <w:b/>
                <w:bCs/>
                <w:sz w:val="16"/>
                <w:szCs w:val="16"/>
              </w:rPr>
            </w:pPr>
            <w:r w:rsidRPr="00C24253">
              <w:rPr>
                <w:rFonts w:cs="Arial"/>
                <w:b/>
                <w:bCs/>
                <w:sz w:val="16"/>
                <w:szCs w:val="16"/>
              </w:rPr>
              <w:t>Náboženská víra</w:t>
            </w:r>
          </w:p>
        </w:tc>
        <w:tc>
          <w:tcPr>
            <w:tcW w:w="263" w:type="pct"/>
            <w:tcBorders>
              <w:top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rPr>
                <w:rFonts w:cs="Arial"/>
                <w:sz w:val="16"/>
                <w:szCs w:val="16"/>
              </w:rPr>
            </w:pPr>
          </w:p>
        </w:tc>
        <w:tc>
          <w:tcPr>
            <w:tcW w:w="263" w:type="pct"/>
            <w:tcBorders>
              <w:top w:val="single" w:sz="4" w:space="0" w:color="auto"/>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rPr>
                <w:rFonts w:cs="Arial"/>
                <w:sz w:val="16"/>
                <w:szCs w:val="16"/>
              </w:rPr>
            </w:pPr>
          </w:p>
        </w:tc>
        <w:tc>
          <w:tcPr>
            <w:tcW w:w="269" w:type="pct"/>
            <w:tcBorders>
              <w:top w:val="single" w:sz="4" w:space="0" w:color="auto"/>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rPr>
                <w:rFonts w:cs="Arial"/>
                <w:sz w:val="16"/>
                <w:szCs w:val="16"/>
              </w:rPr>
            </w:pPr>
          </w:p>
        </w:tc>
        <w:tc>
          <w:tcPr>
            <w:tcW w:w="263" w:type="pct"/>
            <w:tcBorders>
              <w:top w:val="single" w:sz="4" w:space="0" w:color="auto"/>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rPr>
                <w:rFonts w:cs="Arial"/>
                <w:sz w:val="16"/>
                <w:szCs w:val="16"/>
              </w:rPr>
            </w:pPr>
          </w:p>
        </w:tc>
        <w:tc>
          <w:tcPr>
            <w:tcW w:w="263" w:type="pct"/>
            <w:tcBorders>
              <w:top w:val="single" w:sz="4" w:space="0" w:color="auto"/>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rPr>
                <w:rFonts w:cs="Arial"/>
                <w:sz w:val="16"/>
                <w:szCs w:val="16"/>
              </w:rPr>
            </w:pPr>
          </w:p>
        </w:tc>
        <w:tc>
          <w:tcPr>
            <w:tcW w:w="263" w:type="pct"/>
            <w:tcBorders>
              <w:top w:val="single" w:sz="4" w:space="0" w:color="auto"/>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rPr>
                <w:rFonts w:cs="Arial"/>
                <w:sz w:val="16"/>
                <w:szCs w:val="16"/>
              </w:rPr>
            </w:pPr>
          </w:p>
        </w:tc>
        <w:tc>
          <w:tcPr>
            <w:tcW w:w="263" w:type="pct"/>
            <w:tcBorders>
              <w:top w:val="single" w:sz="4" w:space="0" w:color="auto"/>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rPr>
                <w:rFonts w:cs="Arial"/>
                <w:sz w:val="16"/>
                <w:szCs w:val="16"/>
              </w:rPr>
            </w:pPr>
          </w:p>
        </w:tc>
        <w:tc>
          <w:tcPr>
            <w:tcW w:w="263" w:type="pct"/>
            <w:tcBorders>
              <w:top w:val="single" w:sz="4" w:space="0" w:color="auto"/>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rPr>
                <w:rFonts w:cs="Arial"/>
                <w:sz w:val="16"/>
                <w:szCs w:val="16"/>
              </w:rPr>
            </w:pPr>
          </w:p>
        </w:tc>
        <w:tc>
          <w:tcPr>
            <w:tcW w:w="263" w:type="pct"/>
            <w:tcBorders>
              <w:top w:val="single" w:sz="4" w:space="0" w:color="auto"/>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rPr>
                <w:rFonts w:cs="Arial"/>
                <w:sz w:val="16"/>
                <w:szCs w:val="16"/>
              </w:rPr>
            </w:pPr>
          </w:p>
        </w:tc>
        <w:tc>
          <w:tcPr>
            <w:tcW w:w="263" w:type="pct"/>
            <w:tcBorders>
              <w:top w:val="single" w:sz="4" w:space="0" w:color="auto"/>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rPr>
                <w:rFonts w:cs="Arial"/>
                <w:sz w:val="16"/>
                <w:szCs w:val="16"/>
              </w:rPr>
            </w:pPr>
          </w:p>
        </w:tc>
        <w:tc>
          <w:tcPr>
            <w:tcW w:w="263" w:type="pct"/>
            <w:tcBorders>
              <w:top w:val="single" w:sz="4" w:space="0" w:color="auto"/>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rPr>
                <w:rFonts w:cs="Arial"/>
                <w:sz w:val="16"/>
                <w:szCs w:val="16"/>
              </w:rPr>
            </w:pPr>
          </w:p>
        </w:tc>
        <w:tc>
          <w:tcPr>
            <w:tcW w:w="263" w:type="pct"/>
            <w:tcBorders>
              <w:top w:val="single" w:sz="4" w:space="0" w:color="auto"/>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rPr>
                <w:rFonts w:cs="Arial"/>
                <w:sz w:val="16"/>
                <w:szCs w:val="16"/>
              </w:rPr>
            </w:pPr>
          </w:p>
        </w:tc>
        <w:tc>
          <w:tcPr>
            <w:tcW w:w="263" w:type="pct"/>
            <w:tcBorders>
              <w:top w:val="single" w:sz="4" w:space="0" w:color="auto"/>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rPr>
                <w:rFonts w:cs="Arial"/>
                <w:sz w:val="16"/>
                <w:szCs w:val="16"/>
              </w:rPr>
            </w:pPr>
          </w:p>
        </w:tc>
        <w:tc>
          <w:tcPr>
            <w:tcW w:w="263" w:type="pct"/>
            <w:tcBorders>
              <w:top w:val="single" w:sz="4" w:space="0" w:color="auto"/>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rPr>
                <w:rFonts w:cs="Arial"/>
                <w:sz w:val="16"/>
                <w:szCs w:val="16"/>
              </w:rPr>
            </w:pPr>
          </w:p>
        </w:tc>
        <w:tc>
          <w:tcPr>
            <w:tcW w:w="257" w:type="pct"/>
            <w:tcBorders>
              <w:top w:val="single" w:sz="4" w:space="0" w:color="auto"/>
              <w:left w:val="single" w:sz="4" w:space="0" w:color="auto"/>
            </w:tcBorders>
            <w:shd w:val="clear" w:color="auto" w:fill="auto"/>
            <w:noWrap/>
            <w:tcMar>
              <w:left w:w="85" w:type="dxa"/>
              <w:right w:w="85" w:type="dxa"/>
            </w:tcMar>
            <w:vAlign w:val="center"/>
            <w:hideMark/>
          </w:tcPr>
          <w:p w:rsidR="00D912FA" w:rsidRPr="00C24253" w:rsidRDefault="00D912FA" w:rsidP="00974752">
            <w:pPr>
              <w:rPr>
                <w:rFonts w:cs="Arial"/>
                <w:sz w:val="16"/>
                <w:szCs w:val="16"/>
              </w:rPr>
            </w:pPr>
          </w:p>
        </w:tc>
      </w:tr>
      <w:tr w:rsidR="00D912FA" w:rsidRPr="00C24253" w:rsidTr="00974752">
        <w:trPr>
          <w:trHeight w:val="284"/>
        </w:trPr>
        <w:tc>
          <w:tcPr>
            <w:tcW w:w="1055" w:type="pct"/>
            <w:shd w:val="clear" w:color="auto" w:fill="auto"/>
            <w:noWrap/>
            <w:vAlign w:val="center"/>
            <w:hideMark/>
          </w:tcPr>
          <w:p w:rsidR="00D912FA" w:rsidRPr="00C24253" w:rsidRDefault="00D912FA" w:rsidP="00974752">
            <w:pPr>
              <w:rPr>
                <w:rFonts w:cs="Arial"/>
                <w:sz w:val="16"/>
                <w:szCs w:val="16"/>
              </w:rPr>
            </w:pPr>
            <w:r w:rsidRPr="00C24253">
              <w:rPr>
                <w:rFonts w:cs="Arial"/>
                <w:sz w:val="16"/>
                <w:szCs w:val="16"/>
              </w:rPr>
              <w:t>věřící</w:t>
            </w:r>
          </w:p>
        </w:tc>
        <w:tc>
          <w:tcPr>
            <w:tcW w:w="263" w:type="pct"/>
            <w:tcBorders>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1,86</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1,93</w:t>
            </w:r>
          </w:p>
        </w:tc>
        <w:tc>
          <w:tcPr>
            <w:tcW w:w="269"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1,72</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1,50</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1,09</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0,51</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1,94</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1,76</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1,28</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2,10</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2,04</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1,75</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2,10</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2,17</w:t>
            </w:r>
          </w:p>
        </w:tc>
        <w:tc>
          <w:tcPr>
            <w:tcW w:w="257" w:type="pct"/>
            <w:tcBorders>
              <w:lef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2,06</w:t>
            </w:r>
          </w:p>
        </w:tc>
      </w:tr>
      <w:tr w:rsidR="00D912FA" w:rsidRPr="00C24253" w:rsidTr="00974752">
        <w:trPr>
          <w:trHeight w:val="284"/>
        </w:trPr>
        <w:tc>
          <w:tcPr>
            <w:tcW w:w="1055" w:type="pct"/>
            <w:shd w:val="clear" w:color="auto" w:fill="auto"/>
            <w:noWrap/>
            <w:vAlign w:val="center"/>
            <w:hideMark/>
          </w:tcPr>
          <w:p w:rsidR="00D912FA" w:rsidRPr="00C24253" w:rsidRDefault="00D912FA" w:rsidP="00974752">
            <w:pPr>
              <w:rPr>
                <w:rFonts w:cs="Arial"/>
                <w:sz w:val="16"/>
                <w:szCs w:val="16"/>
              </w:rPr>
            </w:pPr>
            <w:r w:rsidRPr="00C24253">
              <w:rPr>
                <w:rFonts w:cs="Arial"/>
                <w:sz w:val="16"/>
                <w:szCs w:val="16"/>
              </w:rPr>
              <w:t xml:space="preserve">z toho: </w:t>
            </w:r>
          </w:p>
        </w:tc>
        <w:tc>
          <w:tcPr>
            <w:tcW w:w="263" w:type="pct"/>
            <w:tcBorders>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p>
        </w:tc>
        <w:tc>
          <w:tcPr>
            <w:tcW w:w="269"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p>
        </w:tc>
        <w:tc>
          <w:tcPr>
            <w:tcW w:w="257" w:type="pct"/>
            <w:tcBorders>
              <w:lef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p>
        </w:tc>
      </w:tr>
      <w:tr w:rsidR="00D912FA" w:rsidRPr="00C24253" w:rsidTr="00974752">
        <w:trPr>
          <w:trHeight w:val="284"/>
        </w:trPr>
        <w:tc>
          <w:tcPr>
            <w:tcW w:w="1055" w:type="pct"/>
            <w:shd w:val="clear" w:color="auto" w:fill="auto"/>
            <w:noWrap/>
            <w:vAlign w:val="center"/>
            <w:hideMark/>
          </w:tcPr>
          <w:p w:rsidR="00D912FA" w:rsidRPr="00C24253" w:rsidRDefault="00D912FA" w:rsidP="00974752">
            <w:pPr>
              <w:rPr>
                <w:rFonts w:cs="Arial"/>
                <w:sz w:val="16"/>
                <w:szCs w:val="16"/>
              </w:rPr>
            </w:pPr>
            <w:r w:rsidRPr="00C24253">
              <w:rPr>
                <w:rFonts w:cs="Arial"/>
                <w:sz w:val="16"/>
                <w:szCs w:val="16"/>
              </w:rPr>
              <w:t xml:space="preserve"> Církev římskokatolická</w:t>
            </w:r>
          </w:p>
        </w:tc>
        <w:tc>
          <w:tcPr>
            <w:tcW w:w="263" w:type="pct"/>
            <w:tcBorders>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1,86</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1,95</w:t>
            </w:r>
          </w:p>
        </w:tc>
        <w:tc>
          <w:tcPr>
            <w:tcW w:w="269"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1,84</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1,51</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1,12</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0,53</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1,95</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1,79</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1,38</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2,11</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2,06</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1,87</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2,11</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2,18</w:t>
            </w:r>
          </w:p>
        </w:tc>
        <w:tc>
          <w:tcPr>
            <w:tcW w:w="257" w:type="pct"/>
            <w:tcBorders>
              <w:lef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2,11</w:t>
            </w:r>
          </w:p>
        </w:tc>
      </w:tr>
      <w:tr w:rsidR="00D912FA" w:rsidRPr="00C24253" w:rsidTr="00974752">
        <w:trPr>
          <w:trHeight w:val="284"/>
        </w:trPr>
        <w:tc>
          <w:tcPr>
            <w:tcW w:w="1055" w:type="pct"/>
            <w:shd w:val="clear" w:color="auto" w:fill="auto"/>
            <w:noWrap/>
            <w:vAlign w:val="center"/>
            <w:hideMark/>
          </w:tcPr>
          <w:p w:rsidR="00D912FA" w:rsidRPr="00C24253" w:rsidRDefault="00D912FA" w:rsidP="00974752">
            <w:pPr>
              <w:rPr>
                <w:rFonts w:cs="Arial"/>
                <w:sz w:val="16"/>
                <w:szCs w:val="16"/>
              </w:rPr>
            </w:pPr>
            <w:r w:rsidRPr="00C24253">
              <w:rPr>
                <w:rFonts w:cs="Arial"/>
                <w:sz w:val="16"/>
                <w:szCs w:val="16"/>
              </w:rPr>
              <w:t xml:space="preserve"> Církev československá</w:t>
            </w:r>
          </w:p>
          <w:p w:rsidR="00D912FA" w:rsidRPr="00C24253" w:rsidRDefault="00D912FA" w:rsidP="00974752">
            <w:pPr>
              <w:rPr>
                <w:rFonts w:cs="Arial"/>
                <w:sz w:val="16"/>
                <w:szCs w:val="16"/>
              </w:rPr>
            </w:pPr>
            <w:r w:rsidRPr="00C24253">
              <w:rPr>
                <w:rFonts w:cs="Arial"/>
                <w:sz w:val="16"/>
                <w:szCs w:val="16"/>
              </w:rPr>
              <w:t xml:space="preserve"> husitská</w:t>
            </w:r>
          </w:p>
        </w:tc>
        <w:tc>
          <w:tcPr>
            <w:tcW w:w="263" w:type="pct"/>
            <w:tcBorders>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1,80</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1,86</w:t>
            </w:r>
          </w:p>
        </w:tc>
        <w:tc>
          <w:tcPr>
            <w:tcW w:w="269"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1,77</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1,30</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0,91</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0,45</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1,75</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1,54</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1,14</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1,91</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1,86</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1,69</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1,87</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1,92</w:t>
            </w:r>
          </w:p>
        </w:tc>
        <w:tc>
          <w:tcPr>
            <w:tcW w:w="257" w:type="pct"/>
            <w:tcBorders>
              <w:lef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1,86</w:t>
            </w:r>
          </w:p>
        </w:tc>
      </w:tr>
      <w:tr w:rsidR="00D912FA" w:rsidRPr="00C24253" w:rsidTr="00974752">
        <w:trPr>
          <w:trHeight w:val="284"/>
        </w:trPr>
        <w:tc>
          <w:tcPr>
            <w:tcW w:w="1055" w:type="pct"/>
            <w:shd w:val="clear" w:color="auto" w:fill="auto"/>
            <w:noWrap/>
            <w:vAlign w:val="center"/>
            <w:hideMark/>
          </w:tcPr>
          <w:p w:rsidR="00D912FA" w:rsidRPr="00C24253" w:rsidRDefault="00D912FA" w:rsidP="00974752">
            <w:pPr>
              <w:rPr>
                <w:rFonts w:cs="Arial"/>
                <w:sz w:val="16"/>
                <w:szCs w:val="16"/>
              </w:rPr>
            </w:pPr>
            <w:r w:rsidRPr="00C24253">
              <w:rPr>
                <w:rFonts w:cs="Arial"/>
                <w:sz w:val="16"/>
                <w:szCs w:val="16"/>
              </w:rPr>
              <w:t xml:space="preserve"> Českobratrská</w:t>
            </w:r>
          </w:p>
          <w:p w:rsidR="00D912FA" w:rsidRPr="00C24253" w:rsidRDefault="00D912FA" w:rsidP="00974752">
            <w:pPr>
              <w:rPr>
                <w:rFonts w:cs="Arial"/>
                <w:sz w:val="16"/>
                <w:szCs w:val="16"/>
              </w:rPr>
            </w:pPr>
            <w:r w:rsidRPr="00C24253">
              <w:rPr>
                <w:rFonts w:cs="Arial"/>
                <w:sz w:val="16"/>
                <w:szCs w:val="16"/>
              </w:rPr>
              <w:t xml:space="preserve"> církev evangelická</w:t>
            </w:r>
          </w:p>
        </w:tc>
        <w:tc>
          <w:tcPr>
            <w:tcW w:w="263" w:type="pct"/>
            <w:tcBorders>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1,87</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1,92</w:t>
            </w:r>
          </w:p>
        </w:tc>
        <w:tc>
          <w:tcPr>
            <w:tcW w:w="269"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1,79</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1,41</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0,96</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0,47</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1,86</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1,70</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1,33</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2,02</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1,97</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1,80</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2,04</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2,09</w:t>
            </w:r>
          </w:p>
        </w:tc>
        <w:tc>
          <w:tcPr>
            <w:tcW w:w="257" w:type="pct"/>
            <w:tcBorders>
              <w:lef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2,02</w:t>
            </w:r>
          </w:p>
        </w:tc>
      </w:tr>
      <w:tr w:rsidR="00D912FA" w:rsidRPr="00C24253" w:rsidTr="00974752">
        <w:trPr>
          <w:trHeight w:val="284"/>
        </w:trPr>
        <w:tc>
          <w:tcPr>
            <w:tcW w:w="1055" w:type="pct"/>
            <w:tcBorders>
              <w:bottom w:val="nil"/>
            </w:tcBorders>
            <w:shd w:val="clear" w:color="auto" w:fill="auto"/>
            <w:noWrap/>
            <w:vAlign w:val="center"/>
            <w:hideMark/>
          </w:tcPr>
          <w:p w:rsidR="00D912FA" w:rsidRPr="00C24253" w:rsidRDefault="00D912FA" w:rsidP="00974752">
            <w:pPr>
              <w:rPr>
                <w:rFonts w:cs="Arial"/>
                <w:sz w:val="16"/>
                <w:szCs w:val="16"/>
              </w:rPr>
            </w:pPr>
            <w:r w:rsidRPr="00C24253">
              <w:rPr>
                <w:rFonts w:cs="Arial"/>
                <w:sz w:val="16"/>
                <w:szCs w:val="16"/>
              </w:rPr>
              <w:t>bez náboženské víry</w:t>
            </w:r>
          </w:p>
        </w:tc>
        <w:tc>
          <w:tcPr>
            <w:tcW w:w="263" w:type="pct"/>
            <w:tcBorders>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1,50</w:t>
            </w:r>
          </w:p>
        </w:tc>
        <w:tc>
          <w:tcPr>
            <w:tcW w:w="263" w:type="pct"/>
            <w:tcBorders>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1,51</w:t>
            </w:r>
          </w:p>
        </w:tc>
        <w:tc>
          <w:tcPr>
            <w:tcW w:w="269" w:type="pct"/>
            <w:tcBorders>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1,42</w:t>
            </w:r>
          </w:p>
        </w:tc>
        <w:tc>
          <w:tcPr>
            <w:tcW w:w="263" w:type="pct"/>
            <w:tcBorders>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1,47</w:t>
            </w:r>
          </w:p>
        </w:tc>
        <w:tc>
          <w:tcPr>
            <w:tcW w:w="263" w:type="pct"/>
            <w:tcBorders>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1,04</w:t>
            </w:r>
          </w:p>
        </w:tc>
        <w:tc>
          <w:tcPr>
            <w:tcW w:w="263" w:type="pct"/>
            <w:tcBorders>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0,49</w:t>
            </w:r>
          </w:p>
        </w:tc>
        <w:tc>
          <w:tcPr>
            <w:tcW w:w="263" w:type="pct"/>
            <w:tcBorders>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1,85</w:t>
            </w:r>
          </w:p>
        </w:tc>
        <w:tc>
          <w:tcPr>
            <w:tcW w:w="263" w:type="pct"/>
            <w:tcBorders>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1,65</w:t>
            </w:r>
          </w:p>
        </w:tc>
        <w:tc>
          <w:tcPr>
            <w:tcW w:w="263" w:type="pct"/>
            <w:tcBorders>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1,21</w:t>
            </w:r>
          </w:p>
        </w:tc>
        <w:tc>
          <w:tcPr>
            <w:tcW w:w="263" w:type="pct"/>
            <w:tcBorders>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1,97</w:t>
            </w:r>
          </w:p>
        </w:tc>
        <w:tc>
          <w:tcPr>
            <w:tcW w:w="263" w:type="pct"/>
            <w:tcBorders>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1,90</w:t>
            </w:r>
          </w:p>
        </w:tc>
        <w:tc>
          <w:tcPr>
            <w:tcW w:w="263" w:type="pct"/>
            <w:tcBorders>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1,69</w:t>
            </w:r>
          </w:p>
        </w:tc>
        <w:tc>
          <w:tcPr>
            <w:tcW w:w="263" w:type="pct"/>
            <w:tcBorders>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1,97</w:t>
            </w:r>
          </w:p>
        </w:tc>
        <w:tc>
          <w:tcPr>
            <w:tcW w:w="263" w:type="pct"/>
            <w:tcBorders>
              <w:left w:val="single" w:sz="4" w:space="0" w:color="auto"/>
              <w:bottom w:val="nil"/>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2,04</w:t>
            </w:r>
          </w:p>
        </w:tc>
        <w:tc>
          <w:tcPr>
            <w:tcW w:w="257" w:type="pct"/>
            <w:tcBorders>
              <w:left w:val="single" w:sz="4" w:space="0" w:color="auto"/>
              <w:bottom w:val="nil"/>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1,95</w:t>
            </w:r>
          </w:p>
        </w:tc>
      </w:tr>
      <w:tr w:rsidR="00D912FA" w:rsidRPr="00C24253" w:rsidTr="00974752">
        <w:trPr>
          <w:trHeight w:val="284"/>
        </w:trPr>
        <w:tc>
          <w:tcPr>
            <w:tcW w:w="1055" w:type="pct"/>
            <w:tcBorders>
              <w:top w:val="nil"/>
              <w:bottom w:val="single" w:sz="4" w:space="0" w:color="auto"/>
            </w:tcBorders>
            <w:shd w:val="clear" w:color="auto" w:fill="auto"/>
            <w:noWrap/>
            <w:vAlign w:val="center"/>
            <w:hideMark/>
          </w:tcPr>
          <w:p w:rsidR="00D912FA" w:rsidRPr="00C24253" w:rsidRDefault="00D912FA" w:rsidP="00974752">
            <w:pPr>
              <w:rPr>
                <w:rFonts w:cs="Arial"/>
                <w:sz w:val="16"/>
                <w:szCs w:val="16"/>
              </w:rPr>
            </w:pPr>
            <w:r w:rsidRPr="00C24253">
              <w:rPr>
                <w:rFonts w:cs="Arial"/>
                <w:sz w:val="16"/>
                <w:szCs w:val="16"/>
              </w:rPr>
              <w:t>neuvedeno</w:t>
            </w:r>
          </w:p>
        </w:tc>
        <w:tc>
          <w:tcPr>
            <w:tcW w:w="263" w:type="pct"/>
            <w:tcBorders>
              <w:top w:val="nil"/>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1,54</w:t>
            </w:r>
          </w:p>
        </w:tc>
        <w:tc>
          <w:tcPr>
            <w:tcW w:w="263" w:type="pct"/>
            <w:tcBorders>
              <w:top w:val="nil"/>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1,63</w:t>
            </w:r>
          </w:p>
        </w:tc>
        <w:tc>
          <w:tcPr>
            <w:tcW w:w="269" w:type="pct"/>
            <w:tcBorders>
              <w:top w:val="nil"/>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1,62</w:t>
            </w:r>
          </w:p>
        </w:tc>
        <w:tc>
          <w:tcPr>
            <w:tcW w:w="263" w:type="pct"/>
            <w:tcBorders>
              <w:top w:val="nil"/>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1,47</w:t>
            </w:r>
          </w:p>
        </w:tc>
        <w:tc>
          <w:tcPr>
            <w:tcW w:w="263" w:type="pct"/>
            <w:tcBorders>
              <w:top w:val="nil"/>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1,00</w:t>
            </w:r>
          </w:p>
        </w:tc>
        <w:tc>
          <w:tcPr>
            <w:tcW w:w="263" w:type="pct"/>
            <w:tcBorders>
              <w:top w:val="nil"/>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0,64</w:t>
            </w:r>
          </w:p>
        </w:tc>
        <w:tc>
          <w:tcPr>
            <w:tcW w:w="263" w:type="pct"/>
            <w:tcBorders>
              <w:top w:val="nil"/>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1,90</w:t>
            </w:r>
          </w:p>
        </w:tc>
        <w:tc>
          <w:tcPr>
            <w:tcW w:w="263" w:type="pct"/>
            <w:tcBorders>
              <w:top w:val="nil"/>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1,63</w:t>
            </w:r>
          </w:p>
        </w:tc>
        <w:tc>
          <w:tcPr>
            <w:tcW w:w="263" w:type="pct"/>
            <w:tcBorders>
              <w:top w:val="nil"/>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1,28</w:t>
            </w:r>
          </w:p>
        </w:tc>
        <w:tc>
          <w:tcPr>
            <w:tcW w:w="263" w:type="pct"/>
            <w:tcBorders>
              <w:top w:val="nil"/>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2,03</w:t>
            </w:r>
          </w:p>
        </w:tc>
        <w:tc>
          <w:tcPr>
            <w:tcW w:w="263" w:type="pct"/>
            <w:tcBorders>
              <w:top w:val="nil"/>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1,90</w:t>
            </w:r>
          </w:p>
        </w:tc>
        <w:tc>
          <w:tcPr>
            <w:tcW w:w="263" w:type="pct"/>
            <w:tcBorders>
              <w:top w:val="nil"/>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1,71</w:t>
            </w:r>
          </w:p>
        </w:tc>
        <w:tc>
          <w:tcPr>
            <w:tcW w:w="263" w:type="pct"/>
            <w:tcBorders>
              <w:top w:val="nil"/>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1,99</w:t>
            </w:r>
          </w:p>
        </w:tc>
        <w:tc>
          <w:tcPr>
            <w:tcW w:w="263" w:type="pct"/>
            <w:tcBorders>
              <w:top w:val="nil"/>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2,07</w:t>
            </w:r>
          </w:p>
        </w:tc>
        <w:tc>
          <w:tcPr>
            <w:tcW w:w="257" w:type="pct"/>
            <w:tcBorders>
              <w:top w:val="nil"/>
              <w:left w:val="single" w:sz="4" w:space="0" w:color="auto"/>
              <w:bottom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2,02</w:t>
            </w:r>
          </w:p>
        </w:tc>
      </w:tr>
      <w:tr w:rsidR="00D912FA" w:rsidRPr="00C24253" w:rsidTr="00974752">
        <w:trPr>
          <w:trHeight w:val="284"/>
        </w:trPr>
        <w:tc>
          <w:tcPr>
            <w:tcW w:w="1055" w:type="pct"/>
            <w:tcBorders>
              <w:top w:val="single" w:sz="4" w:space="0" w:color="auto"/>
            </w:tcBorders>
            <w:shd w:val="clear" w:color="auto" w:fill="auto"/>
            <w:noWrap/>
            <w:vAlign w:val="center"/>
            <w:hideMark/>
          </w:tcPr>
          <w:p w:rsidR="00D912FA" w:rsidRPr="00C24253" w:rsidRDefault="00D912FA" w:rsidP="00974752">
            <w:pPr>
              <w:rPr>
                <w:rFonts w:cs="Arial"/>
                <w:b/>
                <w:bCs/>
                <w:sz w:val="16"/>
                <w:szCs w:val="16"/>
              </w:rPr>
            </w:pPr>
            <w:r w:rsidRPr="00C24253">
              <w:rPr>
                <w:rFonts w:cs="Arial"/>
                <w:b/>
                <w:bCs/>
                <w:sz w:val="16"/>
                <w:szCs w:val="16"/>
              </w:rPr>
              <w:t>Vzdělání</w:t>
            </w:r>
          </w:p>
        </w:tc>
        <w:tc>
          <w:tcPr>
            <w:tcW w:w="263" w:type="pct"/>
            <w:tcBorders>
              <w:top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rPr>
                <w:rFonts w:cs="Arial"/>
                <w:sz w:val="16"/>
                <w:szCs w:val="16"/>
              </w:rPr>
            </w:pPr>
          </w:p>
        </w:tc>
        <w:tc>
          <w:tcPr>
            <w:tcW w:w="263" w:type="pct"/>
            <w:tcBorders>
              <w:top w:val="single" w:sz="4" w:space="0" w:color="auto"/>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rPr>
                <w:rFonts w:cs="Arial"/>
                <w:sz w:val="16"/>
                <w:szCs w:val="16"/>
              </w:rPr>
            </w:pPr>
          </w:p>
        </w:tc>
        <w:tc>
          <w:tcPr>
            <w:tcW w:w="269" w:type="pct"/>
            <w:tcBorders>
              <w:top w:val="single" w:sz="4" w:space="0" w:color="auto"/>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rPr>
                <w:rFonts w:cs="Arial"/>
                <w:sz w:val="16"/>
                <w:szCs w:val="16"/>
              </w:rPr>
            </w:pPr>
          </w:p>
        </w:tc>
        <w:tc>
          <w:tcPr>
            <w:tcW w:w="263" w:type="pct"/>
            <w:tcBorders>
              <w:top w:val="single" w:sz="4" w:space="0" w:color="auto"/>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rPr>
                <w:rFonts w:cs="Arial"/>
                <w:sz w:val="16"/>
                <w:szCs w:val="16"/>
              </w:rPr>
            </w:pPr>
          </w:p>
        </w:tc>
        <w:tc>
          <w:tcPr>
            <w:tcW w:w="263" w:type="pct"/>
            <w:tcBorders>
              <w:top w:val="single" w:sz="4" w:space="0" w:color="auto"/>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rPr>
                <w:rFonts w:cs="Arial"/>
                <w:sz w:val="16"/>
                <w:szCs w:val="16"/>
              </w:rPr>
            </w:pPr>
          </w:p>
        </w:tc>
        <w:tc>
          <w:tcPr>
            <w:tcW w:w="263" w:type="pct"/>
            <w:tcBorders>
              <w:top w:val="single" w:sz="4" w:space="0" w:color="auto"/>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rPr>
                <w:rFonts w:cs="Arial"/>
                <w:sz w:val="16"/>
                <w:szCs w:val="16"/>
              </w:rPr>
            </w:pPr>
          </w:p>
        </w:tc>
        <w:tc>
          <w:tcPr>
            <w:tcW w:w="263" w:type="pct"/>
            <w:tcBorders>
              <w:top w:val="single" w:sz="4" w:space="0" w:color="auto"/>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rPr>
                <w:rFonts w:cs="Arial"/>
                <w:sz w:val="16"/>
                <w:szCs w:val="16"/>
              </w:rPr>
            </w:pPr>
          </w:p>
        </w:tc>
        <w:tc>
          <w:tcPr>
            <w:tcW w:w="263" w:type="pct"/>
            <w:tcBorders>
              <w:top w:val="single" w:sz="4" w:space="0" w:color="auto"/>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rPr>
                <w:rFonts w:cs="Arial"/>
                <w:sz w:val="16"/>
                <w:szCs w:val="16"/>
              </w:rPr>
            </w:pPr>
          </w:p>
        </w:tc>
        <w:tc>
          <w:tcPr>
            <w:tcW w:w="263" w:type="pct"/>
            <w:tcBorders>
              <w:top w:val="single" w:sz="4" w:space="0" w:color="auto"/>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rPr>
                <w:rFonts w:cs="Arial"/>
                <w:sz w:val="16"/>
                <w:szCs w:val="16"/>
              </w:rPr>
            </w:pPr>
          </w:p>
        </w:tc>
        <w:tc>
          <w:tcPr>
            <w:tcW w:w="263" w:type="pct"/>
            <w:tcBorders>
              <w:top w:val="single" w:sz="4" w:space="0" w:color="auto"/>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rPr>
                <w:rFonts w:cs="Arial"/>
                <w:sz w:val="16"/>
                <w:szCs w:val="16"/>
              </w:rPr>
            </w:pPr>
          </w:p>
        </w:tc>
        <w:tc>
          <w:tcPr>
            <w:tcW w:w="263" w:type="pct"/>
            <w:tcBorders>
              <w:top w:val="single" w:sz="4" w:space="0" w:color="auto"/>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rPr>
                <w:rFonts w:cs="Arial"/>
                <w:sz w:val="16"/>
                <w:szCs w:val="16"/>
              </w:rPr>
            </w:pPr>
          </w:p>
        </w:tc>
        <w:tc>
          <w:tcPr>
            <w:tcW w:w="263" w:type="pct"/>
            <w:tcBorders>
              <w:top w:val="single" w:sz="4" w:space="0" w:color="auto"/>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rPr>
                <w:rFonts w:cs="Arial"/>
                <w:sz w:val="16"/>
                <w:szCs w:val="16"/>
              </w:rPr>
            </w:pPr>
          </w:p>
        </w:tc>
        <w:tc>
          <w:tcPr>
            <w:tcW w:w="263" w:type="pct"/>
            <w:tcBorders>
              <w:top w:val="single" w:sz="4" w:space="0" w:color="auto"/>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rPr>
                <w:rFonts w:cs="Arial"/>
                <w:sz w:val="16"/>
                <w:szCs w:val="16"/>
              </w:rPr>
            </w:pPr>
          </w:p>
        </w:tc>
        <w:tc>
          <w:tcPr>
            <w:tcW w:w="263" w:type="pct"/>
            <w:tcBorders>
              <w:top w:val="single" w:sz="4" w:space="0" w:color="auto"/>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rPr>
                <w:rFonts w:cs="Arial"/>
                <w:sz w:val="16"/>
                <w:szCs w:val="16"/>
              </w:rPr>
            </w:pPr>
          </w:p>
        </w:tc>
        <w:tc>
          <w:tcPr>
            <w:tcW w:w="257" w:type="pct"/>
            <w:tcBorders>
              <w:top w:val="single" w:sz="4" w:space="0" w:color="auto"/>
              <w:left w:val="single" w:sz="4" w:space="0" w:color="auto"/>
            </w:tcBorders>
            <w:shd w:val="clear" w:color="auto" w:fill="auto"/>
            <w:noWrap/>
            <w:tcMar>
              <w:left w:w="85" w:type="dxa"/>
              <w:right w:w="85" w:type="dxa"/>
            </w:tcMar>
            <w:vAlign w:val="center"/>
            <w:hideMark/>
          </w:tcPr>
          <w:p w:rsidR="00D912FA" w:rsidRPr="00C24253" w:rsidRDefault="00D912FA" w:rsidP="00974752">
            <w:pPr>
              <w:rPr>
                <w:rFonts w:cs="Arial"/>
                <w:sz w:val="16"/>
                <w:szCs w:val="16"/>
              </w:rPr>
            </w:pPr>
          </w:p>
        </w:tc>
      </w:tr>
      <w:tr w:rsidR="00D912FA" w:rsidRPr="00C24253" w:rsidTr="00974752">
        <w:trPr>
          <w:trHeight w:val="454"/>
        </w:trPr>
        <w:tc>
          <w:tcPr>
            <w:tcW w:w="1055" w:type="pct"/>
            <w:shd w:val="clear" w:color="auto" w:fill="auto"/>
            <w:noWrap/>
            <w:vAlign w:val="center"/>
            <w:hideMark/>
          </w:tcPr>
          <w:p w:rsidR="00D912FA" w:rsidRPr="00C24253" w:rsidRDefault="00D912FA" w:rsidP="00974752">
            <w:pPr>
              <w:jc w:val="left"/>
              <w:rPr>
                <w:rFonts w:cs="Arial"/>
                <w:sz w:val="16"/>
                <w:szCs w:val="16"/>
              </w:rPr>
            </w:pPr>
            <w:r w:rsidRPr="00C24253">
              <w:rPr>
                <w:rFonts w:cs="Arial"/>
                <w:sz w:val="16"/>
                <w:szCs w:val="16"/>
              </w:rPr>
              <w:t>základní vč. neukončen</w:t>
            </w:r>
            <w:r w:rsidRPr="00C24253">
              <w:rPr>
                <w:rFonts w:cs="Arial"/>
                <w:sz w:val="16"/>
                <w:szCs w:val="16"/>
              </w:rPr>
              <w:t>é</w:t>
            </w:r>
            <w:r w:rsidRPr="00C24253">
              <w:rPr>
                <w:rFonts w:cs="Arial"/>
                <w:sz w:val="16"/>
                <w:szCs w:val="16"/>
              </w:rPr>
              <w:t>ho</w:t>
            </w:r>
          </w:p>
        </w:tc>
        <w:tc>
          <w:tcPr>
            <w:tcW w:w="263" w:type="pct"/>
            <w:tcBorders>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1,87</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1,90</w:t>
            </w:r>
          </w:p>
        </w:tc>
        <w:tc>
          <w:tcPr>
            <w:tcW w:w="269"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1,76</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1,79</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1,58</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0,56</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2,16</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2,13</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1,77</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2,26</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2,29</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2,05</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2,26</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2,38</w:t>
            </w:r>
          </w:p>
        </w:tc>
        <w:tc>
          <w:tcPr>
            <w:tcW w:w="257" w:type="pct"/>
            <w:tcBorders>
              <w:lef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2,29</w:t>
            </w:r>
          </w:p>
        </w:tc>
      </w:tr>
      <w:tr w:rsidR="00D912FA" w:rsidRPr="00C24253" w:rsidTr="00974752">
        <w:trPr>
          <w:trHeight w:val="454"/>
        </w:trPr>
        <w:tc>
          <w:tcPr>
            <w:tcW w:w="1055" w:type="pct"/>
            <w:shd w:val="clear" w:color="auto" w:fill="auto"/>
            <w:noWrap/>
            <w:vAlign w:val="center"/>
            <w:hideMark/>
          </w:tcPr>
          <w:p w:rsidR="00D912FA" w:rsidRPr="00C24253" w:rsidRDefault="00D912FA" w:rsidP="00974752">
            <w:pPr>
              <w:jc w:val="left"/>
              <w:rPr>
                <w:rFonts w:cs="Arial"/>
                <w:sz w:val="16"/>
                <w:szCs w:val="16"/>
              </w:rPr>
            </w:pPr>
            <w:r w:rsidRPr="00C24253">
              <w:rPr>
                <w:rFonts w:cs="Arial"/>
                <w:sz w:val="16"/>
                <w:szCs w:val="16"/>
              </w:rPr>
              <w:t>střední včetně vyučení (bez maturity)</w:t>
            </w:r>
          </w:p>
        </w:tc>
        <w:tc>
          <w:tcPr>
            <w:tcW w:w="263" w:type="pct"/>
            <w:tcBorders>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1,69</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1,82</w:t>
            </w:r>
          </w:p>
        </w:tc>
        <w:tc>
          <w:tcPr>
            <w:tcW w:w="269"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1,84</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1,65</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1,28</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0,30</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1,97</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1,80</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1,47</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2,06</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2,03</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1,81</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1,95</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2,07</w:t>
            </w:r>
          </w:p>
        </w:tc>
        <w:tc>
          <w:tcPr>
            <w:tcW w:w="257" w:type="pct"/>
            <w:tcBorders>
              <w:lef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2,05</w:t>
            </w:r>
          </w:p>
        </w:tc>
      </w:tr>
      <w:tr w:rsidR="00D912FA" w:rsidRPr="00C24253" w:rsidTr="00974752">
        <w:trPr>
          <w:trHeight w:val="624"/>
        </w:trPr>
        <w:tc>
          <w:tcPr>
            <w:tcW w:w="1055" w:type="pct"/>
            <w:shd w:val="clear" w:color="auto" w:fill="auto"/>
            <w:noWrap/>
            <w:vAlign w:val="center"/>
            <w:hideMark/>
          </w:tcPr>
          <w:p w:rsidR="00D912FA" w:rsidRPr="00C24253" w:rsidRDefault="00D912FA" w:rsidP="00974752">
            <w:pPr>
              <w:rPr>
                <w:rFonts w:cs="Arial"/>
                <w:sz w:val="16"/>
                <w:szCs w:val="16"/>
              </w:rPr>
            </w:pPr>
            <w:r w:rsidRPr="00C24253">
              <w:rPr>
                <w:rFonts w:cs="Arial"/>
                <w:sz w:val="16"/>
                <w:szCs w:val="16"/>
              </w:rPr>
              <w:t>úplné střední s maturitou</w:t>
            </w:r>
          </w:p>
          <w:p w:rsidR="00D912FA" w:rsidRPr="00C24253" w:rsidRDefault="00D912FA" w:rsidP="00974752">
            <w:pPr>
              <w:jc w:val="left"/>
              <w:rPr>
                <w:rFonts w:cs="Arial"/>
                <w:sz w:val="16"/>
                <w:szCs w:val="16"/>
              </w:rPr>
            </w:pPr>
            <w:r w:rsidRPr="00C24253">
              <w:rPr>
                <w:rFonts w:cs="Arial"/>
                <w:sz w:val="16"/>
                <w:szCs w:val="16"/>
              </w:rPr>
              <w:t>a vyšší odborné včetně nástavbového</w:t>
            </w:r>
          </w:p>
        </w:tc>
        <w:tc>
          <w:tcPr>
            <w:tcW w:w="263" w:type="pct"/>
            <w:tcBorders>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1,45</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1,40</w:t>
            </w:r>
          </w:p>
        </w:tc>
        <w:tc>
          <w:tcPr>
            <w:tcW w:w="269"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1,39</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1,39</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0,90</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0,26</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1,78</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1,60</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1,21</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1,89</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1,85</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1,65</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1,76</w:t>
            </w:r>
          </w:p>
        </w:tc>
        <w:tc>
          <w:tcPr>
            <w:tcW w:w="263" w:type="pct"/>
            <w:tcBorders>
              <w:left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1,86</w:t>
            </w:r>
          </w:p>
        </w:tc>
        <w:tc>
          <w:tcPr>
            <w:tcW w:w="257" w:type="pct"/>
            <w:tcBorders>
              <w:lef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1,85</w:t>
            </w:r>
          </w:p>
        </w:tc>
      </w:tr>
      <w:tr w:rsidR="00D912FA" w:rsidRPr="00C24253" w:rsidTr="00974752">
        <w:trPr>
          <w:trHeight w:val="284"/>
        </w:trPr>
        <w:tc>
          <w:tcPr>
            <w:tcW w:w="1055" w:type="pct"/>
            <w:shd w:val="clear" w:color="auto" w:fill="auto"/>
            <w:noWrap/>
            <w:vAlign w:val="center"/>
            <w:hideMark/>
          </w:tcPr>
          <w:p w:rsidR="00D912FA" w:rsidRPr="00C24253" w:rsidRDefault="00D912FA" w:rsidP="00974752">
            <w:pPr>
              <w:rPr>
                <w:rFonts w:cs="Arial"/>
                <w:sz w:val="16"/>
                <w:szCs w:val="16"/>
              </w:rPr>
            </w:pPr>
            <w:r w:rsidRPr="00C24253">
              <w:rPr>
                <w:rFonts w:cs="Arial"/>
                <w:sz w:val="16"/>
                <w:szCs w:val="16"/>
              </w:rPr>
              <w:t>vysokoškolské</w:t>
            </w:r>
          </w:p>
        </w:tc>
        <w:tc>
          <w:tcPr>
            <w:tcW w:w="263" w:type="pct"/>
            <w:tcBorders>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1,44</w:t>
            </w:r>
          </w:p>
        </w:tc>
        <w:tc>
          <w:tcPr>
            <w:tcW w:w="263" w:type="pct"/>
            <w:tcBorders>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1,40</w:t>
            </w:r>
          </w:p>
        </w:tc>
        <w:tc>
          <w:tcPr>
            <w:tcW w:w="269" w:type="pct"/>
            <w:tcBorders>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1,19</w:t>
            </w:r>
          </w:p>
        </w:tc>
        <w:tc>
          <w:tcPr>
            <w:tcW w:w="263" w:type="pct"/>
            <w:tcBorders>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0,96</w:t>
            </w:r>
          </w:p>
        </w:tc>
        <w:tc>
          <w:tcPr>
            <w:tcW w:w="263" w:type="pct"/>
            <w:tcBorders>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0,41</w:t>
            </w:r>
          </w:p>
        </w:tc>
        <w:tc>
          <w:tcPr>
            <w:tcW w:w="263" w:type="pct"/>
            <w:tcBorders>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0,11</w:t>
            </w:r>
          </w:p>
        </w:tc>
        <w:tc>
          <w:tcPr>
            <w:tcW w:w="263" w:type="pct"/>
            <w:tcBorders>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1,52</w:t>
            </w:r>
          </w:p>
        </w:tc>
        <w:tc>
          <w:tcPr>
            <w:tcW w:w="263" w:type="pct"/>
            <w:tcBorders>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1,29</w:t>
            </w:r>
          </w:p>
        </w:tc>
        <w:tc>
          <w:tcPr>
            <w:tcW w:w="263" w:type="pct"/>
            <w:tcBorders>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0,92</w:t>
            </w:r>
          </w:p>
        </w:tc>
        <w:tc>
          <w:tcPr>
            <w:tcW w:w="263" w:type="pct"/>
            <w:tcBorders>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1,69</w:t>
            </w:r>
          </w:p>
        </w:tc>
        <w:tc>
          <w:tcPr>
            <w:tcW w:w="263" w:type="pct"/>
            <w:tcBorders>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1,68</w:t>
            </w:r>
          </w:p>
        </w:tc>
        <w:tc>
          <w:tcPr>
            <w:tcW w:w="263" w:type="pct"/>
            <w:tcBorders>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1,53</w:t>
            </w:r>
          </w:p>
        </w:tc>
        <w:tc>
          <w:tcPr>
            <w:tcW w:w="263" w:type="pct"/>
            <w:tcBorders>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1,60</w:t>
            </w:r>
          </w:p>
        </w:tc>
        <w:tc>
          <w:tcPr>
            <w:tcW w:w="263" w:type="pct"/>
            <w:tcBorders>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1,71</w:t>
            </w:r>
          </w:p>
        </w:tc>
        <w:tc>
          <w:tcPr>
            <w:tcW w:w="257" w:type="pct"/>
            <w:tcBorders>
              <w:left w:val="single" w:sz="4" w:space="0" w:color="auto"/>
              <w:bottom w:val="single" w:sz="4" w:space="0" w:color="auto"/>
            </w:tcBorders>
            <w:shd w:val="clear" w:color="auto" w:fill="auto"/>
            <w:noWrap/>
            <w:tcMar>
              <w:left w:w="85" w:type="dxa"/>
              <w:right w:w="85" w:type="dxa"/>
            </w:tcMar>
            <w:vAlign w:val="center"/>
            <w:hideMark/>
          </w:tcPr>
          <w:p w:rsidR="00D912FA" w:rsidRPr="00C24253" w:rsidRDefault="00D912FA" w:rsidP="00974752">
            <w:pPr>
              <w:jc w:val="right"/>
              <w:rPr>
                <w:rFonts w:cs="Arial"/>
                <w:sz w:val="16"/>
                <w:szCs w:val="16"/>
              </w:rPr>
            </w:pPr>
            <w:r w:rsidRPr="00C24253">
              <w:rPr>
                <w:rFonts w:cs="Arial"/>
                <w:sz w:val="16"/>
                <w:szCs w:val="16"/>
              </w:rPr>
              <w:t>1,72</w:t>
            </w:r>
          </w:p>
        </w:tc>
      </w:tr>
    </w:tbl>
    <w:p w:rsidR="00D912FA" w:rsidRPr="00C24253" w:rsidRDefault="00D912FA" w:rsidP="00D912FA">
      <w:pPr>
        <w:pStyle w:val="Zkladntext"/>
        <w:spacing w:before="360"/>
        <w:ind w:firstLine="0"/>
        <w:rPr>
          <w:rFonts w:eastAsiaTheme="minorHAnsi"/>
          <w:iCs/>
          <w:lang w:eastAsia="en-US"/>
        </w:rPr>
      </w:pPr>
      <w:r w:rsidRPr="00C24253">
        <w:rPr>
          <w:rFonts w:eastAsiaTheme="minorHAnsi"/>
          <w:iCs/>
          <w:lang w:eastAsia="en-US"/>
        </w:rPr>
        <w:t>Při posledním sčítání byla i přes vysoký podíl neuvedeného údaje o nábože</w:t>
      </w:r>
      <w:r w:rsidR="00D423B3">
        <w:rPr>
          <w:rFonts w:eastAsiaTheme="minorHAnsi"/>
          <w:iCs/>
          <w:lang w:eastAsia="en-US"/>
        </w:rPr>
        <w:t>nské víře (42 % žen starších 15 </w:t>
      </w:r>
      <w:r w:rsidRPr="00C24253">
        <w:rPr>
          <w:rFonts w:eastAsiaTheme="minorHAnsi"/>
          <w:iCs/>
          <w:lang w:eastAsia="en-US"/>
        </w:rPr>
        <w:t>let tento údaj neuvedlo) potvrzena vyšší plodnost věřících žen. Rozdíl oproti plodnosti žen bez vyznání se oproti výsledkům z cenzů 1991 a 2001 ale zmenšil. Nadprůměrná plodnost věřících ve všech věkových sk</w:t>
      </w:r>
      <w:r w:rsidRPr="00C24253">
        <w:rPr>
          <w:rFonts w:eastAsiaTheme="minorHAnsi"/>
          <w:iCs/>
          <w:lang w:eastAsia="en-US"/>
        </w:rPr>
        <w:t>u</w:t>
      </w:r>
      <w:r w:rsidRPr="00C24253">
        <w:rPr>
          <w:rFonts w:eastAsiaTheme="minorHAnsi"/>
          <w:iCs/>
          <w:lang w:eastAsia="en-US"/>
        </w:rPr>
        <w:lastRenderedPageBreak/>
        <w:t>pinách ze tří nejčetněji uváděných náboženských společností, tj. Církev římskokatolická, Českobratrská cí</w:t>
      </w:r>
      <w:r w:rsidRPr="00C24253">
        <w:rPr>
          <w:rFonts w:eastAsiaTheme="minorHAnsi"/>
          <w:iCs/>
          <w:lang w:eastAsia="en-US"/>
        </w:rPr>
        <w:t>r</w:t>
      </w:r>
      <w:r w:rsidRPr="00C24253">
        <w:rPr>
          <w:rFonts w:eastAsiaTheme="minorHAnsi"/>
          <w:iCs/>
          <w:lang w:eastAsia="en-US"/>
        </w:rPr>
        <w:t>kev evangelická a Církev československá husitská, platila pouze pro ženy hlásící se k římskokatolické církvi. Nejnižší plodnost z žen deklarujících příslušnost k jedné z těchto tří církví měly ženy řadící se Církvi česk</w:t>
      </w:r>
      <w:r w:rsidRPr="00C24253">
        <w:rPr>
          <w:rFonts w:eastAsiaTheme="minorHAnsi"/>
          <w:iCs/>
          <w:lang w:eastAsia="en-US"/>
        </w:rPr>
        <w:t>o</w:t>
      </w:r>
      <w:r w:rsidRPr="00C24253">
        <w:rPr>
          <w:rFonts w:eastAsiaTheme="minorHAnsi"/>
          <w:iCs/>
          <w:lang w:eastAsia="en-US"/>
        </w:rPr>
        <w:t>slovenské husitské. Plodnost žen hlásících se k některým méně početně zastoupeným církvím jako např. Pravoslavné církvi v českých zemích, Ruské pravoslavné církvi, podvorje patriarchy moskevského a celé Rusi v České republice, buddhistům nebo Federaci židovských obcí v České republice či úplně okrajovým náboženským společnostem, např. scientologům nebo hinduistům, byla nižší než plodnost žen bez náb</w:t>
      </w:r>
      <w:r w:rsidRPr="00C24253">
        <w:rPr>
          <w:rFonts w:eastAsiaTheme="minorHAnsi"/>
          <w:iCs/>
          <w:lang w:eastAsia="en-US"/>
        </w:rPr>
        <w:t>o</w:t>
      </w:r>
      <w:r w:rsidRPr="00C24253">
        <w:rPr>
          <w:rFonts w:eastAsiaTheme="minorHAnsi"/>
          <w:iCs/>
          <w:lang w:eastAsia="en-US"/>
        </w:rPr>
        <w:t>ženské víry. Nižší plodnost než plodnost celé populace věřících byla zaznamenána i u skupiny žen, které sice uvedly, že jsou věřící, ale ke konkrétní společnosti se dále nepřihlásily (1,63 dítěte narozených jedné ženě k datu konání cenzu 2011). Tyto ženy představovaly třetinu všech věřících žen starších 15 let.</w:t>
      </w:r>
    </w:p>
    <w:p w:rsidR="00D912FA" w:rsidRPr="00C24253" w:rsidRDefault="00D912FA" w:rsidP="00D912FA">
      <w:pPr>
        <w:pStyle w:val="Zkladntext"/>
        <w:spacing w:before="240"/>
        <w:ind w:firstLine="0"/>
        <w:rPr>
          <w:rFonts w:eastAsiaTheme="minorHAnsi"/>
          <w:iCs/>
          <w:lang w:eastAsia="en-US"/>
        </w:rPr>
      </w:pPr>
      <w:r w:rsidRPr="00C24253">
        <w:rPr>
          <w:rFonts w:eastAsiaTheme="minorHAnsi"/>
          <w:iCs/>
          <w:lang w:eastAsia="en-US"/>
        </w:rPr>
        <w:t>Jako nevýraznější diferenciační faktor plodnosti žen se ukazuje vzdělání. Nejnižší úroveň plodnosti mají ženy s vzděláním vysokoškolským a v rámci nich (při uvažování 30letých a starších žen) mají nej</w:t>
      </w:r>
      <w:r>
        <w:rPr>
          <w:rFonts w:eastAsiaTheme="minorHAnsi"/>
          <w:iCs/>
          <w:lang w:eastAsia="en-US"/>
        </w:rPr>
        <w:t>nižší plo</w:t>
      </w:r>
      <w:r>
        <w:rPr>
          <w:rFonts w:eastAsiaTheme="minorHAnsi"/>
          <w:iCs/>
          <w:lang w:eastAsia="en-US"/>
        </w:rPr>
        <w:t>d</w:t>
      </w:r>
      <w:r>
        <w:rPr>
          <w:rFonts w:eastAsiaTheme="minorHAnsi"/>
          <w:iCs/>
          <w:lang w:eastAsia="en-US"/>
        </w:rPr>
        <w:t>nost ženy s </w:t>
      </w:r>
      <w:r w:rsidR="00CB509C" w:rsidRPr="00CB509C">
        <w:rPr>
          <w:rFonts w:eastAsiaTheme="minorHAnsi"/>
          <w:iCs/>
          <w:lang w:eastAsia="en-US"/>
        </w:rPr>
        <w:t>doktorsk</w:t>
      </w:r>
      <w:r w:rsidR="00CB509C">
        <w:rPr>
          <w:rFonts w:eastAsiaTheme="minorHAnsi"/>
          <w:iCs/>
          <w:lang w:eastAsia="en-US"/>
        </w:rPr>
        <w:t>ý</w:t>
      </w:r>
      <w:r w:rsidR="00CB509C" w:rsidRPr="00CB509C">
        <w:rPr>
          <w:rFonts w:eastAsiaTheme="minorHAnsi"/>
          <w:iCs/>
          <w:lang w:eastAsia="en-US"/>
        </w:rPr>
        <w:t>m</w:t>
      </w:r>
      <w:r w:rsidRPr="00C24253">
        <w:rPr>
          <w:rFonts w:eastAsiaTheme="minorHAnsi"/>
          <w:iCs/>
          <w:lang w:eastAsia="en-US"/>
        </w:rPr>
        <w:t xml:space="preserve"> vzděláním. Nejvyšší úroveň plodnosti naopak mají ženy s neukončeným základním vzděláním. Plodnost středoškolsky vzdělaných žen bez maturity je rovněž nadprůměrná, zatímco těch s maturitou naopak podprůměrná. Obecně tak platí, že s rostoucí vzdělanostní úrovní žen jejich plodnost klesá.</w:t>
      </w:r>
    </w:p>
    <w:p w:rsidR="00D912FA" w:rsidRPr="00C24253" w:rsidRDefault="00D912FA" w:rsidP="00D912FA">
      <w:pPr>
        <w:pStyle w:val="Zkladntext"/>
        <w:ind w:firstLine="0"/>
        <w:rPr>
          <w:rFonts w:eastAsiaTheme="minorHAnsi"/>
          <w:iCs/>
          <w:lang w:eastAsia="en-US"/>
        </w:rPr>
      </w:pPr>
      <w:r w:rsidRPr="00C24253">
        <w:rPr>
          <w:rFonts w:eastAsiaTheme="minorHAnsi"/>
          <w:iCs/>
          <w:lang w:eastAsia="en-US"/>
        </w:rPr>
        <w:t>Do popsaných základních rozdílů v celkové úrovni plodnosti žen podle dalších charakteristik se však prom</w:t>
      </w:r>
      <w:r w:rsidRPr="00C24253">
        <w:rPr>
          <w:rFonts w:eastAsiaTheme="minorHAnsi"/>
          <w:iCs/>
          <w:lang w:eastAsia="en-US"/>
        </w:rPr>
        <w:t>í</w:t>
      </w:r>
      <w:r w:rsidRPr="00C24253">
        <w:rPr>
          <w:rFonts w:eastAsiaTheme="minorHAnsi"/>
          <w:iCs/>
          <w:lang w:eastAsia="en-US"/>
        </w:rPr>
        <w:t>tají další vlivy, jako je věk, věk při sňatku, opakovaná sňatečnost, ekonomická aktivita, socioprofesní příslu</w:t>
      </w:r>
      <w:r w:rsidRPr="00C24253">
        <w:rPr>
          <w:rFonts w:eastAsiaTheme="minorHAnsi"/>
          <w:iCs/>
          <w:lang w:eastAsia="en-US"/>
        </w:rPr>
        <w:t>š</w:t>
      </w:r>
      <w:r w:rsidRPr="00C24253">
        <w:rPr>
          <w:rFonts w:eastAsiaTheme="minorHAnsi"/>
          <w:iCs/>
          <w:lang w:eastAsia="en-US"/>
        </w:rPr>
        <w:t>nost, území (včetně typu sídla – městské/venkovské) aj.</w:t>
      </w:r>
    </w:p>
    <w:p w:rsidR="00D912FA" w:rsidRPr="00C24253" w:rsidRDefault="00D912FA" w:rsidP="004B4F8D">
      <w:pPr>
        <w:pStyle w:val="31"/>
        <w:numPr>
          <w:ilvl w:val="1"/>
          <w:numId w:val="47"/>
        </w:numPr>
        <w:ind w:left="360" w:hanging="360"/>
      </w:pPr>
      <w:r w:rsidRPr="00C24253">
        <w:t>Potratovost</w:t>
      </w:r>
    </w:p>
    <w:p w:rsidR="00D912FA" w:rsidRPr="00C24253" w:rsidRDefault="00D912FA" w:rsidP="00D912FA">
      <w:pPr>
        <w:pStyle w:val="Zkladntext"/>
        <w:ind w:firstLine="0"/>
        <w:rPr>
          <w:bCs/>
          <w:szCs w:val="22"/>
        </w:rPr>
      </w:pPr>
      <w:r w:rsidRPr="00C24253">
        <w:rPr>
          <w:bCs/>
        </w:rPr>
        <w:t>Vysoká úroveň potratovosti byla jedním z typických znaků reprodukčního chování populace České republiky před rokem 1989. Příčinou byla relativně snadná dostupnost interrupcí (indukovaných potratů) daná liberální potratovou legislativou, nízký stupeň užívání spolehlivé antikoncepce (např. v roce 1980 užívalo podle údajů ÚZIS ČR antikoncepci předepsanou lékařem 20 % žen ve fertilním věku, zatímco v posledních letech je to 53-54 %), i tolerance společnosti k řešení nechtěného těhotenství interrupcí. Historicky nejvyšší počet potr</w:t>
      </w:r>
      <w:r w:rsidRPr="00C24253">
        <w:rPr>
          <w:bCs/>
        </w:rPr>
        <w:t>a</w:t>
      </w:r>
      <w:r w:rsidRPr="00C24253">
        <w:rPr>
          <w:bCs/>
        </w:rPr>
        <w:t>tů, interrupcí a úroveň indukované potratovosti byly dosaženy v roce 1988, k</w:t>
      </w:r>
      <w:r w:rsidR="00D423B3">
        <w:rPr>
          <w:bCs/>
        </w:rPr>
        <w:t>dy bylo registrováno celkem 129 </w:t>
      </w:r>
      <w:r w:rsidRPr="00C24253">
        <w:rPr>
          <w:bCs/>
        </w:rPr>
        <w:t>tisíc potratů, z toho 114 tisíc interrupcí a na jednu ženu připadalo 1,59 interrupce</w:t>
      </w:r>
      <w:r w:rsidRPr="00C24253">
        <w:rPr>
          <w:bCs/>
          <w:szCs w:val="22"/>
        </w:rPr>
        <w:t xml:space="preserve">. </w:t>
      </w:r>
    </w:p>
    <w:p w:rsidR="00D912FA" w:rsidRPr="00C24253" w:rsidRDefault="00D912FA" w:rsidP="00D912FA">
      <w:pPr>
        <w:pStyle w:val="Zkladntext"/>
        <w:spacing w:before="360"/>
        <w:ind w:firstLine="0"/>
        <w:rPr>
          <w:rFonts w:eastAsia="Calibri"/>
          <w:b/>
        </w:rPr>
      </w:pPr>
      <w:r w:rsidRPr="00C24253">
        <w:rPr>
          <w:rFonts w:eastAsia="Calibri"/>
          <w:b/>
        </w:rPr>
        <w:t>Potraty a potratovost v letech 1991 až 2012</w:t>
      </w:r>
    </w:p>
    <w:tbl>
      <w:tblPr>
        <w:tblW w:w="4950" w:type="pct"/>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tblPr>
      <w:tblGrid>
        <w:gridCol w:w="968"/>
        <w:gridCol w:w="968"/>
        <w:gridCol w:w="968"/>
        <w:gridCol w:w="968"/>
        <w:gridCol w:w="968"/>
        <w:gridCol w:w="968"/>
        <w:gridCol w:w="968"/>
        <w:gridCol w:w="968"/>
        <w:gridCol w:w="968"/>
        <w:gridCol w:w="968"/>
      </w:tblGrid>
      <w:tr w:rsidR="00D912FA" w:rsidRPr="00C24253" w:rsidTr="00974752">
        <w:trPr>
          <w:trHeight w:val="340"/>
        </w:trPr>
        <w:tc>
          <w:tcPr>
            <w:tcW w:w="500" w:type="pct"/>
            <w:vMerge w:val="restart"/>
            <w:tcBorders>
              <w:top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Rok</w:t>
            </w:r>
          </w:p>
        </w:tc>
        <w:tc>
          <w:tcPr>
            <w:tcW w:w="1500" w:type="pct"/>
            <w:gridSpan w:val="3"/>
            <w:tcBorders>
              <w:top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Počet</w:t>
            </w:r>
          </w:p>
        </w:tc>
        <w:tc>
          <w:tcPr>
            <w:tcW w:w="1500" w:type="pct"/>
            <w:gridSpan w:val="3"/>
            <w:tcBorders>
              <w:top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Podíl (%)</w:t>
            </w:r>
          </w:p>
        </w:tc>
        <w:tc>
          <w:tcPr>
            <w:tcW w:w="500" w:type="pct"/>
            <w:vMerge w:val="restart"/>
            <w:tcBorders>
              <w:top w:val="single" w:sz="4" w:space="0" w:color="auto"/>
              <w:bottom w:val="single" w:sz="4" w:space="0" w:color="auto"/>
            </w:tcBorders>
            <w:shd w:val="clear" w:color="auto" w:fill="auto"/>
            <w:vAlign w:val="center"/>
            <w:hideMark/>
          </w:tcPr>
          <w:p w:rsidR="00D912FA" w:rsidRPr="00C24253" w:rsidRDefault="00D912FA" w:rsidP="00974752">
            <w:pPr>
              <w:jc w:val="center"/>
              <w:rPr>
                <w:rFonts w:cs="Arial"/>
                <w:sz w:val="16"/>
                <w:szCs w:val="16"/>
              </w:rPr>
            </w:pPr>
            <w:r w:rsidRPr="00C24253">
              <w:rPr>
                <w:rFonts w:cs="Arial"/>
                <w:sz w:val="16"/>
                <w:szCs w:val="16"/>
              </w:rPr>
              <w:t>Úhrnná potratovost</w:t>
            </w:r>
          </w:p>
        </w:tc>
        <w:tc>
          <w:tcPr>
            <w:tcW w:w="500" w:type="pct"/>
            <w:vMerge w:val="restart"/>
            <w:tcBorders>
              <w:top w:val="single" w:sz="4" w:space="0" w:color="auto"/>
              <w:bottom w:val="single" w:sz="4" w:space="0" w:color="auto"/>
            </w:tcBorders>
            <w:shd w:val="clear" w:color="auto" w:fill="auto"/>
            <w:vAlign w:val="center"/>
            <w:hideMark/>
          </w:tcPr>
          <w:p w:rsidR="00D912FA" w:rsidRPr="00C24253" w:rsidRDefault="00D912FA" w:rsidP="00974752">
            <w:pPr>
              <w:jc w:val="center"/>
              <w:rPr>
                <w:rFonts w:cs="Arial"/>
                <w:sz w:val="16"/>
                <w:szCs w:val="16"/>
              </w:rPr>
            </w:pPr>
            <w:r w:rsidRPr="00C24253">
              <w:rPr>
                <w:rFonts w:cs="Arial"/>
                <w:sz w:val="16"/>
                <w:szCs w:val="16"/>
              </w:rPr>
              <w:t>Úhrnná indukovaná potratovost</w:t>
            </w:r>
          </w:p>
        </w:tc>
        <w:tc>
          <w:tcPr>
            <w:tcW w:w="500" w:type="pct"/>
            <w:vMerge w:val="restart"/>
            <w:tcBorders>
              <w:top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Podíl žen užívajících antikon-cepci (%)*</w:t>
            </w:r>
          </w:p>
        </w:tc>
      </w:tr>
      <w:tr w:rsidR="00D912FA" w:rsidRPr="00C24253" w:rsidTr="00974752">
        <w:trPr>
          <w:trHeight w:val="1020"/>
        </w:trPr>
        <w:tc>
          <w:tcPr>
            <w:tcW w:w="500" w:type="pct"/>
            <w:vMerge/>
            <w:tcBorders>
              <w:top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p>
        </w:tc>
        <w:tc>
          <w:tcPr>
            <w:tcW w:w="500" w:type="pct"/>
            <w:tcBorders>
              <w:top w:val="single" w:sz="4" w:space="0" w:color="auto"/>
              <w:bottom w:val="single" w:sz="4" w:space="0" w:color="auto"/>
            </w:tcBorders>
            <w:shd w:val="clear" w:color="auto" w:fill="auto"/>
            <w:vAlign w:val="center"/>
            <w:hideMark/>
          </w:tcPr>
          <w:p w:rsidR="00D912FA" w:rsidRPr="00C24253" w:rsidRDefault="00D912FA" w:rsidP="00974752">
            <w:pPr>
              <w:jc w:val="center"/>
              <w:rPr>
                <w:rFonts w:cs="Arial"/>
                <w:sz w:val="16"/>
                <w:szCs w:val="16"/>
              </w:rPr>
            </w:pPr>
            <w:r w:rsidRPr="00C24253">
              <w:rPr>
                <w:rFonts w:cs="Arial"/>
                <w:sz w:val="16"/>
                <w:szCs w:val="16"/>
              </w:rPr>
              <w:t xml:space="preserve">všechny potraty </w:t>
            </w:r>
          </w:p>
        </w:tc>
        <w:tc>
          <w:tcPr>
            <w:tcW w:w="500" w:type="pct"/>
            <w:tcBorders>
              <w:top w:val="single" w:sz="4" w:space="0" w:color="auto"/>
              <w:bottom w:val="single" w:sz="4" w:space="0" w:color="auto"/>
            </w:tcBorders>
            <w:shd w:val="clear" w:color="auto" w:fill="auto"/>
            <w:vAlign w:val="center"/>
            <w:hideMark/>
          </w:tcPr>
          <w:p w:rsidR="00D912FA" w:rsidRPr="00C24253" w:rsidRDefault="00D912FA" w:rsidP="00974752">
            <w:pPr>
              <w:jc w:val="center"/>
              <w:rPr>
                <w:rFonts w:cs="Arial"/>
                <w:sz w:val="16"/>
                <w:szCs w:val="16"/>
              </w:rPr>
            </w:pPr>
            <w:r w:rsidRPr="00C24253">
              <w:rPr>
                <w:rFonts w:cs="Arial"/>
                <w:sz w:val="16"/>
                <w:szCs w:val="16"/>
              </w:rPr>
              <w:t>interrupce</w:t>
            </w:r>
          </w:p>
        </w:tc>
        <w:tc>
          <w:tcPr>
            <w:tcW w:w="500" w:type="pct"/>
            <w:tcBorders>
              <w:top w:val="single" w:sz="4" w:space="0" w:color="auto"/>
              <w:bottom w:val="single" w:sz="4" w:space="0" w:color="auto"/>
            </w:tcBorders>
            <w:shd w:val="clear" w:color="auto" w:fill="auto"/>
            <w:vAlign w:val="center"/>
            <w:hideMark/>
          </w:tcPr>
          <w:p w:rsidR="00D912FA" w:rsidRPr="00C24253" w:rsidRDefault="00D912FA" w:rsidP="00974752">
            <w:pPr>
              <w:jc w:val="center"/>
              <w:rPr>
                <w:rFonts w:cs="Arial"/>
                <w:sz w:val="16"/>
                <w:szCs w:val="16"/>
              </w:rPr>
            </w:pPr>
            <w:r w:rsidRPr="00C24253">
              <w:rPr>
                <w:rFonts w:cs="Arial"/>
                <w:sz w:val="16"/>
                <w:szCs w:val="16"/>
              </w:rPr>
              <w:t>samovolné potraty</w:t>
            </w:r>
          </w:p>
        </w:tc>
        <w:tc>
          <w:tcPr>
            <w:tcW w:w="500" w:type="pct"/>
            <w:tcBorders>
              <w:top w:val="single" w:sz="4" w:space="0" w:color="auto"/>
              <w:bottom w:val="single" w:sz="4" w:space="0" w:color="auto"/>
            </w:tcBorders>
            <w:shd w:val="clear" w:color="auto" w:fill="auto"/>
            <w:vAlign w:val="center"/>
            <w:hideMark/>
          </w:tcPr>
          <w:p w:rsidR="00D912FA" w:rsidRPr="00C24253" w:rsidRDefault="00D912FA" w:rsidP="00974752">
            <w:pPr>
              <w:jc w:val="center"/>
              <w:rPr>
                <w:rFonts w:cs="Arial"/>
                <w:sz w:val="16"/>
                <w:szCs w:val="16"/>
              </w:rPr>
            </w:pPr>
            <w:r w:rsidRPr="00C24253">
              <w:rPr>
                <w:rFonts w:cs="Arial"/>
                <w:sz w:val="16"/>
                <w:szCs w:val="16"/>
              </w:rPr>
              <w:t>interrupce ze všech potratů</w:t>
            </w:r>
          </w:p>
        </w:tc>
        <w:tc>
          <w:tcPr>
            <w:tcW w:w="500" w:type="pct"/>
            <w:tcBorders>
              <w:top w:val="single" w:sz="4" w:space="0" w:color="auto"/>
              <w:bottom w:val="single" w:sz="4" w:space="0" w:color="auto"/>
            </w:tcBorders>
            <w:shd w:val="clear" w:color="auto" w:fill="auto"/>
            <w:vAlign w:val="center"/>
            <w:hideMark/>
          </w:tcPr>
          <w:p w:rsidR="00D912FA" w:rsidRPr="00C24253" w:rsidRDefault="00D912FA" w:rsidP="00974752">
            <w:pPr>
              <w:jc w:val="center"/>
              <w:rPr>
                <w:rFonts w:cs="Arial"/>
                <w:sz w:val="16"/>
                <w:szCs w:val="16"/>
              </w:rPr>
            </w:pPr>
            <w:r w:rsidRPr="00C24253">
              <w:rPr>
                <w:rFonts w:cs="Arial"/>
                <w:sz w:val="16"/>
                <w:szCs w:val="16"/>
              </w:rPr>
              <w:t>samovolné potraty ze všech potratů</w:t>
            </w:r>
          </w:p>
        </w:tc>
        <w:tc>
          <w:tcPr>
            <w:tcW w:w="500" w:type="pct"/>
            <w:tcBorders>
              <w:top w:val="single" w:sz="4" w:space="0" w:color="auto"/>
              <w:bottom w:val="single" w:sz="4" w:space="0" w:color="auto"/>
            </w:tcBorders>
            <w:shd w:val="clear" w:color="auto" w:fill="auto"/>
            <w:tcMar>
              <w:left w:w="57" w:type="dxa"/>
              <w:right w:w="57" w:type="dxa"/>
            </w:tcMar>
            <w:vAlign w:val="center"/>
            <w:hideMark/>
          </w:tcPr>
          <w:p w:rsidR="00D912FA" w:rsidRPr="00C24253" w:rsidRDefault="00D912FA" w:rsidP="00974752">
            <w:pPr>
              <w:jc w:val="center"/>
              <w:rPr>
                <w:rFonts w:cs="Arial"/>
                <w:sz w:val="16"/>
                <w:szCs w:val="16"/>
              </w:rPr>
            </w:pPr>
            <w:r w:rsidRPr="00C24253">
              <w:rPr>
                <w:rFonts w:cs="Arial"/>
                <w:sz w:val="16"/>
                <w:szCs w:val="16"/>
              </w:rPr>
              <w:t>potraty ze všech ukončených těhotenství</w:t>
            </w:r>
          </w:p>
        </w:tc>
        <w:tc>
          <w:tcPr>
            <w:tcW w:w="500" w:type="pct"/>
            <w:vMerge/>
            <w:tcBorders>
              <w:top w:val="single" w:sz="4" w:space="0" w:color="auto"/>
              <w:bottom w:val="single" w:sz="4" w:space="0" w:color="auto"/>
            </w:tcBorders>
            <w:shd w:val="clear" w:color="auto" w:fill="auto"/>
            <w:vAlign w:val="center"/>
            <w:hideMark/>
          </w:tcPr>
          <w:p w:rsidR="00D912FA" w:rsidRPr="00C24253" w:rsidRDefault="00D912FA" w:rsidP="00974752">
            <w:pPr>
              <w:jc w:val="center"/>
              <w:rPr>
                <w:rFonts w:cs="Arial"/>
                <w:sz w:val="16"/>
                <w:szCs w:val="16"/>
              </w:rPr>
            </w:pPr>
          </w:p>
        </w:tc>
        <w:tc>
          <w:tcPr>
            <w:tcW w:w="500" w:type="pct"/>
            <w:vMerge/>
            <w:tcBorders>
              <w:top w:val="single" w:sz="4" w:space="0" w:color="auto"/>
              <w:bottom w:val="single" w:sz="4" w:space="0" w:color="auto"/>
            </w:tcBorders>
            <w:shd w:val="clear" w:color="auto" w:fill="auto"/>
            <w:vAlign w:val="center"/>
            <w:hideMark/>
          </w:tcPr>
          <w:p w:rsidR="00D912FA" w:rsidRPr="00C24253" w:rsidRDefault="00D912FA" w:rsidP="00974752">
            <w:pPr>
              <w:jc w:val="center"/>
              <w:rPr>
                <w:rFonts w:cs="Arial"/>
                <w:sz w:val="16"/>
                <w:szCs w:val="16"/>
              </w:rPr>
            </w:pPr>
          </w:p>
        </w:tc>
        <w:tc>
          <w:tcPr>
            <w:tcW w:w="500" w:type="pct"/>
            <w:vMerge/>
            <w:tcBorders>
              <w:top w:val="single" w:sz="4" w:space="0" w:color="auto"/>
              <w:bottom w:val="single" w:sz="4" w:space="0" w:color="auto"/>
            </w:tcBorders>
            <w:shd w:val="clear" w:color="auto" w:fill="auto"/>
            <w:vAlign w:val="center"/>
            <w:hideMark/>
          </w:tcPr>
          <w:p w:rsidR="00D912FA" w:rsidRPr="00C24253" w:rsidRDefault="00D912FA" w:rsidP="00974752">
            <w:pPr>
              <w:jc w:val="center"/>
              <w:rPr>
                <w:rFonts w:cs="Arial"/>
                <w:sz w:val="16"/>
                <w:szCs w:val="16"/>
              </w:rPr>
            </w:pPr>
          </w:p>
        </w:tc>
      </w:tr>
      <w:tr w:rsidR="00D912FA" w:rsidRPr="00C24253" w:rsidTr="00974752">
        <w:trPr>
          <w:trHeight w:val="284"/>
        </w:trPr>
        <w:tc>
          <w:tcPr>
            <w:tcW w:w="500" w:type="pct"/>
            <w:tcBorders>
              <w:top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1991</w:t>
            </w:r>
          </w:p>
        </w:tc>
        <w:tc>
          <w:tcPr>
            <w:tcW w:w="500" w:type="pct"/>
            <w:tcBorders>
              <w:top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120 050</w:t>
            </w:r>
          </w:p>
        </w:tc>
        <w:tc>
          <w:tcPr>
            <w:tcW w:w="500" w:type="pct"/>
            <w:tcBorders>
              <w:top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106 042</w:t>
            </w:r>
          </w:p>
        </w:tc>
        <w:tc>
          <w:tcPr>
            <w:tcW w:w="500" w:type="pct"/>
            <w:tcBorders>
              <w:top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13 985</w:t>
            </w:r>
          </w:p>
        </w:tc>
        <w:tc>
          <w:tcPr>
            <w:tcW w:w="500" w:type="pct"/>
            <w:tcBorders>
              <w:top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88,3</w:t>
            </w:r>
          </w:p>
        </w:tc>
        <w:tc>
          <w:tcPr>
            <w:tcW w:w="500" w:type="pct"/>
            <w:tcBorders>
              <w:top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11,6</w:t>
            </w:r>
          </w:p>
        </w:tc>
        <w:tc>
          <w:tcPr>
            <w:tcW w:w="500" w:type="pct"/>
            <w:tcBorders>
              <w:top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48,0</w:t>
            </w:r>
          </w:p>
        </w:tc>
        <w:tc>
          <w:tcPr>
            <w:tcW w:w="500" w:type="pct"/>
            <w:tcBorders>
              <w:top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1,69</w:t>
            </w:r>
          </w:p>
        </w:tc>
        <w:tc>
          <w:tcPr>
            <w:tcW w:w="500" w:type="pct"/>
            <w:tcBorders>
              <w:top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1,50</w:t>
            </w:r>
          </w:p>
        </w:tc>
        <w:tc>
          <w:tcPr>
            <w:tcW w:w="500" w:type="pct"/>
            <w:tcBorders>
              <w:top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16,7</w:t>
            </w:r>
          </w:p>
        </w:tc>
      </w:tr>
      <w:tr w:rsidR="00D912FA" w:rsidRPr="00C24253" w:rsidTr="00974752">
        <w:trPr>
          <w:trHeight w:val="284"/>
        </w:trPr>
        <w:tc>
          <w:tcPr>
            <w:tcW w:w="500"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1995</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61 590</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49 531</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10 571</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80,4</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17,2</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39,0</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0,84</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0,68</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27,1</w:t>
            </w:r>
          </w:p>
        </w:tc>
      </w:tr>
      <w:tr w:rsidR="00D912FA" w:rsidRPr="00C24253" w:rsidTr="00974752">
        <w:trPr>
          <w:trHeight w:val="284"/>
        </w:trPr>
        <w:tc>
          <w:tcPr>
            <w:tcW w:w="500"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2001</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45 057</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32 528</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11 116</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72,2</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24,7</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33,1</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0,60</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0,44</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42,4</w:t>
            </w:r>
          </w:p>
        </w:tc>
      </w:tr>
      <w:tr w:rsidR="00D912FA" w:rsidRPr="00C24253" w:rsidTr="00974752">
        <w:trPr>
          <w:trHeight w:val="284"/>
        </w:trPr>
        <w:tc>
          <w:tcPr>
            <w:tcW w:w="500"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2002</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43 743</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31 142</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11 256</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71,2</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25,7</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32,0</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0,58</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0,42</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44,8</w:t>
            </w:r>
          </w:p>
        </w:tc>
      </w:tr>
      <w:tr w:rsidR="00D912FA" w:rsidRPr="00C24253" w:rsidTr="00974752">
        <w:trPr>
          <w:trHeight w:val="284"/>
        </w:trPr>
        <w:tc>
          <w:tcPr>
            <w:tcW w:w="500"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2003</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42 304</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29 298</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11 660</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69,3</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27,6</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31,0</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0,56</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0,39</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47,2</w:t>
            </w:r>
          </w:p>
        </w:tc>
      </w:tr>
      <w:tr w:rsidR="00D912FA" w:rsidRPr="00C24253" w:rsidTr="00974752">
        <w:trPr>
          <w:trHeight w:val="284"/>
        </w:trPr>
        <w:tc>
          <w:tcPr>
            <w:tcW w:w="500"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2004</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41 324</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27 574</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12 402</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66,7</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30,0</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29,7</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0,55</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0,37</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50,5</w:t>
            </w:r>
          </w:p>
        </w:tc>
      </w:tr>
      <w:tr w:rsidR="00D912FA" w:rsidRPr="00C24253" w:rsidTr="00974752">
        <w:trPr>
          <w:trHeight w:val="284"/>
        </w:trPr>
        <w:tc>
          <w:tcPr>
            <w:tcW w:w="500"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2005</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40 023</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26 453</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12 245</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66,1</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30,6</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28,1</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0,53</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0,35</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51,0</w:t>
            </w:r>
          </w:p>
        </w:tc>
      </w:tr>
      <w:tr w:rsidR="00D912FA" w:rsidRPr="00C24253" w:rsidTr="00974752">
        <w:trPr>
          <w:trHeight w:val="284"/>
        </w:trPr>
        <w:tc>
          <w:tcPr>
            <w:tcW w:w="500"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2006</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39 959</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25 352</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13 326</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63,4</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33,3</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27,4</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0,53</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0,34</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54,3</w:t>
            </w:r>
          </w:p>
        </w:tc>
      </w:tr>
      <w:tr w:rsidR="00D912FA" w:rsidRPr="00C24253" w:rsidTr="00974752">
        <w:trPr>
          <w:trHeight w:val="284"/>
        </w:trPr>
        <w:tc>
          <w:tcPr>
            <w:tcW w:w="500"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2007</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40 917</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25 414</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14 102</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62,1</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34,5</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26,3</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0,54</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0,34</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54,7</w:t>
            </w:r>
          </w:p>
        </w:tc>
      </w:tr>
      <w:tr w:rsidR="00D912FA" w:rsidRPr="00C24253" w:rsidTr="00974752">
        <w:trPr>
          <w:trHeight w:val="284"/>
        </w:trPr>
        <w:tc>
          <w:tcPr>
            <w:tcW w:w="500"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2008</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41 446</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25 760</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14 273</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62,2</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34,4</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25,7</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0,54</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0,34</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53,9</w:t>
            </w:r>
          </w:p>
        </w:tc>
      </w:tr>
      <w:tr w:rsidR="00D912FA" w:rsidRPr="00C24253" w:rsidTr="00974752">
        <w:trPr>
          <w:trHeight w:val="284"/>
        </w:trPr>
        <w:tc>
          <w:tcPr>
            <w:tcW w:w="500"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2009</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40 528</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24 636</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14 629</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60,8</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36,1</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25,5</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0,53</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0,33</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53,4</w:t>
            </w:r>
          </w:p>
        </w:tc>
      </w:tr>
      <w:tr w:rsidR="00D912FA" w:rsidRPr="00C24253" w:rsidTr="00974752">
        <w:trPr>
          <w:trHeight w:val="284"/>
        </w:trPr>
        <w:tc>
          <w:tcPr>
            <w:tcW w:w="500"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2010</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39 273</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23 998</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13 981</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61,1</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35,6</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25,1</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0,51</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0,32</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53,1</w:t>
            </w:r>
          </w:p>
        </w:tc>
      </w:tr>
      <w:tr w:rsidR="00D912FA" w:rsidRPr="00C24253" w:rsidTr="00974752">
        <w:trPr>
          <w:trHeight w:val="284"/>
        </w:trPr>
        <w:tc>
          <w:tcPr>
            <w:tcW w:w="500"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2011</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38 864</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24 055</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13 637</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61,9</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35,1</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26,3</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0,52</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0,32</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52,8</w:t>
            </w:r>
          </w:p>
        </w:tc>
      </w:tr>
      <w:tr w:rsidR="00D912FA" w:rsidRPr="00C24253" w:rsidTr="00974752">
        <w:trPr>
          <w:trHeight w:val="284"/>
        </w:trPr>
        <w:tc>
          <w:tcPr>
            <w:tcW w:w="500"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2012</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37 733</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23 032</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13 515</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61,0</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35,8</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25,7</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0,51</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0,31</w:t>
            </w:r>
          </w:p>
        </w:tc>
        <w:tc>
          <w:tcPr>
            <w:tcW w:w="500"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51,7</w:t>
            </w:r>
          </w:p>
        </w:tc>
      </w:tr>
    </w:tbl>
    <w:p w:rsidR="00D912FA" w:rsidRPr="00C24253" w:rsidRDefault="00D912FA" w:rsidP="00D912FA">
      <w:pPr>
        <w:pStyle w:val="Zkladntext"/>
        <w:spacing w:before="60"/>
        <w:ind w:firstLine="0"/>
        <w:rPr>
          <w:bCs/>
          <w:i/>
          <w:sz w:val="16"/>
          <w:szCs w:val="16"/>
        </w:rPr>
      </w:pPr>
      <w:r w:rsidRPr="00C24253">
        <w:rPr>
          <w:bCs/>
          <w:i/>
          <w:sz w:val="16"/>
          <w:szCs w:val="16"/>
        </w:rPr>
        <w:t>*antikoncepce předepsaná lékařem</w:t>
      </w:r>
    </w:p>
    <w:p w:rsidR="00D912FA" w:rsidRPr="00C24253" w:rsidRDefault="00D912FA" w:rsidP="00D912FA">
      <w:pPr>
        <w:pStyle w:val="Zkladntext"/>
        <w:spacing w:before="240"/>
        <w:ind w:firstLine="0"/>
        <w:rPr>
          <w:bCs/>
        </w:rPr>
      </w:pPr>
      <w:r w:rsidRPr="00C24253">
        <w:rPr>
          <w:bCs/>
        </w:rPr>
        <w:t>Úroveň celkové potratovosti, která byla na přelomu 80. a 90. let minulého století z 88 % tvořena indukov</w:t>
      </w:r>
      <w:r w:rsidRPr="00C24253">
        <w:rPr>
          <w:bCs/>
        </w:rPr>
        <w:t>a</w:t>
      </w:r>
      <w:r w:rsidRPr="00C24253">
        <w:rPr>
          <w:bCs/>
        </w:rPr>
        <w:t xml:space="preserve">nou potratovostí, prudce poklesla hned v první polovině 90. let a dlouhodobý trend snižující se potratovosti se zastavil, resp. přerušil až v období let 2006-2008. Po roce 2009 pokles potratovosti ale dále pokračoval. </w:t>
      </w:r>
      <w:r w:rsidRPr="00C24253">
        <w:rPr>
          <w:bCs/>
        </w:rPr>
        <w:lastRenderedPageBreak/>
        <w:t xml:space="preserve">Intenzita indukované potratovosti, tj., průměrný počet interrupcí připadajících na jednu ženu reprodukčního věku stagnovala pouze v letech 2007 a 2011 a v roce 2012 byla její výše 0,31 interrupce. Oproti zmíněnému maximu v roce 1988 tedy </w:t>
      </w:r>
      <w:r w:rsidR="00FC655E">
        <w:rPr>
          <w:bCs/>
        </w:rPr>
        <w:t xml:space="preserve">byla </w:t>
      </w:r>
      <w:r w:rsidRPr="00C24253">
        <w:rPr>
          <w:bCs/>
        </w:rPr>
        <w:t xml:space="preserve">5x nižší. </w:t>
      </w:r>
    </w:p>
    <w:p w:rsidR="00D912FA" w:rsidRPr="00C24253" w:rsidRDefault="00D912FA" w:rsidP="00D912FA">
      <w:pPr>
        <w:pStyle w:val="Zkladntext"/>
        <w:ind w:firstLine="0"/>
        <w:rPr>
          <w:rFonts w:eastAsia="Calibri"/>
        </w:rPr>
      </w:pPr>
      <w:r w:rsidRPr="00C24253">
        <w:rPr>
          <w:bCs/>
        </w:rPr>
        <w:t>P</w:t>
      </w:r>
      <w:r w:rsidRPr="00C24253">
        <w:rPr>
          <w:rFonts w:eastAsia="Calibri"/>
        </w:rPr>
        <w:t>okles indukované potratovosti byl spojen především s rozšířením užívání moderních antikoncepčních pr</w:t>
      </w:r>
      <w:r w:rsidRPr="00C24253">
        <w:rPr>
          <w:rFonts w:eastAsia="Calibri"/>
        </w:rPr>
        <w:t>o</w:t>
      </w:r>
      <w:r w:rsidRPr="00C24253">
        <w:rPr>
          <w:rFonts w:eastAsia="Calibri"/>
        </w:rPr>
        <w:t xml:space="preserve">středků, zejména hormonální antikoncepce, která se stala samozřejmostí nemalé části žen již od počátku jejich sexuálního života. </w:t>
      </w:r>
    </w:p>
    <w:p w:rsidR="00D912FA" w:rsidRPr="00C24253" w:rsidRDefault="00D912FA" w:rsidP="00D912FA">
      <w:pPr>
        <w:pStyle w:val="Zkladntext"/>
        <w:spacing w:after="240"/>
        <w:ind w:firstLine="0"/>
        <w:rPr>
          <w:bCs/>
        </w:rPr>
      </w:pPr>
      <w:r w:rsidRPr="00C24253">
        <w:rPr>
          <w:bCs/>
        </w:rPr>
        <w:t>Podíl interrupcí na všech potratech se snížil na 61 %, zatímco zastoupení spontánních potratů se zvýšilo na 36 % a bylo tedy ve srovnání s počátkem 90. let minulého století více jak trojnásobné. Počty samovolných potratů se v průběhu posledních dvou dekád příliš neměnily a nyní jsou na podobné úrovni jako na počátku 90. let minulého století (13-14 tisíc), i když úroveň samovolné potratovosti</w:t>
      </w:r>
      <w:r w:rsidR="00D423B3">
        <w:rPr>
          <w:bCs/>
        </w:rPr>
        <w:t xml:space="preserve"> je aktuálně o něco nižší (0,18 </w:t>
      </w:r>
      <w:r w:rsidRPr="00C24253">
        <w:rPr>
          <w:bCs/>
        </w:rPr>
        <w:t xml:space="preserve">samovolného potratu na jednu ženu oproti 0,21 zkraje devadesátých let). </w:t>
      </w:r>
    </w:p>
    <w:p w:rsidR="00D912FA" w:rsidRPr="00C24253" w:rsidRDefault="00517FA8" w:rsidP="00D912FA">
      <w:pPr>
        <w:pStyle w:val="Zkladntext"/>
        <w:ind w:firstLine="0"/>
        <w:jc w:val="center"/>
      </w:pPr>
      <w:r>
        <w:rPr>
          <w:noProof/>
        </w:rPr>
        <w:pict>
          <v:shape id="obrázek 3" o:spid="_x0000_i1027" type="#_x0000_t75" style="width:427.5pt;height:240.75pt;visibility:visible;mso-wrap-style:square">
            <v:imagedata r:id="rId18" o:title=""/>
          </v:shape>
        </w:pict>
      </w:r>
    </w:p>
    <w:p w:rsidR="00D912FA" w:rsidRPr="00C24253" w:rsidRDefault="00D912FA" w:rsidP="00D912FA">
      <w:pPr>
        <w:pStyle w:val="Zkladntext"/>
        <w:spacing w:before="240"/>
        <w:ind w:firstLine="0"/>
        <w:rPr>
          <w:rFonts w:eastAsia="Calibri"/>
        </w:rPr>
      </w:pPr>
      <w:r w:rsidRPr="00C24253">
        <w:rPr>
          <w:rFonts w:eastAsia="Calibri"/>
        </w:rPr>
        <w:t>Ke snížení intenzity indukované potratovosti došlo u žen všech věkových skupin, avšak nejvyšší pokles, minimálně o 80 procent, nastal mezi roky 1991 a 2012 u 19-31letých. Snížení u dalších věkových kategorií bylo o něco menší, avšak rovněž velmi podstatné. I když pro indukovanou potratovost ve srovnání s plodností či spontánní potratovostí vždy platilo širší věkové rozpětí, ve kterém byly hodnoty nejvyšší, dnes se vyskytuje stejná úroveň potratovosti již v rozsáhlém věkovém intervalu 20-37 roků a pohybuje se na úro</w:t>
      </w:r>
      <w:r w:rsidRPr="00C24253">
        <w:rPr>
          <w:rFonts w:eastAsia="Calibri"/>
        </w:rPr>
        <w:t>v</w:t>
      </w:r>
      <w:r w:rsidRPr="00C24253">
        <w:rPr>
          <w:rFonts w:eastAsia="Calibri"/>
        </w:rPr>
        <w:t>ni 12-14 interrupcí na 1 000 žen daného věku. V mladším a starším věku je intenzita indukované potratovosti o něco nižší.</w:t>
      </w:r>
    </w:p>
    <w:p w:rsidR="00D912FA" w:rsidRPr="00C24253" w:rsidRDefault="00D912FA" w:rsidP="00D912FA">
      <w:pPr>
        <w:pStyle w:val="Styl1"/>
        <w:spacing w:after="120"/>
        <w:ind w:firstLine="0"/>
        <w:rPr>
          <w:szCs w:val="20"/>
        </w:rPr>
      </w:pPr>
      <w:r w:rsidRPr="00C24253">
        <w:rPr>
          <w:szCs w:val="20"/>
        </w:rPr>
        <w:t>Až do roku 2006 bylo nejvíce interrupcí prováděno ženám žijícím v manželství, od roku 2007 nejvyšší podíl připadá na ženy svobodné. Příčinou byl jak úbytek vdaných žen v populaci díky rapidnímu snížení sňate</w:t>
      </w:r>
      <w:r w:rsidRPr="00C24253">
        <w:rPr>
          <w:szCs w:val="20"/>
        </w:rPr>
        <w:t>č</w:t>
      </w:r>
      <w:r w:rsidRPr="00C24253">
        <w:rPr>
          <w:szCs w:val="20"/>
        </w:rPr>
        <w:t xml:space="preserve">nosti, tak i nejvýraznější snížení indukované potratovosti právě u vdaných žen. Do věku 27 let mají dnes nejnižší úroveň indukované potratovosti svobodné ženy, ve věkovém intervalu 28-41 let je potratovost nikdy neprovdaných žen oproti vdaným naopak vyšší, rozdíl je však malý. </w:t>
      </w:r>
    </w:p>
    <w:p w:rsidR="00D912FA" w:rsidRPr="00C24253" w:rsidRDefault="00D912FA" w:rsidP="00D912FA">
      <w:pPr>
        <w:pStyle w:val="Styl1"/>
        <w:spacing w:after="120"/>
        <w:ind w:firstLine="0"/>
        <w:rPr>
          <w:szCs w:val="20"/>
        </w:rPr>
      </w:pPr>
      <w:r w:rsidRPr="00C24253">
        <w:rPr>
          <w:szCs w:val="20"/>
        </w:rPr>
        <w:t>V pozdějším věku je vyšší opět potratovost žen vdaných. Celková úroveň indukované potratovosti svobo</w:t>
      </w:r>
      <w:r w:rsidRPr="00C24253">
        <w:rPr>
          <w:szCs w:val="20"/>
        </w:rPr>
        <w:t>d</w:t>
      </w:r>
      <w:r w:rsidRPr="00C24253">
        <w:rPr>
          <w:szCs w:val="20"/>
        </w:rPr>
        <w:t>ných žen je ale nižší, a to díky nízké hladině potratovosti mladých žen (do 25 let věku), která se navíc od počátku 90. let velmi výrazně snížila a svědčí o zodpovědném přístupu těchto žen k případnému nechtěn</w:t>
      </w:r>
      <w:r w:rsidRPr="00C24253">
        <w:rPr>
          <w:szCs w:val="20"/>
        </w:rPr>
        <w:t>é</w:t>
      </w:r>
      <w:r w:rsidRPr="00C24253">
        <w:rPr>
          <w:szCs w:val="20"/>
        </w:rPr>
        <w:t>mu otěhotnění. Mezi vdanými nejvíce klesla úroveň indukované potratovosti 25-30letých, a to ještě dokonce o něco více než mladých svobodných žen. Nejvyšší úroveň úhrnné indukované potratovosti</w:t>
      </w:r>
      <w:r w:rsidRPr="00C24253">
        <w:rPr>
          <w:rStyle w:val="Znakapoznpodarou"/>
          <w:szCs w:val="20"/>
        </w:rPr>
        <w:footnoteReference w:id="5"/>
      </w:r>
      <w:r w:rsidRPr="00C24253">
        <w:rPr>
          <w:szCs w:val="20"/>
        </w:rPr>
        <w:t xml:space="preserve"> se však obecně vyskytuje u žen rozvedených. I v jejich případě došlo k největší redukci u mladších žen.</w:t>
      </w:r>
    </w:p>
    <w:p w:rsidR="00D912FA" w:rsidRPr="00C24253" w:rsidRDefault="00D912FA" w:rsidP="00D912FA">
      <w:pPr>
        <w:pStyle w:val="Styl1"/>
        <w:spacing w:after="120"/>
        <w:ind w:firstLine="0"/>
        <w:rPr>
          <w:szCs w:val="20"/>
        </w:rPr>
      </w:pPr>
      <w:r w:rsidRPr="00C24253">
        <w:rPr>
          <w:szCs w:val="20"/>
        </w:rPr>
        <w:t>Vývoj složení interrupcí podle pořadí probíhal ve směru snižování podílu opakovaných interrupcí. Ty v letech 1991 a 1992 tvořily nadpoloviční většinu všech interrupcí, 51 %, v roce 2001 ještě 45 %, ale v roce 2012 již jen 36 %. Určitá, i když stále ne úplně malá, část žen i nadále řeší interrupcí nejen jedno nechtěné otěhotn</w:t>
      </w:r>
      <w:r w:rsidRPr="00C24253">
        <w:rPr>
          <w:szCs w:val="20"/>
        </w:rPr>
        <w:t>ě</w:t>
      </w:r>
      <w:r w:rsidRPr="00C24253">
        <w:rPr>
          <w:szCs w:val="20"/>
        </w:rPr>
        <w:t xml:space="preserve">ní. </w:t>
      </w:r>
    </w:p>
    <w:p w:rsidR="00D912FA" w:rsidRPr="00C24253" w:rsidRDefault="00D912FA" w:rsidP="00D912FA">
      <w:pPr>
        <w:pStyle w:val="Styl1"/>
        <w:spacing w:after="240"/>
        <w:ind w:firstLine="0"/>
        <w:rPr>
          <w:szCs w:val="20"/>
        </w:rPr>
      </w:pPr>
      <w:r w:rsidRPr="00C24253">
        <w:rPr>
          <w:szCs w:val="20"/>
        </w:rPr>
        <w:lastRenderedPageBreak/>
        <w:t>Ve struktuře interrupcí podle počtu živě narozených dětí ženě se projevuje postupné zvyšování zastoupení potratů bezdětných žen, zatímco podíl nejčetněji zastoupené skupiny, kterou jsou ženy s nejméně dvěma živě narozenými dětmi, se v čase snižoval. Došlo tak k výraznému sblížení zastoupení žen podstupujících interrupci z hlediska předchozí reprodukce, kdy se podíly indukovaných potratů žen bezdětných, s jedním dítětem a s dvěma a více dětmi dosti přiblížily. Přesto interrupce žen s dvěma narozenými dětmi, tedy žen, které interrupcí „regulují“ svou reprodukci na konci svého reprodukčního období, zůstaly i v roce 2012 ne</w:t>
      </w:r>
      <w:r w:rsidRPr="00C24253">
        <w:rPr>
          <w:szCs w:val="20"/>
        </w:rPr>
        <w:t>j</w:t>
      </w:r>
      <w:r w:rsidRPr="00C24253">
        <w:rPr>
          <w:szCs w:val="20"/>
        </w:rPr>
        <w:t>četnějšími (následují potraty bezdětných žen). Interrupce</w:t>
      </w:r>
      <w:r w:rsidRPr="00C24253">
        <w:rPr>
          <w:rFonts w:ascii="Times New Roman" w:hAnsi="Times New Roman" w:cs="Times New Roman"/>
          <w:sz w:val="22"/>
          <w:szCs w:val="22"/>
        </w:rPr>
        <w:t xml:space="preserve"> </w:t>
      </w:r>
      <w:r w:rsidRPr="00C24253">
        <w:rPr>
          <w:szCs w:val="20"/>
        </w:rPr>
        <w:t>žen s již dvěma narozenými dětmi jsou nejčastější u vdaných žen. Svobodné ženy v nejvyšším počtu případů řeší potratem své první otěhotnění, kdežto u vd</w:t>
      </w:r>
      <w:r w:rsidRPr="00C24253">
        <w:rPr>
          <w:szCs w:val="20"/>
        </w:rPr>
        <w:t>a</w:t>
      </w:r>
      <w:r w:rsidRPr="00C24253">
        <w:rPr>
          <w:szCs w:val="20"/>
        </w:rPr>
        <w:t xml:space="preserve">ných žen končí interrupcí jen velmi malá část prvních těhotenství. Model nejčetnějšího ukončení těhotenství potratem u žen s dvěma živě narozenými dětmi je rovněž charakteristický pro rozvedené ženy. </w:t>
      </w:r>
    </w:p>
    <w:p w:rsidR="00D912FA" w:rsidRPr="00C24253" w:rsidRDefault="00517FA8" w:rsidP="00D912FA">
      <w:pPr>
        <w:spacing w:after="120"/>
        <w:jc w:val="center"/>
        <w:rPr>
          <w:rFonts w:cs="Arial"/>
          <w:b/>
          <w:iCs/>
          <w:sz w:val="20"/>
          <w:szCs w:val="20"/>
        </w:rPr>
      </w:pPr>
      <w:r w:rsidRPr="00517FA8">
        <w:rPr>
          <w:rFonts w:cs="Arial"/>
          <w:b/>
          <w:noProof/>
          <w:sz w:val="20"/>
          <w:szCs w:val="20"/>
        </w:rPr>
        <w:pict>
          <v:shape id="obrázek 4" o:spid="_x0000_i1028" type="#_x0000_t75" style="width:427.5pt;height:240.75pt;visibility:visible;mso-wrap-style:square">
            <v:imagedata r:id="rId19" o:title=""/>
          </v:shape>
        </w:pict>
      </w:r>
    </w:p>
    <w:p w:rsidR="00D912FA" w:rsidRPr="00C24253" w:rsidRDefault="00D912FA" w:rsidP="004B4F8D">
      <w:pPr>
        <w:pStyle w:val="31"/>
        <w:numPr>
          <w:ilvl w:val="1"/>
          <w:numId w:val="47"/>
        </w:numPr>
        <w:ind w:left="360" w:hanging="360"/>
      </w:pPr>
      <w:r w:rsidRPr="00C24253">
        <w:t>Úmrtnost</w:t>
      </w:r>
    </w:p>
    <w:p w:rsidR="00D912FA" w:rsidRPr="00C24253" w:rsidRDefault="00D912FA" w:rsidP="00D912FA">
      <w:pPr>
        <w:spacing w:after="120"/>
        <w:rPr>
          <w:rFonts w:cs="Arial"/>
          <w:sz w:val="20"/>
          <w:szCs w:val="20"/>
        </w:rPr>
      </w:pPr>
      <w:r w:rsidRPr="00C24253">
        <w:rPr>
          <w:rFonts w:cs="Arial"/>
          <w:sz w:val="20"/>
          <w:szCs w:val="20"/>
        </w:rPr>
        <w:t>Vývoj úmrtnosti, spolu s výše popsaným vývojem indukované potratovosti, patří k pozitivním znakům dem</w:t>
      </w:r>
      <w:r w:rsidRPr="00C24253">
        <w:rPr>
          <w:rFonts w:cs="Arial"/>
          <w:sz w:val="20"/>
          <w:szCs w:val="20"/>
        </w:rPr>
        <w:t>o</w:t>
      </w:r>
      <w:r w:rsidRPr="00C24253">
        <w:rPr>
          <w:rFonts w:cs="Arial"/>
          <w:sz w:val="20"/>
          <w:szCs w:val="20"/>
        </w:rPr>
        <w:t xml:space="preserve">grafického vývoje České republiky posledních 25 let. Po třiceti letech stagnace se koncem 80. let 20. století začala úmrtnost znovu zlepšovat a od 90. let se ve vazbě na změnu socioekonomických podmínek tempo poklesu intenzity úmrtnosti zrychlilo. </w:t>
      </w:r>
    </w:p>
    <w:p w:rsidR="00D912FA" w:rsidRPr="00C24253" w:rsidRDefault="00D912FA" w:rsidP="00D912FA">
      <w:pPr>
        <w:spacing w:after="120"/>
        <w:rPr>
          <w:rFonts w:cs="Arial"/>
          <w:sz w:val="20"/>
          <w:szCs w:val="20"/>
        </w:rPr>
      </w:pPr>
      <w:r w:rsidRPr="00C24253">
        <w:rPr>
          <w:rFonts w:cs="Arial"/>
          <w:sz w:val="20"/>
          <w:szCs w:val="20"/>
        </w:rPr>
        <w:t>V důsledku zlepšení životního stylu a zkvalitnění zdravotní péče se střední délka života při narození mužů prodloužila mezi roky 1991 a 2012 o 6,8 roku na 75,0 let, žen o 5,2 roku na 80,9 roku. Zlepšování úmrtnos</w:t>
      </w:r>
      <w:r w:rsidRPr="00C24253">
        <w:rPr>
          <w:rFonts w:cs="Arial"/>
          <w:sz w:val="20"/>
          <w:szCs w:val="20"/>
        </w:rPr>
        <w:t>t</w:t>
      </w:r>
      <w:r w:rsidRPr="00C24253">
        <w:rPr>
          <w:rFonts w:cs="Arial"/>
          <w:sz w:val="20"/>
          <w:szCs w:val="20"/>
        </w:rPr>
        <w:t xml:space="preserve">ních poměrů nebylo přirozeně zcela plynulé, výše úmrtnosti byla v některých letech ovlivněna momentální epidemiologickou situací, zejména výskytem chřipkových epidemií. </w:t>
      </w:r>
    </w:p>
    <w:p w:rsidR="00D912FA" w:rsidRPr="00C24253" w:rsidRDefault="00D912FA" w:rsidP="00D912FA">
      <w:pPr>
        <w:spacing w:after="120"/>
        <w:rPr>
          <w:rFonts w:cs="Arial"/>
          <w:sz w:val="20"/>
          <w:szCs w:val="20"/>
        </w:rPr>
      </w:pPr>
      <w:r w:rsidRPr="00C24253">
        <w:rPr>
          <w:rFonts w:cs="Arial"/>
          <w:sz w:val="20"/>
          <w:szCs w:val="20"/>
        </w:rPr>
        <w:t xml:space="preserve">Průměrné roční tempo prodlužování naděje dožití při narození mužů mezi sledovanými roky bylo 0,32 roku, když maximální meziroční změna ve výši 0,77 roku nastala mezi roky 1992 a 1993, u žen byla průměrná rychlost poklesu úrovně úmrtnosti o něco nižší, 0,25 roku, a největší meziroční vzestup byl zaznamenán mezi roky 1995 a 1996, kdy naděje dožití při narození vzrostla o 0,64 roku. Nestejnoměrným vývojem se snížila mužská nadúmrtnost, a to ze 7,5 roku z roku 1991 na 5,9 roku v roce 2012. </w:t>
      </w:r>
    </w:p>
    <w:p w:rsidR="00D912FA" w:rsidRPr="00C24253" w:rsidRDefault="00D912FA" w:rsidP="00D912FA">
      <w:pPr>
        <w:spacing w:after="120"/>
        <w:rPr>
          <w:rFonts w:cs="Arial"/>
          <w:sz w:val="20"/>
          <w:szCs w:val="20"/>
        </w:rPr>
      </w:pPr>
      <w:r w:rsidRPr="00C24253">
        <w:rPr>
          <w:rFonts w:cs="Arial"/>
          <w:sz w:val="20"/>
          <w:szCs w:val="20"/>
        </w:rPr>
        <w:t xml:space="preserve">Rychlejší zlepšování úmrtnosti mužů oproti ženám vycházelo z jejich horší výchozí situace dané vývojem v předchozím období. Úmrtnost mužů je obecně vyšší v celém rozsahu věkové struktury, relativně největší rozdíl v úmrtnosti mužů a žen je mezi dvaceti až třicetiletými. V tomto věku mají muži pravděpodobnost úmrtí v průměru třikrát vyšší než ženy, výrazně vyšší úmrtnost mužů přetrvává i ve středním věku a až po 65. roce věku se rozdíly mezi muži a ženami postupně zmenšují. Počty úmrtí v mladém věku jsou ale nízké, takže největší vliv na rozdíl ve střední délce života při narození mezi muži a ženami je dán především rozdílnou mírou úmrtnosti ve středním a vyšším věku. </w:t>
      </w:r>
    </w:p>
    <w:p w:rsidR="00D912FA" w:rsidRPr="00C24253" w:rsidRDefault="00517FA8" w:rsidP="00D912FA">
      <w:pPr>
        <w:spacing w:after="120"/>
        <w:rPr>
          <w:rFonts w:cs="Arial"/>
          <w:sz w:val="20"/>
          <w:szCs w:val="20"/>
        </w:rPr>
      </w:pPr>
      <w:r>
        <w:rPr>
          <w:rFonts w:cs="Arial"/>
          <w:noProof/>
          <w:sz w:val="20"/>
          <w:szCs w:val="20"/>
        </w:rPr>
        <w:lastRenderedPageBreak/>
        <w:pict>
          <v:shape id="obrázek 75" o:spid="_x0000_s1648" type="#_x0000_t75" style="position:absolute;left:0;text-align:left;margin-left:0;margin-top:48.2pt;width:428.2pt;height:219.05pt;z-index:251659776;visibility:visible;mso-wrap-distance-top:2.85pt;mso-position-horizontal:center">
            <v:imagedata r:id="rId20" o:title=""/>
            <w10:wrap type="topAndBottom"/>
          </v:shape>
        </w:pict>
      </w:r>
      <w:r w:rsidR="00D912FA" w:rsidRPr="00C24253">
        <w:rPr>
          <w:rFonts w:cs="Arial"/>
          <w:sz w:val="20"/>
          <w:szCs w:val="20"/>
        </w:rPr>
        <w:t>Na rozdílu nadějí dožití při narození obou pohlaví ve výši 5,9 roku z roku 2012 se 3,7 roku podílela vyšší úmrtnost 55-79letých mužů (zejména 60-74letých), zatímco vyšší úroveň úmrtnosti 20-29letých mužů k rozdílu přispěla pouhou čtvrtinou roku.</w:t>
      </w:r>
    </w:p>
    <w:p w:rsidR="00D912FA" w:rsidRPr="00C24253" w:rsidRDefault="00D912FA" w:rsidP="00D912FA">
      <w:pPr>
        <w:spacing w:before="360" w:after="120"/>
        <w:rPr>
          <w:rFonts w:cs="Arial"/>
          <w:sz w:val="20"/>
          <w:szCs w:val="20"/>
        </w:rPr>
      </w:pPr>
      <w:r w:rsidRPr="00C24253">
        <w:rPr>
          <w:rFonts w:cs="Arial"/>
          <w:sz w:val="20"/>
          <w:szCs w:val="20"/>
        </w:rPr>
        <w:t xml:space="preserve">Snížení úrovně úmrtnosti a prodloužení naděje dožití nastalo v celém rozsahu věkové struktury, i když </w:t>
      </w:r>
      <w:r>
        <w:rPr>
          <w:rFonts w:cs="Arial"/>
          <w:sz w:val="20"/>
          <w:szCs w:val="20"/>
        </w:rPr>
        <w:t>ro</w:t>
      </w:r>
      <w:r>
        <w:rPr>
          <w:rFonts w:cs="Arial"/>
          <w:sz w:val="20"/>
          <w:szCs w:val="20"/>
        </w:rPr>
        <w:t>z</w:t>
      </w:r>
      <w:r>
        <w:rPr>
          <w:rFonts w:cs="Arial"/>
          <w:sz w:val="20"/>
          <w:szCs w:val="20"/>
        </w:rPr>
        <w:t>dílně</w:t>
      </w:r>
      <w:r w:rsidRPr="00C24253">
        <w:rPr>
          <w:rFonts w:cs="Arial"/>
          <w:sz w:val="20"/>
          <w:szCs w:val="20"/>
        </w:rPr>
        <w:t>. Relativně nejvíce se snížila míra úmrtnosti (počet zemřelých daného věku na 1 000 žijících stejného věku) v prvním roce života (snížení mezi roky 1991 a 2012 o 75 %) a dětí do 5 let věku (pokles o 67 %). Průměrně o více jak čtyřicet procent se snížily míry úmrtnosti 15-79letých mužů a žen, snížení v nejvyšším věku bylo o něco menší.</w:t>
      </w:r>
    </w:p>
    <w:p w:rsidR="00D912FA" w:rsidRPr="00C24253" w:rsidRDefault="00D912FA" w:rsidP="00D912FA">
      <w:pPr>
        <w:rPr>
          <w:rFonts w:cs="Arial"/>
          <w:sz w:val="20"/>
          <w:szCs w:val="20"/>
        </w:rPr>
      </w:pPr>
      <w:r w:rsidRPr="00C24253">
        <w:rPr>
          <w:rFonts w:cs="Arial"/>
          <w:sz w:val="20"/>
          <w:szCs w:val="20"/>
        </w:rPr>
        <w:t>Výpočtem příspěvků věkových skupin na celkovém prodloužení naděje dožití při narození mezi sledovanými roky, které zohledňují nejen samotnou intenzitu úmrtnosti v daném věku, ale i počty osob vystavené riziku úmrtí v tomto daném věku, vychází najevo, že polovinu prodloužení naděje dožití při narození mužů mezi roky 1991 a 2012 vytvořilo snížení úrovně úmrtnosti 55-79letých (3,4 roku), v případě žen to byl pokles ve věkovém rozpětí 65-84 let (2,6 roku). Devíti, resp. deseti procenty (0,6, resp. 0,5 roku) přispělo zlepšení kojenecké úmrtnosti. Snížení intenzity úmrtnosti ve středním věku mělo na celkovém prodloužení naděje dožití oproti poklesu ve vyšším věku vliv menší. Konkrétně pětinový podíl z celkového nárůstu připadl na věkovou skupinu 40-54letých mužů, změna úmrtnosti 50-64letých žen měla vliv ještě menší (18 %).</w:t>
      </w:r>
    </w:p>
    <w:p w:rsidR="00D912FA" w:rsidRPr="00C24253" w:rsidRDefault="00D912FA" w:rsidP="00D912FA">
      <w:pPr>
        <w:spacing w:before="240" w:after="120"/>
        <w:rPr>
          <w:rFonts w:cs="Arial"/>
          <w:b/>
          <w:sz w:val="20"/>
          <w:szCs w:val="20"/>
        </w:rPr>
      </w:pPr>
      <w:r w:rsidRPr="00C24253">
        <w:rPr>
          <w:rFonts w:cs="Arial"/>
          <w:b/>
          <w:sz w:val="20"/>
          <w:szCs w:val="20"/>
        </w:rPr>
        <w:t>Zemřelí a úmrtnost v letech 1991 až 2012</w:t>
      </w:r>
    </w:p>
    <w:tbl>
      <w:tblPr>
        <w:tblW w:w="4950" w:type="pct"/>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tblPr>
      <w:tblGrid>
        <w:gridCol w:w="1075"/>
        <w:gridCol w:w="1075"/>
        <w:gridCol w:w="1077"/>
        <w:gridCol w:w="1080"/>
        <w:gridCol w:w="1076"/>
        <w:gridCol w:w="1074"/>
        <w:gridCol w:w="1076"/>
        <w:gridCol w:w="1074"/>
        <w:gridCol w:w="1073"/>
      </w:tblGrid>
      <w:tr w:rsidR="00D912FA" w:rsidRPr="00C24253" w:rsidTr="00974752">
        <w:trPr>
          <w:trHeight w:val="340"/>
        </w:trPr>
        <w:tc>
          <w:tcPr>
            <w:tcW w:w="555" w:type="pct"/>
            <w:vMerge w:val="restar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Rok</w:t>
            </w:r>
          </w:p>
        </w:tc>
        <w:tc>
          <w:tcPr>
            <w:tcW w:w="1669" w:type="pct"/>
            <w:gridSpan w:val="3"/>
            <w:tcBorders>
              <w:top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Celková úmrtnost</w:t>
            </w:r>
          </w:p>
        </w:tc>
        <w:tc>
          <w:tcPr>
            <w:tcW w:w="2776" w:type="pct"/>
            <w:gridSpan w:val="5"/>
            <w:tcBorders>
              <w:top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Úmrtnost kojenců a perinatální úmrtnost</w:t>
            </w:r>
          </w:p>
        </w:tc>
      </w:tr>
      <w:tr w:rsidR="00D912FA" w:rsidRPr="00C24253" w:rsidTr="00974752">
        <w:trPr>
          <w:trHeight w:val="794"/>
        </w:trPr>
        <w:tc>
          <w:tcPr>
            <w:tcW w:w="555" w:type="pct"/>
            <w:vMerge/>
            <w:tcBorders>
              <w:bottom w:val="single" w:sz="4" w:space="0" w:color="auto"/>
            </w:tcBorders>
            <w:shd w:val="clear" w:color="auto" w:fill="auto"/>
            <w:noWrap/>
            <w:vAlign w:val="center"/>
            <w:hideMark/>
          </w:tcPr>
          <w:p w:rsidR="00D912FA" w:rsidRPr="00C24253" w:rsidRDefault="00D912FA" w:rsidP="00974752">
            <w:pPr>
              <w:rPr>
                <w:rFonts w:cs="Arial"/>
                <w:sz w:val="16"/>
                <w:szCs w:val="16"/>
              </w:rPr>
            </w:pPr>
          </w:p>
        </w:tc>
        <w:tc>
          <w:tcPr>
            <w:tcW w:w="555" w:type="pct"/>
            <w:tcBorders>
              <w:top w:val="single" w:sz="4" w:space="0" w:color="auto"/>
              <w:bottom w:val="single" w:sz="4" w:space="0" w:color="auto"/>
            </w:tcBorders>
            <w:shd w:val="clear" w:color="auto" w:fill="auto"/>
            <w:vAlign w:val="center"/>
            <w:hideMark/>
          </w:tcPr>
          <w:p w:rsidR="00D912FA" w:rsidRPr="00C24253" w:rsidRDefault="00D912FA" w:rsidP="00974752">
            <w:pPr>
              <w:jc w:val="center"/>
              <w:rPr>
                <w:rFonts w:cs="Arial"/>
                <w:sz w:val="16"/>
                <w:szCs w:val="16"/>
              </w:rPr>
            </w:pPr>
            <w:r w:rsidRPr="00C24253">
              <w:rPr>
                <w:rFonts w:cs="Arial"/>
                <w:sz w:val="16"/>
                <w:szCs w:val="16"/>
              </w:rPr>
              <w:t>zemřelí celkem</w:t>
            </w:r>
          </w:p>
        </w:tc>
        <w:tc>
          <w:tcPr>
            <w:tcW w:w="556" w:type="pct"/>
            <w:tcBorders>
              <w:top w:val="single" w:sz="4" w:space="0" w:color="auto"/>
              <w:bottom w:val="single" w:sz="4" w:space="0" w:color="auto"/>
            </w:tcBorders>
            <w:shd w:val="clear" w:color="auto" w:fill="auto"/>
            <w:vAlign w:val="center"/>
            <w:hideMark/>
          </w:tcPr>
          <w:p w:rsidR="00D912FA" w:rsidRPr="00C24253" w:rsidRDefault="00D912FA" w:rsidP="00974752">
            <w:pPr>
              <w:jc w:val="center"/>
              <w:rPr>
                <w:rFonts w:cs="Arial"/>
                <w:sz w:val="16"/>
                <w:szCs w:val="16"/>
              </w:rPr>
            </w:pPr>
            <w:r w:rsidRPr="00C24253">
              <w:rPr>
                <w:rFonts w:cs="Arial"/>
                <w:sz w:val="16"/>
                <w:szCs w:val="16"/>
              </w:rPr>
              <w:t>naděje dožití při narození mužů</w:t>
            </w:r>
          </w:p>
        </w:tc>
        <w:tc>
          <w:tcPr>
            <w:tcW w:w="557" w:type="pct"/>
            <w:tcBorders>
              <w:top w:val="single" w:sz="4" w:space="0" w:color="auto"/>
              <w:bottom w:val="single" w:sz="4" w:space="0" w:color="auto"/>
            </w:tcBorders>
            <w:shd w:val="clear" w:color="auto" w:fill="auto"/>
            <w:vAlign w:val="center"/>
            <w:hideMark/>
          </w:tcPr>
          <w:p w:rsidR="00D912FA" w:rsidRPr="00C24253" w:rsidRDefault="00D912FA" w:rsidP="00974752">
            <w:pPr>
              <w:jc w:val="center"/>
              <w:rPr>
                <w:rFonts w:cs="Arial"/>
                <w:sz w:val="16"/>
                <w:szCs w:val="16"/>
              </w:rPr>
            </w:pPr>
            <w:r w:rsidRPr="00C24253">
              <w:rPr>
                <w:rFonts w:cs="Arial"/>
                <w:sz w:val="16"/>
                <w:szCs w:val="16"/>
              </w:rPr>
              <w:t>naděje dožití při narození žen</w:t>
            </w:r>
          </w:p>
        </w:tc>
        <w:tc>
          <w:tcPr>
            <w:tcW w:w="556" w:type="pct"/>
            <w:tcBorders>
              <w:top w:val="single" w:sz="4" w:space="0" w:color="auto"/>
              <w:bottom w:val="single" w:sz="4" w:space="0" w:color="auto"/>
            </w:tcBorders>
            <w:shd w:val="clear" w:color="auto" w:fill="auto"/>
            <w:vAlign w:val="center"/>
            <w:hideMark/>
          </w:tcPr>
          <w:p w:rsidR="00D912FA" w:rsidRPr="00C24253" w:rsidRDefault="00D912FA" w:rsidP="00974752">
            <w:pPr>
              <w:jc w:val="center"/>
              <w:rPr>
                <w:rFonts w:cs="Arial"/>
                <w:sz w:val="16"/>
                <w:szCs w:val="16"/>
              </w:rPr>
            </w:pPr>
            <w:r w:rsidRPr="00C24253">
              <w:rPr>
                <w:rFonts w:cs="Arial"/>
                <w:sz w:val="16"/>
                <w:szCs w:val="16"/>
              </w:rPr>
              <w:t>zemřelí</w:t>
            </w:r>
          </w:p>
          <w:p w:rsidR="00D912FA" w:rsidRPr="00C24253" w:rsidRDefault="00D912FA" w:rsidP="00974752">
            <w:pPr>
              <w:jc w:val="center"/>
              <w:rPr>
                <w:rFonts w:cs="Arial"/>
                <w:sz w:val="16"/>
                <w:szCs w:val="16"/>
              </w:rPr>
            </w:pPr>
            <w:r w:rsidRPr="00C24253">
              <w:rPr>
                <w:rFonts w:cs="Arial"/>
                <w:sz w:val="16"/>
                <w:szCs w:val="16"/>
              </w:rPr>
              <w:t>do 1 roku</w:t>
            </w:r>
          </w:p>
        </w:tc>
        <w:tc>
          <w:tcPr>
            <w:tcW w:w="555" w:type="pct"/>
            <w:tcBorders>
              <w:top w:val="single" w:sz="4" w:space="0" w:color="auto"/>
              <w:bottom w:val="single" w:sz="4" w:space="0" w:color="auto"/>
            </w:tcBorders>
            <w:shd w:val="clear" w:color="auto" w:fill="auto"/>
            <w:vAlign w:val="center"/>
            <w:hideMark/>
          </w:tcPr>
          <w:p w:rsidR="00D912FA" w:rsidRPr="00C24253" w:rsidRDefault="00D912FA" w:rsidP="00974752">
            <w:pPr>
              <w:jc w:val="center"/>
              <w:rPr>
                <w:rFonts w:cs="Arial"/>
                <w:sz w:val="16"/>
                <w:szCs w:val="16"/>
              </w:rPr>
            </w:pPr>
            <w:r w:rsidRPr="00C24253">
              <w:rPr>
                <w:rFonts w:cs="Arial"/>
                <w:sz w:val="16"/>
                <w:szCs w:val="16"/>
              </w:rPr>
              <w:t>zemřelí</w:t>
            </w:r>
          </w:p>
          <w:p w:rsidR="00D912FA" w:rsidRPr="00C24253" w:rsidRDefault="00D912FA" w:rsidP="00974752">
            <w:pPr>
              <w:jc w:val="center"/>
              <w:rPr>
                <w:rFonts w:cs="Arial"/>
                <w:sz w:val="16"/>
                <w:szCs w:val="16"/>
              </w:rPr>
            </w:pPr>
            <w:r w:rsidRPr="00C24253">
              <w:rPr>
                <w:rFonts w:cs="Arial"/>
                <w:sz w:val="16"/>
                <w:szCs w:val="16"/>
              </w:rPr>
              <w:t>do 28 dnů</w:t>
            </w:r>
          </w:p>
        </w:tc>
        <w:tc>
          <w:tcPr>
            <w:tcW w:w="556" w:type="pct"/>
            <w:tcBorders>
              <w:top w:val="single" w:sz="4" w:space="0" w:color="auto"/>
              <w:bottom w:val="single" w:sz="4" w:space="0" w:color="auto"/>
            </w:tcBorders>
            <w:shd w:val="clear" w:color="auto" w:fill="auto"/>
            <w:vAlign w:val="center"/>
            <w:hideMark/>
          </w:tcPr>
          <w:p w:rsidR="00D912FA" w:rsidRPr="00C24253" w:rsidRDefault="00D912FA" w:rsidP="00974752">
            <w:pPr>
              <w:jc w:val="center"/>
              <w:rPr>
                <w:rFonts w:cs="Arial"/>
                <w:sz w:val="16"/>
                <w:szCs w:val="16"/>
              </w:rPr>
            </w:pPr>
            <w:r w:rsidRPr="00C24253">
              <w:rPr>
                <w:rFonts w:cs="Arial"/>
                <w:sz w:val="16"/>
                <w:szCs w:val="16"/>
              </w:rPr>
              <w:t>kojenecká úmrtnost</w:t>
            </w:r>
          </w:p>
          <w:p w:rsidR="00D912FA" w:rsidRPr="00C24253" w:rsidRDefault="00D912FA" w:rsidP="00974752">
            <w:pPr>
              <w:jc w:val="center"/>
              <w:rPr>
                <w:rFonts w:cs="Arial"/>
                <w:sz w:val="16"/>
                <w:szCs w:val="16"/>
              </w:rPr>
            </w:pPr>
            <w:r w:rsidRPr="00C24253">
              <w:rPr>
                <w:rFonts w:cs="Arial"/>
                <w:sz w:val="16"/>
                <w:szCs w:val="16"/>
              </w:rPr>
              <w:t>(</w:t>
            </w:r>
            <w:r w:rsidRPr="00C24253">
              <w:rPr>
                <w:rFonts w:ascii="Calibri" w:hAnsi="Calibri" w:cs="Arial"/>
                <w:sz w:val="16"/>
                <w:szCs w:val="16"/>
              </w:rPr>
              <w:t>‰</w:t>
            </w:r>
            <w:r w:rsidRPr="00C24253">
              <w:rPr>
                <w:rFonts w:cs="Arial"/>
                <w:sz w:val="16"/>
                <w:szCs w:val="16"/>
              </w:rPr>
              <w:t>)</w:t>
            </w:r>
          </w:p>
        </w:tc>
        <w:tc>
          <w:tcPr>
            <w:tcW w:w="555" w:type="pct"/>
            <w:tcBorders>
              <w:top w:val="single" w:sz="4" w:space="0" w:color="auto"/>
              <w:bottom w:val="single" w:sz="4" w:space="0" w:color="auto"/>
            </w:tcBorders>
            <w:shd w:val="clear" w:color="auto" w:fill="auto"/>
            <w:vAlign w:val="center"/>
            <w:hideMark/>
          </w:tcPr>
          <w:p w:rsidR="00D912FA" w:rsidRPr="00C24253" w:rsidRDefault="00D912FA" w:rsidP="00974752">
            <w:pPr>
              <w:jc w:val="center"/>
              <w:rPr>
                <w:rFonts w:cs="Arial"/>
                <w:sz w:val="16"/>
                <w:szCs w:val="16"/>
              </w:rPr>
            </w:pPr>
            <w:r w:rsidRPr="00C24253">
              <w:rPr>
                <w:rFonts w:cs="Arial"/>
                <w:sz w:val="16"/>
                <w:szCs w:val="16"/>
              </w:rPr>
              <w:t>novoroze-necká úmr</w:t>
            </w:r>
            <w:r w:rsidRPr="00C24253">
              <w:rPr>
                <w:rFonts w:cs="Arial"/>
                <w:sz w:val="16"/>
                <w:szCs w:val="16"/>
              </w:rPr>
              <w:t>t</w:t>
            </w:r>
            <w:r w:rsidRPr="00C24253">
              <w:rPr>
                <w:rFonts w:cs="Arial"/>
                <w:sz w:val="16"/>
                <w:szCs w:val="16"/>
              </w:rPr>
              <w:t>nost (</w:t>
            </w:r>
            <w:r w:rsidRPr="00C24253">
              <w:rPr>
                <w:rFonts w:ascii="Calibri" w:hAnsi="Calibri" w:cs="Arial"/>
                <w:sz w:val="16"/>
                <w:szCs w:val="16"/>
              </w:rPr>
              <w:t>‰</w:t>
            </w:r>
            <w:r w:rsidRPr="00C24253">
              <w:rPr>
                <w:rFonts w:cs="Arial"/>
                <w:sz w:val="16"/>
                <w:szCs w:val="16"/>
              </w:rPr>
              <w:t>)</w:t>
            </w:r>
          </w:p>
        </w:tc>
        <w:tc>
          <w:tcPr>
            <w:tcW w:w="555" w:type="pct"/>
            <w:tcBorders>
              <w:top w:val="single" w:sz="4" w:space="0" w:color="auto"/>
              <w:bottom w:val="single" w:sz="4" w:space="0" w:color="auto"/>
            </w:tcBorders>
            <w:shd w:val="clear" w:color="auto" w:fill="auto"/>
            <w:vAlign w:val="center"/>
            <w:hideMark/>
          </w:tcPr>
          <w:p w:rsidR="00D912FA" w:rsidRPr="00C24253" w:rsidRDefault="00D912FA" w:rsidP="00974752">
            <w:pPr>
              <w:jc w:val="center"/>
              <w:rPr>
                <w:rFonts w:cs="Arial"/>
                <w:sz w:val="16"/>
                <w:szCs w:val="16"/>
              </w:rPr>
            </w:pPr>
            <w:r w:rsidRPr="00C24253">
              <w:rPr>
                <w:rFonts w:cs="Arial"/>
                <w:sz w:val="16"/>
                <w:szCs w:val="16"/>
              </w:rPr>
              <w:t>perinatální úmrtnost (</w:t>
            </w:r>
            <w:r w:rsidRPr="00C24253">
              <w:rPr>
                <w:rFonts w:ascii="Calibri" w:hAnsi="Calibri" w:cs="Arial"/>
                <w:sz w:val="16"/>
                <w:szCs w:val="16"/>
              </w:rPr>
              <w:t>‰</w:t>
            </w:r>
            <w:r w:rsidRPr="00C24253">
              <w:rPr>
                <w:rFonts w:cs="Arial"/>
                <w:sz w:val="16"/>
                <w:szCs w:val="16"/>
              </w:rPr>
              <w:t>)</w:t>
            </w:r>
          </w:p>
        </w:tc>
      </w:tr>
      <w:tr w:rsidR="00D912FA" w:rsidRPr="00C24253" w:rsidTr="00974752">
        <w:trPr>
          <w:trHeight w:val="284"/>
        </w:trPr>
        <w:tc>
          <w:tcPr>
            <w:tcW w:w="555" w:type="pct"/>
            <w:tcBorders>
              <w:top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1991</w:t>
            </w:r>
          </w:p>
        </w:tc>
        <w:tc>
          <w:tcPr>
            <w:tcW w:w="555" w:type="pct"/>
            <w:tcBorders>
              <w:top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124 290</w:t>
            </w:r>
          </w:p>
        </w:tc>
        <w:tc>
          <w:tcPr>
            <w:tcW w:w="556" w:type="pct"/>
            <w:tcBorders>
              <w:top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68,2</w:t>
            </w:r>
          </w:p>
        </w:tc>
        <w:tc>
          <w:tcPr>
            <w:tcW w:w="557" w:type="pct"/>
            <w:tcBorders>
              <w:top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75,7</w:t>
            </w:r>
          </w:p>
        </w:tc>
        <w:tc>
          <w:tcPr>
            <w:tcW w:w="556" w:type="pct"/>
            <w:tcBorders>
              <w:top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1 343</w:t>
            </w:r>
          </w:p>
        </w:tc>
        <w:tc>
          <w:tcPr>
            <w:tcW w:w="555" w:type="pct"/>
            <w:tcBorders>
              <w:top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902</w:t>
            </w:r>
          </w:p>
        </w:tc>
        <w:tc>
          <w:tcPr>
            <w:tcW w:w="556" w:type="pct"/>
            <w:tcBorders>
              <w:top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10,4</w:t>
            </w:r>
          </w:p>
        </w:tc>
        <w:tc>
          <w:tcPr>
            <w:tcW w:w="555" w:type="pct"/>
            <w:tcBorders>
              <w:top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7,0</w:t>
            </w:r>
          </w:p>
        </w:tc>
        <w:tc>
          <w:tcPr>
            <w:tcW w:w="555" w:type="pct"/>
            <w:tcBorders>
              <w:top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9,2</w:t>
            </w:r>
          </w:p>
        </w:tc>
      </w:tr>
      <w:tr w:rsidR="00D912FA" w:rsidRPr="00C24253" w:rsidTr="00974752">
        <w:trPr>
          <w:trHeight w:val="284"/>
        </w:trPr>
        <w:tc>
          <w:tcPr>
            <w:tcW w:w="555"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1995</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117 913</w:t>
            </w:r>
          </w:p>
        </w:tc>
        <w:tc>
          <w:tcPr>
            <w:tcW w:w="55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69,7</w:t>
            </w:r>
          </w:p>
        </w:tc>
        <w:tc>
          <w:tcPr>
            <w:tcW w:w="557"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76,6</w:t>
            </w:r>
          </w:p>
        </w:tc>
        <w:tc>
          <w:tcPr>
            <w:tcW w:w="55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740</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475</w:t>
            </w:r>
          </w:p>
        </w:tc>
        <w:tc>
          <w:tcPr>
            <w:tcW w:w="55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7,7</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4,9</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6,3</w:t>
            </w:r>
          </w:p>
        </w:tc>
      </w:tr>
      <w:tr w:rsidR="00D912FA" w:rsidRPr="00C24253" w:rsidTr="00974752">
        <w:trPr>
          <w:trHeight w:val="284"/>
        </w:trPr>
        <w:tc>
          <w:tcPr>
            <w:tcW w:w="555"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2001</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107 755</w:t>
            </w:r>
          </w:p>
        </w:tc>
        <w:tc>
          <w:tcPr>
            <w:tcW w:w="55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72,1</w:t>
            </w:r>
          </w:p>
        </w:tc>
        <w:tc>
          <w:tcPr>
            <w:tcW w:w="557"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78,4</w:t>
            </w:r>
          </w:p>
        </w:tc>
        <w:tc>
          <w:tcPr>
            <w:tcW w:w="55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360</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212</w:t>
            </w:r>
          </w:p>
        </w:tc>
        <w:tc>
          <w:tcPr>
            <w:tcW w:w="55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4,0</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2,3</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4,3</w:t>
            </w:r>
          </w:p>
        </w:tc>
      </w:tr>
      <w:tr w:rsidR="00D912FA" w:rsidRPr="00C24253" w:rsidTr="00974752">
        <w:trPr>
          <w:trHeight w:val="284"/>
        </w:trPr>
        <w:tc>
          <w:tcPr>
            <w:tcW w:w="555"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2002</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108 243</w:t>
            </w:r>
          </w:p>
        </w:tc>
        <w:tc>
          <w:tcPr>
            <w:tcW w:w="55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72,1</w:t>
            </w:r>
          </w:p>
        </w:tc>
        <w:tc>
          <w:tcPr>
            <w:tcW w:w="557"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78,5</w:t>
            </w:r>
          </w:p>
        </w:tc>
        <w:tc>
          <w:tcPr>
            <w:tcW w:w="55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385</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251</w:t>
            </w:r>
          </w:p>
        </w:tc>
        <w:tc>
          <w:tcPr>
            <w:tcW w:w="55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4,1</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2,7</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4,5</w:t>
            </w:r>
          </w:p>
        </w:tc>
      </w:tr>
      <w:tr w:rsidR="00D912FA" w:rsidRPr="00C24253" w:rsidTr="00974752">
        <w:trPr>
          <w:trHeight w:val="284"/>
        </w:trPr>
        <w:tc>
          <w:tcPr>
            <w:tcW w:w="555"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2003</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111 288</w:t>
            </w:r>
          </w:p>
        </w:tc>
        <w:tc>
          <w:tcPr>
            <w:tcW w:w="55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72,0</w:t>
            </w:r>
          </w:p>
        </w:tc>
        <w:tc>
          <w:tcPr>
            <w:tcW w:w="557"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78,5</w:t>
            </w:r>
          </w:p>
        </w:tc>
        <w:tc>
          <w:tcPr>
            <w:tcW w:w="55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365</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221</w:t>
            </w:r>
          </w:p>
        </w:tc>
        <w:tc>
          <w:tcPr>
            <w:tcW w:w="55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3,9</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2,4</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4,3</w:t>
            </w:r>
          </w:p>
        </w:tc>
      </w:tr>
      <w:tr w:rsidR="00D912FA" w:rsidRPr="00C24253" w:rsidTr="00974752">
        <w:trPr>
          <w:trHeight w:val="284"/>
        </w:trPr>
        <w:tc>
          <w:tcPr>
            <w:tcW w:w="555"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2004</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107 177</w:t>
            </w:r>
          </w:p>
        </w:tc>
        <w:tc>
          <w:tcPr>
            <w:tcW w:w="55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72,5</w:t>
            </w:r>
          </w:p>
        </w:tc>
        <w:tc>
          <w:tcPr>
            <w:tcW w:w="557"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79,0</w:t>
            </w:r>
          </w:p>
        </w:tc>
        <w:tc>
          <w:tcPr>
            <w:tcW w:w="55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366</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224</w:t>
            </w:r>
          </w:p>
        </w:tc>
        <w:tc>
          <w:tcPr>
            <w:tcW w:w="55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3,7</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2,3</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4,0</w:t>
            </w:r>
          </w:p>
        </w:tc>
      </w:tr>
      <w:tr w:rsidR="00D912FA" w:rsidRPr="00C24253" w:rsidTr="00974752">
        <w:trPr>
          <w:trHeight w:val="284"/>
        </w:trPr>
        <w:tc>
          <w:tcPr>
            <w:tcW w:w="555"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2005</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107 938</w:t>
            </w:r>
          </w:p>
        </w:tc>
        <w:tc>
          <w:tcPr>
            <w:tcW w:w="55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72,9</w:t>
            </w:r>
          </w:p>
        </w:tc>
        <w:tc>
          <w:tcPr>
            <w:tcW w:w="557"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79,1</w:t>
            </w:r>
          </w:p>
        </w:tc>
        <w:tc>
          <w:tcPr>
            <w:tcW w:w="55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347</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206</w:t>
            </w:r>
          </w:p>
        </w:tc>
        <w:tc>
          <w:tcPr>
            <w:tcW w:w="55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3,4</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2,0</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3,9</w:t>
            </w:r>
          </w:p>
        </w:tc>
      </w:tr>
      <w:tr w:rsidR="00D912FA" w:rsidRPr="00C24253" w:rsidTr="00974752">
        <w:trPr>
          <w:trHeight w:val="284"/>
        </w:trPr>
        <w:tc>
          <w:tcPr>
            <w:tcW w:w="555"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2006</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104 441</w:t>
            </w:r>
          </w:p>
        </w:tc>
        <w:tc>
          <w:tcPr>
            <w:tcW w:w="55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73,4</w:t>
            </w:r>
          </w:p>
        </w:tc>
        <w:tc>
          <w:tcPr>
            <w:tcW w:w="557"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79,7</w:t>
            </w:r>
          </w:p>
        </w:tc>
        <w:tc>
          <w:tcPr>
            <w:tcW w:w="55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352</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246</w:t>
            </w:r>
          </w:p>
        </w:tc>
        <w:tc>
          <w:tcPr>
            <w:tcW w:w="55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3,3</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2,3</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4,2</w:t>
            </w:r>
          </w:p>
        </w:tc>
      </w:tr>
      <w:tr w:rsidR="00D912FA" w:rsidRPr="00C24253" w:rsidTr="00974752">
        <w:trPr>
          <w:trHeight w:val="284"/>
        </w:trPr>
        <w:tc>
          <w:tcPr>
            <w:tcW w:w="555"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2007</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104 636</w:t>
            </w:r>
          </w:p>
        </w:tc>
        <w:tc>
          <w:tcPr>
            <w:tcW w:w="55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73,7</w:t>
            </w:r>
          </w:p>
        </w:tc>
        <w:tc>
          <w:tcPr>
            <w:tcW w:w="557"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79,9</w:t>
            </w:r>
          </w:p>
        </w:tc>
        <w:tc>
          <w:tcPr>
            <w:tcW w:w="55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360</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235</w:t>
            </w:r>
          </w:p>
        </w:tc>
        <w:tc>
          <w:tcPr>
            <w:tcW w:w="55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3,1</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2,1</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4,0</w:t>
            </w:r>
          </w:p>
        </w:tc>
      </w:tr>
      <w:tr w:rsidR="00D912FA" w:rsidRPr="00C24253" w:rsidTr="00974752">
        <w:trPr>
          <w:trHeight w:val="284"/>
        </w:trPr>
        <w:tc>
          <w:tcPr>
            <w:tcW w:w="555"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2008</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104 948</w:t>
            </w:r>
          </w:p>
        </w:tc>
        <w:tc>
          <w:tcPr>
            <w:tcW w:w="55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74,0</w:t>
            </w:r>
          </w:p>
        </w:tc>
        <w:tc>
          <w:tcPr>
            <w:tcW w:w="557"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80,1</w:t>
            </w:r>
          </w:p>
        </w:tc>
        <w:tc>
          <w:tcPr>
            <w:tcW w:w="55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338</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217</w:t>
            </w:r>
          </w:p>
        </w:tc>
        <w:tc>
          <w:tcPr>
            <w:tcW w:w="55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2,8</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1,8</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3,3</w:t>
            </w:r>
          </w:p>
        </w:tc>
      </w:tr>
      <w:tr w:rsidR="00D912FA" w:rsidRPr="00C24253" w:rsidTr="00974752">
        <w:trPr>
          <w:trHeight w:val="284"/>
        </w:trPr>
        <w:tc>
          <w:tcPr>
            <w:tcW w:w="555"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2009</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107 421</w:t>
            </w:r>
          </w:p>
        </w:tc>
        <w:tc>
          <w:tcPr>
            <w:tcW w:w="55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74,2</w:t>
            </w:r>
          </w:p>
        </w:tc>
        <w:tc>
          <w:tcPr>
            <w:tcW w:w="557"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80,1</w:t>
            </w:r>
          </w:p>
        </w:tc>
        <w:tc>
          <w:tcPr>
            <w:tcW w:w="55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341</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194</w:t>
            </w:r>
          </w:p>
        </w:tc>
        <w:tc>
          <w:tcPr>
            <w:tcW w:w="55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2,9</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1,6</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3,6</w:t>
            </w:r>
          </w:p>
        </w:tc>
      </w:tr>
      <w:tr w:rsidR="00D912FA" w:rsidRPr="00C24253" w:rsidTr="00974752">
        <w:trPr>
          <w:trHeight w:val="284"/>
        </w:trPr>
        <w:tc>
          <w:tcPr>
            <w:tcW w:w="555"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2010</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106 844</w:t>
            </w:r>
          </w:p>
        </w:tc>
        <w:tc>
          <w:tcPr>
            <w:tcW w:w="55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74,4</w:t>
            </w:r>
          </w:p>
        </w:tc>
        <w:tc>
          <w:tcPr>
            <w:tcW w:w="557"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80,6</w:t>
            </w:r>
          </w:p>
        </w:tc>
        <w:tc>
          <w:tcPr>
            <w:tcW w:w="55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313</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196</w:t>
            </w:r>
          </w:p>
        </w:tc>
        <w:tc>
          <w:tcPr>
            <w:tcW w:w="55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2,7</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1,7</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3,5</w:t>
            </w:r>
          </w:p>
        </w:tc>
      </w:tr>
      <w:tr w:rsidR="00D912FA" w:rsidRPr="00C24253" w:rsidTr="00974752">
        <w:trPr>
          <w:trHeight w:val="284"/>
        </w:trPr>
        <w:tc>
          <w:tcPr>
            <w:tcW w:w="555"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2011</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106 848</w:t>
            </w:r>
          </w:p>
        </w:tc>
        <w:tc>
          <w:tcPr>
            <w:tcW w:w="55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74,7</w:t>
            </w:r>
          </w:p>
        </w:tc>
        <w:tc>
          <w:tcPr>
            <w:tcW w:w="557"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80,7</w:t>
            </w:r>
          </w:p>
        </w:tc>
        <w:tc>
          <w:tcPr>
            <w:tcW w:w="55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298</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186</w:t>
            </w:r>
          </w:p>
        </w:tc>
        <w:tc>
          <w:tcPr>
            <w:tcW w:w="55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2,7</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1,7</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4,0</w:t>
            </w:r>
          </w:p>
        </w:tc>
      </w:tr>
      <w:tr w:rsidR="00D912FA" w:rsidRPr="00C24253" w:rsidTr="00974752">
        <w:trPr>
          <w:trHeight w:val="284"/>
        </w:trPr>
        <w:tc>
          <w:tcPr>
            <w:tcW w:w="555"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2012</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108 189</w:t>
            </w:r>
          </w:p>
        </w:tc>
        <w:tc>
          <w:tcPr>
            <w:tcW w:w="55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75,0</w:t>
            </w:r>
          </w:p>
        </w:tc>
        <w:tc>
          <w:tcPr>
            <w:tcW w:w="557"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80,9</w:t>
            </w:r>
          </w:p>
        </w:tc>
        <w:tc>
          <w:tcPr>
            <w:tcW w:w="55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285</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175</w:t>
            </w:r>
          </w:p>
        </w:tc>
        <w:tc>
          <w:tcPr>
            <w:tcW w:w="55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2,6</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1,6</w:t>
            </w:r>
          </w:p>
        </w:tc>
        <w:tc>
          <w:tcPr>
            <w:tcW w:w="555"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4,6</w:t>
            </w:r>
          </w:p>
        </w:tc>
      </w:tr>
    </w:tbl>
    <w:p w:rsidR="00D912FA" w:rsidRPr="00C24253" w:rsidRDefault="00D912FA" w:rsidP="00D912FA">
      <w:pPr>
        <w:spacing w:before="360" w:after="120"/>
        <w:rPr>
          <w:rFonts w:cs="Arial"/>
          <w:sz w:val="20"/>
          <w:szCs w:val="20"/>
        </w:rPr>
      </w:pPr>
      <w:r w:rsidRPr="00C24253">
        <w:rPr>
          <w:rFonts w:cs="Arial"/>
          <w:sz w:val="20"/>
          <w:szCs w:val="20"/>
        </w:rPr>
        <w:lastRenderedPageBreak/>
        <w:t>Kojenecká úmrtnost se snížila významně především v 90. letech minulého století, poté pokles pokračoval již o něco pozvolněji (na rozdíl od celkové úrovně úmrtnosti kojenecká úmrtnost postupně klesala i během n</w:t>
      </w:r>
      <w:r w:rsidRPr="00C24253">
        <w:rPr>
          <w:rFonts w:cs="Arial"/>
          <w:sz w:val="20"/>
          <w:szCs w:val="20"/>
        </w:rPr>
        <w:t>ě</w:t>
      </w:r>
      <w:r w:rsidRPr="00C24253">
        <w:rPr>
          <w:rFonts w:cs="Arial"/>
          <w:sz w:val="20"/>
          <w:szCs w:val="20"/>
        </w:rPr>
        <w:t xml:space="preserve">kolika předchozích desetiletí). Z úrovně 10-11 ‰ z přelomu 80. a 90. let se za dalších deset let snížila na 4 ‰ a do roku 2012 ještě klesla na hladinu 2,6 zemřelých dětí do jednoho roku z 1 000 živě narozených dětí, což je úroveň srovnatelná s nejvyspělejšími zeměmi světa a svědčí o vysoce kvalitní prenatální a postnatální péči v České republice. </w:t>
      </w:r>
    </w:p>
    <w:p w:rsidR="00D912FA" w:rsidRPr="00C24253" w:rsidRDefault="00D912FA" w:rsidP="00D912FA">
      <w:pPr>
        <w:spacing w:before="120" w:after="120"/>
        <w:rPr>
          <w:rFonts w:cs="Arial"/>
          <w:sz w:val="20"/>
          <w:szCs w:val="20"/>
        </w:rPr>
      </w:pPr>
      <w:r w:rsidRPr="00C24253">
        <w:rPr>
          <w:rFonts w:cs="Arial"/>
          <w:sz w:val="20"/>
          <w:szCs w:val="20"/>
        </w:rPr>
        <w:t>V rámci úmrtnosti dětí do jednoho roku věku se o něco výrazněji snížila ú</w:t>
      </w:r>
      <w:r w:rsidR="00D423B3">
        <w:rPr>
          <w:rFonts w:cs="Arial"/>
          <w:sz w:val="20"/>
          <w:szCs w:val="20"/>
        </w:rPr>
        <w:t>mrtnost novorozenecká tj. do 28 </w:t>
      </w:r>
      <w:r w:rsidRPr="00C24253">
        <w:rPr>
          <w:rFonts w:cs="Arial"/>
          <w:sz w:val="20"/>
          <w:szCs w:val="20"/>
        </w:rPr>
        <w:t xml:space="preserve">dnů věku (o 77 %) než ponovorozenecká (o 70 %). Úmrtnost novorozenecká klesla zejména díky jejímu snížení v prvních šesti dnech života, kdy byl mezi roky 1991 a 2012 registrován pokles na dvacet procent výchozí hodnoty. </w:t>
      </w:r>
    </w:p>
    <w:p w:rsidR="00D912FA" w:rsidRPr="00C24253" w:rsidRDefault="00D912FA" w:rsidP="00D912FA">
      <w:pPr>
        <w:spacing w:before="120" w:after="120"/>
        <w:rPr>
          <w:rFonts w:cs="Arial"/>
          <w:sz w:val="20"/>
          <w:szCs w:val="20"/>
        </w:rPr>
      </w:pPr>
      <w:r w:rsidRPr="00C24253">
        <w:rPr>
          <w:rFonts w:cs="Arial"/>
          <w:sz w:val="20"/>
          <w:szCs w:val="20"/>
        </w:rPr>
        <w:t>Vývoj celkové úrovně úmrtnosti je odrazem jejího vývoje podle příčin smrti. Trend úmrtnosti podle příčin smrti nebyl pro všechny skupiny příčin rovnoměrný</w:t>
      </w:r>
      <w:r w:rsidRPr="00C24253">
        <w:rPr>
          <w:rStyle w:val="Znakapoznpodarou"/>
          <w:rFonts w:cs="Arial"/>
          <w:sz w:val="20"/>
          <w:szCs w:val="20"/>
        </w:rPr>
        <w:footnoteReference w:id="6"/>
      </w:r>
      <w:r w:rsidRPr="00C24253">
        <w:rPr>
          <w:rFonts w:cs="Arial"/>
          <w:sz w:val="20"/>
          <w:szCs w:val="20"/>
        </w:rPr>
        <w:t>. Nejpříznivější průběh měla intenzita úmrtnosti na nemoci oběhové soustavy, která se za posledních 22 let snížila téměř o jednu polovinu a toto snížení mělo největší vliv na celkovém prodloužení naděje dožití mužů i žen. Ještě více klesla úroveň úmrtnosti na jedny z nejv</w:t>
      </w:r>
      <w:r w:rsidRPr="00C24253">
        <w:rPr>
          <w:rFonts w:cs="Arial"/>
          <w:sz w:val="20"/>
          <w:szCs w:val="20"/>
        </w:rPr>
        <w:t>ý</w:t>
      </w:r>
      <w:r w:rsidRPr="00C24253">
        <w:rPr>
          <w:rFonts w:cs="Arial"/>
          <w:sz w:val="20"/>
          <w:szCs w:val="20"/>
        </w:rPr>
        <w:t xml:space="preserve">znamnějších podskupin příčin smrti této třídy, akutní infarkt myokardu a cévní onemocnění mozku. </w:t>
      </w:r>
    </w:p>
    <w:p w:rsidR="00D912FA" w:rsidRPr="00C24253" w:rsidRDefault="00D912FA" w:rsidP="00D912FA">
      <w:pPr>
        <w:spacing w:before="120" w:after="120"/>
        <w:rPr>
          <w:rFonts w:cs="Arial"/>
          <w:sz w:val="20"/>
          <w:szCs w:val="20"/>
        </w:rPr>
      </w:pPr>
      <w:r w:rsidRPr="00C24253">
        <w:rPr>
          <w:rFonts w:cs="Arial"/>
          <w:sz w:val="20"/>
          <w:szCs w:val="20"/>
        </w:rPr>
        <w:t xml:space="preserve">Úmrtnost mužů a žen na nádorová onemocnění se ve srovnání s kardiovaskulárními onemocněními snížila méně, přesto relativně významně. Celková míra úmrtnosti </w:t>
      </w:r>
      <w:r>
        <w:rPr>
          <w:rFonts w:cs="Arial"/>
          <w:sz w:val="20"/>
          <w:szCs w:val="20"/>
        </w:rPr>
        <w:t xml:space="preserve">u </w:t>
      </w:r>
      <w:r w:rsidRPr="00C24253">
        <w:rPr>
          <w:rFonts w:cs="Arial"/>
          <w:sz w:val="20"/>
          <w:szCs w:val="20"/>
        </w:rPr>
        <w:t>mužů na no</w:t>
      </w:r>
      <w:r w:rsidR="00D423B3">
        <w:rPr>
          <w:rFonts w:cs="Arial"/>
          <w:sz w:val="20"/>
          <w:szCs w:val="20"/>
        </w:rPr>
        <w:t>votvary klesla mezi roky 1991 a </w:t>
      </w:r>
      <w:r w:rsidRPr="00C24253">
        <w:rPr>
          <w:rFonts w:cs="Arial"/>
          <w:sz w:val="20"/>
          <w:szCs w:val="20"/>
        </w:rPr>
        <w:t xml:space="preserve">2012 o jednu třetinu, </w:t>
      </w:r>
      <w:r>
        <w:rPr>
          <w:rFonts w:cs="Arial"/>
          <w:sz w:val="20"/>
          <w:szCs w:val="20"/>
        </w:rPr>
        <w:t xml:space="preserve">u </w:t>
      </w:r>
      <w:r w:rsidRPr="00C24253">
        <w:rPr>
          <w:rFonts w:cs="Arial"/>
          <w:sz w:val="20"/>
          <w:szCs w:val="20"/>
        </w:rPr>
        <w:t xml:space="preserve">žen o jednu čtvrtinu. </w:t>
      </w:r>
    </w:p>
    <w:p w:rsidR="00D912FA" w:rsidRPr="00C24253" w:rsidRDefault="00D912FA" w:rsidP="00D912FA">
      <w:pPr>
        <w:spacing w:before="120" w:after="120"/>
        <w:rPr>
          <w:rFonts w:cs="Arial"/>
          <w:sz w:val="20"/>
          <w:szCs w:val="20"/>
        </w:rPr>
      </w:pPr>
      <w:r w:rsidRPr="00C24253">
        <w:rPr>
          <w:rFonts w:cs="Arial"/>
          <w:sz w:val="20"/>
          <w:szCs w:val="20"/>
        </w:rPr>
        <w:t xml:space="preserve">Z novotvarů nejčastěji zapříčiňují smrt u mužů zhoubné nádory plic, tlustého střeva a konečníku a zhoubné novotvary prostaty, u žen je to rakovina plic, prsu a ženských pohlavních orgánů. Z uvedených nejčetnějších lokalizací nádorových onemocnění je registrován nepříznivý vývoj pouze v případě zhoubného novotvaru plíce žen, když se úroveň úmrtnosti na tuto příčinu v posledních dvou dekádách v celkovém trendu nejen nesnižovala, ale dokonce rostla. Naopak v případě mužů byl zaznamenán trend výrazně pozitivní. </w:t>
      </w:r>
    </w:p>
    <w:p w:rsidR="00D912FA" w:rsidRPr="00C24253" w:rsidRDefault="00D912FA" w:rsidP="00D912FA">
      <w:pPr>
        <w:spacing w:before="120" w:after="120"/>
        <w:rPr>
          <w:rFonts w:cs="Arial"/>
          <w:sz w:val="20"/>
          <w:szCs w:val="20"/>
        </w:rPr>
      </w:pPr>
      <w:r w:rsidRPr="00C24253">
        <w:rPr>
          <w:rFonts w:cs="Arial"/>
          <w:sz w:val="20"/>
          <w:szCs w:val="20"/>
        </w:rPr>
        <w:t>Od počátku 90. let 20. století významně klesla také úroveň úmrtnosti na vně</w:t>
      </w:r>
      <w:r w:rsidR="00D423B3">
        <w:rPr>
          <w:rFonts w:cs="Arial"/>
          <w:sz w:val="20"/>
          <w:szCs w:val="20"/>
        </w:rPr>
        <w:t>jší příčiny smrti, když u žen o </w:t>
      </w:r>
      <w:r w:rsidRPr="00C24253">
        <w:rPr>
          <w:rFonts w:cs="Arial"/>
          <w:sz w:val="20"/>
          <w:szCs w:val="20"/>
        </w:rPr>
        <w:t>něco výrazněji. I úmrtnost na nemoci dýchací a trávicí soustavy se snížila.</w:t>
      </w:r>
    </w:p>
    <w:p w:rsidR="00D912FA" w:rsidRPr="00C24253" w:rsidRDefault="00D912FA" w:rsidP="00D912FA">
      <w:pPr>
        <w:spacing w:after="120"/>
        <w:rPr>
          <w:rFonts w:cs="Arial"/>
          <w:sz w:val="20"/>
          <w:szCs w:val="20"/>
        </w:rPr>
      </w:pPr>
      <w:r w:rsidRPr="00C24253">
        <w:rPr>
          <w:rFonts w:cs="Arial"/>
          <w:sz w:val="20"/>
          <w:szCs w:val="20"/>
        </w:rPr>
        <w:t>Změny ve vývoji intenzity úmrtnosti podle příčin smrti se projevily v mírném posunu struktury zemřelých podle příčin smrti. Složení zemřelých podle nejčetněji zastoupených tříd příčin smrti je již relativně stabilní, přesto k určitému vývoji dále dochází:</w:t>
      </w:r>
    </w:p>
    <w:p w:rsidR="00D912FA" w:rsidRPr="00C24253" w:rsidRDefault="00D912FA" w:rsidP="00D912FA">
      <w:pPr>
        <w:pStyle w:val="odrkyzlevaodsazeno0"/>
      </w:pPr>
      <w:r w:rsidRPr="00C24253">
        <w:t>Podíl skupiny příčin úmrtí, na které se v České republice umírá nejvíce, onemocnění oběhové soust</w:t>
      </w:r>
      <w:r w:rsidRPr="00C24253">
        <w:t>a</w:t>
      </w:r>
      <w:r w:rsidRPr="00C24253">
        <w:t>vy, se mírně snižoval, a to z 56 % z roku 1991 na 49 % v roce 2012. Méně než polovinu všech úmrtí tvořily nemoci oběhového systému poprvé v roce 2011, v případě mužů se pod padesát procent d</w:t>
      </w:r>
      <w:r w:rsidRPr="00C24253">
        <w:t>o</w:t>
      </w:r>
      <w:r w:rsidRPr="00C24253">
        <w:t xml:space="preserve">staly již v roce 1998, u žen nadpoloviční většinu všech úmrtí představují i nadále (54 % v roce 2012). </w:t>
      </w:r>
    </w:p>
    <w:p w:rsidR="00D912FA" w:rsidRPr="00C24253" w:rsidRDefault="00D912FA" w:rsidP="00D912FA">
      <w:pPr>
        <w:pStyle w:val="odrkyzlevaodsazeno0"/>
      </w:pPr>
      <w:r w:rsidRPr="00C24253">
        <w:t xml:space="preserve">Druhou nejčetněji zastoupenou třídou příčin smrti jsou novotvary, které v České republice zapříčiňují zhruba čtvrtinu všech úmrtí (u mužů o něco více – 28 % v roce 2012, u žen 23 %). Oproti situaci z počátku 90. let se jejich podíl lehce zvýšil. </w:t>
      </w:r>
    </w:p>
    <w:p w:rsidR="00D912FA" w:rsidRPr="00C24253" w:rsidRDefault="00D912FA" w:rsidP="00D912FA">
      <w:pPr>
        <w:pStyle w:val="odrkyzlevaodsazeno0"/>
      </w:pPr>
      <w:r w:rsidRPr="00C24253">
        <w:t>Třetí nejčastěji vyskytující se příčinou úmrtí bývaly tradičně vnější příčiny (poranění a otravy), postu</w:t>
      </w:r>
      <w:r w:rsidRPr="00C24253">
        <w:t>p</w:t>
      </w:r>
      <w:r w:rsidRPr="00C24253">
        <w:t>ně se ale jejich podíl vyrovnával s podílem nemocí dýchací soustavy,</w:t>
      </w:r>
      <w:r w:rsidR="00D423B3">
        <w:t xml:space="preserve"> které se v letech 2009, 2010 a </w:t>
      </w:r>
      <w:r w:rsidRPr="00C24253">
        <w:t xml:space="preserve">2012 staly dokonce skupinou příčin smrti s třetím nejvyšším zastoupením. </w:t>
      </w:r>
    </w:p>
    <w:p w:rsidR="00D912FA" w:rsidRPr="00C24253" w:rsidRDefault="00D912FA" w:rsidP="00D912FA">
      <w:pPr>
        <w:pStyle w:val="odrkyzlevaodsazeno0"/>
      </w:pPr>
      <w:r w:rsidRPr="00C24253">
        <w:t xml:space="preserve">U žen jsou nemoci dýchacího systému třetí nejčastější příčinou smrti již od roku 2005. </w:t>
      </w:r>
    </w:p>
    <w:p w:rsidR="00D912FA" w:rsidRPr="00C24253" w:rsidRDefault="00D912FA" w:rsidP="00D912FA">
      <w:pPr>
        <w:pStyle w:val="odrkyzlevaodsazeno0"/>
        <w:spacing w:after="240"/>
      </w:pPr>
      <w:r w:rsidRPr="00C24253">
        <w:t xml:space="preserve">Páté místo patří nemocem trávicí soustavy. </w:t>
      </w:r>
    </w:p>
    <w:p w:rsidR="00D912FA" w:rsidRPr="00C24253" w:rsidRDefault="00D912FA" w:rsidP="00D912FA">
      <w:pPr>
        <w:pStyle w:val="odrkyzlevaodsazeno0"/>
        <w:numPr>
          <w:ilvl w:val="0"/>
          <w:numId w:val="0"/>
        </w:numPr>
      </w:pPr>
      <w:r w:rsidRPr="00C24253">
        <w:t xml:space="preserve">Těchto pět skupin nemocí zapříčiňuje 90 % všech úmrtí (94 % v roce 1991). </w:t>
      </w:r>
    </w:p>
    <w:p w:rsidR="00D912FA" w:rsidRPr="00C24253" w:rsidRDefault="00D912FA" w:rsidP="00D912FA">
      <w:pPr>
        <w:spacing w:after="120"/>
        <w:rPr>
          <w:rFonts w:cs="Arial"/>
          <w:sz w:val="20"/>
          <w:szCs w:val="20"/>
        </w:rPr>
      </w:pPr>
      <w:r w:rsidRPr="00C24253">
        <w:rPr>
          <w:rFonts w:cs="Arial"/>
          <w:sz w:val="20"/>
          <w:szCs w:val="20"/>
        </w:rPr>
        <w:t>Příčinou úmrtí kojenců jsou zejména stavy vzniklé v perinatálním období (a z nich nejvíce r</w:t>
      </w:r>
      <w:r w:rsidRPr="00C24253">
        <w:rPr>
          <w:rFonts w:eastAsia="Calibri" w:cs="Arial"/>
          <w:sz w:val="20"/>
          <w:szCs w:val="20"/>
        </w:rPr>
        <w:t>espirační poruchy specifické pro perinatální období, bakteriální sepse a nitrolební neúrazové krvácení</w:t>
      </w:r>
      <w:r w:rsidRPr="00C24253">
        <w:rPr>
          <w:rFonts w:cs="Arial"/>
          <w:sz w:val="20"/>
          <w:szCs w:val="20"/>
        </w:rPr>
        <w:t>), na které připadá dlo</w:t>
      </w:r>
      <w:r w:rsidRPr="00C24253">
        <w:rPr>
          <w:rFonts w:cs="Arial"/>
          <w:sz w:val="20"/>
          <w:szCs w:val="20"/>
        </w:rPr>
        <w:t>u</w:t>
      </w:r>
      <w:r w:rsidRPr="00C24253">
        <w:rPr>
          <w:rFonts w:cs="Arial"/>
          <w:sz w:val="20"/>
          <w:szCs w:val="20"/>
        </w:rPr>
        <w:t>hodobě více než polovina úmrtí kojenců. Zhruba u pětiny zemřelých do jednoho roku věku jsou příčinou vr</w:t>
      </w:r>
      <w:r w:rsidRPr="00C24253">
        <w:rPr>
          <w:rFonts w:cs="Arial"/>
          <w:sz w:val="20"/>
          <w:szCs w:val="20"/>
        </w:rPr>
        <w:t>o</w:t>
      </w:r>
      <w:r w:rsidRPr="00C24253">
        <w:rPr>
          <w:rFonts w:cs="Arial"/>
          <w:sz w:val="20"/>
          <w:szCs w:val="20"/>
        </w:rPr>
        <w:t>zené vady, deformace a chromozomální abnormality, když nejčetnějšími jsou v</w:t>
      </w:r>
      <w:r w:rsidRPr="00C24253">
        <w:rPr>
          <w:rFonts w:eastAsia="Calibri" w:cs="Arial"/>
          <w:sz w:val="20"/>
          <w:szCs w:val="20"/>
        </w:rPr>
        <w:t>rozené vady oběhové soust</w:t>
      </w:r>
      <w:r w:rsidRPr="00C24253">
        <w:rPr>
          <w:rFonts w:eastAsia="Calibri" w:cs="Arial"/>
          <w:sz w:val="20"/>
          <w:szCs w:val="20"/>
        </w:rPr>
        <w:t>a</w:t>
      </w:r>
      <w:r w:rsidRPr="00C24253">
        <w:rPr>
          <w:rFonts w:eastAsia="Calibri" w:cs="Arial"/>
          <w:sz w:val="20"/>
          <w:szCs w:val="20"/>
        </w:rPr>
        <w:t>vy</w:t>
      </w:r>
      <w:r w:rsidRPr="00C24253">
        <w:rPr>
          <w:rFonts w:cs="Arial"/>
          <w:sz w:val="20"/>
          <w:szCs w:val="20"/>
        </w:rPr>
        <w:t xml:space="preserve">. </w:t>
      </w:r>
    </w:p>
    <w:p w:rsidR="00D912FA" w:rsidRPr="00C24253" w:rsidRDefault="00D912FA" w:rsidP="00D912FA">
      <w:pPr>
        <w:spacing w:after="120"/>
        <w:rPr>
          <w:rFonts w:cs="Arial"/>
          <w:sz w:val="20"/>
          <w:szCs w:val="20"/>
        </w:rPr>
      </w:pPr>
      <w:r w:rsidRPr="00C24253">
        <w:rPr>
          <w:rFonts w:cs="Arial"/>
          <w:sz w:val="20"/>
          <w:szCs w:val="20"/>
        </w:rPr>
        <w:t xml:space="preserve">V mladém věku je pro celkovou úroveň významná především úmrtnost na poranění a otravy, kdy ve skupině 15-39letých mužů a 15-24letých žen tvoří téměř polovinu či ještě více celkové úrovně úmrtnosti. Okolo 30-35. roku u žen začíná nabývat na významu úmrtnost na zhoubné novotvary, která je již vyšší než úmrtnost na vnější příčiny smrti. U mužů úmrtnost na vnější příčiny (celá třída klasifikace) dominuje až do věku </w:t>
      </w:r>
      <w:r w:rsidRPr="00C24253">
        <w:rPr>
          <w:rFonts w:cs="Arial"/>
          <w:sz w:val="20"/>
          <w:szCs w:val="20"/>
        </w:rPr>
        <w:lastRenderedPageBreak/>
        <w:t>cca 40-45 let, později začíná být vyšší úmrtnost na novotvary a nemoci oběhové soustavy a od věku 65 let dominuje úmrtnost na nemoci oběhové soustavy (zejména ischemické nemoci srdeční, cévní onemocnění srdce, ateroskleróza). U žen je úmrtnost na nemoci oběhového systému oproti úmrtnosti na nádorová on</w:t>
      </w:r>
      <w:r w:rsidRPr="00C24253">
        <w:rPr>
          <w:rFonts w:cs="Arial"/>
          <w:sz w:val="20"/>
          <w:szCs w:val="20"/>
        </w:rPr>
        <w:t>e</w:t>
      </w:r>
      <w:r w:rsidRPr="00C24253">
        <w:rPr>
          <w:rFonts w:cs="Arial"/>
          <w:sz w:val="20"/>
          <w:szCs w:val="20"/>
        </w:rPr>
        <w:t>mocnění vyšší až zhruba po sedmdesátce.</w:t>
      </w:r>
    </w:p>
    <w:p w:rsidR="00D912FA" w:rsidRPr="00C24253" w:rsidRDefault="00D912FA" w:rsidP="00D912FA">
      <w:pPr>
        <w:spacing w:before="360" w:after="120"/>
        <w:rPr>
          <w:rFonts w:cs="Arial"/>
          <w:b/>
          <w:sz w:val="20"/>
          <w:szCs w:val="20"/>
        </w:rPr>
      </w:pPr>
      <w:r w:rsidRPr="00C24253">
        <w:rPr>
          <w:rFonts w:cs="Arial"/>
          <w:b/>
          <w:sz w:val="20"/>
          <w:szCs w:val="20"/>
        </w:rPr>
        <w:t>Standardizované míry úmrtnosti na nejčetnější třídy příčin smrti v letech 1991, 2001 a 2012</w:t>
      </w:r>
    </w:p>
    <w:tbl>
      <w:tblPr>
        <w:tblW w:w="4950" w:type="pct"/>
        <w:tblInd w:w="57"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4A0"/>
      </w:tblPr>
      <w:tblGrid>
        <w:gridCol w:w="3162"/>
        <w:gridCol w:w="1086"/>
        <w:gridCol w:w="1086"/>
        <w:gridCol w:w="1088"/>
        <w:gridCol w:w="1086"/>
        <w:gridCol w:w="1086"/>
        <w:gridCol w:w="1086"/>
      </w:tblGrid>
      <w:tr w:rsidR="00D912FA" w:rsidRPr="00C24253" w:rsidTr="00974752">
        <w:trPr>
          <w:trHeight w:hRule="exact" w:val="284"/>
        </w:trPr>
        <w:tc>
          <w:tcPr>
            <w:tcW w:w="1633" w:type="pct"/>
            <w:vMerge w:val="restart"/>
            <w:tcBorders>
              <w:top w:val="single" w:sz="4" w:space="0" w:color="auto"/>
              <w:bottom w:val="nil"/>
            </w:tcBorders>
            <w:shd w:val="clear" w:color="auto" w:fill="auto"/>
            <w:noWrap/>
            <w:vAlign w:val="center"/>
            <w:hideMark/>
          </w:tcPr>
          <w:p w:rsidR="00D912FA" w:rsidRPr="00C24253" w:rsidRDefault="00D912FA" w:rsidP="00974752">
            <w:pPr>
              <w:jc w:val="left"/>
              <w:rPr>
                <w:rFonts w:cs="Arial"/>
                <w:sz w:val="16"/>
                <w:szCs w:val="16"/>
              </w:rPr>
            </w:pPr>
            <w:r w:rsidRPr="00C24253">
              <w:rPr>
                <w:rFonts w:cs="Arial"/>
                <w:sz w:val="16"/>
                <w:szCs w:val="16"/>
              </w:rPr>
              <w:t>Příčina smrti</w:t>
            </w:r>
          </w:p>
        </w:tc>
        <w:tc>
          <w:tcPr>
            <w:tcW w:w="1684" w:type="pct"/>
            <w:gridSpan w:val="3"/>
            <w:tcBorders>
              <w:top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Muži</w:t>
            </w:r>
          </w:p>
        </w:tc>
        <w:tc>
          <w:tcPr>
            <w:tcW w:w="1683" w:type="pct"/>
            <w:gridSpan w:val="3"/>
            <w:tcBorders>
              <w:top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Ženy</w:t>
            </w:r>
          </w:p>
        </w:tc>
      </w:tr>
      <w:tr w:rsidR="00D912FA" w:rsidRPr="00C24253" w:rsidTr="00974752">
        <w:trPr>
          <w:trHeight w:hRule="exact" w:val="284"/>
        </w:trPr>
        <w:tc>
          <w:tcPr>
            <w:tcW w:w="1633" w:type="pct"/>
            <w:vMerge/>
            <w:tcBorders>
              <w:top w:val="nil"/>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p>
        </w:tc>
        <w:tc>
          <w:tcPr>
            <w:tcW w:w="561" w:type="pct"/>
            <w:tcBorders>
              <w:top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1991</w:t>
            </w:r>
          </w:p>
        </w:tc>
        <w:tc>
          <w:tcPr>
            <w:tcW w:w="561" w:type="pct"/>
            <w:tcBorders>
              <w:top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2001</w:t>
            </w:r>
          </w:p>
        </w:tc>
        <w:tc>
          <w:tcPr>
            <w:tcW w:w="562" w:type="pct"/>
            <w:tcBorders>
              <w:top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2012</w:t>
            </w:r>
          </w:p>
        </w:tc>
        <w:tc>
          <w:tcPr>
            <w:tcW w:w="561" w:type="pct"/>
            <w:tcBorders>
              <w:top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1991</w:t>
            </w:r>
          </w:p>
        </w:tc>
        <w:tc>
          <w:tcPr>
            <w:tcW w:w="561" w:type="pct"/>
            <w:tcBorders>
              <w:top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2001</w:t>
            </w:r>
          </w:p>
        </w:tc>
        <w:tc>
          <w:tcPr>
            <w:tcW w:w="561" w:type="pct"/>
            <w:tcBorders>
              <w:top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2012</w:t>
            </w:r>
          </w:p>
        </w:tc>
      </w:tr>
      <w:tr w:rsidR="00D912FA" w:rsidRPr="00C24253" w:rsidTr="00974752">
        <w:trPr>
          <w:trHeight w:hRule="exact" w:val="284"/>
        </w:trPr>
        <w:tc>
          <w:tcPr>
            <w:tcW w:w="1633" w:type="pct"/>
            <w:tcBorders>
              <w:top w:val="single" w:sz="4" w:space="0" w:color="auto"/>
            </w:tcBorders>
            <w:shd w:val="clear" w:color="auto" w:fill="auto"/>
            <w:noWrap/>
            <w:vAlign w:val="center"/>
            <w:hideMark/>
          </w:tcPr>
          <w:p w:rsidR="00D912FA" w:rsidRPr="00C24253" w:rsidRDefault="00D912FA" w:rsidP="00974752">
            <w:pPr>
              <w:rPr>
                <w:rFonts w:cs="Arial"/>
                <w:sz w:val="16"/>
                <w:szCs w:val="16"/>
              </w:rPr>
            </w:pPr>
            <w:r w:rsidRPr="00C24253">
              <w:rPr>
                <w:rFonts w:cs="Arial"/>
                <w:sz w:val="16"/>
                <w:szCs w:val="16"/>
              </w:rPr>
              <w:t>Novotvary</w:t>
            </w:r>
          </w:p>
        </w:tc>
        <w:tc>
          <w:tcPr>
            <w:tcW w:w="561" w:type="pct"/>
            <w:tcBorders>
              <w:top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356,0</w:t>
            </w:r>
          </w:p>
        </w:tc>
        <w:tc>
          <w:tcPr>
            <w:tcW w:w="561" w:type="pct"/>
            <w:tcBorders>
              <w:top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317,5</w:t>
            </w:r>
          </w:p>
        </w:tc>
        <w:tc>
          <w:tcPr>
            <w:tcW w:w="562" w:type="pct"/>
            <w:tcBorders>
              <w:top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243,2</w:t>
            </w:r>
          </w:p>
        </w:tc>
        <w:tc>
          <w:tcPr>
            <w:tcW w:w="561" w:type="pct"/>
            <w:tcBorders>
              <w:top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191,8</w:t>
            </w:r>
          </w:p>
        </w:tc>
        <w:tc>
          <w:tcPr>
            <w:tcW w:w="561" w:type="pct"/>
            <w:tcBorders>
              <w:top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179,3</w:t>
            </w:r>
          </w:p>
        </w:tc>
        <w:tc>
          <w:tcPr>
            <w:tcW w:w="561" w:type="pct"/>
            <w:tcBorders>
              <w:top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145,0</w:t>
            </w:r>
          </w:p>
        </w:tc>
      </w:tr>
      <w:tr w:rsidR="00D912FA" w:rsidRPr="00C24253" w:rsidTr="00974752">
        <w:trPr>
          <w:trHeight w:hRule="exact" w:val="170"/>
        </w:trPr>
        <w:tc>
          <w:tcPr>
            <w:tcW w:w="1633" w:type="pct"/>
            <w:shd w:val="clear" w:color="auto" w:fill="auto"/>
            <w:noWrap/>
            <w:vAlign w:val="center"/>
            <w:hideMark/>
          </w:tcPr>
          <w:p w:rsidR="00D912FA" w:rsidRPr="00C24253" w:rsidRDefault="00D912FA" w:rsidP="00974752">
            <w:pPr>
              <w:rPr>
                <w:rFonts w:cs="Arial"/>
                <w:sz w:val="16"/>
                <w:szCs w:val="16"/>
              </w:rPr>
            </w:pPr>
            <w:r w:rsidRPr="00C24253">
              <w:rPr>
                <w:rFonts w:cs="Arial"/>
                <w:sz w:val="16"/>
                <w:szCs w:val="16"/>
              </w:rPr>
              <w:t>z toho:</w:t>
            </w:r>
          </w:p>
        </w:tc>
        <w:tc>
          <w:tcPr>
            <w:tcW w:w="561"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p>
        </w:tc>
        <w:tc>
          <w:tcPr>
            <w:tcW w:w="561"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p>
        </w:tc>
        <w:tc>
          <w:tcPr>
            <w:tcW w:w="562"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p>
        </w:tc>
        <w:tc>
          <w:tcPr>
            <w:tcW w:w="561"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p>
        </w:tc>
        <w:tc>
          <w:tcPr>
            <w:tcW w:w="561"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p>
        </w:tc>
        <w:tc>
          <w:tcPr>
            <w:tcW w:w="561"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p>
        </w:tc>
      </w:tr>
      <w:tr w:rsidR="00D912FA" w:rsidRPr="00C24253" w:rsidTr="00974752">
        <w:trPr>
          <w:trHeight w:hRule="exact" w:val="284"/>
        </w:trPr>
        <w:tc>
          <w:tcPr>
            <w:tcW w:w="1633" w:type="pct"/>
            <w:shd w:val="clear" w:color="auto" w:fill="auto"/>
            <w:noWrap/>
            <w:vAlign w:val="center"/>
            <w:hideMark/>
          </w:tcPr>
          <w:p w:rsidR="00D912FA" w:rsidRPr="00C24253" w:rsidRDefault="00D912FA" w:rsidP="00974752">
            <w:pPr>
              <w:ind w:left="113"/>
              <w:rPr>
                <w:rFonts w:cs="Arial"/>
                <w:sz w:val="16"/>
                <w:szCs w:val="16"/>
              </w:rPr>
            </w:pPr>
            <w:r w:rsidRPr="00C24253">
              <w:rPr>
                <w:rFonts w:cs="Arial"/>
                <w:sz w:val="16"/>
                <w:szCs w:val="16"/>
              </w:rPr>
              <w:t>ZN tlustého střeva, konečníku, řiti</w:t>
            </w:r>
          </w:p>
        </w:tc>
        <w:tc>
          <w:tcPr>
            <w:tcW w:w="561"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54,0</w:t>
            </w:r>
          </w:p>
        </w:tc>
        <w:tc>
          <w:tcPr>
            <w:tcW w:w="561"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50,8</w:t>
            </w:r>
          </w:p>
        </w:tc>
        <w:tc>
          <w:tcPr>
            <w:tcW w:w="562"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34,4</w:t>
            </w:r>
          </w:p>
        </w:tc>
        <w:tc>
          <w:tcPr>
            <w:tcW w:w="561"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28,3</w:t>
            </w:r>
          </w:p>
        </w:tc>
        <w:tc>
          <w:tcPr>
            <w:tcW w:w="561"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25,4</w:t>
            </w:r>
          </w:p>
        </w:tc>
        <w:tc>
          <w:tcPr>
            <w:tcW w:w="561"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17,0</w:t>
            </w:r>
          </w:p>
        </w:tc>
      </w:tr>
      <w:tr w:rsidR="00D912FA" w:rsidRPr="00C24253" w:rsidTr="00974752">
        <w:trPr>
          <w:trHeight w:hRule="exact" w:val="284"/>
        </w:trPr>
        <w:tc>
          <w:tcPr>
            <w:tcW w:w="1633" w:type="pct"/>
            <w:shd w:val="clear" w:color="auto" w:fill="auto"/>
            <w:noWrap/>
            <w:vAlign w:val="center"/>
            <w:hideMark/>
          </w:tcPr>
          <w:p w:rsidR="00D912FA" w:rsidRPr="00C24253" w:rsidRDefault="00D912FA" w:rsidP="00974752">
            <w:pPr>
              <w:ind w:left="113"/>
              <w:rPr>
                <w:rFonts w:cs="Arial"/>
                <w:sz w:val="16"/>
                <w:szCs w:val="16"/>
              </w:rPr>
            </w:pPr>
            <w:r w:rsidRPr="00C24253">
              <w:rPr>
                <w:rFonts w:cs="Arial"/>
                <w:sz w:val="16"/>
                <w:szCs w:val="16"/>
              </w:rPr>
              <w:t>ZN průdušnice, průdušky, plíce</w:t>
            </w:r>
          </w:p>
        </w:tc>
        <w:tc>
          <w:tcPr>
            <w:tcW w:w="561"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108,6</w:t>
            </w:r>
          </w:p>
        </w:tc>
        <w:tc>
          <w:tcPr>
            <w:tcW w:w="561"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85,8</w:t>
            </w:r>
          </w:p>
        </w:tc>
        <w:tc>
          <w:tcPr>
            <w:tcW w:w="562"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60,3</w:t>
            </w:r>
          </w:p>
        </w:tc>
        <w:tc>
          <w:tcPr>
            <w:tcW w:w="561"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15,2</w:t>
            </w:r>
          </w:p>
        </w:tc>
        <w:tc>
          <w:tcPr>
            <w:tcW w:w="561"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19,1</w:t>
            </w:r>
          </w:p>
        </w:tc>
        <w:tc>
          <w:tcPr>
            <w:tcW w:w="561"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21,2</w:t>
            </w:r>
          </w:p>
        </w:tc>
      </w:tr>
      <w:tr w:rsidR="00D912FA" w:rsidRPr="00C24253" w:rsidTr="00974752">
        <w:trPr>
          <w:trHeight w:hRule="exact" w:val="284"/>
        </w:trPr>
        <w:tc>
          <w:tcPr>
            <w:tcW w:w="1633" w:type="pct"/>
            <w:shd w:val="clear" w:color="auto" w:fill="auto"/>
            <w:noWrap/>
            <w:vAlign w:val="center"/>
            <w:hideMark/>
          </w:tcPr>
          <w:p w:rsidR="00D912FA" w:rsidRPr="00C24253" w:rsidRDefault="00D912FA" w:rsidP="00974752">
            <w:pPr>
              <w:ind w:left="113"/>
              <w:rPr>
                <w:rFonts w:cs="Arial"/>
                <w:sz w:val="16"/>
                <w:szCs w:val="16"/>
              </w:rPr>
            </w:pPr>
            <w:r w:rsidRPr="00C24253">
              <w:rPr>
                <w:rFonts w:cs="Arial"/>
                <w:sz w:val="16"/>
                <w:szCs w:val="16"/>
              </w:rPr>
              <w:t>ZN prostaty/prsu</w:t>
            </w:r>
          </w:p>
        </w:tc>
        <w:tc>
          <w:tcPr>
            <w:tcW w:w="561"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24,6</w:t>
            </w:r>
          </w:p>
        </w:tc>
        <w:tc>
          <w:tcPr>
            <w:tcW w:w="561"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29,3</w:t>
            </w:r>
          </w:p>
        </w:tc>
        <w:tc>
          <w:tcPr>
            <w:tcW w:w="562"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22,0</w:t>
            </w:r>
          </w:p>
        </w:tc>
        <w:tc>
          <w:tcPr>
            <w:tcW w:w="561"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31,6</w:t>
            </w:r>
          </w:p>
        </w:tc>
        <w:tc>
          <w:tcPr>
            <w:tcW w:w="561"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27,5</w:t>
            </w:r>
          </w:p>
        </w:tc>
        <w:tc>
          <w:tcPr>
            <w:tcW w:w="561"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19,9</w:t>
            </w:r>
          </w:p>
        </w:tc>
      </w:tr>
      <w:tr w:rsidR="00D912FA" w:rsidRPr="00C24253" w:rsidTr="00974752">
        <w:trPr>
          <w:trHeight w:hRule="exact" w:val="284"/>
        </w:trPr>
        <w:tc>
          <w:tcPr>
            <w:tcW w:w="1633" w:type="pct"/>
            <w:shd w:val="clear" w:color="auto" w:fill="auto"/>
            <w:noWrap/>
            <w:vAlign w:val="center"/>
            <w:hideMark/>
          </w:tcPr>
          <w:p w:rsidR="00D912FA" w:rsidRPr="00C24253" w:rsidRDefault="00D912FA" w:rsidP="00974752">
            <w:pPr>
              <w:rPr>
                <w:rFonts w:cs="Arial"/>
                <w:sz w:val="16"/>
                <w:szCs w:val="16"/>
              </w:rPr>
            </w:pPr>
            <w:r w:rsidRPr="00C24253">
              <w:rPr>
                <w:rFonts w:cs="Arial"/>
                <w:sz w:val="16"/>
                <w:szCs w:val="16"/>
              </w:rPr>
              <w:t>Nemoci oběhové soustavy</w:t>
            </w:r>
          </w:p>
        </w:tc>
        <w:tc>
          <w:tcPr>
            <w:tcW w:w="561"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791,4</w:t>
            </w:r>
          </w:p>
        </w:tc>
        <w:tc>
          <w:tcPr>
            <w:tcW w:w="561"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567,6</w:t>
            </w:r>
          </w:p>
        </w:tc>
        <w:tc>
          <w:tcPr>
            <w:tcW w:w="562"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403,1</w:t>
            </w:r>
          </w:p>
        </w:tc>
        <w:tc>
          <w:tcPr>
            <w:tcW w:w="561"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492,1</w:t>
            </w:r>
          </w:p>
        </w:tc>
        <w:tc>
          <w:tcPr>
            <w:tcW w:w="561"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381,7</w:t>
            </w:r>
          </w:p>
        </w:tc>
        <w:tc>
          <w:tcPr>
            <w:tcW w:w="561"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264,0</w:t>
            </w:r>
          </w:p>
        </w:tc>
      </w:tr>
      <w:tr w:rsidR="00D912FA" w:rsidRPr="00C24253" w:rsidTr="00974752">
        <w:trPr>
          <w:trHeight w:hRule="exact" w:val="170"/>
        </w:trPr>
        <w:tc>
          <w:tcPr>
            <w:tcW w:w="1633" w:type="pct"/>
            <w:shd w:val="clear" w:color="auto" w:fill="auto"/>
            <w:noWrap/>
            <w:vAlign w:val="center"/>
            <w:hideMark/>
          </w:tcPr>
          <w:p w:rsidR="00D912FA" w:rsidRPr="00C24253" w:rsidRDefault="00D912FA" w:rsidP="00974752">
            <w:pPr>
              <w:rPr>
                <w:rFonts w:cs="Arial"/>
                <w:sz w:val="16"/>
                <w:szCs w:val="16"/>
              </w:rPr>
            </w:pPr>
            <w:r w:rsidRPr="00C24253">
              <w:rPr>
                <w:rFonts w:cs="Arial"/>
                <w:sz w:val="16"/>
                <w:szCs w:val="16"/>
              </w:rPr>
              <w:t>z toho:</w:t>
            </w:r>
          </w:p>
        </w:tc>
        <w:tc>
          <w:tcPr>
            <w:tcW w:w="561"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p>
        </w:tc>
        <w:tc>
          <w:tcPr>
            <w:tcW w:w="561"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p>
        </w:tc>
        <w:tc>
          <w:tcPr>
            <w:tcW w:w="562"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p>
        </w:tc>
        <w:tc>
          <w:tcPr>
            <w:tcW w:w="561"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p>
        </w:tc>
        <w:tc>
          <w:tcPr>
            <w:tcW w:w="561"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p>
        </w:tc>
        <w:tc>
          <w:tcPr>
            <w:tcW w:w="561"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p>
        </w:tc>
      </w:tr>
      <w:tr w:rsidR="00D912FA" w:rsidRPr="00C24253" w:rsidTr="00974752">
        <w:trPr>
          <w:trHeight w:hRule="exact" w:val="284"/>
        </w:trPr>
        <w:tc>
          <w:tcPr>
            <w:tcW w:w="1633" w:type="pct"/>
            <w:shd w:val="clear" w:color="auto" w:fill="auto"/>
            <w:noWrap/>
            <w:vAlign w:val="center"/>
            <w:hideMark/>
          </w:tcPr>
          <w:p w:rsidR="00D912FA" w:rsidRPr="00C24253" w:rsidRDefault="00D912FA" w:rsidP="00974752">
            <w:pPr>
              <w:ind w:left="113"/>
              <w:rPr>
                <w:rFonts w:cs="Arial"/>
                <w:sz w:val="16"/>
                <w:szCs w:val="16"/>
              </w:rPr>
            </w:pPr>
            <w:r w:rsidRPr="00C24253">
              <w:rPr>
                <w:rFonts w:cs="Arial"/>
                <w:sz w:val="16"/>
                <w:szCs w:val="16"/>
              </w:rPr>
              <w:t>akutní infarkt myokardu</w:t>
            </w:r>
          </w:p>
        </w:tc>
        <w:tc>
          <w:tcPr>
            <w:tcW w:w="561"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234,9</w:t>
            </w:r>
          </w:p>
        </w:tc>
        <w:tc>
          <w:tcPr>
            <w:tcW w:w="561"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126,0</w:t>
            </w:r>
          </w:p>
        </w:tc>
        <w:tc>
          <w:tcPr>
            <w:tcW w:w="562"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59,7</w:t>
            </w:r>
          </w:p>
        </w:tc>
        <w:tc>
          <w:tcPr>
            <w:tcW w:w="561"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98,5</w:t>
            </w:r>
          </w:p>
        </w:tc>
        <w:tc>
          <w:tcPr>
            <w:tcW w:w="561"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56,9</w:t>
            </w:r>
          </w:p>
        </w:tc>
        <w:tc>
          <w:tcPr>
            <w:tcW w:w="561"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27,6</w:t>
            </w:r>
          </w:p>
        </w:tc>
      </w:tr>
      <w:tr w:rsidR="00D912FA" w:rsidRPr="00C24253" w:rsidTr="00974752">
        <w:trPr>
          <w:trHeight w:hRule="exact" w:val="284"/>
        </w:trPr>
        <w:tc>
          <w:tcPr>
            <w:tcW w:w="1633" w:type="pct"/>
            <w:shd w:val="clear" w:color="auto" w:fill="auto"/>
            <w:noWrap/>
            <w:vAlign w:val="center"/>
            <w:hideMark/>
          </w:tcPr>
          <w:p w:rsidR="00D912FA" w:rsidRPr="00C24253" w:rsidRDefault="00D912FA" w:rsidP="00974752">
            <w:pPr>
              <w:ind w:left="113"/>
              <w:rPr>
                <w:rFonts w:cs="Arial"/>
                <w:sz w:val="16"/>
                <w:szCs w:val="16"/>
              </w:rPr>
            </w:pPr>
            <w:r w:rsidRPr="00C24253">
              <w:rPr>
                <w:rFonts w:cs="Arial"/>
                <w:sz w:val="16"/>
                <w:szCs w:val="16"/>
              </w:rPr>
              <w:t>cévní onemocnění mozku</w:t>
            </w:r>
          </w:p>
        </w:tc>
        <w:tc>
          <w:tcPr>
            <w:tcW w:w="561"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221,7</w:t>
            </w:r>
          </w:p>
        </w:tc>
        <w:tc>
          <w:tcPr>
            <w:tcW w:w="561"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148,6</w:t>
            </w:r>
          </w:p>
        </w:tc>
        <w:tc>
          <w:tcPr>
            <w:tcW w:w="562"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72,7</w:t>
            </w:r>
          </w:p>
        </w:tc>
        <w:tc>
          <w:tcPr>
            <w:tcW w:w="561"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163,8</w:t>
            </w:r>
          </w:p>
        </w:tc>
        <w:tc>
          <w:tcPr>
            <w:tcW w:w="561"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122,5</w:t>
            </w:r>
          </w:p>
        </w:tc>
        <w:tc>
          <w:tcPr>
            <w:tcW w:w="561"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57,3</w:t>
            </w:r>
          </w:p>
        </w:tc>
      </w:tr>
      <w:tr w:rsidR="00D912FA" w:rsidRPr="00C24253" w:rsidTr="00974752">
        <w:trPr>
          <w:trHeight w:hRule="exact" w:val="284"/>
        </w:trPr>
        <w:tc>
          <w:tcPr>
            <w:tcW w:w="1633" w:type="pct"/>
            <w:shd w:val="clear" w:color="auto" w:fill="auto"/>
            <w:noWrap/>
            <w:vAlign w:val="center"/>
            <w:hideMark/>
          </w:tcPr>
          <w:p w:rsidR="00D912FA" w:rsidRPr="00C24253" w:rsidRDefault="00D912FA" w:rsidP="00974752">
            <w:pPr>
              <w:rPr>
                <w:rFonts w:cs="Arial"/>
                <w:sz w:val="16"/>
                <w:szCs w:val="16"/>
              </w:rPr>
            </w:pPr>
            <w:r w:rsidRPr="00C24253">
              <w:rPr>
                <w:rFonts w:cs="Arial"/>
                <w:sz w:val="16"/>
                <w:szCs w:val="16"/>
              </w:rPr>
              <w:t>Nemoci dýchací soustavy</w:t>
            </w:r>
          </w:p>
        </w:tc>
        <w:tc>
          <w:tcPr>
            <w:tcW w:w="561"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73,2</w:t>
            </w:r>
          </w:p>
        </w:tc>
        <w:tc>
          <w:tcPr>
            <w:tcW w:w="561"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55,6</w:t>
            </w:r>
          </w:p>
        </w:tc>
        <w:tc>
          <w:tcPr>
            <w:tcW w:w="562"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53,1</w:t>
            </w:r>
          </w:p>
        </w:tc>
        <w:tc>
          <w:tcPr>
            <w:tcW w:w="561"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30,8</w:t>
            </w:r>
          </w:p>
        </w:tc>
        <w:tc>
          <w:tcPr>
            <w:tcW w:w="561"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26,6</w:t>
            </w:r>
          </w:p>
        </w:tc>
        <w:tc>
          <w:tcPr>
            <w:tcW w:w="561"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26,3</w:t>
            </w:r>
          </w:p>
        </w:tc>
      </w:tr>
      <w:tr w:rsidR="00D912FA" w:rsidRPr="00C24253" w:rsidTr="00974752">
        <w:trPr>
          <w:trHeight w:hRule="exact" w:val="284"/>
        </w:trPr>
        <w:tc>
          <w:tcPr>
            <w:tcW w:w="1633" w:type="pct"/>
            <w:shd w:val="clear" w:color="auto" w:fill="auto"/>
            <w:noWrap/>
            <w:vAlign w:val="center"/>
            <w:hideMark/>
          </w:tcPr>
          <w:p w:rsidR="00D912FA" w:rsidRPr="00C24253" w:rsidRDefault="00D912FA" w:rsidP="00974752">
            <w:pPr>
              <w:rPr>
                <w:rFonts w:cs="Arial"/>
                <w:sz w:val="16"/>
                <w:szCs w:val="16"/>
              </w:rPr>
            </w:pPr>
            <w:r w:rsidRPr="00C24253">
              <w:rPr>
                <w:rFonts w:cs="Arial"/>
                <w:sz w:val="16"/>
                <w:szCs w:val="16"/>
              </w:rPr>
              <w:t>Nemoci trávicí soustavy</w:t>
            </w:r>
          </w:p>
        </w:tc>
        <w:tc>
          <w:tcPr>
            <w:tcW w:w="561"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61,7</w:t>
            </w:r>
          </w:p>
        </w:tc>
        <w:tc>
          <w:tcPr>
            <w:tcW w:w="561"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50,7</w:t>
            </w:r>
          </w:p>
        </w:tc>
        <w:tc>
          <w:tcPr>
            <w:tcW w:w="562"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41,1</w:t>
            </w:r>
          </w:p>
        </w:tc>
        <w:tc>
          <w:tcPr>
            <w:tcW w:w="561"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28,7</w:t>
            </w:r>
          </w:p>
        </w:tc>
        <w:tc>
          <w:tcPr>
            <w:tcW w:w="561"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25,8</w:t>
            </w:r>
          </w:p>
        </w:tc>
        <w:tc>
          <w:tcPr>
            <w:tcW w:w="561"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23,2</w:t>
            </w:r>
          </w:p>
        </w:tc>
      </w:tr>
      <w:tr w:rsidR="00D912FA" w:rsidRPr="00C24253" w:rsidTr="00974752">
        <w:trPr>
          <w:trHeight w:hRule="exact" w:val="284"/>
        </w:trPr>
        <w:tc>
          <w:tcPr>
            <w:tcW w:w="1633" w:type="pct"/>
            <w:shd w:val="clear" w:color="auto" w:fill="auto"/>
            <w:noWrap/>
            <w:vAlign w:val="center"/>
            <w:hideMark/>
          </w:tcPr>
          <w:p w:rsidR="00D912FA" w:rsidRPr="00C24253" w:rsidRDefault="00D912FA" w:rsidP="00974752">
            <w:pPr>
              <w:rPr>
                <w:rFonts w:cs="Arial"/>
                <w:sz w:val="16"/>
                <w:szCs w:val="16"/>
              </w:rPr>
            </w:pPr>
            <w:r w:rsidRPr="00C24253">
              <w:rPr>
                <w:rFonts w:cs="Arial"/>
                <w:sz w:val="16"/>
                <w:szCs w:val="16"/>
              </w:rPr>
              <w:t>Vnější příčiny</w:t>
            </w:r>
          </w:p>
        </w:tc>
        <w:tc>
          <w:tcPr>
            <w:tcW w:w="561"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112,9</w:t>
            </w:r>
          </w:p>
        </w:tc>
        <w:tc>
          <w:tcPr>
            <w:tcW w:w="561"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90,4</w:t>
            </w:r>
          </w:p>
        </w:tc>
        <w:tc>
          <w:tcPr>
            <w:tcW w:w="562"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70,9</w:t>
            </w:r>
          </w:p>
        </w:tc>
        <w:tc>
          <w:tcPr>
            <w:tcW w:w="561"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53,4</w:t>
            </w:r>
          </w:p>
        </w:tc>
        <w:tc>
          <w:tcPr>
            <w:tcW w:w="561"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33,8</w:t>
            </w:r>
          </w:p>
        </w:tc>
        <w:tc>
          <w:tcPr>
            <w:tcW w:w="561"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22,6</w:t>
            </w:r>
          </w:p>
        </w:tc>
      </w:tr>
      <w:tr w:rsidR="00D912FA" w:rsidRPr="00C24253" w:rsidTr="00974752">
        <w:trPr>
          <w:trHeight w:hRule="exact" w:val="170"/>
        </w:trPr>
        <w:tc>
          <w:tcPr>
            <w:tcW w:w="1633" w:type="pct"/>
            <w:shd w:val="clear" w:color="auto" w:fill="auto"/>
            <w:noWrap/>
            <w:vAlign w:val="center"/>
            <w:hideMark/>
          </w:tcPr>
          <w:p w:rsidR="00D912FA" w:rsidRPr="00C24253" w:rsidRDefault="00D912FA" w:rsidP="00974752">
            <w:pPr>
              <w:rPr>
                <w:rFonts w:cs="Arial"/>
                <w:sz w:val="16"/>
                <w:szCs w:val="16"/>
              </w:rPr>
            </w:pPr>
            <w:r w:rsidRPr="00C24253">
              <w:rPr>
                <w:rFonts w:cs="Arial"/>
                <w:sz w:val="16"/>
                <w:szCs w:val="16"/>
              </w:rPr>
              <w:t>z toho:</w:t>
            </w:r>
          </w:p>
        </w:tc>
        <w:tc>
          <w:tcPr>
            <w:tcW w:w="561"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p>
        </w:tc>
        <w:tc>
          <w:tcPr>
            <w:tcW w:w="561"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p>
        </w:tc>
        <w:tc>
          <w:tcPr>
            <w:tcW w:w="562"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p>
        </w:tc>
        <w:tc>
          <w:tcPr>
            <w:tcW w:w="561"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p>
        </w:tc>
        <w:tc>
          <w:tcPr>
            <w:tcW w:w="561"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p>
        </w:tc>
        <w:tc>
          <w:tcPr>
            <w:tcW w:w="561"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p>
        </w:tc>
      </w:tr>
      <w:tr w:rsidR="00D912FA" w:rsidRPr="00C24253" w:rsidTr="00974752">
        <w:trPr>
          <w:trHeight w:hRule="exact" w:val="284"/>
        </w:trPr>
        <w:tc>
          <w:tcPr>
            <w:tcW w:w="1633" w:type="pct"/>
            <w:shd w:val="clear" w:color="auto" w:fill="auto"/>
            <w:noWrap/>
            <w:vAlign w:val="center"/>
            <w:hideMark/>
          </w:tcPr>
          <w:p w:rsidR="00D912FA" w:rsidRPr="00C24253" w:rsidRDefault="00D912FA" w:rsidP="00974752">
            <w:pPr>
              <w:ind w:left="113"/>
              <w:rPr>
                <w:rFonts w:cs="Arial"/>
                <w:sz w:val="16"/>
                <w:szCs w:val="16"/>
              </w:rPr>
            </w:pPr>
            <w:r w:rsidRPr="00C24253">
              <w:rPr>
                <w:rFonts w:cs="Arial"/>
                <w:sz w:val="16"/>
                <w:szCs w:val="16"/>
              </w:rPr>
              <w:t>dopravní nehody</w:t>
            </w:r>
          </w:p>
        </w:tc>
        <w:tc>
          <w:tcPr>
            <w:tcW w:w="561"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19,5</w:t>
            </w:r>
          </w:p>
        </w:tc>
        <w:tc>
          <w:tcPr>
            <w:tcW w:w="561"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20,8</w:t>
            </w:r>
          </w:p>
        </w:tc>
        <w:tc>
          <w:tcPr>
            <w:tcW w:w="562"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11,2</w:t>
            </w:r>
          </w:p>
        </w:tc>
        <w:tc>
          <w:tcPr>
            <w:tcW w:w="561"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6,1</w:t>
            </w:r>
          </w:p>
        </w:tc>
        <w:tc>
          <w:tcPr>
            <w:tcW w:w="561"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6,7</w:t>
            </w:r>
          </w:p>
        </w:tc>
        <w:tc>
          <w:tcPr>
            <w:tcW w:w="561"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3,3</w:t>
            </w:r>
          </w:p>
        </w:tc>
      </w:tr>
      <w:tr w:rsidR="00D912FA" w:rsidRPr="00C24253" w:rsidTr="00974752">
        <w:trPr>
          <w:trHeight w:hRule="exact" w:val="284"/>
        </w:trPr>
        <w:tc>
          <w:tcPr>
            <w:tcW w:w="1633" w:type="pct"/>
            <w:tcBorders>
              <w:bottom w:val="single" w:sz="4" w:space="0" w:color="auto"/>
            </w:tcBorders>
            <w:shd w:val="clear" w:color="auto" w:fill="auto"/>
            <w:noWrap/>
            <w:vAlign w:val="center"/>
            <w:hideMark/>
          </w:tcPr>
          <w:p w:rsidR="00D912FA" w:rsidRPr="00C24253" w:rsidRDefault="00D912FA" w:rsidP="00974752">
            <w:pPr>
              <w:ind w:left="113"/>
              <w:rPr>
                <w:rFonts w:cs="Arial"/>
                <w:sz w:val="16"/>
                <w:szCs w:val="16"/>
              </w:rPr>
            </w:pPr>
            <w:r w:rsidRPr="00C24253">
              <w:rPr>
                <w:rFonts w:cs="Arial"/>
                <w:sz w:val="16"/>
                <w:szCs w:val="16"/>
              </w:rPr>
              <w:t>sebevraždy</w:t>
            </w:r>
          </w:p>
        </w:tc>
        <w:tc>
          <w:tcPr>
            <w:tcW w:w="561" w:type="pct"/>
            <w:tcBorders>
              <w:bottom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29,3</w:t>
            </w:r>
          </w:p>
        </w:tc>
        <w:tc>
          <w:tcPr>
            <w:tcW w:w="561" w:type="pct"/>
            <w:tcBorders>
              <w:bottom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24,9</w:t>
            </w:r>
          </w:p>
        </w:tc>
        <w:tc>
          <w:tcPr>
            <w:tcW w:w="562" w:type="pct"/>
            <w:tcBorders>
              <w:bottom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23,9</w:t>
            </w:r>
          </w:p>
        </w:tc>
        <w:tc>
          <w:tcPr>
            <w:tcW w:w="561" w:type="pct"/>
            <w:tcBorders>
              <w:bottom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8,9</w:t>
            </w:r>
          </w:p>
        </w:tc>
        <w:tc>
          <w:tcPr>
            <w:tcW w:w="561" w:type="pct"/>
            <w:tcBorders>
              <w:bottom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5,4</w:t>
            </w:r>
          </w:p>
        </w:tc>
        <w:tc>
          <w:tcPr>
            <w:tcW w:w="561" w:type="pct"/>
            <w:tcBorders>
              <w:bottom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4,3</w:t>
            </w:r>
          </w:p>
        </w:tc>
      </w:tr>
      <w:tr w:rsidR="00D912FA" w:rsidRPr="00C24253" w:rsidTr="00974752">
        <w:trPr>
          <w:trHeight w:hRule="exact" w:val="397"/>
        </w:trPr>
        <w:tc>
          <w:tcPr>
            <w:tcW w:w="1633" w:type="pct"/>
            <w:tcBorders>
              <w:top w:val="single" w:sz="4" w:space="0" w:color="auto"/>
              <w:bottom w:val="single" w:sz="4" w:space="0" w:color="auto"/>
            </w:tcBorders>
            <w:shd w:val="clear" w:color="auto" w:fill="auto"/>
            <w:noWrap/>
            <w:vAlign w:val="center"/>
            <w:hideMark/>
          </w:tcPr>
          <w:p w:rsidR="00D912FA" w:rsidRPr="00C24253" w:rsidRDefault="00D912FA" w:rsidP="00974752">
            <w:pPr>
              <w:rPr>
                <w:rFonts w:cs="Arial"/>
                <w:b/>
                <w:sz w:val="16"/>
                <w:szCs w:val="16"/>
              </w:rPr>
            </w:pPr>
            <w:r w:rsidRPr="00C24253">
              <w:rPr>
                <w:rFonts w:cs="Arial"/>
                <w:b/>
                <w:sz w:val="16"/>
                <w:szCs w:val="16"/>
              </w:rPr>
              <w:t>Celkem</w:t>
            </w:r>
          </w:p>
        </w:tc>
        <w:tc>
          <w:tcPr>
            <w:tcW w:w="561" w:type="pct"/>
            <w:tcBorders>
              <w:top w:val="single" w:sz="4" w:space="0" w:color="auto"/>
              <w:bottom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b/>
                <w:sz w:val="16"/>
                <w:szCs w:val="16"/>
              </w:rPr>
            </w:pPr>
            <w:r w:rsidRPr="00C24253">
              <w:rPr>
                <w:rFonts w:cs="Arial"/>
                <w:b/>
                <w:sz w:val="16"/>
                <w:szCs w:val="16"/>
              </w:rPr>
              <w:t>1 487,5</w:t>
            </w:r>
          </w:p>
        </w:tc>
        <w:tc>
          <w:tcPr>
            <w:tcW w:w="561" w:type="pct"/>
            <w:tcBorders>
              <w:top w:val="single" w:sz="4" w:space="0" w:color="auto"/>
              <w:bottom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b/>
                <w:sz w:val="16"/>
                <w:szCs w:val="16"/>
              </w:rPr>
            </w:pPr>
            <w:r w:rsidRPr="00C24253">
              <w:rPr>
                <w:rFonts w:cs="Arial"/>
                <w:b/>
                <w:sz w:val="16"/>
                <w:szCs w:val="16"/>
              </w:rPr>
              <w:t>1 143,6</w:t>
            </w:r>
          </w:p>
        </w:tc>
        <w:tc>
          <w:tcPr>
            <w:tcW w:w="562" w:type="pct"/>
            <w:tcBorders>
              <w:top w:val="single" w:sz="4" w:space="0" w:color="auto"/>
              <w:bottom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b/>
                <w:sz w:val="16"/>
                <w:szCs w:val="16"/>
              </w:rPr>
            </w:pPr>
            <w:r w:rsidRPr="00C24253">
              <w:rPr>
                <w:rFonts w:cs="Arial"/>
                <w:b/>
                <w:sz w:val="16"/>
                <w:szCs w:val="16"/>
              </w:rPr>
              <w:t>903,1</w:t>
            </w:r>
          </w:p>
        </w:tc>
        <w:tc>
          <w:tcPr>
            <w:tcW w:w="561" w:type="pct"/>
            <w:tcBorders>
              <w:top w:val="single" w:sz="4" w:space="0" w:color="auto"/>
              <w:bottom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b/>
                <w:sz w:val="16"/>
                <w:szCs w:val="16"/>
              </w:rPr>
            </w:pPr>
            <w:r w:rsidRPr="00C24253">
              <w:rPr>
                <w:rFonts w:cs="Arial"/>
                <w:b/>
                <w:sz w:val="16"/>
                <w:szCs w:val="16"/>
              </w:rPr>
              <w:t>860,1</w:t>
            </w:r>
          </w:p>
        </w:tc>
        <w:tc>
          <w:tcPr>
            <w:tcW w:w="561" w:type="pct"/>
            <w:tcBorders>
              <w:top w:val="single" w:sz="4" w:space="0" w:color="auto"/>
              <w:bottom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b/>
                <w:sz w:val="16"/>
                <w:szCs w:val="16"/>
              </w:rPr>
            </w:pPr>
            <w:r w:rsidRPr="00C24253">
              <w:rPr>
                <w:rFonts w:cs="Arial"/>
                <w:b/>
                <w:sz w:val="16"/>
                <w:szCs w:val="16"/>
              </w:rPr>
              <w:t>692,2</w:t>
            </w:r>
          </w:p>
        </w:tc>
        <w:tc>
          <w:tcPr>
            <w:tcW w:w="561" w:type="pct"/>
            <w:tcBorders>
              <w:top w:val="single" w:sz="4" w:space="0" w:color="auto"/>
              <w:bottom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b/>
                <w:sz w:val="16"/>
                <w:szCs w:val="16"/>
              </w:rPr>
            </w:pPr>
            <w:r w:rsidRPr="00C24253">
              <w:rPr>
                <w:rFonts w:cs="Arial"/>
                <w:b/>
                <w:sz w:val="16"/>
                <w:szCs w:val="16"/>
              </w:rPr>
              <w:t>542,6</w:t>
            </w:r>
          </w:p>
        </w:tc>
      </w:tr>
    </w:tbl>
    <w:p w:rsidR="00D912FA" w:rsidRPr="00DB7C03" w:rsidRDefault="00D912FA" w:rsidP="00D912FA">
      <w:pPr>
        <w:spacing w:before="60" w:after="120"/>
        <w:rPr>
          <w:rFonts w:cs="Arial"/>
          <w:sz w:val="16"/>
          <w:szCs w:val="16"/>
        </w:rPr>
      </w:pPr>
      <w:r w:rsidRPr="00DB7C03">
        <w:rPr>
          <w:rFonts w:cs="Arial"/>
          <w:sz w:val="16"/>
          <w:szCs w:val="16"/>
        </w:rPr>
        <w:t>ZN = zhoubný novotvar</w:t>
      </w:r>
    </w:p>
    <w:p w:rsidR="00D912FA" w:rsidRPr="00C24253" w:rsidRDefault="00D912FA" w:rsidP="004B4F8D">
      <w:pPr>
        <w:pStyle w:val="31"/>
        <w:numPr>
          <w:ilvl w:val="1"/>
          <w:numId w:val="47"/>
        </w:numPr>
        <w:ind w:left="360" w:hanging="360"/>
      </w:pPr>
      <w:r w:rsidRPr="00C24253">
        <w:t>Zahraniční migrace</w:t>
      </w:r>
    </w:p>
    <w:p w:rsidR="00D912FA" w:rsidRPr="00C24253" w:rsidRDefault="00D912FA" w:rsidP="00D912FA">
      <w:pPr>
        <w:spacing w:after="120"/>
        <w:rPr>
          <w:rFonts w:cs="Arial"/>
          <w:sz w:val="20"/>
          <w:szCs w:val="20"/>
        </w:rPr>
      </w:pPr>
      <w:r w:rsidRPr="00C24253">
        <w:rPr>
          <w:rFonts w:cs="Arial"/>
          <w:sz w:val="20"/>
          <w:szCs w:val="20"/>
        </w:rPr>
        <w:t>Změna politického systému a s ní spojené otevření hranic, rozpad Československa a rozšíření statistiky migrace ČR založené pouze na změnách trvalého pobytu o cizince s dlouhodobým a přechodným pobytem na území ČR od roku 2001, proměnily charakter a rozsah mezinárodní migrace. Zahraniční migrace se stala významnou složkou populačního vývoje České republiky, zvláště pak ve vztahu k úbytkům obyvatelstva přirozenou měnou, které nastaly v letech 1994-2005 a jsou očekávány i v budoucích letech.</w:t>
      </w:r>
    </w:p>
    <w:p w:rsidR="00D912FA" w:rsidRPr="00C24253" w:rsidRDefault="00D912FA" w:rsidP="00D912FA">
      <w:pPr>
        <w:pStyle w:val="Zkladntext"/>
        <w:ind w:firstLine="0"/>
      </w:pPr>
      <w:r w:rsidRPr="00C24253">
        <w:t>Po počáteční vlně návratů bývalých emigrantů a migrační výměně mezi Českou a Slovenskou republikou v důsledku rozdělení společného státu k 1. 1. 1993, se Česká republika krystalizovala jako migračně atra</w:t>
      </w:r>
      <w:r w:rsidRPr="00C24253">
        <w:t>k</w:t>
      </w:r>
      <w:r w:rsidRPr="00C24253">
        <w:t>tivní země, a to zejména pro občany východoevropských zemí a Vietnamu s</w:t>
      </w:r>
      <w:r>
        <w:t> </w:t>
      </w:r>
      <w:r w:rsidRPr="00C24253">
        <w:t>tím</w:t>
      </w:r>
      <w:r>
        <w:t>,</w:t>
      </w:r>
      <w:r w:rsidRPr="00C24253">
        <w:t xml:space="preserve"> že hlavní důvody jejich příchodu byly pracovní. </w:t>
      </w:r>
    </w:p>
    <w:p w:rsidR="00D912FA" w:rsidRPr="00C24253" w:rsidRDefault="00D912FA" w:rsidP="00D912FA">
      <w:pPr>
        <w:pStyle w:val="Zkladntext"/>
        <w:ind w:firstLine="0"/>
      </w:pPr>
      <w:r w:rsidRPr="00C24253">
        <w:t>Se změnou metodiky sledování zahraniční migrace od roku 2001</w:t>
      </w:r>
      <w:r w:rsidRPr="00C24253">
        <w:rPr>
          <w:rStyle w:val="Znakapoznpodarou"/>
        </w:rPr>
        <w:footnoteReference w:id="7"/>
      </w:r>
      <w:r w:rsidRPr="00C24253">
        <w:t>, která byla přizpůsobena mezinárodním doporučením v oblasti dlouhodobé migrace, byl spojen další nárůst statisticky sledovaného objemu zahr</w:t>
      </w:r>
      <w:r w:rsidRPr="00C24253">
        <w:t>a</w:t>
      </w:r>
      <w:r w:rsidRPr="00C24253">
        <w:t>ničního stěhování a počtu cizinců pobývajících na území České republiky. Tato metodická změna byla nat</w:t>
      </w:r>
      <w:r w:rsidRPr="00C24253">
        <w:t>o</w:t>
      </w:r>
      <w:r w:rsidRPr="00C24253">
        <w:t>lik zásadní (podíl dlouhodobých pobytů cizinců je vyšší než podíl trvalých pobytů), že znemožňuje srovnání s daty o zahraniční migraci předcházejících let.</w:t>
      </w:r>
    </w:p>
    <w:p w:rsidR="00D912FA" w:rsidRDefault="00D912FA" w:rsidP="00D912FA">
      <w:pPr>
        <w:spacing w:after="120"/>
        <w:rPr>
          <w:rFonts w:cs="Arial"/>
          <w:sz w:val="20"/>
          <w:szCs w:val="20"/>
        </w:rPr>
      </w:pPr>
      <w:r w:rsidRPr="00C24253">
        <w:rPr>
          <w:rFonts w:cs="Arial"/>
          <w:sz w:val="20"/>
          <w:szCs w:val="20"/>
        </w:rPr>
        <w:t xml:space="preserve">Politické změny z roku 1989 se v zahraniční migraci projevily bezprostředně, již v roce 1990, kdy se výrazně zvýšil počet přistěhovalých z ciziny a vystěhovalých do ciziny. Saldo stěhování zůstalo ale ještě záporné. </w:t>
      </w:r>
    </w:p>
    <w:p w:rsidR="00D912FA" w:rsidRDefault="00D912FA" w:rsidP="00D912FA">
      <w:pPr>
        <w:spacing w:after="120"/>
        <w:rPr>
          <w:rFonts w:cs="Arial"/>
          <w:sz w:val="20"/>
          <w:szCs w:val="20"/>
        </w:rPr>
      </w:pPr>
    </w:p>
    <w:p w:rsidR="00D912FA" w:rsidRPr="00C24253" w:rsidRDefault="00D912FA" w:rsidP="00D912FA">
      <w:pPr>
        <w:spacing w:after="120"/>
        <w:rPr>
          <w:rFonts w:cs="Arial"/>
          <w:sz w:val="20"/>
          <w:szCs w:val="20"/>
        </w:rPr>
      </w:pPr>
      <w:r w:rsidRPr="00C24253">
        <w:rPr>
          <w:rFonts w:cs="Arial"/>
          <w:sz w:val="20"/>
          <w:szCs w:val="20"/>
        </w:rPr>
        <w:lastRenderedPageBreak/>
        <w:t>Od roku 1992, s výjimkou roku 2001</w:t>
      </w:r>
      <w:r w:rsidRPr="00C24253">
        <w:rPr>
          <w:rStyle w:val="Znakapoznpodarou"/>
          <w:rFonts w:cs="Arial"/>
          <w:sz w:val="20"/>
          <w:szCs w:val="20"/>
        </w:rPr>
        <w:footnoteReference w:id="8"/>
      </w:r>
      <w:r w:rsidRPr="00C24253">
        <w:rPr>
          <w:rFonts w:cs="Arial"/>
          <w:sz w:val="20"/>
          <w:szCs w:val="20"/>
        </w:rPr>
        <w:t>, se Česká republika změnila na imigračně atraktivní zemi nejen pro migranty ze Slovenské republiky, ale i pro přistěhovalé z dalších států. V souvislosti s rozdělením republiky od ledna 1993 přetrvával vyšší objem stěhování se Slovenskem až do roku 1993. Od roku 1994 až do met</w:t>
      </w:r>
      <w:r w:rsidRPr="00C24253">
        <w:rPr>
          <w:rFonts w:cs="Arial"/>
          <w:sz w:val="20"/>
          <w:szCs w:val="20"/>
        </w:rPr>
        <w:t>o</w:t>
      </w:r>
      <w:r w:rsidRPr="00C24253">
        <w:rPr>
          <w:rFonts w:cs="Arial"/>
          <w:sz w:val="20"/>
          <w:szCs w:val="20"/>
        </w:rPr>
        <w:t>dické změny byl registrovaný objem migrace se Slováky oproti situaci v předchozích letech zhruba čtvrtin</w:t>
      </w:r>
      <w:r w:rsidRPr="00C24253">
        <w:rPr>
          <w:rFonts w:cs="Arial"/>
          <w:sz w:val="20"/>
          <w:szCs w:val="20"/>
        </w:rPr>
        <w:t>o</w:t>
      </w:r>
      <w:r w:rsidRPr="00C24253">
        <w:rPr>
          <w:rFonts w:cs="Arial"/>
          <w:sz w:val="20"/>
          <w:szCs w:val="20"/>
        </w:rPr>
        <w:t>vý, saldo bylo po celá 90. léta kladné a pohybovalo se v řádu jednotek tisíců. Další obyvatele získávala Če</w:t>
      </w:r>
      <w:r w:rsidRPr="00C24253">
        <w:rPr>
          <w:rFonts w:cs="Arial"/>
          <w:sz w:val="20"/>
          <w:szCs w:val="20"/>
        </w:rPr>
        <w:t>s</w:t>
      </w:r>
      <w:r w:rsidRPr="00C24253">
        <w:rPr>
          <w:rFonts w:cs="Arial"/>
          <w:sz w:val="20"/>
          <w:szCs w:val="20"/>
        </w:rPr>
        <w:t xml:space="preserve">ká republika počátkem 90. let zejména migrační výměnou s Německem a Kanadou (návratová migrace), od poloviny 90. let již s Ukrajinou a Vietnamem. </w:t>
      </w:r>
    </w:p>
    <w:p w:rsidR="00D912FA" w:rsidRPr="00C24253" w:rsidRDefault="00D912FA" w:rsidP="00D912FA">
      <w:pPr>
        <w:spacing w:after="120"/>
        <w:rPr>
          <w:rFonts w:cs="Arial"/>
          <w:sz w:val="20"/>
          <w:szCs w:val="20"/>
        </w:rPr>
      </w:pPr>
      <w:r w:rsidRPr="00C24253">
        <w:rPr>
          <w:rFonts w:cs="Arial"/>
          <w:sz w:val="20"/>
          <w:szCs w:val="20"/>
        </w:rPr>
        <w:t>Za celé období 1991-2000 získala ČR zahraniční migrací (včetně stěhováním se Slovenskem i v letech sp</w:t>
      </w:r>
      <w:r w:rsidRPr="00C24253">
        <w:rPr>
          <w:rFonts w:cs="Arial"/>
          <w:sz w:val="20"/>
          <w:szCs w:val="20"/>
        </w:rPr>
        <w:t>o</w:t>
      </w:r>
      <w:r w:rsidRPr="00C24253">
        <w:rPr>
          <w:rFonts w:cs="Arial"/>
          <w:sz w:val="20"/>
          <w:szCs w:val="20"/>
        </w:rPr>
        <w:t>lečn</w:t>
      </w:r>
      <w:r>
        <w:rPr>
          <w:rFonts w:cs="Arial"/>
          <w:sz w:val="20"/>
          <w:szCs w:val="20"/>
        </w:rPr>
        <w:t>é</w:t>
      </w:r>
      <w:r w:rsidRPr="00C24253">
        <w:rPr>
          <w:rFonts w:cs="Arial"/>
          <w:sz w:val="20"/>
          <w:szCs w:val="20"/>
        </w:rPr>
        <w:t xml:space="preserve">ho státu) celkem 87,1 tisíce obyvatel. </w:t>
      </w:r>
    </w:p>
    <w:p w:rsidR="00D912FA" w:rsidRPr="00C24253" w:rsidRDefault="00D912FA" w:rsidP="00D912FA">
      <w:pPr>
        <w:spacing w:before="360" w:after="120"/>
        <w:rPr>
          <w:rFonts w:cs="Arial"/>
          <w:b/>
          <w:sz w:val="20"/>
          <w:szCs w:val="20"/>
        </w:rPr>
      </w:pPr>
      <w:r w:rsidRPr="00C24253">
        <w:rPr>
          <w:rFonts w:cs="Arial"/>
          <w:b/>
          <w:sz w:val="20"/>
          <w:szCs w:val="20"/>
        </w:rPr>
        <w:t>Zahraniční stěhování v letech 1991 až 2012</w:t>
      </w:r>
    </w:p>
    <w:tbl>
      <w:tblPr>
        <w:tblW w:w="5000" w:type="pct"/>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tblPr>
      <w:tblGrid>
        <w:gridCol w:w="1223"/>
        <w:gridCol w:w="1223"/>
        <w:gridCol w:w="1222"/>
        <w:gridCol w:w="1222"/>
        <w:gridCol w:w="1222"/>
        <w:gridCol w:w="1222"/>
        <w:gridCol w:w="1222"/>
        <w:gridCol w:w="1222"/>
      </w:tblGrid>
      <w:tr w:rsidR="00D912FA" w:rsidRPr="00C24253" w:rsidTr="00974752">
        <w:trPr>
          <w:trHeight w:hRule="exact" w:val="340"/>
        </w:trPr>
        <w:tc>
          <w:tcPr>
            <w:tcW w:w="625" w:type="pct"/>
            <w:vMerge w:val="restart"/>
            <w:tcBorders>
              <w:top w:val="single" w:sz="4" w:space="0" w:color="auto"/>
              <w:bottom w:val="nil"/>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Rok</w:t>
            </w:r>
          </w:p>
        </w:tc>
        <w:tc>
          <w:tcPr>
            <w:tcW w:w="625" w:type="pct"/>
            <w:vMerge w:val="restart"/>
            <w:tcBorders>
              <w:top w:val="single" w:sz="4" w:space="0" w:color="auto"/>
              <w:bottom w:val="nil"/>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Přistěhovalí</w:t>
            </w:r>
          </w:p>
        </w:tc>
        <w:tc>
          <w:tcPr>
            <w:tcW w:w="625" w:type="pct"/>
            <w:vMerge w:val="restart"/>
            <w:tcBorders>
              <w:top w:val="single" w:sz="4" w:space="0" w:color="auto"/>
              <w:bottom w:val="nil"/>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Vystěhovalí</w:t>
            </w:r>
          </w:p>
        </w:tc>
        <w:tc>
          <w:tcPr>
            <w:tcW w:w="625" w:type="pct"/>
            <w:vMerge w:val="restart"/>
            <w:tcBorders>
              <w:top w:val="single" w:sz="4" w:space="0" w:color="auto"/>
              <w:bottom w:val="nil"/>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Objem</w:t>
            </w:r>
          </w:p>
        </w:tc>
        <w:tc>
          <w:tcPr>
            <w:tcW w:w="625" w:type="pct"/>
            <w:vMerge w:val="restart"/>
            <w:tcBorders>
              <w:top w:val="single" w:sz="4" w:space="0" w:color="auto"/>
              <w:bottom w:val="nil"/>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Saldo</w:t>
            </w:r>
          </w:p>
        </w:tc>
        <w:tc>
          <w:tcPr>
            <w:tcW w:w="1875" w:type="pct"/>
            <w:gridSpan w:val="3"/>
            <w:tcBorders>
              <w:top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 občanů ČR</w:t>
            </w:r>
          </w:p>
        </w:tc>
      </w:tr>
      <w:tr w:rsidR="00D912FA" w:rsidRPr="00C24253" w:rsidTr="00974752">
        <w:trPr>
          <w:trHeight w:hRule="exact" w:val="340"/>
        </w:trPr>
        <w:tc>
          <w:tcPr>
            <w:tcW w:w="625" w:type="pct"/>
            <w:vMerge/>
            <w:tcBorders>
              <w:top w:val="nil"/>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p>
        </w:tc>
        <w:tc>
          <w:tcPr>
            <w:tcW w:w="625" w:type="pct"/>
            <w:vMerge/>
            <w:tcBorders>
              <w:top w:val="nil"/>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p>
        </w:tc>
        <w:tc>
          <w:tcPr>
            <w:tcW w:w="625" w:type="pct"/>
            <w:vMerge/>
            <w:tcBorders>
              <w:top w:val="nil"/>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p>
        </w:tc>
        <w:tc>
          <w:tcPr>
            <w:tcW w:w="625" w:type="pct"/>
            <w:vMerge/>
            <w:tcBorders>
              <w:top w:val="nil"/>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p>
        </w:tc>
        <w:tc>
          <w:tcPr>
            <w:tcW w:w="625" w:type="pct"/>
            <w:vMerge/>
            <w:tcBorders>
              <w:top w:val="nil"/>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p>
        </w:tc>
        <w:tc>
          <w:tcPr>
            <w:tcW w:w="625" w:type="pct"/>
            <w:tcBorders>
              <w:top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přistěhovalí</w:t>
            </w:r>
          </w:p>
        </w:tc>
        <w:tc>
          <w:tcPr>
            <w:tcW w:w="625" w:type="pct"/>
            <w:tcBorders>
              <w:top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vystěhovalí</w:t>
            </w:r>
          </w:p>
        </w:tc>
        <w:tc>
          <w:tcPr>
            <w:tcW w:w="625" w:type="pct"/>
            <w:tcBorders>
              <w:top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objem</w:t>
            </w:r>
          </w:p>
        </w:tc>
      </w:tr>
      <w:tr w:rsidR="00D912FA" w:rsidRPr="00C24253" w:rsidTr="00974752">
        <w:trPr>
          <w:trHeight w:hRule="exact" w:val="284"/>
        </w:trPr>
        <w:tc>
          <w:tcPr>
            <w:tcW w:w="625" w:type="pct"/>
            <w:tcBorders>
              <w:top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1991</w:t>
            </w:r>
          </w:p>
        </w:tc>
        <w:tc>
          <w:tcPr>
            <w:tcW w:w="625" w:type="pct"/>
            <w:tcBorders>
              <w:top w:val="single" w:sz="4" w:space="0" w:color="auto"/>
            </w:tcBorders>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14 096</w:t>
            </w:r>
          </w:p>
        </w:tc>
        <w:tc>
          <w:tcPr>
            <w:tcW w:w="625" w:type="pct"/>
            <w:tcBorders>
              <w:top w:val="single" w:sz="4" w:space="0" w:color="auto"/>
            </w:tcBorders>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11 220</w:t>
            </w:r>
          </w:p>
        </w:tc>
        <w:tc>
          <w:tcPr>
            <w:tcW w:w="625" w:type="pct"/>
            <w:tcBorders>
              <w:top w:val="single" w:sz="4" w:space="0" w:color="auto"/>
            </w:tcBorders>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25 316</w:t>
            </w:r>
          </w:p>
        </w:tc>
        <w:tc>
          <w:tcPr>
            <w:tcW w:w="625" w:type="pct"/>
            <w:tcBorders>
              <w:top w:val="single" w:sz="4" w:space="0" w:color="auto"/>
            </w:tcBorders>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2 876</w:t>
            </w:r>
          </w:p>
        </w:tc>
        <w:tc>
          <w:tcPr>
            <w:tcW w:w="625" w:type="pct"/>
            <w:tcBorders>
              <w:top w:val="single" w:sz="4" w:space="0" w:color="auto"/>
            </w:tcBorders>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w:t>
            </w:r>
          </w:p>
        </w:tc>
        <w:tc>
          <w:tcPr>
            <w:tcW w:w="625" w:type="pct"/>
            <w:tcBorders>
              <w:top w:val="single" w:sz="4" w:space="0" w:color="auto"/>
            </w:tcBorders>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w:t>
            </w:r>
          </w:p>
        </w:tc>
        <w:tc>
          <w:tcPr>
            <w:tcW w:w="625" w:type="pct"/>
            <w:tcBorders>
              <w:top w:val="single" w:sz="4" w:space="0" w:color="auto"/>
            </w:tcBorders>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w:t>
            </w:r>
          </w:p>
        </w:tc>
      </w:tr>
      <w:tr w:rsidR="00D912FA" w:rsidRPr="00C24253" w:rsidTr="00974752">
        <w:trPr>
          <w:trHeight w:hRule="exact" w:val="284"/>
        </w:trPr>
        <w:tc>
          <w:tcPr>
            <w:tcW w:w="625"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1992</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19 072</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7 291</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26 363</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11 781</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w:t>
            </w:r>
          </w:p>
        </w:tc>
      </w:tr>
      <w:tr w:rsidR="00D912FA" w:rsidRPr="00C24253" w:rsidTr="00974752">
        <w:trPr>
          <w:trHeight w:hRule="exact" w:val="284"/>
        </w:trPr>
        <w:tc>
          <w:tcPr>
            <w:tcW w:w="625"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1993</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12 900</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7 424</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20 324</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5 476</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w:t>
            </w:r>
          </w:p>
        </w:tc>
      </w:tr>
      <w:tr w:rsidR="00D912FA" w:rsidRPr="00C24253" w:rsidTr="00974752">
        <w:trPr>
          <w:trHeight w:hRule="exact" w:val="284"/>
        </w:trPr>
        <w:tc>
          <w:tcPr>
            <w:tcW w:w="625"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1994</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10 207</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265</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10 472</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9 942</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w:t>
            </w:r>
          </w:p>
        </w:tc>
      </w:tr>
      <w:tr w:rsidR="00D912FA" w:rsidRPr="00C24253" w:rsidTr="00974752">
        <w:trPr>
          <w:trHeight w:hRule="exact" w:val="284"/>
        </w:trPr>
        <w:tc>
          <w:tcPr>
            <w:tcW w:w="625"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1995*</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10 540</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541</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11 081</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9 999</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44,0</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84,5</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46,0</w:t>
            </w:r>
          </w:p>
        </w:tc>
      </w:tr>
      <w:tr w:rsidR="00D912FA" w:rsidRPr="00C24253" w:rsidTr="00974752">
        <w:trPr>
          <w:trHeight w:hRule="exact" w:val="284"/>
        </w:trPr>
        <w:tc>
          <w:tcPr>
            <w:tcW w:w="625"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1996</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10 857</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728</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11 585</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10 129</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31,8</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79,0</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34,7</w:t>
            </w:r>
          </w:p>
        </w:tc>
      </w:tr>
      <w:tr w:rsidR="00D912FA" w:rsidRPr="00C24253" w:rsidTr="00974752">
        <w:trPr>
          <w:trHeight w:hRule="exact" w:val="284"/>
        </w:trPr>
        <w:tc>
          <w:tcPr>
            <w:tcW w:w="625"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1997</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12 880</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805</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13 685</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12 075</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22,8</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85,2</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26,4</w:t>
            </w:r>
          </w:p>
        </w:tc>
      </w:tr>
      <w:tr w:rsidR="00D912FA" w:rsidRPr="00C24253" w:rsidTr="00974752">
        <w:trPr>
          <w:trHeight w:hRule="exact" w:val="284"/>
        </w:trPr>
        <w:tc>
          <w:tcPr>
            <w:tcW w:w="625"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1998</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10 729</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1 241</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11 970</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9 488</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26,0</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86,5</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32,2</w:t>
            </w:r>
          </w:p>
        </w:tc>
      </w:tr>
      <w:tr w:rsidR="00D912FA" w:rsidRPr="00C24253" w:rsidTr="00974752">
        <w:trPr>
          <w:trHeight w:hRule="exact" w:val="284"/>
        </w:trPr>
        <w:tc>
          <w:tcPr>
            <w:tcW w:w="625" w:type="pct"/>
            <w:tcBorders>
              <w:bottom w:val="nil"/>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1999</w:t>
            </w:r>
          </w:p>
        </w:tc>
        <w:tc>
          <w:tcPr>
            <w:tcW w:w="625" w:type="pct"/>
            <w:tcBorders>
              <w:bottom w:val="nil"/>
            </w:tcBorders>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9 910</w:t>
            </w:r>
          </w:p>
        </w:tc>
        <w:tc>
          <w:tcPr>
            <w:tcW w:w="625" w:type="pct"/>
            <w:tcBorders>
              <w:bottom w:val="nil"/>
            </w:tcBorders>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1 136</w:t>
            </w:r>
          </w:p>
        </w:tc>
        <w:tc>
          <w:tcPr>
            <w:tcW w:w="625" w:type="pct"/>
            <w:tcBorders>
              <w:bottom w:val="nil"/>
            </w:tcBorders>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11 046</w:t>
            </w:r>
          </w:p>
        </w:tc>
        <w:tc>
          <w:tcPr>
            <w:tcW w:w="625" w:type="pct"/>
            <w:tcBorders>
              <w:bottom w:val="nil"/>
            </w:tcBorders>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8 774</w:t>
            </w:r>
          </w:p>
        </w:tc>
        <w:tc>
          <w:tcPr>
            <w:tcW w:w="625" w:type="pct"/>
            <w:tcBorders>
              <w:bottom w:val="nil"/>
            </w:tcBorders>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31,3</w:t>
            </w:r>
          </w:p>
        </w:tc>
        <w:tc>
          <w:tcPr>
            <w:tcW w:w="625" w:type="pct"/>
            <w:tcBorders>
              <w:bottom w:val="nil"/>
            </w:tcBorders>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89,2</w:t>
            </w:r>
          </w:p>
        </w:tc>
        <w:tc>
          <w:tcPr>
            <w:tcW w:w="625" w:type="pct"/>
            <w:tcBorders>
              <w:bottom w:val="nil"/>
            </w:tcBorders>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37,2</w:t>
            </w:r>
          </w:p>
        </w:tc>
      </w:tr>
      <w:tr w:rsidR="00D912FA" w:rsidRPr="00C24253" w:rsidTr="00974752">
        <w:trPr>
          <w:trHeight w:hRule="exact" w:val="284"/>
        </w:trPr>
        <w:tc>
          <w:tcPr>
            <w:tcW w:w="625" w:type="pct"/>
            <w:tcBorders>
              <w:top w:val="nil"/>
              <w:bottom w:val="dotted"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2000</w:t>
            </w:r>
          </w:p>
        </w:tc>
        <w:tc>
          <w:tcPr>
            <w:tcW w:w="625" w:type="pct"/>
            <w:tcBorders>
              <w:top w:val="nil"/>
              <w:bottom w:val="dotted" w:sz="4" w:space="0" w:color="auto"/>
            </w:tcBorders>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7 802</w:t>
            </w:r>
          </w:p>
        </w:tc>
        <w:tc>
          <w:tcPr>
            <w:tcW w:w="625" w:type="pct"/>
            <w:tcBorders>
              <w:top w:val="nil"/>
              <w:bottom w:val="dotted" w:sz="4" w:space="0" w:color="auto"/>
            </w:tcBorders>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1 263</w:t>
            </w:r>
          </w:p>
        </w:tc>
        <w:tc>
          <w:tcPr>
            <w:tcW w:w="625" w:type="pct"/>
            <w:tcBorders>
              <w:top w:val="nil"/>
              <w:bottom w:val="dotted" w:sz="4" w:space="0" w:color="auto"/>
            </w:tcBorders>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9 065</w:t>
            </w:r>
          </w:p>
        </w:tc>
        <w:tc>
          <w:tcPr>
            <w:tcW w:w="625" w:type="pct"/>
            <w:tcBorders>
              <w:top w:val="nil"/>
              <w:bottom w:val="dotted" w:sz="4" w:space="0" w:color="auto"/>
            </w:tcBorders>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6 539</w:t>
            </w:r>
          </w:p>
        </w:tc>
        <w:tc>
          <w:tcPr>
            <w:tcW w:w="625" w:type="pct"/>
            <w:tcBorders>
              <w:top w:val="nil"/>
              <w:bottom w:val="dotted" w:sz="4" w:space="0" w:color="auto"/>
            </w:tcBorders>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45,8</w:t>
            </w:r>
          </w:p>
        </w:tc>
        <w:tc>
          <w:tcPr>
            <w:tcW w:w="625" w:type="pct"/>
            <w:tcBorders>
              <w:top w:val="nil"/>
              <w:bottom w:val="dotted" w:sz="4" w:space="0" w:color="auto"/>
            </w:tcBorders>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87,3</w:t>
            </w:r>
          </w:p>
        </w:tc>
        <w:tc>
          <w:tcPr>
            <w:tcW w:w="625" w:type="pct"/>
            <w:tcBorders>
              <w:top w:val="nil"/>
              <w:bottom w:val="dotted" w:sz="4" w:space="0" w:color="auto"/>
            </w:tcBorders>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51,6</w:t>
            </w:r>
          </w:p>
        </w:tc>
      </w:tr>
      <w:tr w:rsidR="00D912FA" w:rsidRPr="00C24253" w:rsidTr="00974752">
        <w:trPr>
          <w:trHeight w:hRule="exact" w:val="284"/>
        </w:trPr>
        <w:tc>
          <w:tcPr>
            <w:tcW w:w="625" w:type="pct"/>
            <w:tcBorders>
              <w:top w:val="dotted"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2001</w:t>
            </w:r>
          </w:p>
        </w:tc>
        <w:tc>
          <w:tcPr>
            <w:tcW w:w="625" w:type="pct"/>
            <w:tcBorders>
              <w:top w:val="dotted" w:sz="4" w:space="0" w:color="auto"/>
            </w:tcBorders>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12 918</w:t>
            </w:r>
          </w:p>
        </w:tc>
        <w:tc>
          <w:tcPr>
            <w:tcW w:w="625" w:type="pct"/>
            <w:tcBorders>
              <w:top w:val="dotted" w:sz="4" w:space="0" w:color="auto"/>
            </w:tcBorders>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21 469</w:t>
            </w:r>
          </w:p>
        </w:tc>
        <w:tc>
          <w:tcPr>
            <w:tcW w:w="625" w:type="pct"/>
            <w:tcBorders>
              <w:top w:val="dotted" w:sz="4" w:space="0" w:color="auto"/>
            </w:tcBorders>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34 387</w:t>
            </w:r>
          </w:p>
        </w:tc>
        <w:tc>
          <w:tcPr>
            <w:tcW w:w="625" w:type="pct"/>
            <w:tcBorders>
              <w:top w:val="dotted" w:sz="4" w:space="0" w:color="auto"/>
            </w:tcBorders>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-8 551</w:t>
            </w:r>
          </w:p>
        </w:tc>
        <w:tc>
          <w:tcPr>
            <w:tcW w:w="625" w:type="pct"/>
            <w:tcBorders>
              <w:top w:val="dotted" w:sz="4" w:space="0" w:color="auto"/>
            </w:tcBorders>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12,3</w:t>
            </w:r>
          </w:p>
        </w:tc>
        <w:tc>
          <w:tcPr>
            <w:tcW w:w="625" w:type="pct"/>
            <w:tcBorders>
              <w:top w:val="dotted" w:sz="4" w:space="0" w:color="auto"/>
            </w:tcBorders>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4,2</w:t>
            </w:r>
          </w:p>
        </w:tc>
        <w:tc>
          <w:tcPr>
            <w:tcW w:w="625" w:type="pct"/>
            <w:tcBorders>
              <w:top w:val="dotted" w:sz="4" w:space="0" w:color="auto"/>
            </w:tcBorders>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7,3</w:t>
            </w:r>
          </w:p>
        </w:tc>
      </w:tr>
      <w:tr w:rsidR="00D912FA" w:rsidRPr="00C24253" w:rsidTr="00974752">
        <w:trPr>
          <w:trHeight w:hRule="exact" w:val="284"/>
        </w:trPr>
        <w:tc>
          <w:tcPr>
            <w:tcW w:w="625"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2002</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44 679</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32 389</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77 068</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12 290</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2,3</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4,0</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3,0</w:t>
            </w:r>
          </w:p>
        </w:tc>
      </w:tr>
      <w:tr w:rsidR="00D912FA" w:rsidRPr="00C24253" w:rsidTr="00974752">
        <w:trPr>
          <w:trHeight w:hRule="exact" w:val="284"/>
        </w:trPr>
        <w:tc>
          <w:tcPr>
            <w:tcW w:w="625"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2003</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60 015</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34 226</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94 241</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25 789</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4,3</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3,0</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3,8</w:t>
            </w:r>
          </w:p>
        </w:tc>
      </w:tr>
      <w:tr w:rsidR="00D912FA" w:rsidRPr="00C24253" w:rsidTr="00974752">
        <w:trPr>
          <w:trHeight w:hRule="exact" w:val="284"/>
        </w:trPr>
        <w:tc>
          <w:tcPr>
            <w:tcW w:w="625"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2004</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53 453</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34 818</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88 271</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18 635</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5,0</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3,0</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4,2</w:t>
            </w:r>
          </w:p>
        </w:tc>
      </w:tr>
      <w:tr w:rsidR="00D912FA" w:rsidRPr="00C24253" w:rsidTr="00974752">
        <w:trPr>
          <w:trHeight w:hRule="exact" w:val="284"/>
        </w:trPr>
        <w:tc>
          <w:tcPr>
            <w:tcW w:w="625"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2005</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60 294</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24 065</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84 359</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36 229</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2,8</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9,4</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4,7</w:t>
            </w:r>
          </w:p>
        </w:tc>
      </w:tr>
      <w:tr w:rsidR="00D912FA" w:rsidRPr="00C24253" w:rsidTr="00974752">
        <w:trPr>
          <w:trHeight w:hRule="exact" w:val="284"/>
        </w:trPr>
        <w:tc>
          <w:tcPr>
            <w:tcW w:w="625"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2006</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68 183</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33 463</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101 646</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34 720</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3,0</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6,2</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4,1</w:t>
            </w:r>
          </w:p>
        </w:tc>
      </w:tr>
      <w:tr w:rsidR="00D912FA" w:rsidRPr="00C24253" w:rsidTr="00974752">
        <w:trPr>
          <w:trHeight w:hRule="exact" w:val="284"/>
        </w:trPr>
        <w:tc>
          <w:tcPr>
            <w:tcW w:w="625"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2007</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104 445</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20 500</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124 945</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83 945</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1,9</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10,1</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3,2</w:t>
            </w:r>
          </w:p>
        </w:tc>
      </w:tr>
      <w:tr w:rsidR="00D912FA" w:rsidRPr="00C24253" w:rsidTr="00974752">
        <w:trPr>
          <w:trHeight w:hRule="exact" w:val="284"/>
        </w:trPr>
        <w:tc>
          <w:tcPr>
            <w:tcW w:w="625"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2008</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77 817</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6 027</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83 844</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71 790</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2,1</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36,6</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4,6</w:t>
            </w:r>
          </w:p>
        </w:tc>
      </w:tr>
      <w:tr w:rsidR="00D912FA" w:rsidRPr="00C24253" w:rsidTr="00974752">
        <w:trPr>
          <w:trHeight w:hRule="exact" w:val="284"/>
        </w:trPr>
        <w:tc>
          <w:tcPr>
            <w:tcW w:w="625"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2009</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39 973</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11 629</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51 602</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28 344</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4,4</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19,6</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7,9</w:t>
            </w:r>
          </w:p>
        </w:tc>
      </w:tr>
      <w:tr w:rsidR="00D912FA" w:rsidRPr="00C24253" w:rsidTr="00974752">
        <w:trPr>
          <w:trHeight w:hRule="exact" w:val="284"/>
        </w:trPr>
        <w:tc>
          <w:tcPr>
            <w:tcW w:w="625"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2010</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30 515</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14 867</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45 382</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15 648</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8,1</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16,0</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10,7</w:t>
            </w:r>
          </w:p>
        </w:tc>
      </w:tr>
      <w:tr w:rsidR="00D912FA" w:rsidRPr="00C24253" w:rsidTr="00974752">
        <w:trPr>
          <w:trHeight w:hRule="exact" w:val="284"/>
        </w:trPr>
        <w:tc>
          <w:tcPr>
            <w:tcW w:w="625"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2011</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22 590</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5 701</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28 291</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16 889</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8,5</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56,7</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18,2</w:t>
            </w:r>
          </w:p>
        </w:tc>
      </w:tr>
      <w:tr w:rsidR="00D912FA" w:rsidRPr="00C24253" w:rsidTr="00974752">
        <w:trPr>
          <w:trHeight w:hRule="exact" w:val="284"/>
        </w:trPr>
        <w:tc>
          <w:tcPr>
            <w:tcW w:w="625"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2012</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30 298</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20 005</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50 303</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10 293</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5,6</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16,7</w:t>
            </w:r>
          </w:p>
        </w:tc>
        <w:tc>
          <w:tcPr>
            <w:tcW w:w="625" w:type="pct"/>
            <w:shd w:val="clear" w:color="auto" w:fill="auto"/>
            <w:noWrap/>
            <w:tcMar>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10,0</w:t>
            </w:r>
          </w:p>
        </w:tc>
      </w:tr>
    </w:tbl>
    <w:p w:rsidR="00D912FA" w:rsidRPr="00C24253" w:rsidRDefault="00D912FA" w:rsidP="00D912FA">
      <w:pPr>
        <w:spacing w:before="60"/>
        <w:rPr>
          <w:rFonts w:cs="Arial"/>
          <w:i/>
          <w:sz w:val="16"/>
          <w:szCs w:val="16"/>
        </w:rPr>
      </w:pPr>
      <w:r w:rsidRPr="00C24253">
        <w:rPr>
          <w:rFonts w:cs="Arial"/>
          <w:i/>
          <w:sz w:val="16"/>
          <w:szCs w:val="16"/>
        </w:rPr>
        <w:t>*Státní občanství se sleduje od roku 1995, předtím se sledovala národnost.</w:t>
      </w:r>
    </w:p>
    <w:p w:rsidR="00D912FA" w:rsidRPr="00C24253" w:rsidRDefault="00D912FA" w:rsidP="00D912FA">
      <w:pPr>
        <w:spacing w:before="360" w:after="120"/>
        <w:rPr>
          <w:rFonts w:cs="Arial"/>
          <w:sz w:val="20"/>
          <w:szCs w:val="20"/>
        </w:rPr>
      </w:pPr>
      <w:r w:rsidRPr="00C24253">
        <w:rPr>
          <w:rFonts w:cs="Arial"/>
          <w:sz w:val="20"/>
          <w:szCs w:val="20"/>
        </w:rPr>
        <w:t>Nejvyšší migrační zisky s občany Ukrajiny, Slovenska a Vietnamu v úhrnu přetrvávaly i po rozšíření statistiky o cizince s dlouhodobým a přechodným pobytem na území ČR, i když v v případě migrace se Slovenskou republikou, resp. s občany Slovenské republiky</w:t>
      </w:r>
      <w:r w:rsidRPr="00C24253">
        <w:rPr>
          <w:rStyle w:val="Znakapoznpodarou"/>
          <w:rFonts w:cs="Arial"/>
          <w:sz w:val="20"/>
          <w:szCs w:val="20"/>
        </w:rPr>
        <w:footnoteReference w:id="9"/>
      </w:r>
      <w:r w:rsidRPr="00C24253">
        <w:rPr>
          <w:rFonts w:cs="Arial"/>
          <w:sz w:val="20"/>
          <w:szCs w:val="20"/>
        </w:rPr>
        <w:t xml:space="preserve"> bylo v některých letech (2001-2002, 2004 a 2010) registr</w:t>
      </w:r>
      <w:r w:rsidRPr="00C24253">
        <w:rPr>
          <w:rFonts w:cs="Arial"/>
          <w:sz w:val="20"/>
          <w:szCs w:val="20"/>
        </w:rPr>
        <w:t>o</w:t>
      </w:r>
      <w:r w:rsidRPr="00C24253">
        <w:rPr>
          <w:rFonts w:cs="Arial"/>
          <w:sz w:val="20"/>
          <w:szCs w:val="20"/>
        </w:rPr>
        <w:t xml:space="preserve">váno saldo záporné. </w:t>
      </w:r>
    </w:p>
    <w:p w:rsidR="00D912FA" w:rsidRPr="00C24253" w:rsidRDefault="00D912FA" w:rsidP="00D912FA">
      <w:pPr>
        <w:spacing w:after="120"/>
        <w:rPr>
          <w:rFonts w:cs="Arial"/>
          <w:sz w:val="20"/>
          <w:szCs w:val="20"/>
        </w:rPr>
      </w:pPr>
      <w:r w:rsidRPr="00C24253">
        <w:rPr>
          <w:rFonts w:cs="Arial"/>
          <w:sz w:val="20"/>
          <w:szCs w:val="20"/>
        </w:rPr>
        <w:lastRenderedPageBreak/>
        <w:t>Ze zmíněné trojice zemí měla ČR v roce 2001 kladné saldo pouze s Vietnamem. Od roku 2009 se však ve statistice dle výše salda migrace podle státního občanství stěhující se osoby mezi prvními třemi objevuje také Rusko a v letech 2009-2010 USA. Polsko bylo třetí v roce 2002, Německo v roce 2012</w:t>
      </w:r>
      <w:r w:rsidRPr="00C24253">
        <w:rPr>
          <w:rStyle w:val="Znakapoznpodarou"/>
          <w:rFonts w:cs="Arial"/>
          <w:sz w:val="20"/>
          <w:szCs w:val="20"/>
        </w:rPr>
        <w:footnoteReference w:id="10"/>
      </w:r>
      <w:r w:rsidRPr="00C24253">
        <w:rPr>
          <w:rFonts w:cs="Arial"/>
          <w:sz w:val="20"/>
          <w:szCs w:val="20"/>
        </w:rPr>
        <w:t xml:space="preserve">. </w:t>
      </w:r>
    </w:p>
    <w:p w:rsidR="00D912FA" w:rsidRPr="00C24253" w:rsidRDefault="00D912FA" w:rsidP="00D912FA">
      <w:pPr>
        <w:spacing w:before="120" w:after="120"/>
        <w:rPr>
          <w:rFonts w:cs="Arial"/>
          <w:sz w:val="20"/>
          <w:szCs w:val="20"/>
        </w:rPr>
      </w:pPr>
      <w:r w:rsidRPr="00C24253">
        <w:rPr>
          <w:rFonts w:cs="Arial"/>
          <w:sz w:val="20"/>
          <w:szCs w:val="20"/>
        </w:rPr>
        <w:t>V roce 2004 bylo na třetím místě sice ještě stěhování občanů ČR, jejich váha na zahraniční migraci se po</w:t>
      </w:r>
      <w:r w:rsidRPr="00C24253">
        <w:rPr>
          <w:rFonts w:cs="Arial"/>
          <w:sz w:val="20"/>
          <w:szCs w:val="20"/>
        </w:rPr>
        <w:t>d</w:t>
      </w:r>
      <w:r w:rsidRPr="00C24253">
        <w:rPr>
          <w:rFonts w:cs="Arial"/>
          <w:sz w:val="20"/>
          <w:szCs w:val="20"/>
        </w:rPr>
        <w:t>statně snížila hned po rozšíření statistiky o další kategorie cizinců (i když</w:t>
      </w:r>
      <w:r w:rsidR="00D423B3">
        <w:rPr>
          <w:rFonts w:cs="Arial"/>
          <w:sz w:val="20"/>
          <w:szCs w:val="20"/>
        </w:rPr>
        <w:t xml:space="preserve"> v letech 2010-2012 byla zase o </w:t>
      </w:r>
      <w:r w:rsidRPr="00C24253">
        <w:rPr>
          <w:rFonts w:cs="Arial"/>
          <w:sz w:val="20"/>
          <w:szCs w:val="20"/>
        </w:rPr>
        <w:t xml:space="preserve">něco vyšší) a od roku 2005 se navíc jejich bilance až na jednu výjimku pohybovala v záporných číslech, zatímco v předcházejících deseti letech byla, opět pouze s odchylkou jednoho roku, kladná a vyšší. Tato statistika je však ovlivněna neúplnou evidencí vystěhovalých. </w:t>
      </w:r>
    </w:p>
    <w:p w:rsidR="00D912FA" w:rsidRPr="00C24253" w:rsidRDefault="00D912FA" w:rsidP="00D912FA">
      <w:pPr>
        <w:spacing w:after="120"/>
        <w:rPr>
          <w:rFonts w:cs="Arial"/>
          <w:sz w:val="20"/>
          <w:szCs w:val="20"/>
        </w:rPr>
      </w:pPr>
      <w:r w:rsidRPr="00C24253">
        <w:rPr>
          <w:rFonts w:cs="Arial"/>
          <w:sz w:val="20"/>
          <w:szCs w:val="20"/>
        </w:rPr>
        <w:t>Téměř pravidelné migrační zisky občanů Ukrajiny, Slovenska a Vietnamu vedly k tomu, že se občané těchto států stali nejpočetnějšími skupinami cizinců s povolením pobytu na území České republiky, resp. nejpoče</w:t>
      </w:r>
      <w:r w:rsidRPr="00C24253">
        <w:rPr>
          <w:rFonts w:cs="Arial"/>
          <w:sz w:val="20"/>
          <w:szCs w:val="20"/>
        </w:rPr>
        <w:t>t</w:t>
      </w:r>
      <w:r w:rsidRPr="00C24253">
        <w:rPr>
          <w:rFonts w:cs="Arial"/>
          <w:sz w:val="20"/>
          <w:szCs w:val="20"/>
        </w:rPr>
        <w:t>nějšími se staly cizinci s ukrajinským státním občanstvím (ke dni sčítání v roce 2011 jich bylo sečteno ce</w:t>
      </w:r>
      <w:r w:rsidRPr="00C24253">
        <w:rPr>
          <w:rFonts w:cs="Arial"/>
          <w:sz w:val="20"/>
          <w:szCs w:val="20"/>
        </w:rPr>
        <w:t>l</w:t>
      </w:r>
      <w:r w:rsidRPr="00C24253">
        <w:rPr>
          <w:rFonts w:cs="Arial"/>
          <w:sz w:val="20"/>
          <w:szCs w:val="20"/>
        </w:rPr>
        <w:t>kem 116,1 tisíce s obvyklým pobytem), druhou nejčetnější skupinou cizinců na našem území jsou v současnosti Slováci (82,3 tisíce) a třetí Vietnamci (52,6 tisíce). Celkové registrované saldo zahraniční m</w:t>
      </w:r>
      <w:r w:rsidRPr="00C24253">
        <w:rPr>
          <w:rFonts w:cs="Arial"/>
          <w:sz w:val="20"/>
          <w:szCs w:val="20"/>
        </w:rPr>
        <w:t>i</w:t>
      </w:r>
      <w:r w:rsidRPr="00C24253">
        <w:rPr>
          <w:rFonts w:cs="Arial"/>
          <w:sz w:val="20"/>
          <w:szCs w:val="20"/>
        </w:rPr>
        <w:t>grace v letech 2001-2012 bylo kladné, a to ve výši 346,0 tisíce.</w:t>
      </w:r>
    </w:p>
    <w:p w:rsidR="00D912FA" w:rsidRPr="00C24253" w:rsidRDefault="00D912FA" w:rsidP="00D912FA">
      <w:pPr>
        <w:spacing w:before="360"/>
        <w:rPr>
          <w:rFonts w:cs="Arial"/>
          <w:b/>
          <w:sz w:val="20"/>
          <w:szCs w:val="20"/>
        </w:rPr>
      </w:pPr>
      <w:r w:rsidRPr="00C24253">
        <w:rPr>
          <w:rFonts w:cs="Arial"/>
          <w:b/>
          <w:sz w:val="20"/>
          <w:szCs w:val="20"/>
        </w:rPr>
        <w:t xml:space="preserve">Saldo zahraničního stěhování podle země/státního občanství v letech 1991 až 2012 </w:t>
      </w:r>
    </w:p>
    <w:p w:rsidR="00D912FA" w:rsidRPr="00C24253" w:rsidRDefault="00D912FA" w:rsidP="00D912FA">
      <w:pPr>
        <w:spacing w:after="120"/>
        <w:rPr>
          <w:rFonts w:cs="Arial"/>
          <w:sz w:val="20"/>
          <w:szCs w:val="20"/>
        </w:rPr>
      </w:pPr>
      <w:r w:rsidRPr="00C24253">
        <w:rPr>
          <w:rFonts w:cs="Arial"/>
          <w:sz w:val="20"/>
          <w:szCs w:val="20"/>
        </w:rPr>
        <w:t xml:space="preserve">(první tři země s nejvyšším saldem v daném roce) </w:t>
      </w:r>
    </w:p>
    <w:tbl>
      <w:tblPr>
        <w:tblW w:w="4950" w:type="pct"/>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tblPr>
      <w:tblGrid>
        <w:gridCol w:w="1383"/>
        <w:gridCol w:w="1383"/>
        <w:gridCol w:w="1386"/>
        <w:gridCol w:w="1382"/>
        <w:gridCol w:w="1382"/>
        <w:gridCol w:w="1382"/>
        <w:gridCol w:w="1382"/>
      </w:tblGrid>
      <w:tr w:rsidR="00D912FA" w:rsidRPr="00C24253" w:rsidTr="00974752">
        <w:trPr>
          <w:trHeight w:hRule="exact" w:val="340"/>
        </w:trPr>
        <w:tc>
          <w:tcPr>
            <w:tcW w:w="714" w:type="pct"/>
            <w:vMerge w:val="restart"/>
            <w:tcBorders>
              <w:top w:val="single" w:sz="4" w:space="0" w:color="auto"/>
              <w:bottom w:val="nil"/>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Rok</w:t>
            </w:r>
          </w:p>
        </w:tc>
        <w:tc>
          <w:tcPr>
            <w:tcW w:w="1430" w:type="pct"/>
            <w:gridSpan w:val="2"/>
            <w:tcBorders>
              <w:top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1. místo</w:t>
            </w:r>
          </w:p>
        </w:tc>
        <w:tc>
          <w:tcPr>
            <w:tcW w:w="1428" w:type="pct"/>
            <w:gridSpan w:val="2"/>
            <w:tcBorders>
              <w:top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 místo</w:t>
            </w:r>
          </w:p>
        </w:tc>
        <w:tc>
          <w:tcPr>
            <w:tcW w:w="1428" w:type="pct"/>
            <w:gridSpan w:val="2"/>
            <w:tcBorders>
              <w:top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3. místo</w:t>
            </w:r>
          </w:p>
        </w:tc>
      </w:tr>
      <w:tr w:rsidR="00D912FA" w:rsidRPr="00C24253" w:rsidTr="00974752">
        <w:trPr>
          <w:trHeight w:hRule="exact" w:val="340"/>
        </w:trPr>
        <w:tc>
          <w:tcPr>
            <w:tcW w:w="714" w:type="pct"/>
            <w:vMerge/>
            <w:tcBorders>
              <w:top w:val="nil"/>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p>
        </w:tc>
        <w:tc>
          <w:tcPr>
            <w:tcW w:w="714" w:type="pct"/>
            <w:tcBorders>
              <w:top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stát</w:t>
            </w:r>
          </w:p>
        </w:tc>
        <w:tc>
          <w:tcPr>
            <w:tcW w:w="716" w:type="pct"/>
            <w:tcBorders>
              <w:top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počet</w:t>
            </w:r>
          </w:p>
        </w:tc>
        <w:tc>
          <w:tcPr>
            <w:tcW w:w="714" w:type="pct"/>
            <w:tcBorders>
              <w:top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stát</w:t>
            </w:r>
          </w:p>
        </w:tc>
        <w:tc>
          <w:tcPr>
            <w:tcW w:w="714" w:type="pct"/>
            <w:tcBorders>
              <w:top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počet</w:t>
            </w:r>
          </w:p>
        </w:tc>
        <w:tc>
          <w:tcPr>
            <w:tcW w:w="714" w:type="pct"/>
            <w:tcBorders>
              <w:top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stát</w:t>
            </w:r>
          </w:p>
        </w:tc>
        <w:tc>
          <w:tcPr>
            <w:tcW w:w="714" w:type="pct"/>
            <w:tcBorders>
              <w:top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počet</w:t>
            </w:r>
          </w:p>
        </w:tc>
      </w:tr>
      <w:tr w:rsidR="00D912FA" w:rsidRPr="00C24253" w:rsidTr="00974752">
        <w:trPr>
          <w:trHeight w:hRule="exact" w:val="340"/>
        </w:trPr>
        <w:tc>
          <w:tcPr>
            <w:tcW w:w="5000" w:type="pct"/>
            <w:gridSpan w:val="7"/>
            <w:tcBorders>
              <w:top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podle země příchodu/odchodu</w:t>
            </w:r>
          </w:p>
        </w:tc>
      </w:tr>
      <w:tr w:rsidR="00D912FA" w:rsidRPr="00C24253" w:rsidTr="00974752">
        <w:trPr>
          <w:trHeight w:hRule="exact" w:val="284"/>
        </w:trPr>
        <w:tc>
          <w:tcPr>
            <w:tcW w:w="714" w:type="pct"/>
            <w:tcBorders>
              <w:top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1991</w:t>
            </w:r>
          </w:p>
        </w:tc>
        <w:tc>
          <w:tcPr>
            <w:tcW w:w="714" w:type="pct"/>
            <w:tcBorders>
              <w:top w:val="single" w:sz="4" w:space="0" w:color="auto"/>
            </w:tcBorders>
            <w:shd w:val="clear" w:color="auto" w:fill="auto"/>
            <w:noWrap/>
            <w:tcMar>
              <w:left w:w="142" w:type="dxa"/>
              <w:right w:w="142" w:type="dxa"/>
            </w:tcMar>
            <w:vAlign w:val="center"/>
            <w:hideMark/>
          </w:tcPr>
          <w:p w:rsidR="00D912FA" w:rsidRPr="00C24253" w:rsidRDefault="00D912FA" w:rsidP="00974752">
            <w:pPr>
              <w:rPr>
                <w:rFonts w:cs="Arial"/>
                <w:sz w:val="16"/>
                <w:szCs w:val="16"/>
              </w:rPr>
            </w:pPr>
            <w:r w:rsidRPr="00C24253">
              <w:rPr>
                <w:rFonts w:cs="Arial"/>
                <w:sz w:val="16"/>
                <w:szCs w:val="16"/>
              </w:rPr>
              <w:t>Slovensko</w:t>
            </w:r>
          </w:p>
        </w:tc>
        <w:tc>
          <w:tcPr>
            <w:tcW w:w="716" w:type="pct"/>
            <w:tcBorders>
              <w:top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1866</w:t>
            </w:r>
          </w:p>
        </w:tc>
        <w:tc>
          <w:tcPr>
            <w:tcW w:w="714" w:type="pct"/>
            <w:tcBorders>
              <w:top w:val="single" w:sz="4" w:space="0" w:color="auto"/>
            </w:tcBorders>
            <w:shd w:val="clear" w:color="auto" w:fill="auto"/>
            <w:noWrap/>
            <w:tcMar>
              <w:left w:w="142" w:type="dxa"/>
              <w:right w:w="142" w:type="dxa"/>
            </w:tcMar>
            <w:vAlign w:val="center"/>
            <w:hideMark/>
          </w:tcPr>
          <w:p w:rsidR="00D912FA" w:rsidRPr="00C24253" w:rsidRDefault="00D912FA" w:rsidP="00974752">
            <w:pPr>
              <w:rPr>
                <w:rFonts w:cs="Arial"/>
                <w:sz w:val="16"/>
                <w:szCs w:val="16"/>
              </w:rPr>
            </w:pPr>
            <w:r w:rsidRPr="00C24253">
              <w:rPr>
                <w:rFonts w:cs="Arial"/>
                <w:sz w:val="16"/>
                <w:szCs w:val="16"/>
              </w:rPr>
              <w:t>SSSR</w:t>
            </w:r>
          </w:p>
        </w:tc>
        <w:tc>
          <w:tcPr>
            <w:tcW w:w="714" w:type="pct"/>
            <w:tcBorders>
              <w:top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659</w:t>
            </w:r>
          </w:p>
        </w:tc>
        <w:tc>
          <w:tcPr>
            <w:tcW w:w="714" w:type="pct"/>
            <w:tcBorders>
              <w:top w:val="single" w:sz="4" w:space="0" w:color="auto"/>
            </w:tcBorders>
            <w:shd w:val="clear" w:color="auto" w:fill="auto"/>
            <w:noWrap/>
            <w:tcMar>
              <w:left w:w="142" w:type="dxa"/>
              <w:right w:w="142" w:type="dxa"/>
            </w:tcMar>
            <w:vAlign w:val="center"/>
            <w:hideMark/>
          </w:tcPr>
          <w:p w:rsidR="00D912FA" w:rsidRPr="00C24253" w:rsidRDefault="00D912FA" w:rsidP="00974752">
            <w:pPr>
              <w:rPr>
                <w:rFonts w:cs="Arial"/>
                <w:sz w:val="16"/>
                <w:szCs w:val="16"/>
              </w:rPr>
            </w:pPr>
            <w:r w:rsidRPr="00C24253">
              <w:rPr>
                <w:rFonts w:cs="Arial"/>
                <w:sz w:val="16"/>
                <w:szCs w:val="16"/>
              </w:rPr>
              <w:t>Kanada</w:t>
            </w:r>
          </w:p>
        </w:tc>
        <w:tc>
          <w:tcPr>
            <w:tcW w:w="714" w:type="pct"/>
            <w:tcBorders>
              <w:top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347</w:t>
            </w:r>
          </w:p>
        </w:tc>
      </w:tr>
      <w:tr w:rsidR="00D912FA" w:rsidRPr="00C24253" w:rsidTr="00974752">
        <w:trPr>
          <w:trHeight w:hRule="exact" w:val="284"/>
        </w:trPr>
        <w:tc>
          <w:tcPr>
            <w:tcW w:w="714"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1992</w:t>
            </w:r>
          </w:p>
        </w:tc>
        <w:tc>
          <w:tcPr>
            <w:tcW w:w="714" w:type="pct"/>
            <w:shd w:val="clear" w:color="auto" w:fill="auto"/>
            <w:noWrap/>
            <w:tcMar>
              <w:left w:w="142" w:type="dxa"/>
              <w:right w:w="142" w:type="dxa"/>
            </w:tcMar>
            <w:vAlign w:val="center"/>
            <w:hideMark/>
          </w:tcPr>
          <w:p w:rsidR="00D912FA" w:rsidRPr="00C24253" w:rsidRDefault="00D912FA" w:rsidP="00974752">
            <w:pPr>
              <w:rPr>
                <w:rFonts w:cs="Arial"/>
                <w:sz w:val="16"/>
                <w:szCs w:val="16"/>
              </w:rPr>
            </w:pPr>
            <w:r w:rsidRPr="00C24253">
              <w:rPr>
                <w:rFonts w:cs="Arial"/>
                <w:sz w:val="16"/>
                <w:szCs w:val="16"/>
              </w:rPr>
              <w:t>Slovensko</w:t>
            </w:r>
          </w:p>
        </w:tc>
        <w:tc>
          <w:tcPr>
            <w:tcW w:w="71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4917</w:t>
            </w:r>
          </w:p>
        </w:tc>
        <w:tc>
          <w:tcPr>
            <w:tcW w:w="714" w:type="pct"/>
            <w:shd w:val="clear" w:color="auto" w:fill="auto"/>
            <w:noWrap/>
            <w:tcMar>
              <w:left w:w="142" w:type="dxa"/>
              <w:right w:w="142" w:type="dxa"/>
            </w:tcMar>
            <w:vAlign w:val="center"/>
            <w:hideMark/>
          </w:tcPr>
          <w:p w:rsidR="00D912FA" w:rsidRPr="00C24253" w:rsidRDefault="00D912FA" w:rsidP="00974752">
            <w:pPr>
              <w:rPr>
                <w:rFonts w:cs="Arial"/>
                <w:sz w:val="16"/>
                <w:szCs w:val="16"/>
              </w:rPr>
            </w:pPr>
            <w:r w:rsidRPr="00C24253">
              <w:rPr>
                <w:rFonts w:cs="Arial"/>
                <w:sz w:val="16"/>
                <w:szCs w:val="16"/>
              </w:rPr>
              <w:t>Německo</w:t>
            </w:r>
          </w:p>
        </w:tc>
        <w:tc>
          <w:tcPr>
            <w:tcW w:w="714"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1466</w:t>
            </w:r>
          </w:p>
        </w:tc>
        <w:tc>
          <w:tcPr>
            <w:tcW w:w="714" w:type="pct"/>
            <w:shd w:val="clear" w:color="auto" w:fill="auto"/>
            <w:noWrap/>
            <w:tcMar>
              <w:left w:w="142" w:type="dxa"/>
              <w:right w:w="142" w:type="dxa"/>
            </w:tcMar>
            <w:vAlign w:val="center"/>
            <w:hideMark/>
          </w:tcPr>
          <w:p w:rsidR="00D912FA" w:rsidRPr="00C24253" w:rsidRDefault="00D912FA" w:rsidP="00974752">
            <w:pPr>
              <w:rPr>
                <w:rFonts w:cs="Arial"/>
                <w:sz w:val="16"/>
                <w:szCs w:val="16"/>
              </w:rPr>
            </w:pPr>
            <w:r w:rsidRPr="00C24253">
              <w:rPr>
                <w:rFonts w:cs="Arial"/>
                <w:sz w:val="16"/>
                <w:szCs w:val="16"/>
              </w:rPr>
              <w:t>Kanada</w:t>
            </w:r>
          </w:p>
        </w:tc>
        <w:tc>
          <w:tcPr>
            <w:tcW w:w="714"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580</w:t>
            </w:r>
          </w:p>
        </w:tc>
      </w:tr>
      <w:tr w:rsidR="00D912FA" w:rsidRPr="00C24253" w:rsidTr="00974752">
        <w:trPr>
          <w:trHeight w:hRule="exact" w:val="284"/>
        </w:trPr>
        <w:tc>
          <w:tcPr>
            <w:tcW w:w="714" w:type="pct"/>
            <w:tcBorders>
              <w:bottom w:val="nil"/>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1993</w:t>
            </w:r>
          </w:p>
        </w:tc>
        <w:tc>
          <w:tcPr>
            <w:tcW w:w="714" w:type="pct"/>
            <w:tcBorders>
              <w:bottom w:val="nil"/>
            </w:tcBorders>
            <w:shd w:val="clear" w:color="auto" w:fill="auto"/>
            <w:noWrap/>
            <w:tcMar>
              <w:left w:w="142" w:type="dxa"/>
              <w:right w:w="142" w:type="dxa"/>
            </w:tcMar>
            <w:vAlign w:val="center"/>
            <w:hideMark/>
          </w:tcPr>
          <w:p w:rsidR="00D912FA" w:rsidRPr="00C24253" w:rsidRDefault="00D912FA" w:rsidP="00974752">
            <w:pPr>
              <w:rPr>
                <w:rFonts w:cs="Arial"/>
                <w:sz w:val="16"/>
                <w:szCs w:val="16"/>
              </w:rPr>
            </w:pPr>
            <w:r w:rsidRPr="00C24253">
              <w:rPr>
                <w:rFonts w:cs="Arial"/>
                <w:sz w:val="16"/>
                <w:szCs w:val="16"/>
              </w:rPr>
              <w:t>Německo</w:t>
            </w:r>
          </w:p>
        </w:tc>
        <w:tc>
          <w:tcPr>
            <w:tcW w:w="716" w:type="pct"/>
            <w:tcBorders>
              <w:bottom w:val="nil"/>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1312</w:t>
            </w:r>
          </w:p>
        </w:tc>
        <w:tc>
          <w:tcPr>
            <w:tcW w:w="714" w:type="pct"/>
            <w:tcBorders>
              <w:bottom w:val="nil"/>
            </w:tcBorders>
            <w:shd w:val="clear" w:color="auto" w:fill="auto"/>
            <w:noWrap/>
            <w:tcMar>
              <w:left w:w="142" w:type="dxa"/>
              <w:right w:w="142" w:type="dxa"/>
            </w:tcMar>
            <w:vAlign w:val="center"/>
            <w:hideMark/>
          </w:tcPr>
          <w:p w:rsidR="00D912FA" w:rsidRPr="00C24253" w:rsidRDefault="00D912FA" w:rsidP="00974752">
            <w:pPr>
              <w:rPr>
                <w:rFonts w:cs="Arial"/>
                <w:sz w:val="16"/>
                <w:szCs w:val="16"/>
              </w:rPr>
            </w:pPr>
            <w:r w:rsidRPr="00C24253">
              <w:rPr>
                <w:rFonts w:cs="Arial"/>
                <w:sz w:val="16"/>
                <w:szCs w:val="16"/>
              </w:rPr>
              <w:t>Kanada</w:t>
            </w:r>
          </w:p>
        </w:tc>
        <w:tc>
          <w:tcPr>
            <w:tcW w:w="714" w:type="pct"/>
            <w:tcBorders>
              <w:bottom w:val="nil"/>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412</w:t>
            </w:r>
          </w:p>
        </w:tc>
        <w:tc>
          <w:tcPr>
            <w:tcW w:w="714" w:type="pct"/>
            <w:tcBorders>
              <w:bottom w:val="nil"/>
            </w:tcBorders>
            <w:shd w:val="clear" w:color="auto" w:fill="auto"/>
            <w:noWrap/>
            <w:tcMar>
              <w:left w:w="142" w:type="dxa"/>
              <w:right w:w="142" w:type="dxa"/>
            </w:tcMar>
            <w:vAlign w:val="center"/>
            <w:hideMark/>
          </w:tcPr>
          <w:p w:rsidR="00D912FA" w:rsidRPr="00C24253" w:rsidRDefault="00D912FA" w:rsidP="00974752">
            <w:pPr>
              <w:rPr>
                <w:rFonts w:cs="Arial"/>
                <w:sz w:val="16"/>
                <w:szCs w:val="16"/>
              </w:rPr>
            </w:pPr>
            <w:r w:rsidRPr="00C24253">
              <w:rPr>
                <w:rFonts w:cs="Arial"/>
                <w:sz w:val="16"/>
                <w:szCs w:val="16"/>
              </w:rPr>
              <w:t>Švýcarsko</w:t>
            </w:r>
          </w:p>
        </w:tc>
        <w:tc>
          <w:tcPr>
            <w:tcW w:w="714" w:type="pct"/>
            <w:tcBorders>
              <w:bottom w:val="nil"/>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397</w:t>
            </w:r>
          </w:p>
        </w:tc>
      </w:tr>
      <w:tr w:rsidR="00D912FA" w:rsidRPr="00C24253" w:rsidTr="00974752">
        <w:trPr>
          <w:trHeight w:hRule="exact" w:val="284"/>
        </w:trPr>
        <w:tc>
          <w:tcPr>
            <w:tcW w:w="714" w:type="pct"/>
            <w:tcBorders>
              <w:top w:val="nil"/>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1994</w:t>
            </w:r>
          </w:p>
        </w:tc>
        <w:tc>
          <w:tcPr>
            <w:tcW w:w="714" w:type="pct"/>
            <w:tcBorders>
              <w:top w:val="nil"/>
              <w:bottom w:val="single" w:sz="4" w:space="0" w:color="auto"/>
            </w:tcBorders>
            <w:shd w:val="clear" w:color="auto" w:fill="auto"/>
            <w:noWrap/>
            <w:tcMar>
              <w:left w:w="142" w:type="dxa"/>
              <w:right w:w="142" w:type="dxa"/>
            </w:tcMar>
            <w:vAlign w:val="center"/>
            <w:hideMark/>
          </w:tcPr>
          <w:p w:rsidR="00D912FA" w:rsidRPr="00C24253" w:rsidRDefault="00D912FA" w:rsidP="00974752">
            <w:pPr>
              <w:rPr>
                <w:rFonts w:cs="Arial"/>
                <w:sz w:val="16"/>
                <w:szCs w:val="16"/>
              </w:rPr>
            </w:pPr>
            <w:r w:rsidRPr="00C24253">
              <w:rPr>
                <w:rFonts w:cs="Arial"/>
                <w:sz w:val="16"/>
                <w:szCs w:val="16"/>
              </w:rPr>
              <w:t>Slovensko</w:t>
            </w:r>
          </w:p>
        </w:tc>
        <w:tc>
          <w:tcPr>
            <w:tcW w:w="716" w:type="pct"/>
            <w:tcBorders>
              <w:top w:val="nil"/>
              <w:bottom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4020</w:t>
            </w:r>
          </w:p>
        </w:tc>
        <w:tc>
          <w:tcPr>
            <w:tcW w:w="714" w:type="pct"/>
            <w:tcBorders>
              <w:top w:val="nil"/>
              <w:bottom w:val="single" w:sz="4" w:space="0" w:color="auto"/>
            </w:tcBorders>
            <w:shd w:val="clear" w:color="auto" w:fill="auto"/>
            <w:noWrap/>
            <w:tcMar>
              <w:left w:w="142" w:type="dxa"/>
              <w:right w:w="142" w:type="dxa"/>
            </w:tcMar>
            <w:vAlign w:val="center"/>
            <w:hideMark/>
          </w:tcPr>
          <w:p w:rsidR="00D912FA" w:rsidRPr="00C24253" w:rsidRDefault="00D912FA" w:rsidP="00974752">
            <w:pPr>
              <w:rPr>
                <w:rFonts w:cs="Arial"/>
                <w:sz w:val="16"/>
                <w:szCs w:val="16"/>
              </w:rPr>
            </w:pPr>
            <w:r w:rsidRPr="00C24253">
              <w:rPr>
                <w:rFonts w:cs="Arial"/>
                <w:sz w:val="16"/>
                <w:szCs w:val="16"/>
              </w:rPr>
              <w:t>Německo</w:t>
            </w:r>
          </w:p>
        </w:tc>
        <w:tc>
          <w:tcPr>
            <w:tcW w:w="714" w:type="pct"/>
            <w:tcBorders>
              <w:top w:val="nil"/>
              <w:bottom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1266</w:t>
            </w:r>
          </w:p>
        </w:tc>
        <w:tc>
          <w:tcPr>
            <w:tcW w:w="714" w:type="pct"/>
            <w:tcBorders>
              <w:top w:val="nil"/>
              <w:bottom w:val="single" w:sz="4" w:space="0" w:color="auto"/>
            </w:tcBorders>
            <w:shd w:val="clear" w:color="auto" w:fill="auto"/>
            <w:noWrap/>
            <w:tcMar>
              <w:left w:w="142" w:type="dxa"/>
              <w:right w:w="142" w:type="dxa"/>
            </w:tcMar>
            <w:vAlign w:val="center"/>
            <w:hideMark/>
          </w:tcPr>
          <w:p w:rsidR="00D912FA" w:rsidRPr="00C24253" w:rsidRDefault="00D912FA" w:rsidP="00974752">
            <w:pPr>
              <w:rPr>
                <w:rFonts w:cs="Arial"/>
                <w:sz w:val="16"/>
                <w:szCs w:val="16"/>
              </w:rPr>
            </w:pPr>
            <w:r w:rsidRPr="00C24253">
              <w:rPr>
                <w:rFonts w:cs="Arial"/>
                <w:sz w:val="16"/>
                <w:szCs w:val="16"/>
              </w:rPr>
              <w:t>Ukrajina</w:t>
            </w:r>
          </w:p>
        </w:tc>
        <w:tc>
          <w:tcPr>
            <w:tcW w:w="714" w:type="pct"/>
            <w:tcBorders>
              <w:top w:val="nil"/>
              <w:bottom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455</w:t>
            </w:r>
          </w:p>
        </w:tc>
      </w:tr>
      <w:tr w:rsidR="00D912FA" w:rsidRPr="00C24253" w:rsidTr="00974752">
        <w:trPr>
          <w:trHeight w:hRule="exact" w:val="340"/>
        </w:trPr>
        <w:tc>
          <w:tcPr>
            <w:tcW w:w="5000" w:type="pct"/>
            <w:gridSpan w:val="7"/>
            <w:tcBorders>
              <w:top w:val="single" w:sz="4" w:space="0" w:color="auto"/>
              <w:bottom w:val="single" w:sz="4" w:space="0" w:color="auto"/>
            </w:tcBorders>
            <w:shd w:val="clear" w:color="auto" w:fill="auto"/>
            <w:noWrap/>
            <w:tcMar>
              <w:right w:w="142" w:type="dxa"/>
            </w:tcMar>
            <w:vAlign w:val="center"/>
            <w:hideMark/>
          </w:tcPr>
          <w:p w:rsidR="00D912FA" w:rsidRPr="00C24253" w:rsidRDefault="00D912FA" w:rsidP="00974752">
            <w:pPr>
              <w:jc w:val="center"/>
              <w:rPr>
                <w:rFonts w:cs="Arial"/>
                <w:sz w:val="16"/>
                <w:szCs w:val="16"/>
              </w:rPr>
            </w:pPr>
            <w:r w:rsidRPr="00C24253">
              <w:rPr>
                <w:rFonts w:cs="Arial"/>
                <w:sz w:val="16"/>
                <w:szCs w:val="16"/>
              </w:rPr>
              <w:t>podle státního občanství</w:t>
            </w:r>
            <w:r w:rsidRPr="00C24253">
              <w:rPr>
                <w:rFonts w:cs="Arial"/>
                <w:sz w:val="16"/>
                <w:szCs w:val="16"/>
                <w:vertAlign w:val="superscript"/>
              </w:rPr>
              <w:t>1)</w:t>
            </w:r>
          </w:p>
        </w:tc>
      </w:tr>
      <w:tr w:rsidR="00D912FA" w:rsidRPr="00C24253" w:rsidTr="00974752">
        <w:trPr>
          <w:trHeight w:hRule="exact" w:val="284"/>
        </w:trPr>
        <w:tc>
          <w:tcPr>
            <w:tcW w:w="714" w:type="pct"/>
            <w:tcBorders>
              <w:top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1995</w:t>
            </w:r>
          </w:p>
        </w:tc>
        <w:tc>
          <w:tcPr>
            <w:tcW w:w="714" w:type="pct"/>
            <w:tcBorders>
              <w:top w:val="single" w:sz="4" w:space="0" w:color="auto"/>
            </w:tcBorders>
            <w:shd w:val="clear" w:color="auto" w:fill="auto"/>
            <w:noWrap/>
            <w:tcMar>
              <w:left w:w="142" w:type="dxa"/>
              <w:right w:w="142" w:type="dxa"/>
            </w:tcMar>
            <w:vAlign w:val="center"/>
            <w:hideMark/>
          </w:tcPr>
          <w:p w:rsidR="00D912FA" w:rsidRPr="00C24253" w:rsidRDefault="00D912FA" w:rsidP="00974752">
            <w:pPr>
              <w:rPr>
                <w:rFonts w:cs="Arial"/>
                <w:sz w:val="16"/>
                <w:szCs w:val="16"/>
              </w:rPr>
            </w:pPr>
            <w:r w:rsidRPr="00C24253">
              <w:rPr>
                <w:rFonts w:cs="Arial"/>
                <w:sz w:val="16"/>
                <w:szCs w:val="16"/>
              </w:rPr>
              <w:t>ČR</w:t>
            </w:r>
          </w:p>
        </w:tc>
        <w:tc>
          <w:tcPr>
            <w:tcW w:w="716" w:type="pct"/>
            <w:tcBorders>
              <w:top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4 180</w:t>
            </w:r>
          </w:p>
        </w:tc>
        <w:tc>
          <w:tcPr>
            <w:tcW w:w="714" w:type="pct"/>
            <w:tcBorders>
              <w:top w:val="single" w:sz="4" w:space="0" w:color="auto"/>
            </w:tcBorders>
            <w:shd w:val="clear" w:color="auto" w:fill="auto"/>
            <w:noWrap/>
            <w:tcMar>
              <w:left w:w="142" w:type="dxa"/>
              <w:right w:w="142" w:type="dxa"/>
            </w:tcMar>
            <w:vAlign w:val="center"/>
            <w:hideMark/>
          </w:tcPr>
          <w:p w:rsidR="00D912FA" w:rsidRPr="00C24253" w:rsidRDefault="00D912FA" w:rsidP="00974752">
            <w:pPr>
              <w:rPr>
                <w:rFonts w:cs="Arial"/>
                <w:sz w:val="16"/>
                <w:szCs w:val="16"/>
              </w:rPr>
            </w:pPr>
            <w:r w:rsidRPr="00C24253">
              <w:rPr>
                <w:rFonts w:cs="Arial"/>
                <w:sz w:val="16"/>
                <w:szCs w:val="16"/>
              </w:rPr>
              <w:t>Slovensko</w:t>
            </w:r>
          </w:p>
        </w:tc>
        <w:tc>
          <w:tcPr>
            <w:tcW w:w="714" w:type="pct"/>
            <w:tcBorders>
              <w:top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2 513</w:t>
            </w:r>
          </w:p>
        </w:tc>
        <w:tc>
          <w:tcPr>
            <w:tcW w:w="714" w:type="pct"/>
            <w:tcBorders>
              <w:top w:val="single" w:sz="4" w:space="0" w:color="auto"/>
            </w:tcBorders>
            <w:shd w:val="clear" w:color="auto" w:fill="auto"/>
            <w:noWrap/>
            <w:tcMar>
              <w:left w:w="142" w:type="dxa"/>
              <w:right w:w="142" w:type="dxa"/>
            </w:tcMar>
            <w:vAlign w:val="center"/>
            <w:hideMark/>
          </w:tcPr>
          <w:p w:rsidR="00D912FA" w:rsidRPr="00C24253" w:rsidRDefault="00D912FA" w:rsidP="00974752">
            <w:pPr>
              <w:rPr>
                <w:rFonts w:cs="Arial"/>
                <w:sz w:val="16"/>
                <w:szCs w:val="16"/>
              </w:rPr>
            </w:pPr>
            <w:r w:rsidRPr="00C24253">
              <w:rPr>
                <w:rFonts w:cs="Arial"/>
                <w:sz w:val="16"/>
                <w:szCs w:val="16"/>
              </w:rPr>
              <w:t>Ukrajina</w:t>
            </w:r>
          </w:p>
        </w:tc>
        <w:tc>
          <w:tcPr>
            <w:tcW w:w="714" w:type="pct"/>
            <w:tcBorders>
              <w:top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650</w:t>
            </w:r>
          </w:p>
        </w:tc>
      </w:tr>
      <w:tr w:rsidR="00D912FA" w:rsidRPr="00C24253" w:rsidTr="00974752">
        <w:trPr>
          <w:trHeight w:hRule="exact" w:val="284"/>
        </w:trPr>
        <w:tc>
          <w:tcPr>
            <w:tcW w:w="714"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1996</w:t>
            </w:r>
          </w:p>
        </w:tc>
        <w:tc>
          <w:tcPr>
            <w:tcW w:w="714" w:type="pct"/>
            <w:shd w:val="clear" w:color="auto" w:fill="auto"/>
            <w:noWrap/>
            <w:tcMar>
              <w:left w:w="142" w:type="dxa"/>
              <w:right w:w="142" w:type="dxa"/>
            </w:tcMar>
            <w:vAlign w:val="center"/>
            <w:hideMark/>
          </w:tcPr>
          <w:p w:rsidR="00D912FA" w:rsidRPr="00C24253" w:rsidRDefault="00D912FA" w:rsidP="00974752">
            <w:pPr>
              <w:rPr>
                <w:rFonts w:cs="Arial"/>
                <w:sz w:val="16"/>
                <w:szCs w:val="16"/>
              </w:rPr>
            </w:pPr>
            <w:r w:rsidRPr="00C24253">
              <w:rPr>
                <w:rFonts w:cs="Arial"/>
                <w:sz w:val="16"/>
                <w:szCs w:val="16"/>
              </w:rPr>
              <w:t>ČR</w:t>
            </w:r>
          </w:p>
        </w:tc>
        <w:tc>
          <w:tcPr>
            <w:tcW w:w="71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2 874</w:t>
            </w:r>
          </w:p>
        </w:tc>
        <w:tc>
          <w:tcPr>
            <w:tcW w:w="714" w:type="pct"/>
            <w:shd w:val="clear" w:color="auto" w:fill="auto"/>
            <w:noWrap/>
            <w:tcMar>
              <w:left w:w="142" w:type="dxa"/>
              <w:right w:w="142" w:type="dxa"/>
            </w:tcMar>
            <w:vAlign w:val="center"/>
            <w:hideMark/>
          </w:tcPr>
          <w:p w:rsidR="00D912FA" w:rsidRPr="00C24253" w:rsidRDefault="00D912FA" w:rsidP="00974752">
            <w:pPr>
              <w:rPr>
                <w:rFonts w:cs="Arial"/>
                <w:sz w:val="16"/>
                <w:szCs w:val="16"/>
              </w:rPr>
            </w:pPr>
            <w:r w:rsidRPr="00C24253">
              <w:rPr>
                <w:rFonts w:cs="Arial"/>
                <w:sz w:val="16"/>
                <w:szCs w:val="16"/>
              </w:rPr>
              <w:t>Slovensko</w:t>
            </w:r>
          </w:p>
        </w:tc>
        <w:tc>
          <w:tcPr>
            <w:tcW w:w="714"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2 467</w:t>
            </w:r>
          </w:p>
        </w:tc>
        <w:tc>
          <w:tcPr>
            <w:tcW w:w="714" w:type="pct"/>
            <w:shd w:val="clear" w:color="auto" w:fill="auto"/>
            <w:noWrap/>
            <w:tcMar>
              <w:left w:w="142" w:type="dxa"/>
              <w:right w:w="142" w:type="dxa"/>
            </w:tcMar>
            <w:vAlign w:val="center"/>
            <w:hideMark/>
          </w:tcPr>
          <w:p w:rsidR="00D912FA" w:rsidRPr="00C24253" w:rsidRDefault="00D912FA" w:rsidP="00974752">
            <w:pPr>
              <w:rPr>
                <w:rFonts w:cs="Arial"/>
                <w:sz w:val="16"/>
                <w:szCs w:val="16"/>
              </w:rPr>
            </w:pPr>
            <w:r w:rsidRPr="00C24253">
              <w:rPr>
                <w:rFonts w:cs="Arial"/>
                <w:sz w:val="16"/>
                <w:szCs w:val="16"/>
              </w:rPr>
              <w:t>Ukrajina</w:t>
            </w:r>
          </w:p>
        </w:tc>
        <w:tc>
          <w:tcPr>
            <w:tcW w:w="714"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1 133</w:t>
            </w:r>
          </w:p>
        </w:tc>
      </w:tr>
      <w:tr w:rsidR="00D912FA" w:rsidRPr="00C24253" w:rsidTr="00974752">
        <w:trPr>
          <w:trHeight w:hRule="exact" w:val="284"/>
        </w:trPr>
        <w:tc>
          <w:tcPr>
            <w:tcW w:w="714"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1997</w:t>
            </w:r>
          </w:p>
        </w:tc>
        <w:tc>
          <w:tcPr>
            <w:tcW w:w="714" w:type="pct"/>
            <w:shd w:val="clear" w:color="auto" w:fill="auto"/>
            <w:noWrap/>
            <w:tcMar>
              <w:left w:w="142" w:type="dxa"/>
              <w:right w:w="142" w:type="dxa"/>
            </w:tcMar>
            <w:vAlign w:val="center"/>
            <w:hideMark/>
          </w:tcPr>
          <w:p w:rsidR="00D912FA" w:rsidRPr="00C24253" w:rsidRDefault="00D912FA" w:rsidP="00974752">
            <w:pPr>
              <w:rPr>
                <w:rFonts w:cs="Arial"/>
                <w:sz w:val="16"/>
                <w:szCs w:val="16"/>
              </w:rPr>
            </w:pPr>
            <w:r w:rsidRPr="00C24253">
              <w:rPr>
                <w:rFonts w:cs="Arial"/>
                <w:sz w:val="16"/>
                <w:szCs w:val="16"/>
              </w:rPr>
              <w:t>Slovensko</w:t>
            </w:r>
          </w:p>
        </w:tc>
        <w:tc>
          <w:tcPr>
            <w:tcW w:w="71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2 294</w:t>
            </w:r>
          </w:p>
        </w:tc>
        <w:tc>
          <w:tcPr>
            <w:tcW w:w="714" w:type="pct"/>
            <w:shd w:val="clear" w:color="auto" w:fill="auto"/>
            <w:noWrap/>
            <w:tcMar>
              <w:left w:w="142" w:type="dxa"/>
              <w:right w:w="142" w:type="dxa"/>
            </w:tcMar>
            <w:vAlign w:val="center"/>
            <w:hideMark/>
          </w:tcPr>
          <w:p w:rsidR="00D912FA" w:rsidRPr="00C24253" w:rsidRDefault="00D912FA" w:rsidP="00974752">
            <w:pPr>
              <w:rPr>
                <w:rFonts w:cs="Arial"/>
                <w:sz w:val="16"/>
                <w:szCs w:val="16"/>
              </w:rPr>
            </w:pPr>
            <w:r w:rsidRPr="00C24253">
              <w:rPr>
                <w:rFonts w:cs="Arial"/>
                <w:sz w:val="16"/>
                <w:szCs w:val="16"/>
              </w:rPr>
              <w:t>ČR</w:t>
            </w:r>
          </w:p>
        </w:tc>
        <w:tc>
          <w:tcPr>
            <w:tcW w:w="714"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2 245</w:t>
            </w:r>
          </w:p>
        </w:tc>
        <w:tc>
          <w:tcPr>
            <w:tcW w:w="714" w:type="pct"/>
            <w:shd w:val="clear" w:color="auto" w:fill="auto"/>
            <w:noWrap/>
            <w:tcMar>
              <w:left w:w="142" w:type="dxa"/>
              <w:right w:w="142" w:type="dxa"/>
            </w:tcMar>
            <w:vAlign w:val="center"/>
            <w:hideMark/>
          </w:tcPr>
          <w:p w:rsidR="00D912FA" w:rsidRPr="00C24253" w:rsidRDefault="00D912FA" w:rsidP="00974752">
            <w:pPr>
              <w:rPr>
                <w:rFonts w:cs="Arial"/>
                <w:sz w:val="16"/>
                <w:szCs w:val="16"/>
              </w:rPr>
            </w:pPr>
            <w:r w:rsidRPr="00C24253">
              <w:rPr>
                <w:rFonts w:cs="Arial"/>
                <w:sz w:val="16"/>
                <w:szCs w:val="16"/>
              </w:rPr>
              <w:t>Vietnam</w:t>
            </w:r>
          </w:p>
        </w:tc>
        <w:tc>
          <w:tcPr>
            <w:tcW w:w="714"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1 659</w:t>
            </w:r>
          </w:p>
        </w:tc>
      </w:tr>
      <w:tr w:rsidR="00D912FA" w:rsidRPr="00C24253" w:rsidTr="00974752">
        <w:trPr>
          <w:trHeight w:hRule="exact" w:val="284"/>
        </w:trPr>
        <w:tc>
          <w:tcPr>
            <w:tcW w:w="714"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1998</w:t>
            </w:r>
          </w:p>
        </w:tc>
        <w:tc>
          <w:tcPr>
            <w:tcW w:w="714" w:type="pct"/>
            <w:shd w:val="clear" w:color="auto" w:fill="auto"/>
            <w:noWrap/>
            <w:tcMar>
              <w:left w:w="142" w:type="dxa"/>
              <w:right w:w="142" w:type="dxa"/>
            </w:tcMar>
            <w:vAlign w:val="center"/>
            <w:hideMark/>
          </w:tcPr>
          <w:p w:rsidR="00D912FA" w:rsidRPr="00C24253" w:rsidRDefault="00D912FA" w:rsidP="00974752">
            <w:pPr>
              <w:rPr>
                <w:rFonts w:cs="Arial"/>
                <w:sz w:val="16"/>
                <w:szCs w:val="16"/>
              </w:rPr>
            </w:pPr>
            <w:r w:rsidRPr="00C24253">
              <w:rPr>
                <w:rFonts w:cs="Arial"/>
                <w:sz w:val="16"/>
                <w:szCs w:val="16"/>
              </w:rPr>
              <w:t>Slovensko</w:t>
            </w:r>
          </w:p>
        </w:tc>
        <w:tc>
          <w:tcPr>
            <w:tcW w:w="71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1 905</w:t>
            </w:r>
          </w:p>
        </w:tc>
        <w:tc>
          <w:tcPr>
            <w:tcW w:w="714" w:type="pct"/>
            <w:shd w:val="clear" w:color="auto" w:fill="auto"/>
            <w:noWrap/>
            <w:tcMar>
              <w:left w:w="142" w:type="dxa"/>
              <w:right w:w="142" w:type="dxa"/>
            </w:tcMar>
            <w:vAlign w:val="center"/>
            <w:hideMark/>
          </w:tcPr>
          <w:p w:rsidR="00D912FA" w:rsidRPr="00C24253" w:rsidRDefault="00D912FA" w:rsidP="00974752">
            <w:pPr>
              <w:rPr>
                <w:rFonts w:cs="Arial"/>
                <w:sz w:val="16"/>
                <w:szCs w:val="16"/>
              </w:rPr>
            </w:pPr>
            <w:r w:rsidRPr="00C24253">
              <w:rPr>
                <w:rFonts w:cs="Arial"/>
                <w:sz w:val="16"/>
                <w:szCs w:val="16"/>
              </w:rPr>
              <w:t>ČR</w:t>
            </w:r>
          </w:p>
        </w:tc>
        <w:tc>
          <w:tcPr>
            <w:tcW w:w="714"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1 712</w:t>
            </w:r>
          </w:p>
        </w:tc>
        <w:tc>
          <w:tcPr>
            <w:tcW w:w="714" w:type="pct"/>
            <w:shd w:val="clear" w:color="auto" w:fill="auto"/>
            <w:noWrap/>
            <w:tcMar>
              <w:left w:w="142" w:type="dxa"/>
              <w:right w:w="142" w:type="dxa"/>
            </w:tcMar>
            <w:vAlign w:val="center"/>
            <w:hideMark/>
          </w:tcPr>
          <w:p w:rsidR="00D912FA" w:rsidRPr="00C24253" w:rsidRDefault="00D912FA" w:rsidP="00974752">
            <w:pPr>
              <w:rPr>
                <w:rFonts w:cs="Arial"/>
                <w:sz w:val="16"/>
                <w:szCs w:val="16"/>
              </w:rPr>
            </w:pPr>
            <w:r w:rsidRPr="00C24253">
              <w:rPr>
                <w:rFonts w:cs="Arial"/>
                <w:sz w:val="16"/>
                <w:szCs w:val="16"/>
              </w:rPr>
              <w:t>Ukrajina</w:t>
            </w:r>
          </w:p>
        </w:tc>
        <w:tc>
          <w:tcPr>
            <w:tcW w:w="714"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1 469</w:t>
            </w:r>
          </w:p>
        </w:tc>
      </w:tr>
      <w:tr w:rsidR="00D912FA" w:rsidRPr="00C24253" w:rsidTr="00974752">
        <w:trPr>
          <w:trHeight w:hRule="exact" w:val="284"/>
        </w:trPr>
        <w:tc>
          <w:tcPr>
            <w:tcW w:w="714"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1999</w:t>
            </w:r>
          </w:p>
        </w:tc>
        <w:tc>
          <w:tcPr>
            <w:tcW w:w="714" w:type="pct"/>
            <w:shd w:val="clear" w:color="auto" w:fill="auto"/>
            <w:noWrap/>
            <w:tcMar>
              <w:left w:w="142" w:type="dxa"/>
              <w:right w:w="142" w:type="dxa"/>
            </w:tcMar>
            <w:vAlign w:val="center"/>
            <w:hideMark/>
          </w:tcPr>
          <w:p w:rsidR="00D912FA" w:rsidRPr="00C24253" w:rsidRDefault="00D912FA" w:rsidP="00974752">
            <w:pPr>
              <w:rPr>
                <w:rFonts w:cs="Arial"/>
                <w:sz w:val="16"/>
                <w:szCs w:val="16"/>
              </w:rPr>
            </w:pPr>
            <w:r w:rsidRPr="00C24253">
              <w:rPr>
                <w:rFonts w:cs="Arial"/>
                <w:sz w:val="16"/>
                <w:szCs w:val="16"/>
              </w:rPr>
              <w:t>ČR</w:t>
            </w:r>
          </w:p>
        </w:tc>
        <w:tc>
          <w:tcPr>
            <w:tcW w:w="71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2 087</w:t>
            </w:r>
          </w:p>
        </w:tc>
        <w:tc>
          <w:tcPr>
            <w:tcW w:w="714" w:type="pct"/>
            <w:shd w:val="clear" w:color="auto" w:fill="auto"/>
            <w:noWrap/>
            <w:tcMar>
              <w:left w:w="142" w:type="dxa"/>
              <w:right w:w="142" w:type="dxa"/>
            </w:tcMar>
            <w:vAlign w:val="center"/>
            <w:hideMark/>
          </w:tcPr>
          <w:p w:rsidR="00D912FA" w:rsidRPr="00C24253" w:rsidRDefault="00D912FA" w:rsidP="00974752">
            <w:pPr>
              <w:rPr>
                <w:rFonts w:cs="Arial"/>
                <w:sz w:val="16"/>
                <w:szCs w:val="16"/>
              </w:rPr>
            </w:pPr>
            <w:r w:rsidRPr="00C24253">
              <w:rPr>
                <w:rFonts w:cs="Arial"/>
                <w:sz w:val="16"/>
                <w:szCs w:val="16"/>
              </w:rPr>
              <w:t>Slovensko</w:t>
            </w:r>
          </w:p>
        </w:tc>
        <w:tc>
          <w:tcPr>
            <w:tcW w:w="714"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1 675</w:t>
            </w:r>
          </w:p>
        </w:tc>
        <w:tc>
          <w:tcPr>
            <w:tcW w:w="714" w:type="pct"/>
            <w:shd w:val="clear" w:color="auto" w:fill="auto"/>
            <w:noWrap/>
            <w:tcMar>
              <w:left w:w="142" w:type="dxa"/>
              <w:right w:w="142" w:type="dxa"/>
            </w:tcMar>
            <w:vAlign w:val="center"/>
            <w:hideMark/>
          </w:tcPr>
          <w:p w:rsidR="00D912FA" w:rsidRPr="00C24253" w:rsidRDefault="00D912FA" w:rsidP="00974752">
            <w:pPr>
              <w:rPr>
                <w:rFonts w:cs="Arial"/>
                <w:sz w:val="16"/>
                <w:szCs w:val="16"/>
              </w:rPr>
            </w:pPr>
            <w:r w:rsidRPr="00C24253">
              <w:rPr>
                <w:rFonts w:cs="Arial"/>
                <w:sz w:val="16"/>
                <w:szCs w:val="16"/>
              </w:rPr>
              <w:t>Ukrajina</w:t>
            </w:r>
          </w:p>
        </w:tc>
        <w:tc>
          <w:tcPr>
            <w:tcW w:w="714"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1 583</w:t>
            </w:r>
          </w:p>
        </w:tc>
      </w:tr>
      <w:tr w:rsidR="00D912FA" w:rsidRPr="00C24253" w:rsidTr="00974752">
        <w:trPr>
          <w:trHeight w:hRule="exact" w:val="284"/>
        </w:trPr>
        <w:tc>
          <w:tcPr>
            <w:tcW w:w="714"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2000</w:t>
            </w:r>
          </w:p>
        </w:tc>
        <w:tc>
          <w:tcPr>
            <w:tcW w:w="714" w:type="pct"/>
            <w:shd w:val="clear" w:color="auto" w:fill="auto"/>
            <w:noWrap/>
            <w:tcMar>
              <w:left w:w="142" w:type="dxa"/>
              <w:right w:w="142" w:type="dxa"/>
            </w:tcMar>
            <w:vAlign w:val="center"/>
            <w:hideMark/>
          </w:tcPr>
          <w:p w:rsidR="00D912FA" w:rsidRPr="00C24253" w:rsidRDefault="00D912FA" w:rsidP="00974752">
            <w:pPr>
              <w:rPr>
                <w:rFonts w:cs="Arial"/>
                <w:sz w:val="16"/>
                <w:szCs w:val="16"/>
              </w:rPr>
            </w:pPr>
            <w:r w:rsidRPr="00C24253">
              <w:rPr>
                <w:rFonts w:cs="Arial"/>
                <w:sz w:val="16"/>
                <w:szCs w:val="16"/>
              </w:rPr>
              <w:t>ČR</w:t>
            </w:r>
          </w:p>
        </w:tc>
        <w:tc>
          <w:tcPr>
            <w:tcW w:w="71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2 473</w:t>
            </w:r>
          </w:p>
        </w:tc>
        <w:tc>
          <w:tcPr>
            <w:tcW w:w="714" w:type="pct"/>
            <w:shd w:val="clear" w:color="auto" w:fill="auto"/>
            <w:noWrap/>
            <w:tcMar>
              <w:left w:w="142" w:type="dxa"/>
              <w:right w:w="142" w:type="dxa"/>
            </w:tcMar>
            <w:vAlign w:val="center"/>
            <w:hideMark/>
          </w:tcPr>
          <w:p w:rsidR="00D912FA" w:rsidRPr="00C24253" w:rsidRDefault="00D912FA" w:rsidP="00974752">
            <w:pPr>
              <w:rPr>
                <w:rFonts w:cs="Arial"/>
                <w:sz w:val="16"/>
                <w:szCs w:val="16"/>
              </w:rPr>
            </w:pPr>
            <w:r w:rsidRPr="00C24253">
              <w:rPr>
                <w:rFonts w:cs="Arial"/>
                <w:sz w:val="16"/>
                <w:szCs w:val="16"/>
              </w:rPr>
              <w:t>Ukrajina</w:t>
            </w:r>
          </w:p>
        </w:tc>
        <w:tc>
          <w:tcPr>
            <w:tcW w:w="714"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1 102</w:t>
            </w:r>
          </w:p>
        </w:tc>
        <w:tc>
          <w:tcPr>
            <w:tcW w:w="714" w:type="pct"/>
            <w:shd w:val="clear" w:color="auto" w:fill="auto"/>
            <w:noWrap/>
            <w:tcMar>
              <w:left w:w="142" w:type="dxa"/>
              <w:right w:w="142" w:type="dxa"/>
            </w:tcMar>
            <w:vAlign w:val="center"/>
            <w:hideMark/>
          </w:tcPr>
          <w:p w:rsidR="00D912FA" w:rsidRPr="00C24253" w:rsidRDefault="00D912FA" w:rsidP="00974752">
            <w:pPr>
              <w:rPr>
                <w:rFonts w:cs="Arial"/>
                <w:sz w:val="16"/>
                <w:szCs w:val="16"/>
              </w:rPr>
            </w:pPr>
            <w:r w:rsidRPr="00C24253">
              <w:rPr>
                <w:rFonts w:cs="Arial"/>
                <w:sz w:val="16"/>
                <w:szCs w:val="16"/>
              </w:rPr>
              <w:t>Slovensko</w:t>
            </w:r>
          </w:p>
        </w:tc>
        <w:tc>
          <w:tcPr>
            <w:tcW w:w="714"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917</w:t>
            </w:r>
          </w:p>
        </w:tc>
      </w:tr>
      <w:tr w:rsidR="00D912FA" w:rsidRPr="00C24253" w:rsidTr="00974752">
        <w:trPr>
          <w:trHeight w:hRule="exact" w:val="284"/>
        </w:trPr>
        <w:tc>
          <w:tcPr>
            <w:tcW w:w="714"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2001</w:t>
            </w:r>
            <w:r w:rsidRPr="00C24253">
              <w:rPr>
                <w:rFonts w:cs="Arial"/>
                <w:sz w:val="16"/>
                <w:szCs w:val="16"/>
                <w:vertAlign w:val="superscript"/>
              </w:rPr>
              <w:t>2)</w:t>
            </w:r>
          </w:p>
        </w:tc>
        <w:tc>
          <w:tcPr>
            <w:tcW w:w="714" w:type="pct"/>
            <w:shd w:val="clear" w:color="auto" w:fill="auto"/>
            <w:noWrap/>
            <w:tcMar>
              <w:left w:w="142" w:type="dxa"/>
              <w:right w:w="142" w:type="dxa"/>
            </w:tcMar>
            <w:vAlign w:val="center"/>
            <w:hideMark/>
          </w:tcPr>
          <w:p w:rsidR="00D912FA" w:rsidRPr="00C24253" w:rsidRDefault="00D912FA" w:rsidP="00974752">
            <w:pPr>
              <w:rPr>
                <w:rFonts w:cs="Arial"/>
                <w:sz w:val="16"/>
                <w:szCs w:val="16"/>
              </w:rPr>
            </w:pPr>
            <w:r w:rsidRPr="00C24253">
              <w:rPr>
                <w:rFonts w:cs="Arial"/>
                <w:sz w:val="16"/>
                <w:szCs w:val="16"/>
              </w:rPr>
              <w:t>Slovensko</w:t>
            </w:r>
          </w:p>
        </w:tc>
        <w:tc>
          <w:tcPr>
            <w:tcW w:w="71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-5 633</w:t>
            </w:r>
          </w:p>
        </w:tc>
        <w:tc>
          <w:tcPr>
            <w:tcW w:w="714" w:type="pct"/>
            <w:shd w:val="clear" w:color="auto" w:fill="auto"/>
            <w:noWrap/>
            <w:tcMar>
              <w:left w:w="142" w:type="dxa"/>
              <w:right w:w="142" w:type="dxa"/>
            </w:tcMar>
            <w:vAlign w:val="center"/>
            <w:hideMark/>
          </w:tcPr>
          <w:p w:rsidR="00D912FA" w:rsidRPr="00C24253" w:rsidRDefault="00D912FA" w:rsidP="00974752">
            <w:pPr>
              <w:rPr>
                <w:rFonts w:cs="Arial"/>
                <w:sz w:val="16"/>
                <w:szCs w:val="16"/>
              </w:rPr>
            </w:pPr>
            <w:r w:rsidRPr="00C24253">
              <w:rPr>
                <w:rFonts w:cs="Arial"/>
                <w:sz w:val="16"/>
                <w:szCs w:val="16"/>
              </w:rPr>
              <w:t>Ukrajina</w:t>
            </w:r>
          </w:p>
        </w:tc>
        <w:tc>
          <w:tcPr>
            <w:tcW w:w="714"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-1 838</w:t>
            </w:r>
          </w:p>
        </w:tc>
        <w:tc>
          <w:tcPr>
            <w:tcW w:w="714" w:type="pct"/>
            <w:shd w:val="clear" w:color="auto" w:fill="auto"/>
            <w:noWrap/>
            <w:tcMar>
              <w:left w:w="142" w:type="dxa"/>
              <w:right w:w="142" w:type="dxa"/>
            </w:tcMar>
            <w:vAlign w:val="center"/>
            <w:hideMark/>
          </w:tcPr>
          <w:p w:rsidR="00D912FA" w:rsidRPr="00C24253" w:rsidRDefault="00D912FA" w:rsidP="00974752">
            <w:pPr>
              <w:rPr>
                <w:rFonts w:cs="Arial"/>
                <w:sz w:val="16"/>
                <w:szCs w:val="16"/>
              </w:rPr>
            </w:pPr>
            <w:r w:rsidRPr="00C24253">
              <w:rPr>
                <w:rFonts w:cs="Arial"/>
                <w:sz w:val="16"/>
                <w:szCs w:val="16"/>
              </w:rPr>
              <w:t>Rusko</w:t>
            </w:r>
          </w:p>
        </w:tc>
        <w:tc>
          <w:tcPr>
            <w:tcW w:w="714"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-334</w:t>
            </w:r>
          </w:p>
        </w:tc>
      </w:tr>
      <w:tr w:rsidR="00D912FA" w:rsidRPr="00C24253" w:rsidTr="00974752">
        <w:trPr>
          <w:trHeight w:hRule="exact" w:val="284"/>
        </w:trPr>
        <w:tc>
          <w:tcPr>
            <w:tcW w:w="714"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2002</w:t>
            </w:r>
          </w:p>
        </w:tc>
        <w:tc>
          <w:tcPr>
            <w:tcW w:w="714" w:type="pct"/>
            <w:shd w:val="clear" w:color="auto" w:fill="auto"/>
            <w:noWrap/>
            <w:tcMar>
              <w:left w:w="142" w:type="dxa"/>
              <w:right w:w="142" w:type="dxa"/>
            </w:tcMar>
            <w:vAlign w:val="center"/>
            <w:hideMark/>
          </w:tcPr>
          <w:p w:rsidR="00D912FA" w:rsidRPr="00C24253" w:rsidRDefault="00D912FA" w:rsidP="00974752">
            <w:pPr>
              <w:rPr>
                <w:rFonts w:cs="Arial"/>
                <w:sz w:val="16"/>
                <w:szCs w:val="16"/>
              </w:rPr>
            </w:pPr>
            <w:r w:rsidRPr="00C24253">
              <w:rPr>
                <w:rFonts w:cs="Arial"/>
                <w:sz w:val="16"/>
                <w:szCs w:val="16"/>
              </w:rPr>
              <w:t>Ukrajina</w:t>
            </w:r>
          </w:p>
        </w:tc>
        <w:tc>
          <w:tcPr>
            <w:tcW w:w="71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4 962</w:t>
            </w:r>
          </w:p>
        </w:tc>
        <w:tc>
          <w:tcPr>
            <w:tcW w:w="714" w:type="pct"/>
            <w:shd w:val="clear" w:color="auto" w:fill="auto"/>
            <w:noWrap/>
            <w:tcMar>
              <w:left w:w="142" w:type="dxa"/>
              <w:right w:w="142" w:type="dxa"/>
            </w:tcMar>
            <w:vAlign w:val="center"/>
            <w:hideMark/>
          </w:tcPr>
          <w:p w:rsidR="00D912FA" w:rsidRPr="00C24253" w:rsidRDefault="00D912FA" w:rsidP="00974752">
            <w:pPr>
              <w:rPr>
                <w:rFonts w:cs="Arial"/>
                <w:sz w:val="16"/>
                <w:szCs w:val="16"/>
              </w:rPr>
            </w:pPr>
            <w:r w:rsidRPr="00C24253">
              <w:rPr>
                <w:rFonts w:cs="Arial"/>
                <w:sz w:val="16"/>
                <w:szCs w:val="16"/>
              </w:rPr>
              <w:t>Vietnam</w:t>
            </w:r>
          </w:p>
        </w:tc>
        <w:tc>
          <w:tcPr>
            <w:tcW w:w="714"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4 409</w:t>
            </w:r>
          </w:p>
        </w:tc>
        <w:tc>
          <w:tcPr>
            <w:tcW w:w="714" w:type="pct"/>
            <w:shd w:val="clear" w:color="auto" w:fill="auto"/>
            <w:noWrap/>
            <w:tcMar>
              <w:left w:w="142" w:type="dxa"/>
              <w:right w:w="142" w:type="dxa"/>
            </w:tcMar>
            <w:vAlign w:val="center"/>
            <w:hideMark/>
          </w:tcPr>
          <w:p w:rsidR="00D912FA" w:rsidRPr="00C24253" w:rsidRDefault="00D912FA" w:rsidP="00974752">
            <w:pPr>
              <w:rPr>
                <w:rFonts w:cs="Arial"/>
                <w:sz w:val="16"/>
                <w:szCs w:val="16"/>
              </w:rPr>
            </w:pPr>
            <w:r w:rsidRPr="00C24253">
              <w:rPr>
                <w:rFonts w:cs="Arial"/>
                <w:sz w:val="16"/>
                <w:szCs w:val="16"/>
              </w:rPr>
              <w:t>Polsko</w:t>
            </w:r>
          </w:p>
        </w:tc>
        <w:tc>
          <w:tcPr>
            <w:tcW w:w="714"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541</w:t>
            </w:r>
          </w:p>
        </w:tc>
      </w:tr>
      <w:tr w:rsidR="00D912FA" w:rsidRPr="00C24253" w:rsidTr="00974752">
        <w:trPr>
          <w:trHeight w:hRule="exact" w:val="284"/>
        </w:trPr>
        <w:tc>
          <w:tcPr>
            <w:tcW w:w="714"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2003</w:t>
            </w:r>
          </w:p>
        </w:tc>
        <w:tc>
          <w:tcPr>
            <w:tcW w:w="714" w:type="pct"/>
            <w:shd w:val="clear" w:color="auto" w:fill="auto"/>
            <w:noWrap/>
            <w:tcMar>
              <w:left w:w="142" w:type="dxa"/>
              <w:right w:w="142" w:type="dxa"/>
            </w:tcMar>
            <w:vAlign w:val="center"/>
            <w:hideMark/>
          </w:tcPr>
          <w:p w:rsidR="00D912FA" w:rsidRPr="00C24253" w:rsidRDefault="00D912FA" w:rsidP="00974752">
            <w:pPr>
              <w:rPr>
                <w:rFonts w:cs="Arial"/>
                <w:sz w:val="16"/>
                <w:szCs w:val="16"/>
              </w:rPr>
            </w:pPr>
            <w:r w:rsidRPr="00C24253">
              <w:rPr>
                <w:rFonts w:cs="Arial"/>
                <w:sz w:val="16"/>
                <w:szCs w:val="16"/>
              </w:rPr>
              <w:t>Ukrajina</w:t>
            </w:r>
          </w:p>
        </w:tc>
        <w:tc>
          <w:tcPr>
            <w:tcW w:w="71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10 062</w:t>
            </w:r>
          </w:p>
        </w:tc>
        <w:tc>
          <w:tcPr>
            <w:tcW w:w="714" w:type="pct"/>
            <w:shd w:val="clear" w:color="auto" w:fill="auto"/>
            <w:noWrap/>
            <w:tcMar>
              <w:left w:w="142" w:type="dxa"/>
              <w:right w:w="142" w:type="dxa"/>
            </w:tcMar>
            <w:vAlign w:val="center"/>
            <w:hideMark/>
          </w:tcPr>
          <w:p w:rsidR="00D912FA" w:rsidRPr="00C24253" w:rsidRDefault="00D912FA" w:rsidP="00974752">
            <w:pPr>
              <w:rPr>
                <w:rFonts w:cs="Arial"/>
                <w:sz w:val="16"/>
                <w:szCs w:val="16"/>
              </w:rPr>
            </w:pPr>
            <w:r w:rsidRPr="00C24253">
              <w:rPr>
                <w:rFonts w:cs="Arial"/>
                <w:sz w:val="16"/>
                <w:szCs w:val="16"/>
              </w:rPr>
              <w:t>Slovensko</w:t>
            </w:r>
          </w:p>
        </w:tc>
        <w:tc>
          <w:tcPr>
            <w:tcW w:w="714"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5 573</w:t>
            </w:r>
          </w:p>
        </w:tc>
        <w:tc>
          <w:tcPr>
            <w:tcW w:w="714" w:type="pct"/>
            <w:shd w:val="clear" w:color="auto" w:fill="auto"/>
            <w:noWrap/>
            <w:tcMar>
              <w:left w:w="142" w:type="dxa"/>
              <w:right w:w="142" w:type="dxa"/>
            </w:tcMar>
            <w:vAlign w:val="center"/>
            <w:hideMark/>
          </w:tcPr>
          <w:p w:rsidR="00D912FA" w:rsidRPr="00C24253" w:rsidRDefault="00D912FA" w:rsidP="00974752">
            <w:pPr>
              <w:rPr>
                <w:rFonts w:cs="Arial"/>
                <w:sz w:val="16"/>
                <w:szCs w:val="16"/>
              </w:rPr>
            </w:pPr>
            <w:r w:rsidRPr="00C24253">
              <w:rPr>
                <w:rFonts w:cs="Arial"/>
                <w:sz w:val="16"/>
                <w:szCs w:val="16"/>
              </w:rPr>
              <w:t>Vietnam</w:t>
            </w:r>
          </w:p>
        </w:tc>
        <w:tc>
          <w:tcPr>
            <w:tcW w:w="714"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2 649</w:t>
            </w:r>
          </w:p>
        </w:tc>
      </w:tr>
      <w:tr w:rsidR="00D912FA" w:rsidRPr="00C24253" w:rsidTr="00974752">
        <w:trPr>
          <w:trHeight w:hRule="exact" w:val="284"/>
        </w:trPr>
        <w:tc>
          <w:tcPr>
            <w:tcW w:w="714"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2004</w:t>
            </w:r>
          </w:p>
        </w:tc>
        <w:tc>
          <w:tcPr>
            <w:tcW w:w="714" w:type="pct"/>
            <w:shd w:val="clear" w:color="auto" w:fill="auto"/>
            <w:noWrap/>
            <w:tcMar>
              <w:left w:w="142" w:type="dxa"/>
              <w:right w:w="142" w:type="dxa"/>
            </w:tcMar>
            <w:vAlign w:val="center"/>
            <w:hideMark/>
          </w:tcPr>
          <w:p w:rsidR="00D912FA" w:rsidRPr="00C24253" w:rsidRDefault="00D912FA" w:rsidP="00974752">
            <w:pPr>
              <w:rPr>
                <w:rFonts w:cs="Arial"/>
                <w:sz w:val="16"/>
                <w:szCs w:val="16"/>
              </w:rPr>
            </w:pPr>
            <w:r w:rsidRPr="00C24253">
              <w:rPr>
                <w:rFonts w:cs="Arial"/>
                <w:sz w:val="16"/>
                <w:szCs w:val="16"/>
              </w:rPr>
              <w:t>Ukrajina</w:t>
            </w:r>
          </w:p>
        </w:tc>
        <w:tc>
          <w:tcPr>
            <w:tcW w:w="71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11 357</w:t>
            </w:r>
          </w:p>
        </w:tc>
        <w:tc>
          <w:tcPr>
            <w:tcW w:w="714" w:type="pct"/>
            <w:shd w:val="clear" w:color="auto" w:fill="auto"/>
            <w:noWrap/>
            <w:tcMar>
              <w:left w:w="142" w:type="dxa"/>
              <w:right w:w="142" w:type="dxa"/>
            </w:tcMar>
            <w:vAlign w:val="center"/>
            <w:hideMark/>
          </w:tcPr>
          <w:p w:rsidR="00D912FA" w:rsidRPr="00C24253" w:rsidRDefault="00D912FA" w:rsidP="00974752">
            <w:pPr>
              <w:rPr>
                <w:rFonts w:cs="Arial"/>
                <w:sz w:val="16"/>
                <w:szCs w:val="16"/>
              </w:rPr>
            </w:pPr>
            <w:r w:rsidRPr="00C24253">
              <w:rPr>
                <w:rFonts w:cs="Arial"/>
                <w:sz w:val="16"/>
                <w:szCs w:val="16"/>
              </w:rPr>
              <w:t>Vietnam</w:t>
            </w:r>
          </w:p>
        </w:tc>
        <w:tc>
          <w:tcPr>
            <w:tcW w:w="714"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3 687</w:t>
            </w:r>
          </w:p>
        </w:tc>
        <w:tc>
          <w:tcPr>
            <w:tcW w:w="714" w:type="pct"/>
            <w:shd w:val="clear" w:color="auto" w:fill="auto"/>
            <w:noWrap/>
            <w:tcMar>
              <w:left w:w="142" w:type="dxa"/>
              <w:right w:w="142" w:type="dxa"/>
            </w:tcMar>
            <w:vAlign w:val="center"/>
            <w:hideMark/>
          </w:tcPr>
          <w:p w:rsidR="00D912FA" w:rsidRPr="00C24253" w:rsidRDefault="00D912FA" w:rsidP="00974752">
            <w:pPr>
              <w:rPr>
                <w:rFonts w:cs="Arial"/>
                <w:sz w:val="16"/>
                <w:szCs w:val="16"/>
              </w:rPr>
            </w:pPr>
            <w:r w:rsidRPr="00C24253">
              <w:rPr>
                <w:rFonts w:cs="Arial"/>
                <w:sz w:val="16"/>
                <w:szCs w:val="16"/>
              </w:rPr>
              <w:t>ČR</w:t>
            </w:r>
          </w:p>
        </w:tc>
        <w:tc>
          <w:tcPr>
            <w:tcW w:w="714"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1 615</w:t>
            </w:r>
          </w:p>
        </w:tc>
      </w:tr>
      <w:tr w:rsidR="00D912FA" w:rsidRPr="00C24253" w:rsidTr="00974752">
        <w:trPr>
          <w:trHeight w:hRule="exact" w:val="284"/>
        </w:trPr>
        <w:tc>
          <w:tcPr>
            <w:tcW w:w="714"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2005</w:t>
            </w:r>
          </w:p>
        </w:tc>
        <w:tc>
          <w:tcPr>
            <w:tcW w:w="714" w:type="pct"/>
            <w:shd w:val="clear" w:color="auto" w:fill="auto"/>
            <w:noWrap/>
            <w:tcMar>
              <w:left w:w="142" w:type="dxa"/>
              <w:right w:w="142" w:type="dxa"/>
            </w:tcMar>
            <w:vAlign w:val="center"/>
            <w:hideMark/>
          </w:tcPr>
          <w:p w:rsidR="00D912FA" w:rsidRPr="00C24253" w:rsidRDefault="00D912FA" w:rsidP="00974752">
            <w:pPr>
              <w:rPr>
                <w:rFonts w:cs="Arial"/>
                <w:sz w:val="16"/>
                <w:szCs w:val="16"/>
              </w:rPr>
            </w:pPr>
            <w:r w:rsidRPr="00C24253">
              <w:rPr>
                <w:rFonts w:cs="Arial"/>
                <w:sz w:val="16"/>
                <w:szCs w:val="16"/>
              </w:rPr>
              <w:t>Ukrajina</w:t>
            </w:r>
          </w:p>
        </w:tc>
        <w:tc>
          <w:tcPr>
            <w:tcW w:w="71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12 483</w:t>
            </w:r>
          </w:p>
        </w:tc>
        <w:tc>
          <w:tcPr>
            <w:tcW w:w="714" w:type="pct"/>
            <w:shd w:val="clear" w:color="auto" w:fill="auto"/>
            <w:noWrap/>
            <w:tcMar>
              <w:left w:w="142" w:type="dxa"/>
              <w:right w:w="142" w:type="dxa"/>
            </w:tcMar>
            <w:vAlign w:val="center"/>
            <w:hideMark/>
          </w:tcPr>
          <w:p w:rsidR="00D912FA" w:rsidRPr="00C24253" w:rsidRDefault="00D912FA" w:rsidP="00974752">
            <w:pPr>
              <w:rPr>
                <w:rFonts w:cs="Arial"/>
                <w:sz w:val="16"/>
                <w:szCs w:val="16"/>
              </w:rPr>
            </w:pPr>
            <w:r w:rsidRPr="00C24253">
              <w:rPr>
                <w:rFonts w:cs="Arial"/>
                <w:sz w:val="16"/>
                <w:szCs w:val="16"/>
              </w:rPr>
              <w:t>Slovensko</w:t>
            </w:r>
          </w:p>
        </w:tc>
        <w:tc>
          <w:tcPr>
            <w:tcW w:w="714"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8 161</w:t>
            </w:r>
          </w:p>
        </w:tc>
        <w:tc>
          <w:tcPr>
            <w:tcW w:w="714" w:type="pct"/>
            <w:shd w:val="clear" w:color="auto" w:fill="auto"/>
            <w:noWrap/>
            <w:tcMar>
              <w:left w:w="142" w:type="dxa"/>
              <w:right w:w="142" w:type="dxa"/>
            </w:tcMar>
            <w:vAlign w:val="center"/>
            <w:hideMark/>
          </w:tcPr>
          <w:p w:rsidR="00D912FA" w:rsidRPr="00C24253" w:rsidRDefault="00D912FA" w:rsidP="00974752">
            <w:pPr>
              <w:rPr>
                <w:rFonts w:cs="Arial"/>
                <w:sz w:val="16"/>
                <w:szCs w:val="16"/>
              </w:rPr>
            </w:pPr>
            <w:r w:rsidRPr="00C24253">
              <w:rPr>
                <w:rFonts w:cs="Arial"/>
                <w:sz w:val="16"/>
                <w:szCs w:val="16"/>
              </w:rPr>
              <w:t>Vietnam</w:t>
            </w:r>
          </w:p>
        </w:tc>
        <w:tc>
          <w:tcPr>
            <w:tcW w:w="714"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3 489</w:t>
            </w:r>
          </w:p>
        </w:tc>
      </w:tr>
      <w:tr w:rsidR="00D912FA" w:rsidRPr="00C24253" w:rsidTr="00974752">
        <w:trPr>
          <w:trHeight w:hRule="exact" w:val="284"/>
        </w:trPr>
        <w:tc>
          <w:tcPr>
            <w:tcW w:w="714"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2006</w:t>
            </w:r>
          </w:p>
        </w:tc>
        <w:tc>
          <w:tcPr>
            <w:tcW w:w="714" w:type="pct"/>
            <w:shd w:val="clear" w:color="auto" w:fill="auto"/>
            <w:noWrap/>
            <w:tcMar>
              <w:left w:w="142" w:type="dxa"/>
              <w:right w:w="142" w:type="dxa"/>
            </w:tcMar>
            <w:vAlign w:val="center"/>
            <w:hideMark/>
          </w:tcPr>
          <w:p w:rsidR="00D912FA" w:rsidRPr="00C24253" w:rsidRDefault="00D912FA" w:rsidP="00974752">
            <w:pPr>
              <w:rPr>
                <w:rFonts w:cs="Arial"/>
                <w:sz w:val="16"/>
                <w:szCs w:val="16"/>
              </w:rPr>
            </w:pPr>
            <w:r w:rsidRPr="00C24253">
              <w:rPr>
                <w:rFonts w:cs="Arial"/>
                <w:sz w:val="16"/>
                <w:szCs w:val="16"/>
              </w:rPr>
              <w:t>Ukrajina</w:t>
            </w:r>
          </w:p>
        </w:tc>
        <w:tc>
          <w:tcPr>
            <w:tcW w:w="71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12 993</w:t>
            </w:r>
          </w:p>
        </w:tc>
        <w:tc>
          <w:tcPr>
            <w:tcW w:w="714" w:type="pct"/>
            <w:shd w:val="clear" w:color="auto" w:fill="auto"/>
            <w:noWrap/>
            <w:tcMar>
              <w:left w:w="142" w:type="dxa"/>
              <w:right w:w="142" w:type="dxa"/>
            </w:tcMar>
            <w:vAlign w:val="center"/>
            <w:hideMark/>
          </w:tcPr>
          <w:p w:rsidR="00D912FA" w:rsidRPr="00C24253" w:rsidRDefault="00D912FA" w:rsidP="00974752">
            <w:pPr>
              <w:rPr>
                <w:rFonts w:cs="Arial"/>
                <w:sz w:val="16"/>
                <w:szCs w:val="16"/>
              </w:rPr>
            </w:pPr>
            <w:r w:rsidRPr="00C24253">
              <w:rPr>
                <w:rFonts w:cs="Arial"/>
                <w:sz w:val="16"/>
                <w:szCs w:val="16"/>
              </w:rPr>
              <w:t>Slovensko</w:t>
            </w:r>
          </w:p>
        </w:tc>
        <w:tc>
          <w:tcPr>
            <w:tcW w:w="714"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6 152</w:t>
            </w:r>
          </w:p>
        </w:tc>
        <w:tc>
          <w:tcPr>
            <w:tcW w:w="714" w:type="pct"/>
            <w:shd w:val="clear" w:color="auto" w:fill="auto"/>
            <w:noWrap/>
            <w:tcMar>
              <w:left w:w="142" w:type="dxa"/>
              <w:right w:w="142" w:type="dxa"/>
            </w:tcMar>
            <w:vAlign w:val="center"/>
            <w:hideMark/>
          </w:tcPr>
          <w:p w:rsidR="00D912FA" w:rsidRPr="00C24253" w:rsidRDefault="00D912FA" w:rsidP="00974752">
            <w:pPr>
              <w:rPr>
                <w:rFonts w:cs="Arial"/>
                <w:sz w:val="16"/>
                <w:szCs w:val="16"/>
              </w:rPr>
            </w:pPr>
            <w:r w:rsidRPr="00C24253">
              <w:rPr>
                <w:rFonts w:cs="Arial"/>
                <w:sz w:val="16"/>
                <w:szCs w:val="16"/>
              </w:rPr>
              <w:t>Vietnam</w:t>
            </w:r>
          </w:p>
        </w:tc>
        <w:tc>
          <w:tcPr>
            <w:tcW w:w="714"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4 083</w:t>
            </w:r>
          </w:p>
        </w:tc>
      </w:tr>
      <w:tr w:rsidR="00D912FA" w:rsidRPr="00C24253" w:rsidTr="00974752">
        <w:trPr>
          <w:trHeight w:hRule="exact" w:val="284"/>
        </w:trPr>
        <w:tc>
          <w:tcPr>
            <w:tcW w:w="714"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2007</w:t>
            </w:r>
          </w:p>
        </w:tc>
        <w:tc>
          <w:tcPr>
            <w:tcW w:w="714" w:type="pct"/>
            <w:shd w:val="clear" w:color="auto" w:fill="auto"/>
            <w:noWrap/>
            <w:tcMar>
              <w:left w:w="142" w:type="dxa"/>
              <w:right w:w="142" w:type="dxa"/>
            </w:tcMar>
            <w:vAlign w:val="center"/>
            <w:hideMark/>
          </w:tcPr>
          <w:p w:rsidR="00D912FA" w:rsidRPr="00C24253" w:rsidRDefault="00D912FA" w:rsidP="00974752">
            <w:pPr>
              <w:rPr>
                <w:rFonts w:cs="Arial"/>
                <w:sz w:val="16"/>
                <w:szCs w:val="16"/>
              </w:rPr>
            </w:pPr>
            <w:r w:rsidRPr="00C24253">
              <w:rPr>
                <w:rFonts w:cs="Arial"/>
                <w:sz w:val="16"/>
                <w:szCs w:val="16"/>
              </w:rPr>
              <w:t>Ukrajina</w:t>
            </w:r>
          </w:p>
        </w:tc>
        <w:tc>
          <w:tcPr>
            <w:tcW w:w="71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30 902</w:t>
            </w:r>
          </w:p>
        </w:tc>
        <w:tc>
          <w:tcPr>
            <w:tcW w:w="714" w:type="pct"/>
            <w:shd w:val="clear" w:color="auto" w:fill="auto"/>
            <w:noWrap/>
            <w:tcMar>
              <w:left w:w="142" w:type="dxa"/>
              <w:right w:w="142" w:type="dxa"/>
            </w:tcMar>
            <w:vAlign w:val="center"/>
            <w:hideMark/>
          </w:tcPr>
          <w:p w:rsidR="00D912FA" w:rsidRPr="00C24253" w:rsidRDefault="00D912FA" w:rsidP="00974752">
            <w:pPr>
              <w:rPr>
                <w:rFonts w:cs="Arial"/>
                <w:sz w:val="16"/>
                <w:szCs w:val="16"/>
              </w:rPr>
            </w:pPr>
            <w:r w:rsidRPr="00C24253">
              <w:rPr>
                <w:rFonts w:cs="Arial"/>
                <w:sz w:val="16"/>
                <w:szCs w:val="16"/>
              </w:rPr>
              <w:t>Slovensko</w:t>
            </w:r>
          </w:p>
        </w:tc>
        <w:tc>
          <w:tcPr>
            <w:tcW w:w="714"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13 129</w:t>
            </w:r>
          </w:p>
        </w:tc>
        <w:tc>
          <w:tcPr>
            <w:tcW w:w="714" w:type="pct"/>
            <w:shd w:val="clear" w:color="auto" w:fill="auto"/>
            <w:noWrap/>
            <w:tcMar>
              <w:left w:w="142" w:type="dxa"/>
              <w:right w:w="142" w:type="dxa"/>
            </w:tcMar>
            <w:vAlign w:val="center"/>
            <w:hideMark/>
          </w:tcPr>
          <w:p w:rsidR="00D912FA" w:rsidRPr="00C24253" w:rsidRDefault="00D912FA" w:rsidP="00974752">
            <w:pPr>
              <w:rPr>
                <w:rFonts w:cs="Arial"/>
                <w:sz w:val="16"/>
                <w:szCs w:val="16"/>
              </w:rPr>
            </w:pPr>
            <w:r w:rsidRPr="00C24253">
              <w:rPr>
                <w:rFonts w:cs="Arial"/>
                <w:sz w:val="16"/>
                <w:szCs w:val="16"/>
              </w:rPr>
              <w:t>Vietnam</w:t>
            </w:r>
          </w:p>
        </w:tc>
        <w:tc>
          <w:tcPr>
            <w:tcW w:w="714"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11 281</w:t>
            </w:r>
          </w:p>
        </w:tc>
      </w:tr>
      <w:tr w:rsidR="00D912FA" w:rsidRPr="00C24253" w:rsidTr="00974752">
        <w:trPr>
          <w:trHeight w:hRule="exact" w:val="284"/>
        </w:trPr>
        <w:tc>
          <w:tcPr>
            <w:tcW w:w="714"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2008</w:t>
            </w:r>
          </w:p>
        </w:tc>
        <w:tc>
          <w:tcPr>
            <w:tcW w:w="714" w:type="pct"/>
            <w:shd w:val="clear" w:color="auto" w:fill="auto"/>
            <w:noWrap/>
            <w:tcMar>
              <w:left w:w="142" w:type="dxa"/>
              <w:right w:w="142" w:type="dxa"/>
            </w:tcMar>
            <w:vAlign w:val="center"/>
            <w:hideMark/>
          </w:tcPr>
          <w:p w:rsidR="00D912FA" w:rsidRPr="00C24253" w:rsidRDefault="00D912FA" w:rsidP="00974752">
            <w:pPr>
              <w:rPr>
                <w:rFonts w:cs="Arial"/>
                <w:sz w:val="16"/>
                <w:szCs w:val="16"/>
              </w:rPr>
            </w:pPr>
            <w:r w:rsidRPr="00C24253">
              <w:rPr>
                <w:rFonts w:cs="Arial"/>
                <w:sz w:val="16"/>
                <w:szCs w:val="16"/>
              </w:rPr>
              <w:t>Ukrajina</w:t>
            </w:r>
          </w:p>
        </w:tc>
        <w:tc>
          <w:tcPr>
            <w:tcW w:w="71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18 575</w:t>
            </w:r>
          </w:p>
        </w:tc>
        <w:tc>
          <w:tcPr>
            <w:tcW w:w="714" w:type="pct"/>
            <w:shd w:val="clear" w:color="auto" w:fill="auto"/>
            <w:noWrap/>
            <w:tcMar>
              <w:left w:w="142" w:type="dxa"/>
              <w:right w:w="142" w:type="dxa"/>
            </w:tcMar>
            <w:vAlign w:val="center"/>
            <w:hideMark/>
          </w:tcPr>
          <w:p w:rsidR="00D912FA" w:rsidRPr="00C24253" w:rsidRDefault="00D912FA" w:rsidP="00974752">
            <w:pPr>
              <w:rPr>
                <w:rFonts w:cs="Arial"/>
                <w:sz w:val="16"/>
                <w:szCs w:val="16"/>
              </w:rPr>
            </w:pPr>
            <w:r w:rsidRPr="00C24253">
              <w:rPr>
                <w:rFonts w:cs="Arial"/>
                <w:sz w:val="16"/>
                <w:szCs w:val="16"/>
              </w:rPr>
              <w:t>Vietnam</w:t>
            </w:r>
          </w:p>
        </w:tc>
        <w:tc>
          <w:tcPr>
            <w:tcW w:w="714"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13 299</w:t>
            </w:r>
          </w:p>
        </w:tc>
        <w:tc>
          <w:tcPr>
            <w:tcW w:w="714" w:type="pct"/>
            <w:shd w:val="clear" w:color="auto" w:fill="auto"/>
            <w:noWrap/>
            <w:tcMar>
              <w:left w:w="142" w:type="dxa"/>
              <w:right w:w="142" w:type="dxa"/>
            </w:tcMar>
            <w:vAlign w:val="center"/>
            <w:hideMark/>
          </w:tcPr>
          <w:p w:rsidR="00D912FA" w:rsidRPr="00C24253" w:rsidRDefault="00D912FA" w:rsidP="00974752">
            <w:pPr>
              <w:rPr>
                <w:rFonts w:cs="Arial"/>
                <w:sz w:val="16"/>
                <w:szCs w:val="16"/>
              </w:rPr>
            </w:pPr>
            <w:r w:rsidRPr="00C24253">
              <w:rPr>
                <w:rFonts w:cs="Arial"/>
                <w:sz w:val="16"/>
                <w:szCs w:val="16"/>
              </w:rPr>
              <w:t>Slovensko</w:t>
            </w:r>
          </w:p>
        </w:tc>
        <w:tc>
          <w:tcPr>
            <w:tcW w:w="714"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7 007</w:t>
            </w:r>
          </w:p>
        </w:tc>
      </w:tr>
      <w:tr w:rsidR="00D912FA" w:rsidRPr="00C24253" w:rsidTr="00974752">
        <w:trPr>
          <w:trHeight w:hRule="exact" w:val="284"/>
        </w:trPr>
        <w:tc>
          <w:tcPr>
            <w:tcW w:w="714"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2009</w:t>
            </w:r>
          </w:p>
        </w:tc>
        <w:tc>
          <w:tcPr>
            <w:tcW w:w="714" w:type="pct"/>
            <w:shd w:val="clear" w:color="auto" w:fill="auto"/>
            <w:noWrap/>
            <w:tcMar>
              <w:left w:w="142" w:type="dxa"/>
              <w:right w:w="142" w:type="dxa"/>
            </w:tcMar>
            <w:vAlign w:val="center"/>
            <w:hideMark/>
          </w:tcPr>
          <w:p w:rsidR="00D912FA" w:rsidRPr="00C24253" w:rsidRDefault="00D912FA" w:rsidP="00974752">
            <w:pPr>
              <w:rPr>
                <w:rFonts w:cs="Arial"/>
                <w:sz w:val="16"/>
                <w:szCs w:val="16"/>
              </w:rPr>
            </w:pPr>
            <w:r w:rsidRPr="00C24253">
              <w:rPr>
                <w:rFonts w:cs="Arial"/>
                <w:sz w:val="16"/>
                <w:szCs w:val="16"/>
              </w:rPr>
              <w:t>Ukrajina</w:t>
            </w:r>
          </w:p>
        </w:tc>
        <w:tc>
          <w:tcPr>
            <w:tcW w:w="71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8 051</w:t>
            </w:r>
          </w:p>
        </w:tc>
        <w:tc>
          <w:tcPr>
            <w:tcW w:w="714" w:type="pct"/>
            <w:shd w:val="clear" w:color="auto" w:fill="auto"/>
            <w:noWrap/>
            <w:tcMar>
              <w:left w:w="142" w:type="dxa"/>
              <w:right w:w="142" w:type="dxa"/>
            </w:tcMar>
            <w:vAlign w:val="center"/>
            <w:hideMark/>
          </w:tcPr>
          <w:p w:rsidR="00D912FA" w:rsidRPr="00C24253" w:rsidRDefault="00D912FA" w:rsidP="00974752">
            <w:pPr>
              <w:rPr>
                <w:rFonts w:cs="Arial"/>
                <w:sz w:val="16"/>
                <w:szCs w:val="16"/>
              </w:rPr>
            </w:pPr>
            <w:r w:rsidRPr="00C24253">
              <w:rPr>
                <w:rFonts w:cs="Arial"/>
                <w:sz w:val="16"/>
                <w:szCs w:val="16"/>
              </w:rPr>
              <w:t>Rusko</w:t>
            </w:r>
          </w:p>
        </w:tc>
        <w:tc>
          <w:tcPr>
            <w:tcW w:w="714"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4 106</w:t>
            </w:r>
          </w:p>
        </w:tc>
        <w:tc>
          <w:tcPr>
            <w:tcW w:w="714" w:type="pct"/>
            <w:shd w:val="clear" w:color="auto" w:fill="auto"/>
            <w:noWrap/>
            <w:tcMar>
              <w:left w:w="142" w:type="dxa"/>
              <w:right w:w="142" w:type="dxa"/>
            </w:tcMar>
            <w:vAlign w:val="center"/>
            <w:hideMark/>
          </w:tcPr>
          <w:p w:rsidR="00D912FA" w:rsidRPr="00C24253" w:rsidRDefault="00D912FA" w:rsidP="00974752">
            <w:pPr>
              <w:rPr>
                <w:rFonts w:cs="Arial"/>
                <w:sz w:val="16"/>
                <w:szCs w:val="16"/>
              </w:rPr>
            </w:pPr>
            <w:r w:rsidRPr="00C24253">
              <w:rPr>
                <w:rFonts w:cs="Arial"/>
                <w:sz w:val="16"/>
                <w:szCs w:val="16"/>
              </w:rPr>
              <w:t>USA</w:t>
            </w:r>
          </w:p>
        </w:tc>
        <w:tc>
          <w:tcPr>
            <w:tcW w:w="714"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2 454</w:t>
            </w:r>
          </w:p>
        </w:tc>
      </w:tr>
      <w:tr w:rsidR="00D912FA" w:rsidRPr="00C24253" w:rsidTr="00974752">
        <w:trPr>
          <w:trHeight w:hRule="exact" w:val="284"/>
        </w:trPr>
        <w:tc>
          <w:tcPr>
            <w:tcW w:w="714"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2010</w:t>
            </w:r>
          </w:p>
        </w:tc>
        <w:tc>
          <w:tcPr>
            <w:tcW w:w="714" w:type="pct"/>
            <w:shd w:val="clear" w:color="auto" w:fill="auto"/>
            <w:noWrap/>
            <w:tcMar>
              <w:left w:w="142" w:type="dxa"/>
              <w:right w:w="142" w:type="dxa"/>
            </w:tcMar>
            <w:vAlign w:val="center"/>
            <w:hideMark/>
          </w:tcPr>
          <w:p w:rsidR="00D912FA" w:rsidRPr="00C24253" w:rsidRDefault="00D912FA" w:rsidP="00974752">
            <w:pPr>
              <w:rPr>
                <w:rFonts w:cs="Arial"/>
                <w:sz w:val="16"/>
                <w:szCs w:val="16"/>
              </w:rPr>
            </w:pPr>
            <w:r w:rsidRPr="00C24253">
              <w:rPr>
                <w:rFonts w:cs="Arial"/>
                <w:sz w:val="16"/>
                <w:szCs w:val="16"/>
              </w:rPr>
              <w:t>Rusko</w:t>
            </w:r>
          </w:p>
        </w:tc>
        <w:tc>
          <w:tcPr>
            <w:tcW w:w="71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3 670</w:t>
            </w:r>
          </w:p>
        </w:tc>
        <w:tc>
          <w:tcPr>
            <w:tcW w:w="714" w:type="pct"/>
            <w:shd w:val="clear" w:color="auto" w:fill="auto"/>
            <w:noWrap/>
            <w:tcMar>
              <w:left w:w="142" w:type="dxa"/>
              <w:right w:w="142" w:type="dxa"/>
            </w:tcMar>
            <w:vAlign w:val="center"/>
            <w:hideMark/>
          </w:tcPr>
          <w:p w:rsidR="00D912FA" w:rsidRPr="00C24253" w:rsidRDefault="00D912FA" w:rsidP="00974752">
            <w:pPr>
              <w:rPr>
                <w:rFonts w:cs="Arial"/>
                <w:sz w:val="16"/>
                <w:szCs w:val="16"/>
              </w:rPr>
            </w:pPr>
            <w:r w:rsidRPr="00C24253">
              <w:rPr>
                <w:rFonts w:cs="Arial"/>
                <w:sz w:val="16"/>
                <w:szCs w:val="16"/>
              </w:rPr>
              <w:t>Ukrajina</w:t>
            </w:r>
          </w:p>
        </w:tc>
        <w:tc>
          <w:tcPr>
            <w:tcW w:w="714"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3 432</w:t>
            </w:r>
          </w:p>
        </w:tc>
        <w:tc>
          <w:tcPr>
            <w:tcW w:w="714" w:type="pct"/>
            <w:shd w:val="clear" w:color="auto" w:fill="auto"/>
            <w:noWrap/>
            <w:tcMar>
              <w:left w:w="142" w:type="dxa"/>
              <w:right w:w="142" w:type="dxa"/>
            </w:tcMar>
            <w:vAlign w:val="center"/>
            <w:hideMark/>
          </w:tcPr>
          <w:p w:rsidR="00D912FA" w:rsidRPr="00C24253" w:rsidRDefault="00D912FA" w:rsidP="00974752">
            <w:pPr>
              <w:rPr>
                <w:rFonts w:cs="Arial"/>
                <w:sz w:val="16"/>
                <w:szCs w:val="16"/>
              </w:rPr>
            </w:pPr>
            <w:r w:rsidRPr="00C24253">
              <w:rPr>
                <w:rFonts w:cs="Arial"/>
                <w:sz w:val="16"/>
                <w:szCs w:val="16"/>
              </w:rPr>
              <w:t>USA</w:t>
            </w:r>
          </w:p>
        </w:tc>
        <w:tc>
          <w:tcPr>
            <w:tcW w:w="714"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1 673</w:t>
            </w:r>
          </w:p>
        </w:tc>
      </w:tr>
      <w:tr w:rsidR="00D912FA" w:rsidRPr="00C24253" w:rsidTr="00974752">
        <w:trPr>
          <w:trHeight w:hRule="exact" w:val="284"/>
        </w:trPr>
        <w:tc>
          <w:tcPr>
            <w:tcW w:w="714"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2011</w:t>
            </w:r>
          </w:p>
        </w:tc>
        <w:tc>
          <w:tcPr>
            <w:tcW w:w="714" w:type="pct"/>
            <w:shd w:val="clear" w:color="auto" w:fill="auto"/>
            <w:noWrap/>
            <w:tcMar>
              <w:left w:w="142" w:type="dxa"/>
              <w:right w:w="142" w:type="dxa"/>
            </w:tcMar>
            <w:vAlign w:val="center"/>
            <w:hideMark/>
          </w:tcPr>
          <w:p w:rsidR="00D912FA" w:rsidRPr="00C24253" w:rsidRDefault="00D912FA" w:rsidP="00974752">
            <w:pPr>
              <w:rPr>
                <w:rFonts w:cs="Arial"/>
                <w:sz w:val="16"/>
                <w:szCs w:val="16"/>
              </w:rPr>
            </w:pPr>
            <w:r w:rsidRPr="00C24253">
              <w:rPr>
                <w:rFonts w:cs="Arial"/>
                <w:sz w:val="16"/>
                <w:szCs w:val="16"/>
              </w:rPr>
              <w:t>Slovensko</w:t>
            </w:r>
          </w:p>
        </w:tc>
        <w:tc>
          <w:tcPr>
            <w:tcW w:w="71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3 389</w:t>
            </w:r>
          </w:p>
        </w:tc>
        <w:tc>
          <w:tcPr>
            <w:tcW w:w="714" w:type="pct"/>
            <w:shd w:val="clear" w:color="auto" w:fill="auto"/>
            <w:noWrap/>
            <w:tcMar>
              <w:left w:w="142" w:type="dxa"/>
              <w:right w:w="142" w:type="dxa"/>
            </w:tcMar>
            <w:vAlign w:val="center"/>
            <w:hideMark/>
          </w:tcPr>
          <w:p w:rsidR="00D912FA" w:rsidRPr="00C24253" w:rsidRDefault="00D912FA" w:rsidP="00974752">
            <w:pPr>
              <w:rPr>
                <w:rFonts w:cs="Arial"/>
                <w:sz w:val="16"/>
                <w:szCs w:val="16"/>
              </w:rPr>
            </w:pPr>
            <w:r w:rsidRPr="00C24253">
              <w:rPr>
                <w:rFonts w:cs="Arial"/>
                <w:sz w:val="16"/>
                <w:szCs w:val="16"/>
              </w:rPr>
              <w:t>Rusko</w:t>
            </w:r>
          </w:p>
        </w:tc>
        <w:tc>
          <w:tcPr>
            <w:tcW w:w="714"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2 123</w:t>
            </w:r>
          </w:p>
        </w:tc>
        <w:tc>
          <w:tcPr>
            <w:tcW w:w="714" w:type="pct"/>
            <w:shd w:val="clear" w:color="auto" w:fill="auto"/>
            <w:noWrap/>
            <w:tcMar>
              <w:left w:w="142" w:type="dxa"/>
              <w:right w:w="142" w:type="dxa"/>
            </w:tcMar>
            <w:vAlign w:val="center"/>
            <w:hideMark/>
          </w:tcPr>
          <w:p w:rsidR="00D912FA" w:rsidRPr="00C24253" w:rsidRDefault="00D912FA" w:rsidP="00974752">
            <w:pPr>
              <w:rPr>
                <w:rFonts w:cs="Arial"/>
                <w:sz w:val="16"/>
                <w:szCs w:val="16"/>
              </w:rPr>
            </w:pPr>
            <w:r w:rsidRPr="00C24253">
              <w:rPr>
                <w:rFonts w:cs="Arial"/>
                <w:sz w:val="16"/>
                <w:szCs w:val="16"/>
              </w:rPr>
              <w:t>Ukrajina</w:t>
            </w:r>
          </w:p>
        </w:tc>
        <w:tc>
          <w:tcPr>
            <w:tcW w:w="714"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1 889</w:t>
            </w:r>
          </w:p>
        </w:tc>
      </w:tr>
      <w:tr w:rsidR="00D912FA" w:rsidRPr="00C24253" w:rsidTr="00974752">
        <w:trPr>
          <w:trHeight w:hRule="exact" w:val="284"/>
        </w:trPr>
        <w:tc>
          <w:tcPr>
            <w:tcW w:w="714"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2012</w:t>
            </w:r>
          </w:p>
        </w:tc>
        <w:tc>
          <w:tcPr>
            <w:tcW w:w="714" w:type="pct"/>
            <w:shd w:val="clear" w:color="auto" w:fill="auto"/>
            <w:noWrap/>
            <w:tcMar>
              <w:left w:w="142" w:type="dxa"/>
              <w:right w:w="142" w:type="dxa"/>
            </w:tcMar>
            <w:vAlign w:val="center"/>
            <w:hideMark/>
          </w:tcPr>
          <w:p w:rsidR="00D912FA" w:rsidRPr="00C24253" w:rsidRDefault="00D912FA" w:rsidP="00974752">
            <w:pPr>
              <w:rPr>
                <w:rFonts w:cs="Arial"/>
                <w:sz w:val="16"/>
                <w:szCs w:val="16"/>
              </w:rPr>
            </w:pPr>
            <w:r w:rsidRPr="00C24253">
              <w:rPr>
                <w:rFonts w:cs="Arial"/>
                <w:sz w:val="16"/>
                <w:szCs w:val="16"/>
              </w:rPr>
              <w:t>Slovensko</w:t>
            </w:r>
          </w:p>
        </w:tc>
        <w:tc>
          <w:tcPr>
            <w:tcW w:w="716"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3 959</w:t>
            </w:r>
          </w:p>
        </w:tc>
        <w:tc>
          <w:tcPr>
            <w:tcW w:w="714" w:type="pct"/>
            <w:shd w:val="clear" w:color="auto" w:fill="auto"/>
            <w:noWrap/>
            <w:tcMar>
              <w:left w:w="142" w:type="dxa"/>
              <w:right w:w="142" w:type="dxa"/>
            </w:tcMar>
            <w:vAlign w:val="center"/>
            <w:hideMark/>
          </w:tcPr>
          <w:p w:rsidR="00D912FA" w:rsidRPr="00C24253" w:rsidRDefault="00D912FA" w:rsidP="00974752">
            <w:pPr>
              <w:rPr>
                <w:rFonts w:cs="Arial"/>
                <w:sz w:val="16"/>
                <w:szCs w:val="16"/>
              </w:rPr>
            </w:pPr>
            <w:r w:rsidRPr="00C24253">
              <w:rPr>
                <w:rFonts w:cs="Arial"/>
                <w:sz w:val="16"/>
                <w:szCs w:val="16"/>
              </w:rPr>
              <w:t>Rusko</w:t>
            </w:r>
          </w:p>
        </w:tc>
        <w:tc>
          <w:tcPr>
            <w:tcW w:w="714"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1 566</w:t>
            </w:r>
          </w:p>
        </w:tc>
        <w:tc>
          <w:tcPr>
            <w:tcW w:w="714" w:type="pct"/>
            <w:shd w:val="clear" w:color="auto" w:fill="auto"/>
            <w:noWrap/>
            <w:tcMar>
              <w:left w:w="142" w:type="dxa"/>
              <w:right w:w="142" w:type="dxa"/>
            </w:tcMar>
            <w:vAlign w:val="center"/>
            <w:hideMark/>
          </w:tcPr>
          <w:p w:rsidR="00D912FA" w:rsidRPr="00C24253" w:rsidRDefault="00D912FA" w:rsidP="00974752">
            <w:pPr>
              <w:rPr>
                <w:rFonts w:cs="Arial"/>
                <w:sz w:val="16"/>
                <w:szCs w:val="16"/>
              </w:rPr>
            </w:pPr>
            <w:r w:rsidRPr="00C24253">
              <w:rPr>
                <w:rFonts w:cs="Arial"/>
                <w:sz w:val="16"/>
                <w:szCs w:val="16"/>
              </w:rPr>
              <w:t>Německo</w:t>
            </w:r>
          </w:p>
        </w:tc>
        <w:tc>
          <w:tcPr>
            <w:tcW w:w="714"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1 050</w:t>
            </w:r>
          </w:p>
        </w:tc>
      </w:tr>
    </w:tbl>
    <w:p w:rsidR="00D912FA" w:rsidRPr="00C24253" w:rsidRDefault="00D912FA" w:rsidP="00D912FA">
      <w:pPr>
        <w:spacing w:before="60"/>
        <w:rPr>
          <w:rFonts w:cs="Arial"/>
          <w:i/>
          <w:sz w:val="16"/>
          <w:szCs w:val="16"/>
        </w:rPr>
      </w:pPr>
      <w:r w:rsidRPr="00C24253">
        <w:rPr>
          <w:rFonts w:cs="Arial"/>
          <w:sz w:val="16"/>
          <w:szCs w:val="16"/>
          <w:vertAlign w:val="superscript"/>
        </w:rPr>
        <w:t>1)</w:t>
      </w:r>
      <w:r w:rsidRPr="00C24253">
        <w:rPr>
          <w:rFonts w:cs="Arial"/>
          <w:i/>
          <w:sz w:val="16"/>
          <w:szCs w:val="16"/>
        </w:rPr>
        <w:t>Státní občanství se sleduje od roku 1995.</w:t>
      </w:r>
    </w:p>
    <w:p w:rsidR="00D912FA" w:rsidRPr="00C24253" w:rsidRDefault="00D912FA" w:rsidP="00D912FA">
      <w:pPr>
        <w:spacing w:after="120"/>
        <w:rPr>
          <w:rFonts w:cs="Arial"/>
          <w:i/>
          <w:sz w:val="16"/>
          <w:szCs w:val="16"/>
        </w:rPr>
      </w:pPr>
      <w:r w:rsidRPr="00C24253">
        <w:rPr>
          <w:rFonts w:cs="Arial"/>
          <w:i/>
          <w:sz w:val="16"/>
          <w:szCs w:val="16"/>
          <w:vertAlign w:val="superscript"/>
          <w:lang w:val="en-US"/>
        </w:rPr>
        <w:t>2)</w:t>
      </w:r>
      <w:r w:rsidRPr="00C24253">
        <w:rPr>
          <w:rFonts w:cs="Arial"/>
          <w:i/>
          <w:sz w:val="16"/>
          <w:szCs w:val="16"/>
        </w:rPr>
        <w:t>nejvyšší záporná salda</w:t>
      </w:r>
    </w:p>
    <w:p w:rsidR="00D912FA" w:rsidRPr="00C24253" w:rsidRDefault="00D912FA" w:rsidP="00D912FA">
      <w:pPr>
        <w:spacing w:before="360" w:after="120"/>
        <w:rPr>
          <w:rFonts w:eastAsia="Calibri" w:cs="Arial"/>
          <w:sz w:val="20"/>
          <w:szCs w:val="20"/>
        </w:rPr>
      </w:pPr>
      <w:r w:rsidRPr="00C24253">
        <w:rPr>
          <w:rFonts w:eastAsia="Calibri" w:cs="Arial"/>
          <w:sz w:val="20"/>
          <w:szCs w:val="20"/>
        </w:rPr>
        <w:t>Z regionálního pohledu byla pro přistěhovalé ze zahraničí (i z hlediska výše salda) před i po zahrnutí cizinců s dlouhodobým a přechodným pobytem do statistiky, nejpřitažlivější Praha. V úhrnu let 2001-2012 do hlavn</w:t>
      </w:r>
      <w:r w:rsidRPr="00C24253">
        <w:rPr>
          <w:rFonts w:eastAsia="Calibri" w:cs="Arial"/>
          <w:sz w:val="20"/>
          <w:szCs w:val="20"/>
        </w:rPr>
        <w:t>í</w:t>
      </w:r>
      <w:r w:rsidRPr="00C24253">
        <w:rPr>
          <w:rFonts w:eastAsia="Calibri" w:cs="Arial"/>
          <w:sz w:val="20"/>
          <w:szCs w:val="20"/>
        </w:rPr>
        <w:lastRenderedPageBreak/>
        <w:t>ho města mířila více jak jedna třetina všech přistěhovalých z ciziny a i saldo zahraniční migrace Prahy pře</w:t>
      </w:r>
      <w:r w:rsidRPr="00C24253">
        <w:rPr>
          <w:rFonts w:eastAsia="Calibri" w:cs="Arial"/>
          <w:sz w:val="20"/>
          <w:szCs w:val="20"/>
        </w:rPr>
        <w:t>d</w:t>
      </w:r>
      <w:r w:rsidRPr="00C24253">
        <w:rPr>
          <w:rFonts w:eastAsia="Calibri" w:cs="Arial"/>
          <w:sz w:val="20"/>
          <w:szCs w:val="20"/>
        </w:rPr>
        <w:t xml:space="preserve">stavovalo více jak třetinu republikového salda. </w:t>
      </w:r>
    </w:p>
    <w:p w:rsidR="00D912FA" w:rsidRPr="00C24253" w:rsidRDefault="00D912FA" w:rsidP="00D912FA">
      <w:pPr>
        <w:spacing w:after="120"/>
        <w:rPr>
          <w:rFonts w:eastAsia="Calibri" w:cs="Arial"/>
          <w:sz w:val="20"/>
          <w:szCs w:val="20"/>
        </w:rPr>
      </w:pPr>
      <w:r w:rsidRPr="00C24253">
        <w:rPr>
          <w:rFonts w:eastAsia="Calibri" w:cs="Arial"/>
          <w:sz w:val="20"/>
          <w:szCs w:val="20"/>
        </w:rPr>
        <w:t>Po rozšíření okruhu statisticky sledovaných osob na významu nabyl dále Středočeský kraj, který se stal dr</w:t>
      </w:r>
      <w:r w:rsidRPr="00C24253">
        <w:rPr>
          <w:rFonts w:eastAsia="Calibri" w:cs="Arial"/>
          <w:sz w:val="20"/>
          <w:szCs w:val="20"/>
        </w:rPr>
        <w:t>u</w:t>
      </w:r>
      <w:r w:rsidRPr="00C24253">
        <w:rPr>
          <w:rFonts w:eastAsia="Calibri" w:cs="Arial"/>
          <w:sz w:val="20"/>
          <w:szCs w:val="20"/>
        </w:rPr>
        <w:t xml:space="preserve">hým </w:t>
      </w:r>
      <w:r>
        <w:rPr>
          <w:rFonts w:eastAsia="Calibri" w:cs="Arial"/>
          <w:sz w:val="20"/>
          <w:szCs w:val="20"/>
        </w:rPr>
        <w:t>nejatraktivnějším krajem pro usazování</w:t>
      </w:r>
      <w:r w:rsidRPr="00C24253">
        <w:rPr>
          <w:rFonts w:eastAsia="Calibri" w:cs="Arial"/>
          <w:sz w:val="20"/>
          <w:szCs w:val="20"/>
        </w:rPr>
        <w:t xml:space="preserve"> cizinců v ČR. </w:t>
      </w:r>
    </w:p>
    <w:p w:rsidR="00D912FA" w:rsidRPr="00C24253" w:rsidRDefault="00D912FA" w:rsidP="00D912FA">
      <w:pPr>
        <w:spacing w:after="120"/>
        <w:rPr>
          <w:rFonts w:eastAsia="Calibri" w:cs="Arial"/>
          <w:sz w:val="20"/>
          <w:szCs w:val="20"/>
        </w:rPr>
      </w:pPr>
      <w:r w:rsidRPr="00C24253">
        <w:rPr>
          <w:rFonts w:eastAsia="Calibri" w:cs="Arial"/>
          <w:sz w:val="20"/>
          <w:szCs w:val="20"/>
        </w:rPr>
        <w:t>Atraktivnost jednotlivých krajů byla ale částečně diferencována podle státního občanství migrantů. Např. přistěhovalí s vietnamským státním občanstvím směřovali ze značné části také do Karlovarského a Ústeck</w:t>
      </w:r>
      <w:r w:rsidRPr="00C24253">
        <w:rPr>
          <w:rFonts w:eastAsia="Calibri" w:cs="Arial"/>
          <w:sz w:val="20"/>
          <w:szCs w:val="20"/>
        </w:rPr>
        <w:t>é</w:t>
      </w:r>
      <w:r w:rsidRPr="00C24253">
        <w:rPr>
          <w:rFonts w:eastAsia="Calibri" w:cs="Arial"/>
          <w:sz w:val="20"/>
          <w:szCs w:val="20"/>
        </w:rPr>
        <w:t>ho kraje, což úzce souviselo se silným zastoupením a působností této menšiny v tomto regionu. V případě některých ostatních, silněji zast</w:t>
      </w:r>
      <w:r>
        <w:rPr>
          <w:rFonts w:eastAsia="Calibri" w:cs="Arial"/>
          <w:sz w:val="20"/>
          <w:szCs w:val="20"/>
        </w:rPr>
        <w:t>oupených minorit na našem území</w:t>
      </w:r>
      <w:r w:rsidRPr="00C24253">
        <w:rPr>
          <w:rFonts w:eastAsia="Calibri" w:cs="Arial"/>
          <w:sz w:val="20"/>
          <w:szCs w:val="20"/>
        </w:rPr>
        <w:t xml:space="preserve"> měla kromě preference Prahy a Střed</w:t>
      </w:r>
      <w:r w:rsidRPr="00C24253">
        <w:rPr>
          <w:rFonts w:eastAsia="Calibri" w:cs="Arial"/>
          <w:sz w:val="20"/>
          <w:szCs w:val="20"/>
        </w:rPr>
        <w:t>o</w:t>
      </w:r>
      <w:r w:rsidRPr="00C24253">
        <w:rPr>
          <w:rFonts w:eastAsia="Calibri" w:cs="Arial"/>
          <w:sz w:val="20"/>
          <w:szCs w:val="20"/>
        </w:rPr>
        <w:t>českého kraje vliv i geografická blízkost, což platilo pro občany Slovenska a Polska. Pro přistěhovalé z Ukrajiny byla v novém století nejčastějším cílem Praha, dále Středočeský kraj následovaný krajem Jihom</w:t>
      </w:r>
      <w:r w:rsidRPr="00C24253">
        <w:rPr>
          <w:rFonts w:eastAsia="Calibri" w:cs="Arial"/>
          <w:sz w:val="20"/>
          <w:szCs w:val="20"/>
        </w:rPr>
        <w:t>o</w:t>
      </w:r>
      <w:r w:rsidRPr="00C24253">
        <w:rPr>
          <w:rFonts w:eastAsia="Calibri" w:cs="Arial"/>
          <w:sz w:val="20"/>
          <w:szCs w:val="20"/>
        </w:rPr>
        <w:t>ravským.</w:t>
      </w:r>
    </w:p>
    <w:p w:rsidR="00D912FA" w:rsidRPr="00C24253" w:rsidRDefault="00D912FA" w:rsidP="00D912FA">
      <w:pPr>
        <w:pStyle w:val="Zkladntext"/>
        <w:ind w:firstLine="0"/>
      </w:pPr>
      <w:r w:rsidRPr="00C24253">
        <w:t>Složení migrantů podle věku v novém století se částečně liší od složení migrantů v 90. letech, kdy se počít</w:t>
      </w:r>
      <w:r w:rsidRPr="00C24253">
        <w:t>a</w:t>
      </w:r>
      <w:r w:rsidRPr="00C24253">
        <w:t xml:space="preserve">ly pouze změny trvalého pobytu, i když v obou případech se jednalo o mladší věkovou strukturu, než měla domácí populace. </w:t>
      </w:r>
    </w:p>
    <w:p w:rsidR="00D912FA" w:rsidRPr="00C24253" w:rsidRDefault="00D912FA" w:rsidP="00D912FA">
      <w:pPr>
        <w:pStyle w:val="Zkladntext"/>
        <w:ind w:firstLine="0"/>
      </w:pPr>
      <w:r w:rsidRPr="00C24253">
        <w:t>Mezi přistěhovalými i vystěhovalými v poslední dekádě minulého století byl oproti přistěhovalým a vystěh</w:t>
      </w:r>
      <w:r w:rsidRPr="00C24253">
        <w:t>o</w:t>
      </w:r>
      <w:r w:rsidRPr="00C24253">
        <w:t xml:space="preserve">valým v novém století vyšší podíl dětí i seniorů. Zastoupení osob starších 65 let mezi stěhujícími po roce 2000 je minimální (mírně nad 1 %) a odráží pracovní a studijní důvody migrace, které ovlivňují i nižší podíl dětí mezi nimi. </w:t>
      </w:r>
    </w:p>
    <w:p w:rsidR="00D912FA" w:rsidRPr="00C24253" w:rsidRDefault="00D912FA" w:rsidP="00D912FA">
      <w:pPr>
        <w:pStyle w:val="Zkladntext"/>
        <w:ind w:firstLine="0"/>
      </w:pPr>
      <w:r w:rsidRPr="00C24253">
        <w:t>I když většina cizinců, kteří do ČR přicházejí, je v reprodukčním věku, rodiny zde vyjma Vietnamců příliš nezakládají. Počty narozených dětí s jiným než českým občanstvím byly nízké (nejdříve v řádu několika set, v posledních letech až okolo 3 tisíc), i když jejich podíl na celkovém počtu narozených se v čase o něco zv</w:t>
      </w:r>
      <w:r w:rsidRPr="00C24253">
        <w:t>ý</w:t>
      </w:r>
      <w:r w:rsidRPr="00C24253">
        <w:t xml:space="preserve">šil (z necelého jednoho procenta na necelá tři procenta). Zdaleka nejvíce se jednalo o vietnamské děti, dále o děti s ukrajinským a slovenským státním občanstvím. </w:t>
      </w:r>
    </w:p>
    <w:p w:rsidR="00D912FA" w:rsidRPr="00C24253" w:rsidRDefault="00D912FA" w:rsidP="00D912FA">
      <w:pPr>
        <w:pStyle w:val="Zkladntext"/>
        <w:spacing w:after="360"/>
        <w:ind w:firstLine="0"/>
      </w:pPr>
      <w:r w:rsidRPr="00C24253">
        <w:t>Z hlediska zastoupení mužů a žen převažovali mezi přistěhovalými i ve výsledném saldu v devadesátých letech i v novém století muži (53, resp. 55 %), když jejich převaha byla mnoh</w:t>
      </w:r>
      <w:r w:rsidR="00D423B3">
        <w:t>em výraznější po roce 2000 (61, </w:t>
      </w:r>
      <w:r w:rsidRPr="00C24253">
        <w:t>resp. 58 %), mezi vystěhovalými v úhrnu za celé období 1991-2000 bylo mírně víc žen (51 %), v dalších letech většina mužů platila i pro vystěhovalé (66 %).</w:t>
      </w:r>
    </w:p>
    <w:p w:rsidR="00D912FA" w:rsidRPr="00C24253" w:rsidRDefault="00517FA8" w:rsidP="00D912FA">
      <w:pPr>
        <w:spacing w:after="120"/>
        <w:jc w:val="center"/>
        <w:rPr>
          <w:rFonts w:cs="Arial"/>
          <w:b/>
          <w:sz w:val="20"/>
          <w:szCs w:val="20"/>
        </w:rPr>
      </w:pPr>
      <w:r w:rsidRPr="00517FA8">
        <w:rPr>
          <w:rFonts w:cs="Arial"/>
          <w:b/>
          <w:noProof/>
          <w:sz w:val="20"/>
          <w:szCs w:val="20"/>
        </w:rPr>
        <w:pict>
          <v:shape id="obrázek 6" o:spid="_x0000_i1029" type="#_x0000_t75" style="width:427.5pt;height:240pt;visibility:visible;mso-wrap-style:square">
            <v:imagedata r:id="rId21" o:title=""/>
          </v:shape>
        </w:pict>
      </w:r>
    </w:p>
    <w:p w:rsidR="00D912FA" w:rsidRPr="00C24253" w:rsidRDefault="00D912FA" w:rsidP="004B4F8D">
      <w:pPr>
        <w:pStyle w:val="31"/>
        <w:numPr>
          <w:ilvl w:val="1"/>
          <w:numId w:val="47"/>
        </w:numPr>
        <w:ind w:left="360" w:hanging="360"/>
      </w:pPr>
      <w:r w:rsidRPr="00C24253">
        <w:t>Vnitřní migrace</w:t>
      </w:r>
    </w:p>
    <w:p w:rsidR="00D912FA" w:rsidRPr="00C24253" w:rsidRDefault="00D912FA" w:rsidP="00D912FA">
      <w:pPr>
        <w:pStyle w:val="Zkladntext"/>
        <w:ind w:firstLine="0"/>
        <w:rPr>
          <w:rFonts w:eastAsiaTheme="minorHAnsi"/>
          <w:iCs/>
          <w:lang w:eastAsia="en-US"/>
        </w:rPr>
      </w:pPr>
      <w:r w:rsidRPr="00C24253">
        <w:rPr>
          <w:rFonts w:eastAsiaTheme="minorHAnsi"/>
          <w:iCs/>
          <w:lang w:eastAsia="en-US"/>
        </w:rPr>
        <w:t>Vnitřní migrací se rozumí změna obce trvalého, v případě cizinců od roku 2001 i dlouhodobého a přecho</w:t>
      </w:r>
      <w:r w:rsidRPr="00C24253">
        <w:rPr>
          <w:rFonts w:eastAsiaTheme="minorHAnsi"/>
          <w:iCs/>
          <w:lang w:eastAsia="en-US"/>
        </w:rPr>
        <w:t>d</w:t>
      </w:r>
      <w:r w:rsidRPr="00C24253">
        <w:rPr>
          <w:rFonts w:eastAsiaTheme="minorHAnsi"/>
          <w:iCs/>
          <w:lang w:eastAsia="en-US"/>
        </w:rPr>
        <w:t>ného pobytu. Časová srovnatelnost údajů o objemu vnitřního stěhování a jeho struktur je limitována úze</w:t>
      </w:r>
      <w:r w:rsidRPr="00C24253">
        <w:rPr>
          <w:rFonts w:eastAsiaTheme="minorHAnsi"/>
          <w:iCs/>
          <w:lang w:eastAsia="en-US"/>
        </w:rPr>
        <w:t>m</w:t>
      </w:r>
      <w:r w:rsidRPr="00C24253">
        <w:rPr>
          <w:rFonts w:eastAsiaTheme="minorHAnsi"/>
          <w:iCs/>
          <w:lang w:eastAsia="en-US"/>
        </w:rPr>
        <w:t xml:space="preserve">ními změnami, okruhem osob zahrnutých do statistik a změnami ve sledování stěhování uvnitř hlavního města Prahy, popř. rovněž Brna a Plzně. </w:t>
      </w:r>
    </w:p>
    <w:p w:rsidR="00D912FA" w:rsidRPr="00C24253" w:rsidRDefault="00D912FA" w:rsidP="00D912FA">
      <w:pPr>
        <w:pStyle w:val="Zkladntext"/>
        <w:ind w:firstLine="0"/>
        <w:rPr>
          <w:rFonts w:eastAsiaTheme="minorHAnsi"/>
          <w:iCs/>
          <w:lang w:eastAsia="en-US"/>
        </w:rPr>
      </w:pPr>
      <w:r w:rsidRPr="00C24253">
        <w:rPr>
          <w:rFonts w:eastAsiaTheme="minorHAnsi"/>
          <w:iCs/>
          <w:lang w:eastAsia="en-US"/>
        </w:rPr>
        <w:t>Stěhování v rámci republiky ovlivňuje územní rozmístění obyvatel a jeho s</w:t>
      </w:r>
      <w:r w:rsidR="00D423B3">
        <w:rPr>
          <w:rFonts w:eastAsiaTheme="minorHAnsi"/>
          <w:iCs/>
          <w:lang w:eastAsia="en-US"/>
        </w:rPr>
        <w:t>truktury podle věku, vzdělání a </w:t>
      </w:r>
      <w:r w:rsidRPr="00C24253">
        <w:rPr>
          <w:rFonts w:eastAsiaTheme="minorHAnsi"/>
          <w:iCs/>
          <w:lang w:eastAsia="en-US"/>
        </w:rPr>
        <w:t xml:space="preserve">dalších demografických a socioekonomických charakteristik. Intenzita vnitřního stěhování, která je ovšem </w:t>
      </w:r>
      <w:r w:rsidRPr="00C24253">
        <w:rPr>
          <w:rFonts w:eastAsiaTheme="minorHAnsi"/>
          <w:iCs/>
          <w:lang w:eastAsia="en-US"/>
        </w:rPr>
        <w:lastRenderedPageBreak/>
        <w:t xml:space="preserve">založena na změnách legislativního pobytu, není ale příliš vysoká, v průměru let 1991-2012 šlo o 23 případů stěhování na 1 000 obyvatel (rozpětí bylo 19-29 případů na 1 000 obyvatel), což znamená stěhování jednou za 43,5 roku, tedy zhruba dvakrát za život. </w:t>
      </w:r>
    </w:p>
    <w:p w:rsidR="00D912FA" w:rsidRPr="00C24253" w:rsidRDefault="00D912FA" w:rsidP="00D912FA">
      <w:pPr>
        <w:pStyle w:val="Zkladntext"/>
        <w:ind w:firstLine="0"/>
        <w:rPr>
          <w:rFonts w:eastAsiaTheme="minorHAnsi"/>
          <w:iCs/>
          <w:lang w:eastAsia="en-US"/>
        </w:rPr>
      </w:pPr>
      <w:r w:rsidRPr="00C24253">
        <w:rPr>
          <w:rFonts w:eastAsiaTheme="minorHAnsi"/>
          <w:iCs/>
          <w:lang w:eastAsia="en-US"/>
        </w:rPr>
        <w:t>Pro první polovinu 90. let 20. století byl charakteristický pokles migrační mobility, která zůstala nižší po da</w:t>
      </w:r>
      <w:r w:rsidRPr="00C24253">
        <w:rPr>
          <w:rFonts w:eastAsiaTheme="minorHAnsi"/>
          <w:iCs/>
          <w:lang w:eastAsia="en-US"/>
        </w:rPr>
        <w:t>l</w:t>
      </w:r>
      <w:r w:rsidRPr="00C24253">
        <w:rPr>
          <w:rFonts w:eastAsiaTheme="minorHAnsi"/>
          <w:iCs/>
          <w:lang w:eastAsia="en-US"/>
        </w:rPr>
        <w:t>ších deset let. Objem vnitřní migrace se snížil z 240 tisíc pohybů ročně (včetně stěhování v rámci Prahy) v letech 1991-1993 na průměrných 205 tisíc v období 1994-2005, když v letech 1996-1997 a 2000 klesl d</w:t>
      </w:r>
      <w:r w:rsidRPr="00C24253">
        <w:rPr>
          <w:rFonts w:eastAsiaTheme="minorHAnsi"/>
          <w:iCs/>
          <w:lang w:eastAsia="en-US"/>
        </w:rPr>
        <w:t>o</w:t>
      </w:r>
      <w:r w:rsidRPr="00C24253">
        <w:rPr>
          <w:rFonts w:eastAsiaTheme="minorHAnsi"/>
          <w:iCs/>
          <w:lang w:eastAsia="en-US"/>
        </w:rPr>
        <w:t xml:space="preserve">konce pod 200 tisíc případů. </w:t>
      </w:r>
    </w:p>
    <w:p w:rsidR="00D912FA" w:rsidRPr="00C24253" w:rsidRDefault="00D912FA" w:rsidP="00D912FA">
      <w:pPr>
        <w:pStyle w:val="Zkladntext"/>
        <w:ind w:firstLine="0"/>
        <w:rPr>
          <w:rFonts w:eastAsiaTheme="minorHAnsi"/>
          <w:iCs/>
          <w:lang w:eastAsia="en-US"/>
        </w:rPr>
      </w:pPr>
      <w:r w:rsidRPr="00C24253">
        <w:rPr>
          <w:rFonts w:eastAsiaTheme="minorHAnsi"/>
          <w:iCs/>
          <w:lang w:eastAsia="en-US"/>
        </w:rPr>
        <w:t>Po roce 2005 celkový objem zase rostl, hlavní příčinou byly ale vyšší počty změn bydliště cizinců. Podíl c</w:t>
      </w:r>
      <w:r w:rsidRPr="00C24253">
        <w:rPr>
          <w:rFonts w:eastAsiaTheme="minorHAnsi"/>
          <w:iCs/>
          <w:lang w:eastAsia="en-US"/>
        </w:rPr>
        <w:t>i</w:t>
      </w:r>
      <w:r w:rsidRPr="00C24253">
        <w:rPr>
          <w:rFonts w:eastAsiaTheme="minorHAnsi"/>
          <w:iCs/>
          <w:lang w:eastAsia="en-US"/>
        </w:rPr>
        <w:t xml:space="preserve">zinců na objemu vnitřního stěhování dosahoval maxima v letech 2007-2009 (14 %) a to v souvislosti s výrazným vzestupem přistěhovalých cizinců na území ČR. Vzhledem ke své početnosti se nejčastěji jedná o vnitřní migraci občanů Ukrajiny, s větším odstupem následují Vietnamci. Mobilita cizinců v rámci republiky je výrazně vyšší než registrovaná mobilita občanů ČR. </w:t>
      </w:r>
    </w:p>
    <w:p w:rsidR="00D912FA" w:rsidRPr="00C24253" w:rsidRDefault="00D912FA" w:rsidP="00D912FA">
      <w:pPr>
        <w:pStyle w:val="Zkladntext"/>
        <w:ind w:firstLine="0"/>
        <w:rPr>
          <w:rFonts w:eastAsiaTheme="minorHAnsi"/>
          <w:iCs/>
          <w:lang w:eastAsia="en-US"/>
        </w:rPr>
      </w:pPr>
      <w:r w:rsidRPr="00C24253">
        <w:rPr>
          <w:rFonts w:eastAsiaTheme="minorHAnsi"/>
          <w:iCs/>
          <w:lang w:eastAsia="en-US"/>
        </w:rPr>
        <w:t>V devadesátých letech, do vzniku nového krajského uspořádání k 1. 1. 2000, tvořilo 55 % celkového objemu stěhování na krátké vzdálenosti, tj. mezi obcemi v rámci okresu včetně stěhování uvnitř hlavního města Pr</w:t>
      </w:r>
      <w:r w:rsidRPr="00C24253">
        <w:rPr>
          <w:rFonts w:eastAsiaTheme="minorHAnsi"/>
          <w:iCs/>
          <w:lang w:eastAsia="en-US"/>
        </w:rPr>
        <w:t>a</w:t>
      </w:r>
      <w:r w:rsidRPr="00C24253">
        <w:rPr>
          <w:rFonts w:eastAsiaTheme="minorHAnsi"/>
          <w:iCs/>
          <w:lang w:eastAsia="en-US"/>
        </w:rPr>
        <w:t xml:space="preserve">hy. Necelou jednu čtvrtinu představovalo stěhování mezi kraji. Obdobná situace byla i v roce 2000. V dalších letech, resp. do roku 2007 ale rostl podíl stěhování na delší vzdálenosti (na 33 %), poté se naopak snižoval. Zvyšoval se také podíl stěhování na střední vzdálenosti, tj. mezi okresy v rámci jednoho kraje na maximum 17 % v letech 2005-2006. </w:t>
      </w:r>
    </w:p>
    <w:p w:rsidR="00D912FA" w:rsidRPr="00C24253" w:rsidRDefault="00D912FA" w:rsidP="00D912FA">
      <w:pPr>
        <w:pStyle w:val="Zkladntext"/>
        <w:ind w:firstLine="0"/>
        <w:rPr>
          <w:rFonts w:eastAsiaTheme="minorHAnsi"/>
          <w:iCs/>
          <w:lang w:eastAsia="en-US"/>
        </w:rPr>
      </w:pPr>
      <w:r w:rsidRPr="00C24253">
        <w:rPr>
          <w:rFonts w:eastAsiaTheme="minorHAnsi"/>
          <w:iCs/>
          <w:lang w:eastAsia="en-US"/>
        </w:rPr>
        <w:t>Podíl vnitrookresního stěhování se snížil na 50 % v roce 2007, v dalších letech opět mírně vzrostl, až na 55 % v roce 2012. Intenzita stěhování mezi urbanistickými obvody Prahy po roce 1993 až zhruba do roku 2005 klesala či stagnovala (minimum bylo 24 tisíce případů v roce 2003), v období 2006-2010 naopak p</w:t>
      </w:r>
      <w:r w:rsidRPr="00C24253">
        <w:rPr>
          <w:rFonts w:eastAsiaTheme="minorHAnsi"/>
          <w:iCs/>
          <w:lang w:eastAsia="en-US"/>
        </w:rPr>
        <w:t>o</w:t>
      </w:r>
      <w:r w:rsidRPr="00C24253">
        <w:rPr>
          <w:rFonts w:eastAsiaTheme="minorHAnsi"/>
          <w:iCs/>
          <w:lang w:eastAsia="en-US"/>
        </w:rPr>
        <w:t xml:space="preserve">měrně rychle rostla, až na více jak 56 tisíc případů stěhování v roce 2010. Na výši přes 50 tisíc pohybů se udržovala od roku 2008. Skutečný pohyb v rámci Prahy, který není založen pouze na úřední změně adresy bydliště, je velmi pravděpodobně ještě vyšší. </w:t>
      </w:r>
    </w:p>
    <w:p w:rsidR="00D912FA" w:rsidRPr="00C24253" w:rsidRDefault="00D912FA" w:rsidP="00D912FA">
      <w:pPr>
        <w:pStyle w:val="Zkladntext"/>
        <w:spacing w:before="360"/>
        <w:ind w:firstLine="0"/>
        <w:rPr>
          <w:rFonts w:eastAsiaTheme="minorHAnsi"/>
          <w:b/>
          <w:iCs/>
          <w:lang w:eastAsia="en-US"/>
        </w:rPr>
      </w:pPr>
      <w:r w:rsidRPr="00C24253">
        <w:rPr>
          <w:rFonts w:eastAsiaTheme="minorHAnsi"/>
          <w:b/>
          <w:iCs/>
          <w:lang w:eastAsia="en-US"/>
        </w:rPr>
        <w:t>Vnitřní stěhování v letech 1991 až 2012</w:t>
      </w:r>
    </w:p>
    <w:tbl>
      <w:tblPr>
        <w:tblW w:w="4950" w:type="pct"/>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tblPr>
      <w:tblGrid>
        <w:gridCol w:w="1612"/>
        <w:gridCol w:w="1614"/>
        <w:gridCol w:w="1615"/>
        <w:gridCol w:w="1613"/>
        <w:gridCol w:w="1615"/>
        <w:gridCol w:w="1611"/>
      </w:tblGrid>
      <w:tr w:rsidR="00D912FA" w:rsidRPr="00C24253" w:rsidTr="00974752">
        <w:trPr>
          <w:trHeight w:val="300"/>
        </w:trPr>
        <w:tc>
          <w:tcPr>
            <w:tcW w:w="833" w:type="pct"/>
            <w:vMerge w:val="restart"/>
            <w:tcBorders>
              <w:top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Rok</w:t>
            </w:r>
          </w:p>
        </w:tc>
        <w:tc>
          <w:tcPr>
            <w:tcW w:w="834" w:type="pct"/>
            <w:vMerge w:val="restart"/>
            <w:tcBorders>
              <w:top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Celkem včetně stěhování uvnitř Prahy</w:t>
            </w:r>
          </w:p>
        </w:tc>
        <w:tc>
          <w:tcPr>
            <w:tcW w:w="834" w:type="pct"/>
            <w:vMerge w:val="restart"/>
            <w:tcBorders>
              <w:top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Z obce do obce v rámci okresu včetně stěhování uvnitř Prahy</w:t>
            </w:r>
          </w:p>
        </w:tc>
        <w:tc>
          <w:tcPr>
            <w:tcW w:w="833" w:type="pct"/>
            <w:vMerge w:val="restart"/>
            <w:tcBorders>
              <w:top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Uvnitř Prahy</w:t>
            </w:r>
          </w:p>
        </w:tc>
        <w:tc>
          <w:tcPr>
            <w:tcW w:w="1666" w:type="pct"/>
            <w:gridSpan w:val="2"/>
            <w:tcBorders>
              <w:top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w:t>
            </w:r>
          </w:p>
        </w:tc>
      </w:tr>
      <w:tr w:rsidR="00D912FA" w:rsidRPr="00C24253" w:rsidTr="00974752">
        <w:trPr>
          <w:trHeight w:val="964"/>
        </w:trPr>
        <w:tc>
          <w:tcPr>
            <w:tcW w:w="833" w:type="pct"/>
            <w:vMerge/>
            <w:tcBorders>
              <w:top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p>
        </w:tc>
        <w:tc>
          <w:tcPr>
            <w:tcW w:w="834" w:type="pct"/>
            <w:vMerge/>
            <w:tcBorders>
              <w:top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p>
        </w:tc>
        <w:tc>
          <w:tcPr>
            <w:tcW w:w="834" w:type="pct"/>
            <w:vMerge/>
            <w:tcBorders>
              <w:top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p>
        </w:tc>
        <w:tc>
          <w:tcPr>
            <w:tcW w:w="833" w:type="pct"/>
            <w:vMerge/>
            <w:tcBorders>
              <w:top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p>
        </w:tc>
        <w:tc>
          <w:tcPr>
            <w:tcW w:w="834" w:type="pct"/>
            <w:tcBorders>
              <w:top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stěhování z obce do obce v rámci okresu včetně stěhování uvnitř Prahy</w:t>
            </w:r>
          </w:p>
        </w:tc>
        <w:tc>
          <w:tcPr>
            <w:tcW w:w="832" w:type="pct"/>
            <w:tcBorders>
              <w:top w:val="single" w:sz="4" w:space="0" w:color="auto"/>
              <w:bottom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cizinci</w:t>
            </w:r>
          </w:p>
        </w:tc>
      </w:tr>
      <w:tr w:rsidR="00D912FA" w:rsidRPr="00C24253" w:rsidTr="00974752">
        <w:trPr>
          <w:trHeight w:hRule="exact" w:val="340"/>
        </w:trPr>
        <w:tc>
          <w:tcPr>
            <w:tcW w:w="833" w:type="pct"/>
            <w:tcBorders>
              <w:top w:val="single" w:sz="4" w:space="0" w:color="auto"/>
            </w:tcBorders>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1991</w:t>
            </w:r>
          </w:p>
        </w:tc>
        <w:tc>
          <w:tcPr>
            <w:tcW w:w="834" w:type="pct"/>
            <w:tcBorders>
              <w:top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244</w:t>
            </w:r>
            <w:r w:rsidR="00746AC9">
              <w:rPr>
                <w:rFonts w:cs="Arial"/>
                <w:sz w:val="16"/>
                <w:szCs w:val="16"/>
              </w:rPr>
              <w:t> </w:t>
            </w:r>
            <w:r w:rsidRPr="00C24253">
              <w:rPr>
                <w:rFonts w:cs="Arial"/>
                <w:sz w:val="16"/>
                <w:szCs w:val="16"/>
              </w:rPr>
              <w:t>956</w:t>
            </w:r>
            <w:r w:rsidR="00746AC9">
              <w:rPr>
                <w:rFonts w:cs="Arial"/>
                <w:sz w:val="16"/>
                <w:szCs w:val="16"/>
              </w:rPr>
              <w:t xml:space="preserve"> </w:t>
            </w:r>
            <w:r w:rsidR="00746AC9" w:rsidRPr="00C24253">
              <w:rPr>
                <w:rFonts w:cs="Arial"/>
                <w:sz w:val="16"/>
                <w:szCs w:val="16"/>
                <w:vertAlign w:val="superscript"/>
              </w:rPr>
              <w:t>1)</w:t>
            </w:r>
          </w:p>
        </w:tc>
        <w:tc>
          <w:tcPr>
            <w:tcW w:w="834" w:type="pct"/>
            <w:tcBorders>
              <w:top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128 739</w:t>
            </w:r>
          </w:p>
        </w:tc>
        <w:tc>
          <w:tcPr>
            <w:tcW w:w="833" w:type="pct"/>
            <w:tcBorders>
              <w:top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27</w:t>
            </w:r>
            <w:r w:rsidR="00746AC9">
              <w:rPr>
                <w:rFonts w:cs="Arial"/>
                <w:sz w:val="16"/>
                <w:szCs w:val="16"/>
              </w:rPr>
              <w:t> </w:t>
            </w:r>
            <w:r w:rsidRPr="00C24253">
              <w:rPr>
                <w:rFonts w:cs="Arial"/>
                <w:sz w:val="16"/>
                <w:szCs w:val="16"/>
              </w:rPr>
              <w:t>387</w:t>
            </w:r>
            <w:r w:rsidR="00746AC9">
              <w:rPr>
                <w:rFonts w:cs="Arial"/>
                <w:sz w:val="16"/>
                <w:szCs w:val="16"/>
              </w:rPr>
              <w:t xml:space="preserve"> </w:t>
            </w:r>
            <w:r w:rsidR="00746AC9" w:rsidRPr="00C24253">
              <w:rPr>
                <w:rFonts w:cs="Arial"/>
                <w:sz w:val="16"/>
                <w:szCs w:val="16"/>
                <w:vertAlign w:val="superscript"/>
              </w:rPr>
              <w:t>2)</w:t>
            </w:r>
          </w:p>
        </w:tc>
        <w:tc>
          <w:tcPr>
            <w:tcW w:w="834" w:type="pct"/>
            <w:tcBorders>
              <w:top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52,5</w:t>
            </w:r>
          </w:p>
        </w:tc>
        <w:tc>
          <w:tcPr>
            <w:tcW w:w="832" w:type="pct"/>
            <w:tcBorders>
              <w:top w:val="single" w:sz="4" w:space="0" w:color="auto"/>
            </w:tcBorders>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w:t>
            </w:r>
          </w:p>
        </w:tc>
      </w:tr>
      <w:tr w:rsidR="00D912FA" w:rsidRPr="00C24253" w:rsidTr="00974752">
        <w:trPr>
          <w:trHeight w:hRule="exact" w:val="340"/>
        </w:trPr>
        <w:tc>
          <w:tcPr>
            <w:tcW w:w="833"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1995</w:t>
            </w:r>
          </w:p>
        </w:tc>
        <w:tc>
          <w:tcPr>
            <w:tcW w:w="834"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203 877</w:t>
            </w:r>
          </w:p>
        </w:tc>
        <w:tc>
          <w:tcPr>
            <w:tcW w:w="834"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112 332</w:t>
            </w:r>
          </w:p>
        </w:tc>
        <w:tc>
          <w:tcPr>
            <w:tcW w:w="833"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31 637</w:t>
            </w:r>
          </w:p>
        </w:tc>
        <w:tc>
          <w:tcPr>
            <w:tcW w:w="834"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55,1</w:t>
            </w:r>
          </w:p>
        </w:tc>
        <w:tc>
          <w:tcPr>
            <w:tcW w:w="832"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0,1</w:t>
            </w:r>
          </w:p>
        </w:tc>
      </w:tr>
      <w:tr w:rsidR="00D912FA" w:rsidRPr="00C24253" w:rsidTr="00974752">
        <w:trPr>
          <w:trHeight w:hRule="exact" w:val="340"/>
        </w:trPr>
        <w:tc>
          <w:tcPr>
            <w:tcW w:w="833"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2001</w:t>
            </w:r>
          </w:p>
        </w:tc>
        <w:tc>
          <w:tcPr>
            <w:tcW w:w="834"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204 622</w:t>
            </w:r>
          </w:p>
        </w:tc>
        <w:tc>
          <w:tcPr>
            <w:tcW w:w="834"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108 323</w:t>
            </w:r>
          </w:p>
        </w:tc>
        <w:tc>
          <w:tcPr>
            <w:tcW w:w="833"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26 218</w:t>
            </w:r>
          </w:p>
        </w:tc>
        <w:tc>
          <w:tcPr>
            <w:tcW w:w="834"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52,9</w:t>
            </w:r>
          </w:p>
        </w:tc>
        <w:tc>
          <w:tcPr>
            <w:tcW w:w="832"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2,9</w:t>
            </w:r>
          </w:p>
        </w:tc>
      </w:tr>
      <w:tr w:rsidR="00D912FA" w:rsidRPr="00C24253" w:rsidTr="00974752">
        <w:trPr>
          <w:trHeight w:hRule="exact" w:val="340"/>
        </w:trPr>
        <w:tc>
          <w:tcPr>
            <w:tcW w:w="833"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2002</w:t>
            </w:r>
          </w:p>
        </w:tc>
        <w:tc>
          <w:tcPr>
            <w:tcW w:w="834"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223 103</w:t>
            </w:r>
          </w:p>
        </w:tc>
        <w:tc>
          <w:tcPr>
            <w:tcW w:w="834"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114 955</w:t>
            </w:r>
          </w:p>
        </w:tc>
        <w:tc>
          <w:tcPr>
            <w:tcW w:w="833"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26 035</w:t>
            </w:r>
          </w:p>
        </w:tc>
        <w:tc>
          <w:tcPr>
            <w:tcW w:w="834"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51,5</w:t>
            </w:r>
          </w:p>
        </w:tc>
        <w:tc>
          <w:tcPr>
            <w:tcW w:w="832"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4,4</w:t>
            </w:r>
          </w:p>
        </w:tc>
      </w:tr>
      <w:tr w:rsidR="00D912FA" w:rsidRPr="00C24253" w:rsidTr="00974752">
        <w:trPr>
          <w:trHeight w:hRule="exact" w:val="340"/>
        </w:trPr>
        <w:tc>
          <w:tcPr>
            <w:tcW w:w="833"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2003</w:t>
            </w:r>
          </w:p>
        </w:tc>
        <w:tc>
          <w:tcPr>
            <w:tcW w:w="834"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211 487</w:t>
            </w:r>
          </w:p>
        </w:tc>
        <w:tc>
          <w:tcPr>
            <w:tcW w:w="834"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108 252</w:t>
            </w:r>
          </w:p>
        </w:tc>
        <w:tc>
          <w:tcPr>
            <w:tcW w:w="833"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24 182</w:t>
            </w:r>
          </w:p>
        </w:tc>
        <w:tc>
          <w:tcPr>
            <w:tcW w:w="834"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51,2</w:t>
            </w:r>
          </w:p>
        </w:tc>
        <w:tc>
          <w:tcPr>
            <w:tcW w:w="832"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4,9</w:t>
            </w:r>
          </w:p>
        </w:tc>
      </w:tr>
      <w:tr w:rsidR="00D912FA" w:rsidRPr="00C24253" w:rsidTr="00974752">
        <w:trPr>
          <w:trHeight w:hRule="exact" w:val="340"/>
        </w:trPr>
        <w:tc>
          <w:tcPr>
            <w:tcW w:w="833"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2004</w:t>
            </w:r>
          </w:p>
        </w:tc>
        <w:tc>
          <w:tcPr>
            <w:tcW w:w="834"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216 831</w:t>
            </w:r>
          </w:p>
        </w:tc>
        <w:tc>
          <w:tcPr>
            <w:tcW w:w="834"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111 841</w:t>
            </w:r>
          </w:p>
        </w:tc>
        <w:tc>
          <w:tcPr>
            <w:tcW w:w="833"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25 363</w:t>
            </w:r>
          </w:p>
        </w:tc>
        <w:tc>
          <w:tcPr>
            <w:tcW w:w="834"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51,6</w:t>
            </w:r>
          </w:p>
        </w:tc>
        <w:tc>
          <w:tcPr>
            <w:tcW w:w="832"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5,4</w:t>
            </w:r>
          </w:p>
        </w:tc>
      </w:tr>
      <w:tr w:rsidR="00D912FA" w:rsidRPr="00C24253" w:rsidTr="00974752">
        <w:trPr>
          <w:trHeight w:hRule="exact" w:val="340"/>
        </w:trPr>
        <w:tc>
          <w:tcPr>
            <w:tcW w:w="833"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2005</w:t>
            </w:r>
          </w:p>
        </w:tc>
        <w:tc>
          <w:tcPr>
            <w:tcW w:w="834"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239 059</w:t>
            </w:r>
          </w:p>
        </w:tc>
        <w:tc>
          <w:tcPr>
            <w:tcW w:w="834"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121 976</w:t>
            </w:r>
          </w:p>
        </w:tc>
        <w:tc>
          <w:tcPr>
            <w:tcW w:w="833"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25 371</w:t>
            </w:r>
          </w:p>
        </w:tc>
        <w:tc>
          <w:tcPr>
            <w:tcW w:w="834"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51,0</w:t>
            </w:r>
          </w:p>
        </w:tc>
        <w:tc>
          <w:tcPr>
            <w:tcW w:w="832"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7,5</w:t>
            </w:r>
          </w:p>
        </w:tc>
      </w:tr>
      <w:tr w:rsidR="00D912FA" w:rsidRPr="00C24253" w:rsidTr="00974752">
        <w:trPr>
          <w:trHeight w:hRule="exact" w:val="340"/>
        </w:trPr>
        <w:tc>
          <w:tcPr>
            <w:tcW w:w="833"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2006</w:t>
            </w:r>
          </w:p>
        </w:tc>
        <w:tc>
          <w:tcPr>
            <w:tcW w:w="834"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253 416</w:t>
            </w:r>
          </w:p>
        </w:tc>
        <w:tc>
          <w:tcPr>
            <w:tcW w:w="834"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128 358</w:t>
            </w:r>
          </w:p>
        </w:tc>
        <w:tc>
          <w:tcPr>
            <w:tcW w:w="833"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28</w:t>
            </w:r>
            <w:r w:rsidR="00746AC9">
              <w:rPr>
                <w:rFonts w:cs="Arial"/>
                <w:sz w:val="16"/>
                <w:szCs w:val="16"/>
              </w:rPr>
              <w:t> </w:t>
            </w:r>
            <w:r w:rsidRPr="00C24253">
              <w:rPr>
                <w:rFonts w:cs="Arial"/>
                <w:sz w:val="16"/>
                <w:szCs w:val="16"/>
              </w:rPr>
              <w:t>175</w:t>
            </w:r>
            <w:r w:rsidR="00746AC9">
              <w:rPr>
                <w:rFonts w:cs="Arial"/>
                <w:sz w:val="16"/>
                <w:szCs w:val="16"/>
              </w:rPr>
              <w:t xml:space="preserve"> </w:t>
            </w:r>
            <w:r w:rsidR="00746AC9" w:rsidRPr="00C24253">
              <w:rPr>
                <w:rFonts w:cs="Arial"/>
                <w:sz w:val="16"/>
                <w:szCs w:val="16"/>
                <w:vertAlign w:val="superscript"/>
              </w:rPr>
              <w:t>3)</w:t>
            </w:r>
          </w:p>
        </w:tc>
        <w:tc>
          <w:tcPr>
            <w:tcW w:w="834"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50,7</w:t>
            </w:r>
          </w:p>
        </w:tc>
        <w:tc>
          <w:tcPr>
            <w:tcW w:w="832"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9,1</w:t>
            </w:r>
          </w:p>
        </w:tc>
      </w:tr>
      <w:tr w:rsidR="00D912FA" w:rsidRPr="00C24253" w:rsidTr="00974752">
        <w:trPr>
          <w:trHeight w:hRule="exact" w:val="340"/>
        </w:trPr>
        <w:tc>
          <w:tcPr>
            <w:tcW w:w="833"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2007</w:t>
            </w:r>
          </w:p>
        </w:tc>
        <w:tc>
          <w:tcPr>
            <w:tcW w:w="834"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295 080</w:t>
            </w:r>
          </w:p>
        </w:tc>
        <w:tc>
          <w:tcPr>
            <w:tcW w:w="834"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148 932</w:t>
            </w:r>
          </w:p>
        </w:tc>
        <w:tc>
          <w:tcPr>
            <w:tcW w:w="833"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39</w:t>
            </w:r>
            <w:r w:rsidR="00746AC9">
              <w:rPr>
                <w:rFonts w:cs="Arial"/>
                <w:sz w:val="16"/>
                <w:szCs w:val="16"/>
              </w:rPr>
              <w:t> </w:t>
            </w:r>
            <w:r w:rsidRPr="00C24253">
              <w:rPr>
                <w:rFonts w:cs="Arial"/>
                <w:sz w:val="16"/>
                <w:szCs w:val="16"/>
              </w:rPr>
              <w:t>391</w:t>
            </w:r>
            <w:r w:rsidR="00746AC9">
              <w:rPr>
                <w:rFonts w:cs="Arial"/>
                <w:sz w:val="16"/>
                <w:szCs w:val="16"/>
              </w:rPr>
              <w:t xml:space="preserve"> </w:t>
            </w:r>
            <w:r w:rsidR="00746AC9" w:rsidRPr="00C24253">
              <w:rPr>
                <w:rFonts w:cs="Arial"/>
                <w:sz w:val="16"/>
                <w:szCs w:val="16"/>
                <w:vertAlign w:val="superscript"/>
              </w:rPr>
              <w:t>3)</w:t>
            </w:r>
          </w:p>
        </w:tc>
        <w:tc>
          <w:tcPr>
            <w:tcW w:w="834"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50,5</w:t>
            </w:r>
          </w:p>
        </w:tc>
        <w:tc>
          <w:tcPr>
            <w:tcW w:w="832"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14,5</w:t>
            </w:r>
          </w:p>
        </w:tc>
      </w:tr>
      <w:tr w:rsidR="00D912FA" w:rsidRPr="00C24253" w:rsidTr="00974752">
        <w:trPr>
          <w:trHeight w:hRule="exact" w:val="340"/>
        </w:trPr>
        <w:tc>
          <w:tcPr>
            <w:tcW w:w="833"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2008</w:t>
            </w:r>
          </w:p>
        </w:tc>
        <w:tc>
          <w:tcPr>
            <w:tcW w:w="834"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304 656</w:t>
            </w:r>
          </w:p>
        </w:tc>
        <w:tc>
          <w:tcPr>
            <w:tcW w:w="834"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159 298</w:t>
            </w:r>
          </w:p>
        </w:tc>
        <w:tc>
          <w:tcPr>
            <w:tcW w:w="833"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54</w:t>
            </w:r>
            <w:r w:rsidR="00746AC9">
              <w:rPr>
                <w:rFonts w:cs="Arial"/>
                <w:sz w:val="16"/>
                <w:szCs w:val="16"/>
              </w:rPr>
              <w:t> </w:t>
            </w:r>
            <w:r w:rsidRPr="00C24253">
              <w:rPr>
                <w:rFonts w:cs="Arial"/>
                <w:sz w:val="16"/>
                <w:szCs w:val="16"/>
              </w:rPr>
              <w:t>585</w:t>
            </w:r>
            <w:r w:rsidR="00746AC9">
              <w:rPr>
                <w:rFonts w:cs="Arial"/>
                <w:sz w:val="16"/>
                <w:szCs w:val="16"/>
              </w:rPr>
              <w:t xml:space="preserve"> </w:t>
            </w:r>
            <w:r w:rsidR="00746AC9" w:rsidRPr="00C24253">
              <w:rPr>
                <w:rFonts w:cs="Arial"/>
                <w:sz w:val="16"/>
                <w:szCs w:val="16"/>
                <w:vertAlign w:val="superscript"/>
              </w:rPr>
              <w:t>4)</w:t>
            </w:r>
          </w:p>
        </w:tc>
        <w:tc>
          <w:tcPr>
            <w:tcW w:w="834"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52,3</w:t>
            </w:r>
          </w:p>
        </w:tc>
        <w:tc>
          <w:tcPr>
            <w:tcW w:w="832"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14,0</w:t>
            </w:r>
          </w:p>
        </w:tc>
      </w:tr>
      <w:tr w:rsidR="00D912FA" w:rsidRPr="00C24253" w:rsidTr="00974752">
        <w:trPr>
          <w:trHeight w:hRule="exact" w:val="340"/>
        </w:trPr>
        <w:tc>
          <w:tcPr>
            <w:tcW w:w="833"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2009</w:t>
            </w:r>
          </w:p>
        </w:tc>
        <w:tc>
          <w:tcPr>
            <w:tcW w:w="834"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287 458</w:t>
            </w:r>
          </w:p>
        </w:tc>
        <w:tc>
          <w:tcPr>
            <w:tcW w:w="834"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150 591</w:t>
            </w:r>
          </w:p>
        </w:tc>
        <w:tc>
          <w:tcPr>
            <w:tcW w:w="833"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54 196</w:t>
            </w:r>
          </w:p>
        </w:tc>
        <w:tc>
          <w:tcPr>
            <w:tcW w:w="834"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52,4</w:t>
            </w:r>
          </w:p>
        </w:tc>
        <w:tc>
          <w:tcPr>
            <w:tcW w:w="832"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14,5</w:t>
            </w:r>
          </w:p>
        </w:tc>
      </w:tr>
      <w:tr w:rsidR="00D912FA" w:rsidRPr="00C24253" w:rsidTr="00974752">
        <w:trPr>
          <w:trHeight w:hRule="exact" w:val="340"/>
        </w:trPr>
        <w:tc>
          <w:tcPr>
            <w:tcW w:w="833"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2010</w:t>
            </w:r>
          </w:p>
        </w:tc>
        <w:tc>
          <w:tcPr>
            <w:tcW w:w="834"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297 055</w:t>
            </w:r>
          </w:p>
        </w:tc>
        <w:tc>
          <w:tcPr>
            <w:tcW w:w="834"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157 541</w:t>
            </w:r>
          </w:p>
        </w:tc>
        <w:tc>
          <w:tcPr>
            <w:tcW w:w="833"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56 360</w:t>
            </w:r>
          </w:p>
        </w:tc>
        <w:tc>
          <w:tcPr>
            <w:tcW w:w="834"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53,0</w:t>
            </w:r>
          </w:p>
        </w:tc>
        <w:tc>
          <w:tcPr>
            <w:tcW w:w="832"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12,5</w:t>
            </w:r>
          </w:p>
        </w:tc>
      </w:tr>
      <w:tr w:rsidR="00D912FA" w:rsidRPr="00C24253" w:rsidTr="00974752">
        <w:trPr>
          <w:trHeight w:hRule="exact" w:val="340"/>
        </w:trPr>
        <w:tc>
          <w:tcPr>
            <w:tcW w:w="833"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2011</w:t>
            </w:r>
          </w:p>
        </w:tc>
        <w:tc>
          <w:tcPr>
            <w:tcW w:w="834"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285 220</w:t>
            </w:r>
          </w:p>
        </w:tc>
        <w:tc>
          <w:tcPr>
            <w:tcW w:w="834"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154 598</w:t>
            </w:r>
          </w:p>
        </w:tc>
        <w:tc>
          <w:tcPr>
            <w:tcW w:w="833"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53 526</w:t>
            </w:r>
          </w:p>
        </w:tc>
        <w:tc>
          <w:tcPr>
            <w:tcW w:w="834"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54,2</w:t>
            </w:r>
          </w:p>
        </w:tc>
        <w:tc>
          <w:tcPr>
            <w:tcW w:w="832"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9,2</w:t>
            </w:r>
          </w:p>
        </w:tc>
      </w:tr>
      <w:tr w:rsidR="00D912FA" w:rsidRPr="00C24253" w:rsidTr="00974752">
        <w:trPr>
          <w:trHeight w:hRule="exact" w:val="340"/>
        </w:trPr>
        <w:tc>
          <w:tcPr>
            <w:tcW w:w="833" w:type="pct"/>
            <w:shd w:val="clear" w:color="auto" w:fill="auto"/>
            <w:noWrap/>
            <w:vAlign w:val="center"/>
            <w:hideMark/>
          </w:tcPr>
          <w:p w:rsidR="00D912FA" w:rsidRPr="00C24253" w:rsidRDefault="00D912FA" w:rsidP="00974752">
            <w:pPr>
              <w:jc w:val="center"/>
              <w:rPr>
                <w:rFonts w:cs="Arial"/>
                <w:sz w:val="16"/>
                <w:szCs w:val="16"/>
              </w:rPr>
            </w:pPr>
            <w:r w:rsidRPr="00C24253">
              <w:rPr>
                <w:rFonts w:cs="Arial"/>
                <w:sz w:val="16"/>
                <w:szCs w:val="16"/>
              </w:rPr>
              <w:t>2012</w:t>
            </w:r>
          </w:p>
        </w:tc>
        <w:tc>
          <w:tcPr>
            <w:tcW w:w="834"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285 421</w:t>
            </w:r>
          </w:p>
        </w:tc>
        <w:tc>
          <w:tcPr>
            <w:tcW w:w="834"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155 455</w:t>
            </w:r>
          </w:p>
        </w:tc>
        <w:tc>
          <w:tcPr>
            <w:tcW w:w="833"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52 593</w:t>
            </w:r>
          </w:p>
        </w:tc>
        <w:tc>
          <w:tcPr>
            <w:tcW w:w="834"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54,5</w:t>
            </w:r>
          </w:p>
        </w:tc>
        <w:tc>
          <w:tcPr>
            <w:tcW w:w="832" w:type="pct"/>
            <w:shd w:val="clear" w:color="auto" w:fill="auto"/>
            <w:noWrap/>
            <w:tcMar>
              <w:left w:w="142" w:type="dxa"/>
              <w:right w:w="142" w:type="dxa"/>
            </w:tcMar>
            <w:vAlign w:val="center"/>
            <w:hideMark/>
          </w:tcPr>
          <w:p w:rsidR="00D912FA" w:rsidRPr="00C24253" w:rsidRDefault="00D912FA" w:rsidP="00974752">
            <w:pPr>
              <w:jc w:val="right"/>
              <w:rPr>
                <w:rFonts w:cs="Arial"/>
                <w:sz w:val="16"/>
                <w:szCs w:val="16"/>
              </w:rPr>
            </w:pPr>
            <w:r w:rsidRPr="00C24253">
              <w:rPr>
                <w:rFonts w:cs="Arial"/>
                <w:sz w:val="16"/>
                <w:szCs w:val="16"/>
              </w:rPr>
              <w:t>7,7</w:t>
            </w:r>
          </w:p>
        </w:tc>
      </w:tr>
    </w:tbl>
    <w:p w:rsidR="00D912FA" w:rsidRPr="00C24253" w:rsidRDefault="00D912FA" w:rsidP="00D912FA">
      <w:pPr>
        <w:spacing w:before="60"/>
        <w:rPr>
          <w:rFonts w:eastAsia="Calibri" w:cs="Arial"/>
          <w:i/>
          <w:sz w:val="16"/>
          <w:szCs w:val="16"/>
        </w:rPr>
      </w:pPr>
      <w:r w:rsidRPr="00C24253">
        <w:rPr>
          <w:rFonts w:eastAsia="Calibri" w:cs="Arial"/>
          <w:i/>
          <w:sz w:val="16"/>
          <w:szCs w:val="16"/>
          <w:vertAlign w:val="superscript"/>
        </w:rPr>
        <w:t>1)</w:t>
      </w:r>
      <w:r w:rsidRPr="00C24253">
        <w:rPr>
          <w:rFonts w:eastAsia="Calibri" w:cs="Arial"/>
          <w:i/>
          <w:sz w:val="16"/>
          <w:szCs w:val="16"/>
        </w:rPr>
        <w:t>bez stěhování mezi obvody v Brně a Plzni</w:t>
      </w:r>
    </w:p>
    <w:p w:rsidR="00D912FA" w:rsidRPr="00C24253" w:rsidRDefault="00D912FA" w:rsidP="00D912FA">
      <w:pPr>
        <w:rPr>
          <w:rFonts w:eastAsia="Calibri" w:cs="Arial"/>
          <w:i/>
          <w:sz w:val="16"/>
          <w:szCs w:val="16"/>
        </w:rPr>
      </w:pPr>
      <w:r w:rsidRPr="00C24253">
        <w:rPr>
          <w:rFonts w:eastAsia="Calibri" w:cs="Arial"/>
          <w:i/>
          <w:sz w:val="16"/>
          <w:szCs w:val="16"/>
          <w:vertAlign w:val="superscript"/>
        </w:rPr>
        <w:t>2)</w:t>
      </w:r>
      <w:r w:rsidRPr="00C24253">
        <w:rPr>
          <w:rFonts w:eastAsia="Calibri" w:cs="Arial"/>
          <w:i/>
          <w:sz w:val="16"/>
          <w:szCs w:val="16"/>
        </w:rPr>
        <w:t>stěhování mezi správními obvody v Praze, v dalších letech mezi urbanistickými obvody</w:t>
      </w:r>
    </w:p>
    <w:p w:rsidR="00D912FA" w:rsidRPr="00C24253" w:rsidRDefault="00D912FA" w:rsidP="00D912FA">
      <w:pPr>
        <w:rPr>
          <w:rFonts w:eastAsia="Calibri" w:cs="Arial"/>
          <w:i/>
          <w:sz w:val="16"/>
          <w:szCs w:val="16"/>
        </w:rPr>
      </w:pPr>
      <w:r w:rsidRPr="00C24253">
        <w:rPr>
          <w:rFonts w:eastAsia="Calibri" w:cs="Arial"/>
          <w:i/>
          <w:sz w:val="16"/>
          <w:szCs w:val="16"/>
          <w:vertAlign w:val="superscript"/>
        </w:rPr>
        <w:t>3)</w:t>
      </w:r>
      <w:r w:rsidRPr="00C24253">
        <w:rPr>
          <w:rFonts w:eastAsia="Calibri" w:cs="Arial"/>
          <w:i/>
          <w:sz w:val="16"/>
          <w:szCs w:val="16"/>
        </w:rPr>
        <w:t>včetně stěhování uvnitř urbanistických obvodů a pouze za občany ČR</w:t>
      </w:r>
    </w:p>
    <w:p w:rsidR="00D912FA" w:rsidRPr="00C24253" w:rsidRDefault="00D912FA" w:rsidP="00D912FA">
      <w:pPr>
        <w:spacing w:after="360"/>
        <w:rPr>
          <w:rFonts w:eastAsia="Calibri" w:cs="Arial"/>
          <w:i/>
          <w:sz w:val="16"/>
          <w:szCs w:val="16"/>
        </w:rPr>
      </w:pPr>
      <w:r w:rsidRPr="00C24253">
        <w:rPr>
          <w:rFonts w:eastAsia="Calibri" w:cs="Arial"/>
          <w:i/>
          <w:sz w:val="16"/>
          <w:szCs w:val="16"/>
          <w:vertAlign w:val="superscript"/>
        </w:rPr>
        <w:t>4)</w:t>
      </w:r>
      <w:r w:rsidRPr="00C24253">
        <w:rPr>
          <w:rFonts w:eastAsia="Calibri" w:cs="Arial"/>
          <w:i/>
          <w:sz w:val="16"/>
          <w:szCs w:val="16"/>
        </w:rPr>
        <w:t>včetně stěhování uvnitř urbanistických obvodů</w:t>
      </w:r>
    </w:p>
    <w:p w:rsidR="00D912FA" w:rsidRPr="00C24253" w:rsidRDefault="00D912FA" w:rsidP="00D912FA">
      <w:pPr>
        <w:spacing w:after="120"/>
        <w:rPr>
          <w:rFonts w:eastAsia="Calibri" w:cs="Arial"/>
          <w:sz w:val="20"/>
          <w:szCs w:val="20"/>
        </w:rPr>
      </w:pPr>
      <w:r w:rsidRPr="00C24253">
        <w:rPr>
          <w:rFonts w:eastAsia="Calibri" w:cs="Arial"/>
          <w:sz w:val="20"/>
          <w:szCs w:val="20"/>
        </w:rPr>
        <w:lastRenderedPageBreak/>
        <w:t xml:space="preserve">Na rozdíl od zahraniční migrace, v které jasně převažují muži, je poměr pohlaví mezi osobami stěhujícími se po území ČR více vyrovnaný a naopak mírně převažují ženy. I skladba migrantů dle věku je ve srovnání s osobami stěhujícími se přes hranice republiky vyrovnanější. </w:t>
      </w:r>
    </w:p>
    <w:p w:rsidR="00D912FA" w:rsidRPr="00C24253" w:rsidRDefault="00D912FA" w:rsidP="00D912FA">
      <w:pPr>
        <w:spacing w:after="120"/>
        <w:rPr>
          <w:rFonts w:cs="Arial"/>
          <w:sz w:val="20"/>
          <w:szCs w:val="20"/>
        </w:rPr>
      </w:pPr>
      <w:r w:rsidRPr="00C24253">
        <w:rPr>
          <w:rFonts w:eastAsia="Calibri" w:cs="Arial"/>
          <w:sz w:val="20"/>
          <w:szCs w:val="20"/>
        </w:rPr>
        <w:t>Průměrný věk migrantů byl zhruba o 8-9 let nižší než v populaci ČR, byl však v zásadě srovnatelný s průměrným věkem osob migrujících přes hranice státu. Věkový profil obou typů migrace se však do určité míry odlišuje. Kromě shodného vrcholu nacházejícího se v intervalu mezi dvaceti a čtyřiceti lety, se v případě vnitřní migrace jedná o vyšší podíly stěhujících se dětí, zejména v raném věku, a také o vyšší zastoupení osob seniorského věku.</w:t>
      </w:r>
      <w:r w:rsidRPr="00C24253">
        <w:rPr>
          <w:rFonts w:cs="Arial"/>
          <w:sz w:val="20"/>
          <w:szCs w:val="20"/>
        </w:rPr>
        <w:t xml:space="preserve"> </w:t>
      </w:r>
    </w:p>
    <w:p w:rsidR="00D912FA" w:rsidRPr="00C24253" w:rsidRDefault="00D912FA" w:rsidP="00D912FA">
      <w:pPr>
        <w:spacing w:after="120"/>
        <w:rPr>
          <w:rFonts w:eastAsia="Calibri" w:cs="Arial"/>
          <w:sz w:val="20"/>
          <w:szCs w:val="20"/>
        </w:rPr>
      </w:pPr>
      <w:r w:rsidRPr="00C24253">
        <w:rPr>
          <w:rFonts w:eastAsia="Calibri" w:cs="Arial"/>
          <w:sz w:val="20"/>
          <w:szCs w:val="20"/>
        </w:rPr>
        <w:t xml:space="preserve">Typickým rysem vnitřní migrace posledních dvaceti let byly suburbanizační procesy v okolí velkých měst, zejména hlavního města Prahy, Brna a Plzně. Praha měla s okresy v jejím nejtěsnějším zázemí (Praha-východ a Praha-západ) záporné saldo již v roce 1992 </w:t>
      </w:r>
      <w:r>
        <w:rPr>
          <w:rFonts w:eastAsia="Calibri" w:cs="Arial"/>
          <w:sz w:val="20"/>
          <w:szCs w:val="20"/>
        </w:rPr>
        <w:t>a v dalších letech</w:t>
      </w:r>
      <w:r w:rsidRPr="00C24253">
        <w:rPr>
          <w:rFonts w:eastAsia="Calibri" w:cs="Arial"/>
          <w:sz w:val="20"/>
          <w:szCs w:val="20"/>
        </w:rPr>
        <w:t xml:space="preserve"> </w:t>
      </w:r>
      <w:r>
        <w:rPr>
          <w:rFonts w:eastAsia="Calibri" w:cs="Arial"/>
          <w:sz w:val="20"/>
          <w:szCs w:val="20"/>
        </w:rPr>
        <w:t>se</w:t>
      </w:r>
      <w:r w:rsidRPr="00C24253">
        <w:rPr>
          <w:rFonts w:eastAsia="Calibri" w:cs="Arial"/>
          <w:sz w:val="20"/>
          <w:szCs w:val="20"/>
        </w:rPr>
        <w:t xml:space="preserve"> zvyšovalo. Od roku 2007 v</w:t>
      </w:r>
      <w:r w:rsidRPr="00C24253">
        <w:rPr>
          <w:rFonts w:eastAsia="Calibri" w:cs="Arial"/>
          <w:sz w:val="20"/>
          <w:szCs w:val="20"/>
        </w:rPr>
        <w:t>ý</w:t>
      </w:r>
      <w:r w:rsidRPr="00C24253">
        <w:rPr>
          <w:rFonts w:eastAsia="Calibri" w:cs="Arial"/>
          <w:sz w:val="20"/>
          <w:szCs w:val="20"/>
        </w:rPr>
        <w:t xml:space="preserve">znamný pohyb probíhá ale také přesně opačnými směry. V tomto případě se však mezi stěhujícími vyskytuje vyšší podíl cizinců. </w:t>
      </w:r>
    </w:p>
    <w:p w:rsidR="00D912FA" w:rsidRPr="00C24253" w:rsidRDefault="00D912FA" w:rsidP="00D912FA">
      <w:pPr>
        <w:spacing w:after="120"/>
        <w:rPr>
          <w:rFonts w:eastAsia="Calibri" w:cs="Arial"/>
          <w:sz w:val="20"/>
          <w:szCs w:val="20"/>
        </w:rPr>
      </w:pPr>
      <w:r w:rsidRPr="00C24253">
        <w:rPr>
          <w:rFonts w:eastAsia="Calibri" w:cs="Arial"/>
          <w:sz w:val="20"/>
          <w:szCs w:val="20"/>
        </w:rPr>
        <w:t xml:space="preserve">Migrační pohyby mezi Prahou a Středočeským krajem jsou nejsilnějšími proudy vnitřní migrace v České republice a tvoří největší podíl celkového objemu. </w:t>
      </w:r>
    </w:p>
    <w:p w:rsidR="00D912FA" w:rsidRPr="00C24253" w:rsidRDefault="00D912FA" w:rsidP="00D912FA">
      <w:pPr>
        <w:spacing w:after="120"/>
        <w:rPr>
          <w:rFonts w:eastAsia="Calibri" w:cs="Arial"/>
          <w:sz w:val="20"/>
          <w:szCs w:val="20"/>
        </w:rPr>
      </w:pPr>
      <w:r w:rsidRPr="00C24253">
        <w:rPr>
          <w:rFonts w:eastAsia="Calibri" w:cs="Arial"/>
          <w:sz w:val="20"/>
          <w:szCs w:val="20"/>
        </w:rPr>
        <w:t>Dalšími významnými proudy jsou pohyby z Ústeckého kraje do Prahy, z Ústeckého kraje do Středočeského kraje, z Moravskoslezského a Jihomoravského kraje do Prahy a z Moravskoslezského kraje do kraje Ol</w:t>
      </w:r>
      <w:r w:rsidRPr="00C24253">
        <w:rPr>
          <w:rFonts w:eastAsia="Calibri" w:cs="Arial"/>
          <w:sz w:val="20"/>
          <w:szCs w:val="20"/>
        </w:rPr>
        <w:t>o</w:t>
      </w:r>
      <w:r w:rsidRPr="00C24253">
        <w:rPr>
          <w:rFonts w:eastAsia="Calibri" w:cs="Arial"/>
          <w:sz w:val="20"/>
          <w:szCs w:val="20"/>
        </w:rPr>
        <w:t xml:space="preserve">mouckého a </w:t>
      </w:r>
      <w:r>
        <w:rPr>
          <w:rFonts w:eastAsia="Calibri" w:cs="Arial"/>
          <w:sz w:val="20"/>
          <w:szCs w:val="20"/>
        </w:rPr>
        <w:t xml:space="preserve">Jihomoravského. Moravskoslezský </w:t>
      </w:r>
      <w:r w:rsidRPr="00C24253">
        <w:rPr>
          <w:rFonts w:eastAsia="Calibri" w:cs="Arial"/>
          <w:sz w:val="20"/>
          <w:szCs w:val="20"/>
        </w:rPr>
        <w:t xml:space="preserve">je krajem se stabilními úbytky obyvatel vnitřním stěhováním od roku 1993. </w:t>
      </w:r>
    </w:p>
    <w:p w:rsidR="00D912FA" w:rsidRPr="00C24253" w:rsidRDefault="00D912FA" w:rsidP="00D912FA">
      <w:pPr>
        <w:spacing w:after="120"/>
        <w:rPr>
          <w:rFonts w:eastAsia="Calibri" w:cs="Arial"/>
          <w:sz w:val="20"/>
          <w:szCs w:val="20"/>
        </w:rPr>
      </w:pPr>
      <w:r w:rsidRPr="00C24253">
        <w:rPr>
          <w:rFonts w:eastAsia="Calibri" w:cs="Arial"/>
          <w:sz w:val="20"/>
          <w:szCs w:val="20"/>
        </w:rPr>
        <w:t>Zápornou bilanci vnitřního stěhování mělo v úhrnu za období let 1991-2012 také hlavní město Praha, kde se od roku 1994 migrační zisky změnily v úbytky (s výjimkou let 2002-2003). Vývoj v Praze souvisí s masivní bytovou a individuální výstavbou rodinných domů v příměstských obcích Středočeského kraje. Praha však zaznamenávala výrazné přírůstky zahraniční migrací, které úbytky vnitřním stěhováním zpravidla převyšov</w:t>
      </w:r>
      <w:r w:rsidRPr="00C24253">
        <w:rPr>
          <w:rFonts w:eastAsia="Calibri" w:cs="Arial"/>
          <w:sz w:val="20"/>
          <w:szCs w:val="20"/>
        </w:rPr>
        <w:t>a</w:t>
      </w:r>
      <w:r w:rsidRPr="00C24253">
        <w:rPr>
          <w:rFonts w:eastAsia="Calibri" w:cs="Arial"/>
          <w:sz w:val="20"/>
          <w:szCs w:val="20"/>
        </w:rPr>
        <w:t xml:space="preserve">ly. </w:t>
      </w:r>
    </w:p>
    <w:p w:rsidR="00D912FA" w:rsidRPr="00C24253" w:rsidRDefault="00D912FA" w:rsidP="00D912FA">
      <w:pPr>
        <w:spacing w:after="120"/>
        <w:rPr>
          <w:rFonts w:eastAsia="Calibri" w:cs="Arial"/>
          <w:sz w:val="20"/>
          <w:szCs w:val="20"/>
        </w:rPr>
      </w:pPr>
      <w:r>
        <w:rPr>
          <w:rFonts w:eastAsia="Calibri" w:cs="Arial"/>
          <w:sz w:val="20"/>
          <w:szCs w:val="20"/>
        </w:rPr>
        <w:t>V</w:t>
      </w:r>
      <w:r w:rsidRPr="00C24253">
        <w:rPr>
          <w:rFonts w:eastAsia="Calibri" w:cs="Arial"/>
          <w:sz w:val="20"/>
          <w:szCs w:val="20"/>
        </w:rPr>
        <w:t>nitřním stěhováním každoročně ztrácí také Karlovarský kraj, od roku 2004 také kraj Ústecký. Naopak nejv</w:t>
      </w:r>
      <w:r w:rsidRPr="00C24253">
        <w:rPr>
          <w:rFonts w:eastAsia="Calibri" w:cs="Arial"/>
          <w:sz w:val="20"/>
          <w:szCs w:val="20"/>
        </w:rPr>
        <w:t>í</w:t>
      </w:r>
      <w:r w:rsidRPr="00C24253">
        <w:rPr>
          <w:rFonts w:eastAsia="Calibri" w:cs="Arial"/>
          <w:sz w:val="20"/>
          <w:szCs w:val="20"/>
        </w:rPr>
        <w:t>ce (a nejvýrazněji) je kontinuálně od roku 1992 ziskový Středočeský kraj. Setrvale kladnou bilanci stěhov</w:t>
      </w:r>
      <w:r w:rsidRPr="00C24253">
        <w:rPr>
          <w:rFonts w:eastAsia="Calibri" w:cs="Arial"/>
          <w:sz w:val="20"/>
          <w:szCs w:val="20"/>
        </w:rPr>
        <w:t>á</w:t>
      </w:r>
      <w:r w:rsidRPr="00C24253">
        <w:rPr>
          <w:rFonts w:eastAsia="Calibri" w:cs="Arial"/>
          <w:sz w:val="20"/>
          <w:szCs w:val="20"/>
        </w:rPr>
        <w:t>ním v rámci republiky měl ještě Plzeňský kraj.</w:t>
      </w:r>
    </w:p>
    <w:p w:rsidR="00D912FA" w:rsidRPr="00C24253" w:rsidRDefault="00D912FA" w:rsidP="00D912FA">
      <w:pPr>
        <w:spacing w:after="120"/>
        <w:rPr>
          <w:rFonts w:eastAsia="Calibri" w:cs="Arial"/>
          <w:sz w:val="20"/>
          <w:szCs w:val="20"/>
        </w:rPr>
      </w:pPr>
      <w:r w:rsidRPr="00C24253">
        <w:rPr>
          <w:rFonts w:eastAsia="Calibri" w:cs="Arial"/>
          <w:sz w:val="20"/>
          <w:szCs w:val="20"/>
        </w:rPr>
        <w:t>Suburbanizační tendence, ke konci prvního desetiletí nového století ještě zesílené, dokládá i změna migra</w:t>
      </w:r>
      <w:r w:rsidRPr="00C24253">
        <w:rPr>
          <w:rFonts w:eastAsia="Calibri" w:cs="Arial"/>
          <w:sz w:val="20"/>
          <w:szCs w:val="20"/>
        </w:rPr>
        <w:t>č</w:t>
      </w:r>
      <w:r w:rsidRPr="00C24253">
        <w:rPr>
          <w:rFonts w:eastAsia="Calibri" w:cs="Arial"/>
          <w:sz w:val="20"/>
          <w:szCs w:val="20"/>
        </w:rPr>
        <w:t>ních přírůstků/úbytků podle velikosti sídel. Od roku 1995 jsou i nejmenší obce do 500 obyvatel v úhrnu zi</w:t>
      </w:r>
      <w:r w:rsidRPr="00C24253">
        <w:rPr>
          <w:rFonts w:eastAsia="Calibri" w:cs="Arial"/>
          <w:sz w:val="20"/>
          <w:szCs w:val="20"/>
        </w:rPr>
        <w:t>s</w:t>
      </w:r>
      <w:r w:rsidRPr="00C24253">
        <w:rPr>
          <w:rFonts w:eastAsia="Calibri" w:cs="Arial"/>
          <w:sz w:val="20"/>
          <w:szCs w:val="20"/>
        </w:rPr>
        <w:t xml:space="preserve">kové, a jejich relativní přírůstky vnitřní migrací měly rostoucí trend, i když v posledních dvou letech již mírně klesly. Tyto nejmenší obce ještě na počátku 90. let vykazovaly největší úbytky. Situace se </w:t>
      </w:r>
      <w:r>
        <w:rPr>
          <w:rFonts w:eastAsia="Calibri" w:cs="Arial"/>
          <w:sz w:val="20"/>
          <w:szCs w:val="20"/>
        </w:rPr>
        <w:t xml:space="preserve">změnila i </w:t>
      </w:r>
      <w:r w:rsidRPr="00C24253">
        <w:rPr>
          <w:rFonts w:eastAsia="Calibri" w:cs="Arial"/>
          <w:sz w:val="20"/>
          <w:szCs w:val="20"/>
        </w:rPr>
        <w:t>u nejvě</w:t>
      </w:r>
      <w:r w:rsidRPr="00C24253">
        <w:rPr>
          <w:rFonts w:eastAsia="Calibri" w:cs="Arial"/>
          <w:sz w:val="20"/>
          <w:szCs w:val="20"/>
        </w:rPr>
        <w:t>t</w:t>
      </w:r>
      <w:r w:rsidRPr="00C24253">
        <w:rPr>
          <w:rFonts w:eastAsia="Calibri" w:cs="Arial"/>
          <w:sz w:val="20"/>
          <w:szCs w:val="20"/>
        </w:rPr>
        <w:t xml:space="preserve">ších měst (nad 100 tisíc obyvatel), která od roku 1994 obyvatele ztrácela. </w:t>
      </w:r>
      <w:r>
        <w:rPr>
          <w:rFonts w:eastAsia="Calibri" w:cs="Arial"/>
          <w:sz w:val="20"/>
          <w:szCs w:val="20"/>
        </w:rPr>
        <w:t>Od devadesátých let</w:t>
      </w:r>
      <w:r w:rsidRPr="00C24253">
        <w:rPr>
          <w:rFonts w:eastAsia="Calibri" w:cs="Arial"/>
          <w:sz w:val="20"/>
          <w:szCs w:val="20"/>
        </w:rPr>
        <w:t xml:space="preserve"> ob</w:t>
      </w:r>
      <w:r w:rsidR="00D423B3">
        <w:rPr>
          <w:rFonts w:eastAsia="Calibri" w:cs="Arial"/>
          <w:sz w:val="20"/>
          <w:szCs w:val="20"/>
        </w:rPr>
        <w:t>ce do 5 </w:t>
      </w:r>
      <w:r w:rsidRPr="00C24253">
        <w:rPr>
          <w:rFonts w:eastAsia="Calibri" w:cs="Arial"/>
          <w:sz w:val="20"/>
          <w:szCs w:val="20"/>
        </w:rPr>
        <w:t>tisíc obyvatel stěhováním v rámci republiky obyvatele získávaly a naopak obyvatel</w:t>
      </w:r>
      <w:r>
        <w:rPr>
          <w:rFonts w:eastAsia="Calibri" w:cs="Arial"/>
          <w:sz w:val="20"/>
          <w:szCs w:val="20"/>
        </w:rPr>
        <w:t>é</w:t>
      </w:r>
      <w:r w:rsidRPr="00C24253">
        <w:rPr>
          <w:rFonts w:eastAsia="Calibri" w:cs="Arial"/>
          <w:sz w:val="20"/>
          <w:szCs w:val="20"/>
        </w:rPr>
        <w:t xml:space="preserve"> ubýval</w:t>
      </w:r>
      <w:r>
        <w:rPr>
          <w:rFonts w:eastAsia="Calibri" w:cs="Arial"/>
          <w:sz w:val="20"/>
          <w:szCs w:val="20"/>
        </w:rPr>
        <w:t>i</w:t>
      </w:r>
      <w:r w:rsidR="00D423B3">
        <w:rPr>
          <w:rFonts w:eastAsia="Calibri" w:cs="Arial"/>
          <w:sz w:val="20"/>
          <w:szCs w:val="20"/>
        </w:rPr>
        <w:t xml:space="preserve"> 10tisícovým a </w:t>
      </w:r>
      <w:r w:rsidRPr="00C24253">
        <w:rPr>
          <w:rFonts w:eastAsia="Calibri" w:cs="Arial"/>
          <w:sz w:val="20"/>
          <w:szCs w:val="20"/>
        </w:rPr>
        <w:t>větším obcím. Před rokem 1989 měly největší migrační přírůstky města s 20-50 tisíci obyvateli.</w:t>
      </w:r>
    </w:p>
    <w:p w:rsidR="00D912FA" w:rsidRPr="00C24253" w:rsidRDefault="00D912FA" w:rsidP="004B4F8D">
      <w:pPr>
        <w:pStyle w:val="31"/>
        <w:numPr>
          <w:ilvl w:val="1"/>
          <w:numId w:val="47"/>
        </w:numPr>
        <w:ind w:left="360" w:hanging="360"/>
      </w:pPr>
      <w:r w:rsidRPr="00C24253">
        <w:t>Předpokládaný vývoj obyvatelstva ČR (dle Projekce ČSÚ 2013)</w:t>
      </w:r>
    </w:p>
    <w:p w:rsidR="00D912FA" w:rsidRPr="00C24253" w:rsidRDefault="00D912FA" w:rsidP="00D912FA">
      <w:pPr>
        <w:spacing w:after="120"/>
        <w:rPr>
          <w:rFonts w:cs="Arial"/>
          <w:sz w:val="20"/>
          <w:szCs w:val="20"/>
        </w:rPr>
      </w:pPr>
      <w:r w:rsidRPr="00C24253">
        <w:rPr>
          <w:rFonts w:cs="Arial"/>
          <w:sz w:val="20"/>
          <w:szCs w:val="20"/>
        </w:rPr>
        <w:t xml:space="preserve">V polovině roku 2013 byla </w:t>
      </w:r>
      <w:r>
        <w:rPr>
          <w:rFonts w:cs="Arial"/>
          <w:sz w:val="20"/>
          <w:szCs w:val="20"/>
        </w:rPr>
        <w:t>na</w:t>
      </w:r>
      <w:r w:rsidRPr="00C24253">
        <w:rPr>
          <w:rFonts w:cs="Arial"/>
          <w:sz w:val="20"/>
          <w:szCs w:val="20"/>
        </w:rPr>
        <w:t xml:space="preserve"> ČSÚ v reakci na definitivní výsledky sčítání lidu 2011 a nedávný demografický vývoj sestavena nová projekce obyvatelstva České republiky. Byla vypočtena ve třech variantách, nízké, střední a vysoké, přičemž střední varianta vyjadřuje nejpravděpodobnější směr vývoje, krajní varianty jeho možné rozpětí. Tato projekce, stejně jako předcházející projekce Českého s</w:t>
      </w:r>
      <w:r w:rsidR="00D423B3">
        <w:rPr>
          <w:rFonts w:cs="Arial"/>
          <w:sz w:val="20"/>
          <w:szCs w:val="20"/>
        </w:rPr>
        <w:t>tatistického úřadu z let 2009 i </w:t>
      </w:r>
      <w:r w:rsidRPr="00C24253">
        <w:rPr>
          <w:rFonts w:cs="Arial"/>
          <w:sz w:val="20"/>
          <w:szCs w:val="20"/>
        </w:rPr>
        <w:t xml:space="preserve">2003 (ale i jiných producentů prognóz obyvatelstva ČR) počítala s dalším snižováním hladiny úmrtnosti, v dlouhodobém pohledu s kladným migračním saldem a zvýšením úrovně plodnosti, i když vzestup plodnosti byl tentokrát zanesen pouze do střední a vysoké varianty. </w:t>
      </w:r>
    </w:p>
    <w:p w:rsidR="00D912FA" w:rsidRPr="00C24253" w:rsidRDefault="00D912FA" w:rsidP="00D912FA">
      <w:pPr>
        <w:spacing w:after="120"/>
        <w:rPr>
          <w:rFonts w:cs="Arial"/>
          <w:sz w:val="20"/>
          <w:szCs w:val="20"/>
        </w:rPr>
      </w:pPr>
      <w:r w:rsidRPr="00C24253">
        <w:rPr>
          <w:rFonts w:cs="Arial"/>
          <w:sz w:val="20"/>
          <w:szCs w:val="20"/>
        </w:rPr>
        <w:t>Prognóza budoucího populačního vývoje je přirozeně poplatná době jejího sestavení, nová projekce je v odhadu budoucího vývoje plodnosti méně optimistická než projekce předcházející, která byla sestavována v době výrazného růstu plodnosti a očekávání</w:t>
      </w:r>
      <w:r>
        <w:rPr>
          <w:rFonts w:cs="Arial"/>
          <w:sz w:val="20"/>
          <w:szCs w:val="20"/>
        </w:rPr>
        <w:t>,</w:t>
      </w:r>
      <w:r w:rsidRPr="00C24253">
        <w:rPr>
          <w:rFonts w:cs="Arial"/>
          <w:sz w:val="20"/>
          <w:szCs w:val="20"/>
        </w:rPr>
        <w:t xml:space="preserve"> že v té době počínající ekonomická krize nebude dlouhod</w:t>
      </w:r>
      <w:r w:rsidRPr="00C24253">
        <w:rPr>
          <w:rFonts w:cs="Arial"/>
          <w:sz w:val="20"/>
          <w:szCs w:val="20"/>
        </w:rPr>
        <w:t>o</w:t>
      </w:r>
      <w:r w:rsidRPr="00C24253">
        <w:rPr>
          <w:rFonts w:cs="Arial"/>
          <w:sz w:val="20"/>
          <w:szCs w:val="20"/>
        </w:rPr>
        <w:t xml:space="preserve">bá, a že ovlivní úroveň plodnosti v ČR pouze krátkodobě. </w:t>
      </w:r>
    </w:p>
    <w:p w:rsidR="00D912FA" w:rsidRPr="00C24253" w:rsidRDefault="00D912FA" w:rsidP="00D912FA">
      <w:pPr>
        <w:spacing w:after="120"/>
        <w:rPr>
          <w:rFonts w:cs="Arial"/>
          <w:sz w:val="20"/>
          <w:szCs w:val="20"/>
        </w:rPr>
      </w:pPr>
      <w:r w:rsidRPr="00C24253">
        <w:rPr>
          <w:rFonts w:cs="Arial"/>
          <w:sz w:val="20"/>
          <w:szCs w:val="20"/>
        </w:rPr>
        <w:t>Od roku 2009 se však růst plodnosti zastavil a ani po čtyřech letech se úroveň plodnosti nevyrovnala její výši z roku 2008. Postupné, avšak ne příliš výrazné, zvyšování úhrnné plodnosti je v nové projekci tedy zakotv</w:t>
      </w:r>
      <w:r w:rsidRPr="00C24253">
        <w:rPr>
          <w:rFonts w:cs="Arial"/>
          <w:sz w:val="20"/>
          <w:szCs w:val="20"/>
        </w:rPr>
        <w:t>e</w:t>
      </w:r>
      <w:r w:rsidRPr="00C24253">
        <w:rPr>
          <w:rFonts w:cs="Arial"/>
          <w:sz w:val="20"/>
          <w:szCs w:val="20"/>
        </w:rPr>
        <w:t>no pouze do střední (na 1,56 do roku 2050 s udržením této úrovně do roku 2</w:t>
      </w:r>
      <w:r w:rsidR="00D423B3">
        <w:rPr>
          <w:rFonts w:cs="Arial"/>
          <w:sz w:val="20"/>
          <w:szCs w:val="20"/>
        </w:rPr>
        <w:t>100) a vysoké varianty (na 1,61 </w:t>
      </w:r>
      <w:r w:rsidRPr="00C24253">
        <w:rPr>
          <w:rFonts w:cs="Arial"/>
          <w:sz w:val="20"/>
          <w:szCs w:val="20"/>
        </w:rPr>
        <w:t xml:space="preserve">do roku 2050 s udržením této úrovně do roku 2100), nízká varianta odráží možný scénář stabilizace úhrnné plodnosti na výši z roku 2012 (1,45 dítěte na jednu ženu). </w:t>
      </w:r>
    </w:p>
    <w:p w:rsidR="00D912FA" w:rsidRPr="00C24253" w:rsidRDefault="00D912FA" w:rsidP="00D912FA">
      <w:pPr>
        <w:spacing w:after="120"/>
        <w:rPr>
          <w:rFonts w:cs="Arial"/>
          <w:sz w:val="20"/>
          <w:szCs w:val="20"/>
        </w:rPr>
      </w:pPr>
      <w:r w:rsidRPr="00C24253">
        <w:rPr>
          <w:rFonts w:cs="Arial"/>
          <w:sz w:val="20"/>
          <w:szCs w:val="20"/>
        </w:rPr>
        <w:t xml:space="preserve">Všechny varianty nicméně očekávají další nárůst průměrného věku matek při porodu, a to do roku 2050 oproti stávající hodnotě (29,8 let) o 0,6-1,3 roku v závislosti na variantě. </w:t>
      </w:r>
    </w:p>
    <w:p w:rsidR="00D912FA" w:rsidRPr="00C24253" w:rsidRDefault="00D912FA" w:rsidP="00D912FA">
      <w:pPr>
        <w:spacing w:after="120"/>
        <w:rPr>
          <w:rFonts w:cs="Arial"/>
          <w:sz w:val="20"/>
          <w:szCs w:val="20"/>
        </w:rPr>
      </w:pPr>
      <w:r w:rsidRPr="00C24253">
        <w:rPr>
          <w:rFonts w:cs="Arial"/>
          <w:sz w:val="20"/>
          <w:szCs w:val="20"/>
        </w:rPr>
        <w:lastRenderedPageBreak/>
        <w:t>Oproti tomu další zlepšování úmrtnosti a tím růst naděje dožití byl zanesen do všech variant projekce a bylo počítáno s tím, že k jejímu růstu nejvíce přispěje zlepšení úmrtnosti mužů ve věku nad 60 let, u žen zejména nad 80 let. Výraznější snižování úrovně úmrtnosti je očekáváno u mužů. Ve střední variantě projekce je oč</w:t>
      </w:r>
      <w:r w:rsidRPr="00C24253">
        <w:rPr>
          <w:rFonts w:cs="Arial"/>
          <w:sz w:val="20"/>
          <w:szCs w:val="20"/>
        </w:rPr>
        <w:t>e</w:t>
      </w:r>
      <w:r w:rsidRPr="00C24253">
        <w:rPr>
          <w:rFonts w:cs="Arial"/>
          <w:sz w:val="20"/>
          <w:szCs w:val="20"/>
        </w:rPr>
        <w:t xml:space="preserve">káván růst střední délky života ze současných 75,0 roku pro muže a 80,9 let pro ženy o 4,5, resp. 4,2 roku do roku 2030, a dále již pozvolněji o dalších 7,1 a 6,0 roku do konce projekčního období na 86,6 let, u žen na 91,1 let v roce 2100. V nízké variantě je zakomponován nižší růst naděje dožití při narození, a to v horizontu na 84,2 let, resp. 88,8 let, ve vysoké naopak vyšší s cílovou hodnotou 88,4 let a 92,9 let. </w:t>
      </w:r>
    </w:p>
    <w:p w:rsidR="00D912FA" w:rsidRPr="00C24253" w:rsidRDefault="00D912FA" w:rsidP="00D912FA">
      <w:pPr>
        <w:spacing w:after="120"/>
        <w:rPr>
          <w:rFonts w:cs="Arial"/>
          <w:sz w:val="20"/>
          <w:szCs w:val="20"/>
        </w:rPr>
      </w:pPr>
      <w:r w:rsidRPr="00C24253">
        <w:rPr>
          <w:rFonts w:cs="Arial"/>
          <w:sz w:val="20"/>
          <w:szCs w:val="20"/>
        </w:rPr>
        <w:t>Nejobtížněji předvídatelný je vývoj zahraniční migrace. Ten závisí především na platné legislativě upravující vstup a pobyt cizinců na území naší republiky a na ekonomické situaci u nás, ale i ve zdrojových zemích. Její dosavadní vývoj kromě společného znaku migračního zisku nebyl rovnoměrný, vyznačoval se krátkod</w:t>
      </w:r>
      <w:r w:rsidRPr="00C24253">
        <w:rPr>
          <w:rFonts w:cs="Arial"/>
          <w:sz w:val="20"/>
          <w:szCs w:val="20"/>
        </w:rPr>
        <w:t>o</w:t>
      </w:r>
      <w:r w:rsidRPr="00C24253">
        <w:rPr>
          <w:rFonts w:cs="Arial"/>
          <w:sz w:val="20"/>
          <w:szCs w:val="20"/>
        </w:rPr>
        <w:t>bými výkyvy, např. zdvojnásobením salda v letech 2007 a 2008. S Českou republikou jako imigrační zemí počítala i nová projekce, i když stejně jako v případě očekávaného vývoje plodnosti, byl předpoklad již méně optimistický než při projekci z roku 2009. Výsledné saldo zahraniční migrace se ve střední variantě pohybuje od 8,6 tisíce do 17,7 tisíce v horizontu projekce, ve vysoké od 18,6 tisíce do 25,4 tisíce. V nízké variantě se saldo zahraniční migrace v prvních letech projekce pohybuje v záporných číslech, do konce projekce pak vzroste na 10,4 tisíce osob.</w:t>
      </w:r>
    </w:p>
    <w:p w:rsidR="00D912FA" w:rsidRPr="00C24253" w:rsidRDefault="00D912FA" w:rsidP="00D912FA">
      <w:pPr>
        <w:pStyle w:val="Zkladntextodsazen"/>
        <w:spacing w:after="120"/>
        <w:ind w:left="0" w:firstLine="0"/>
        <w:rPr>
          <w:szCs w:val="20"/>
        </w:rPr>
      </w:pPr>
      <w:r w:rsidRPr="00C24253">
        <w:rPr>
          <w:szCs w:val="20"/>
        </w:rPr>
        <w:t>Naplní-li se předpoklady budoucího vývoje plodnosti, úmrtnosti a migrace ze střední varianty projekce, bude růst počtu obyvatel ČR po dosažení velikosti 10,54 milionu osob po roce 2018 vystřídán populačním úby</w:t>
      </w:r>
      <w:r w:rsidRPr="00C24253">
        <w:rPr>
          <w:szCs w:val="20"/>
        </w:rPr>
        <w:t>t</w:t>
      </w:r>
      <w:r w:rsidRPr="00C24253">
        <w:rPr>
          <w:szCs w:val="20"/>
        </w:rPr>
        <w:t xml:space="preserve">kem. </w:t>
      </w:r>
    </w:p>
    <w:p w:rsidR="00D912FA" w:rsidRPr="00C24253" w:rsidRDefault="00D912FA" w:rsidP="00D912FA">
      <w:pPr>
        <w:pStyle w:val="Zkladntextodsazen"/>
        <w:spacing w:after="120"/>
        <w:ind w:left="0" w:firstLine="0"/>
        <w:rPr>
          <w:szCs w:val="20"/>
        </w:rPr>
      </w:pPr>
      <w:r w:rsidRPr="00C24253">
        <w:rPr>
          <w:szCs w:val="20"/>
        </w:rPr>
        <w:t>Podle vysoké varianty bude populační růst trvat o desetiletí déle, nejvyšší počet obyvatel (10,66 milionu) bude v ČR žít na počátku roku 2027. Veškeré přírůstky budou zaznamenány ale díky zahraničnímu stěh</w:t>
      </w:r>
      <w:r w:rsidRPr="00C24253">
        <w:rPr>
          <w:szCs w:val="20"/>
        </w:rPr>
        <w:t>o</w:t>
      </w:r>
      <w:r w:rsidRPr="00C24253">
        <w:rPr>
          <w:szCs w:val="20"/>
        </w:rPr>
        <w:t>vání, podle projekce byl rok 2012 totiž posledním rokem, kdy populace České republiky rostla také přiroz</w:t>
      </w:r>
      <w:r w:rsidRPr="00C24253">
        <w:rPr>
          <w:szCs w:val="20"/>
        </w:rPr>
        <w:t>e</w:t>
      </w:r>
      <w:r w:rsidRPr="00C24253">
        <w:rPr>
          <w:szCs w:val="20"/>
        </w:rPr>
        <w:t xml:space="preserve">nou měnou. </w:t>
      </w:r>
    </w:p>
    <w:p w:rsidR="00D912FA" w:rsidRPr="00C24253" w:rsidRDefault="00D912FA" w:rsidP="00D912FA">
      <w:pPr>
        <w:pStyle w:val="Zkladntextodsazen"/>
        <w:ind w:left="0" w:firstLine="0"/>
        <w:rPr>
          <w:szCs w:val="20"/>
        </w:rPr>
      </w:pPr>
      <w:r w:rsidRPr="00C24253">
        <w:rPr>
          <w:szCs w:val="20"/>
        </w:rPr>
        <w:t>Podle nízké varianty začne dlouhodobé snižování početní velikosti populace ČR již od prvního roku proje</w:t>
      </w:r>
      <w:r w:rsidRPr="00C24253">
        <w:rPr>
          <w:szCs w:val="20"/>
        </w:rPr>
        <w:t>k</w:t>
      </w:r>
      <w:r w:rsidRPr="00C24253">
        <w:rPr>
          <w:szCs w:val="20"/>
        </w:rPr>
        <w:t>ce, tedy od roku 2013. V horizontu projekce 1. 1. 2101 bude počet obyvatel České republiky o 13-42 % nižší než na jejím prahu. Ze současných 10,52 milionu to znamená pokles na 6,1-9,1 milionu. Nejvýraznější úby</w:t>
      </w:r>
      <w:r w:rsidRPr="00C24253">
        <w:rPr>
          <w:szCs w:val="20"/>
        </w:rPr>
        <w:t>t</w:t>
      </w:r>
      <w:r w:rsidRPr="00C24253">
        <w:rPr>
          <w:szCs w:val="20"/>
        </w:rPr>
        <w:t>ky jsou očekávány v období 2050-2080.</w:t>
      </w:r>
    </w:p>
    <w:p w:rsidR="00D912FA" w:rsidRPr="00C24253" w:rsidRDefault="00746AC9" w:rsidP="00D912FA">
      <w:pPr>
        <w:pStyle w:val="Zkladntextodsazen"/>
        <w:ind w:left="0"/>
        <w:jc w:val="center"/>
        <w:rPr>
          <w:b/>
          <w:szCs w:val="20"/>
        </w:rPr>
      </w:pPr>
      <w:r w:rsidRPr="00517FA8">
        <w:rPr>
          <w:b/>
          <w:noProof/>
          <w:szCs w:val="20"/>
          <w:lang w:eastAsia="cs-CZ"/>
        </w:rPr>
        <w:pict>
          <v:shape id="obrázek 7" o:spid="_x0000_i1030" type="#_x0000_t75" style="width:426pt;height:240.75pt;visibility:visible;mso-wrap-style:square">
            <v:imagedata r:id="rId22" o:title=""/>
          </v:shape>
        </w:pict>
      </w:r>
    </w:p>
    <w:p w:rsidR="00D912FA" w:rsidRPr="00C24253" w:rsidRDefault="00D912FA" w:rsidP="00D912FA">
      <w:pPr>
        <w:pStyle w:val="Zkladntextodsazen"/>
        <w:spacing w:before="120" w:after="120"/>
        <w:ind w:left="0" w:firstLine="0"/>
        <w:rPr>
          <w:szCs w:val="20"/>
        </w:rPr>
      </w:pPr>
      <w:r w:rsidRPr="00C24253">
        <w:rPr>
          <w:szCs w:val="20"/>
        </w:rPr>
        <w:t>Počet živě narozených dětí v novém století zřejmě dosáhl svého vrcholu v roce 2008, kdy se narodilo téměř 120 tisíc dětí. V dalších letech roční počty živě narozených dětí klesaly a situace by se neměla měnit až do počátku 30. let tohoto století, kdy by se měly roční počty živě narozených pohybovat ve střední variantě na úrovni 78 tisíc. Následný růst vyvrcholí kolem roku 2040 malou sekundární vln</w:t>
      </w:r>
      <w:r>
        <w:rPr>
          <w:szCs w:val="20"/>
        </w:rPr>
        <w:t>ou</w:t>
      </w:r>
      <w:r w:rsidRPr="00C24253">
        <w:rPr>
          <w:szCs w:val="20"/>
        </w:rPr>
        <w:t xml:space="preserve"> porodnosti (85 tis.), která bude ale odrazem vyššího počtu dětí narozených počátkem století. Poté by měl následovat pravidelný p</w:t>
      </w:r>
      <w:r w:rsidRPr="00C24253">
        <w:rPr>
          <w:szCs w:val="20"/>
        </w:rPr>
        <w:t>o</w:t>
      </w:r>
      <w:r w:rsidRPr="00C24253">
        <w:rPr>
          <w:szCs w:val="20"/>
        </w:rPr>
        <w:t>kles (v letech 2060-2075 spíše stagnace) až na roční počty narozených kolem 60 tisíc koncem projektov</w:t>
      </w:r>
      <w:r w:rsidRPr="00C24253">
        <w:rPr>
          <w:szCs w:val="20"/>
        </w:rPr>
        <w:t>a</w:t>
      </w:r>
      <w:r w:rsidRPr="00C24253">
        <w:rPr>
          <w:szCs w:val="20"/>
        </w:rPr>
        <w:t xml:space="preserve">ného období. </w:t>
      </w:r>
    </w:p>
    <w:p w:rsidR="00D912FA" w:rsidRPr="00C24253" w:rsidRDefault="00D912FA" w:rsidP="00D912FA">
      <w:pPr>
        <w:pStyle w:val="Zkladntextodsazen"/>
        <w:spacing w:before="120" w:after="120"/>
        <w:ind w:left="0" w:firstLine="0"/>
        <w:rPr>
          <w:szCs w:val="20"/>
        </w:rPr>
      </w:pPr>
      <w:r w:rsidRPr="00C24253">
        <w:rPr>
          <w:szCs w:val="20"/>
        </w:rPr>
        <w:t>Ani přep</w:t>
      </w:r>
      <w:r>
        <w:rPr>
          <w:szCs w:val="20"/>
        </w:rPr>
        <w:t>okládaný růst naděje</w:t>
      </w:r>
      <w:r w:rsidRPr="00C24253">
        <w:rPr>
          <w:szCs w:val="20"/>
        </w:rPr>
        <w:t xml:space="preserve"> dožití nezabrání růstu počtu zemřelých, určující bude především vývoj věk</w:t>
      </w:r>
      <w:r w:rsidRPr="00C24253">
        <w:rPr>
          <w:szCs w:val="20"/>
        </w:rPr>
        <w:t>o</w:t>
      </w:r>
      <w:r w:rsidRPr="00C24253">
        <w:rPr>
          <w:szCs w:val="20"/>
        </w:rPr>
        <w:t>vého složení, resp. početnost ročníků ve věku vysoké úrovně úmrtnosti. Zvyšování počtů zemřelých bude tak zrychlené např. ve třicátých letech, kdy věkem nejvyšší úmrtnosti budou procházet silné válečné a pov</w:t>
      </w:r>
      <w:r w:rsidRPr="00C24253">
        <w:rPr>
          <w:szCs w:val="20"/>
        </w:rPr>
        <w:t>á</w:t>
      </w:r>
      <w:r w:rsidRPr="00C24253">
        <w:rPr>
          <w:szCs w:val="20"/>
        </w:rPr>
        <w:lastRenderedPageBreak/>
        <w:t>lečné ročníky, nebo koncem padesátých let a v první polovině šedesátých let, kdy ve věku vysoké úmrtnosti budou osoby ze silných generací 70. let minulého století. Kolem roku 2070 by celkový trend růstu počtu zemřelých měl podle střední varianty vrcholit na úrovni okolo 140 tisíc zemřelých. Následný pokles vrátí počty zemřelých na obdobnou úroveň, kterou zaznamenáváme v současné době (106 tisíc osob).</w:t>
      </w:r>
    </w:p>
    <w:p w:rsidR="00D912FA" w:rsidRPr="00C24253" w:rsidRDefault="00D912FA" w:rsidP="00D912FA">
      <w:pPr>
        <w:pStyle w:val="Zkladntextodsazen3"/>
        <w:spacing w:after="120"/>
        <w:ind w:firstLine="0"/>
        <w:rPr>
          <w:b w:val="0"/>
          <w:color w:val="auto"/>
          <w:sz w:val="20"/>
          <w:szCs w:val="20"/>
        </w:rPr>
      </w:pPr>
      <w:r w:rsidRPr="00C24253">
        <w:rPr>
          <w:b w:val="0"/>
          <w:color w:val="auto"/>
          <w:sz w:val="20"/>
          <w:szCs w:val="20"/>
        </w:rPr>
        <w:t>Podstatně se však v následujících desetiletích změní věková struktura obyvatel České republiky. Pokles počtů narozených (v celkovém trendu) povede ke zmenšení počtu a podílu dětí v populaci. Posouvání početně silných ročníků do vyšších věků spolu s předpokládaným prodlužováním délky lidské</w:t>
      </w:r>
      <w:r>
        <w:rPr>
          <w:b w:val="0"/>
          <w:color w:val="auto"/>
          <w:sz w:val="20"/>
          <w:szCs w:val="20"/>
        </w:rPr>
        <w:t>ho</w:t>
      </w:r>
      <w:r w:rsidRPr="00C24253">
        <w:rPr>
          <w:b w:val="0"/>
          <w:color w:val="auto"/>
          <w:sz w:val="20"/>
          <w:szCs w:val="20"/>
        </w:rPr>
        <w:t xml:space="preserve"> života bude znamenat zvyšování absolutního i relativního zastoupení osob v seniorském věku. </w:t>
      </w:r>
    </w:p>
    <w:p w:rsidR="00D912FA" w:rsidRPr="00C24253" w:rsidRDefault="00D912FA" w:rsidP="00D912FA">
      <w:pPr>
        <w:pStyle w:val="Zkladntextodsazen3"/>
        <w:spacing w:after="120"/>
        <w:ind w:firstLine="0"/>
        <w:rPr>
          <w:b w:val="0"/>
          <w:color w:val="auto"/>
          <w:sz w:val="20"/>
          <w:szCs w:val="20"/>
        </w:rPr>
      </w:pPr>
      <w:r w:rsidRPr="00C24253">
        <w:rPr>
          <w:b w:val="0"/>
          <w:color w:val="auto"/>
          <w:sz w:val="20"/>
          <w:szCs w:val="20"/>
        </w:rPr>
        <w:t>Tato změna, komplexně označitelná jako stárnutí populace</w:t>
      </w:r>
      <w:r>
        <w:rPr>
          <w:b w:val="0"/>
          <w:color w:val="auto"/>
          <w:sz w:val="20"/>
          <w:szCs w:val="20"/>
        </w:rPr>
        <w:t>,</w:t>
      </w:r>
      <w:r w:rsidRPr="00C24253">
        <w:rPr>
          <w:b w:val="0"/>
          <w:color w:val="auto"/>
          <w:sz w:val="20"/>
          <w:szCs w:val="20"/>
        </w:rPr>
        <w:t xml:space="preserve"> je naprosto jistým znakem budoucího populačního vývoje obyvatelstva České republiky a ve svém významu mnohem důležitějším než vývoj celkového počtu obyvatel. </w:t>
      </w:r>
    </w:p>
    <w:p w:rsidR="00D912FA" w:rsidRPr="00C24253" w:rsidRDefault="00D912FA" w:rsidP="00D912FA">
      <w:pPr>
        <w:pStyle w:val="Zkladntextodsazen3"/>
        <w:spacing w:after="120"/>
        <w:ind w:firstLine="0"/>
        <w:rPr>
          <w:rFonts w:eastAsia="Calibri"/>
          <w:b w:val="0"/>
          <w:color w:val="auto"/>
          <w:sz w:val="20"/>
          <w:szCs w:val="20"/>
        </w:rPr>
      </w:pPr>
      <w:r w:rsidRPr="00C24253">
        <w:rPr>
          <w:b w:val="0"/>
          <w:color w:val="auto"/>
          <w:sz w:val="20"/>
          <w:szCs w:val="20"/>
        </w:rPr>
        <w:t>Počet obyvatel ve věku 65 a více let by měl kulminovat</w:t>
      </w:r>
      <w:r w:rsidRPr="00C24253">
        <w:rPr>
          <w:rFonts w:eastAsia="Calibri"/>
          <w:b w:val="0"/>
          <w:color w:val="auto"/>
          <w:sz w:val="20"/>
          <w:szCs w:val="20"/>
        </w:rPr>
        <w:t xml:space="preserve"> kolem roku 20</w:t>
      </w:r>
      <w:r w:rsidRPr="00C24253">
        <w:rPr>
          <w:b w:val="0"/>
          <w:color w:val="auto"/>
          <w:sz w:val="20"/>
          <w:szCs w:val="20"/>
        </w:rPr>
        <w:t>57, kdy je ve střední variantě očekáván jejich počet (3,2 milionu) téměř dvakrát vyšší než ten současný</w:t>
      </w:r>
      <w:r w:rsidRPr="00C24253">
        <w:rPr>
          <w:rFonts w:eastAsia="Calibri"/>
          <w:b w:val="0"/>
          <w:color w:val="auto"/>
          <w:sz w:val="20"/>
          <w:szCs w:val="20"/>
        </w:rPr>
        <w:t xml:space="preserve"> (1,</w:t>
      </w:r>
      <w:r w:rsidRPr="00C24253">
        <w:rPr>
          <w:b w:val="0"/>
          <w:color w:val="auto"/>
          <w:sz w:val="20"/>
          <w:szCs w:val="20"/>
        </w:rPr>
        <w:t>7</w:t>
      </w:r>
      <w:r w:rsidRPr="00C24253">
        <w:rPr>
          <w:rFonts w:eastAsia="Calibri"/>
          <w:b w:val="0"/>
          <w:color w:val="auto"/>
          <w:sz w:val="20"/>
          <w:szCs w:val="20"/>
        </w:rPr>
        <w:t xml:space="preserve"> milionu)</w:t>
      </w:r>
      <w:r w:rsidRPr="00C24253">
        <w:rPr>
          <w:b w:val="0"/>
          <w:color w:val="auto"/>
          <w:sz w:val="20"/>
          <w:szCs w:val="20"/>
        </w:rPr>
        <w:t xml:space="preserve">. </w:t>
      </w:r>
      <w:r w:rsidRPr="00C24253">
        <w:rPr>
          <w:rFonts w:eastAsia="Calibri"/>
          <w:b w:val="0"/>
          <w:color w:val="auto"/>
          <w:sz w:val="20"/>
          <w:szCs w:val="20"/>
        </w:rPr>
        <w:t>Do konce prognózovaného období by měl počet seniorů klesnout na 2,</w:t>
      </w:r>
      <w:r w:rsidRPr="00C24253">
        <w:rPr>
          <w:b w:val="0"/>
          <w:color w:val="auto"/>
          <w:sz w:val="20"/>
          <w:szCs w:val="20"/>
        </w:rPr>
        <w:t>5</w:t>
      </w:r>
      <w:r w:rsidRPr="00C24253">
        <w:rPr>
          <w:rFonts w:eastAsia="Calibri"/>
          <w:b w:val="0"/>
          <w:color w:val="auto"/>
          <w:sz w:val="20"/>
          <w:szCs w:val="20"/>
        </w:rPr>
        <w:t xml:space="preserve"> milionu osob, avšak na počet stále výrazně převyšující současnou úroveň. Relativní zastoupení </w:t>
      </w:r>
      <w:r w:rsidRPr="00C24253">
        <w:rPr>
          <w:b w:val="0"/>
          <w:color w:val="auto"/>
          <w:sz w:val="20"/>
          <w:szCs w:val="20"/>
        </w:rPr>
        <w:t xml:space="preserve">osob ve věku 65 a více let </w:t>
      </w:r>
      <w:r w:rsidRPr="00C24253">
        <w:rPr>
          <w:rFonts w:eastAsia="Calibri"/>
          <w:b w:val="0"/>
          <w:color w:val="auto"/>
          <w:sz w:val="20"/>
          <w:szCs w:val="20"/>
        </w:rPr>
        <w:t xml:space="preserve">v populaci </w:t>
      </w:r>
      <w:r w:rsidRPr="00C24253">
        <w:rPr>
          <w:b w:val="0"/>
          <w:color w:val="auto"/>
          <w:sz w:val="20"/>
          <w:szCs w:val="20"/>
        </w:rPr>
        <w:t xml:space="preserve">se zvýší </w:t>
      </w:r>
      <w:r w:rsidRPr="00C24253">
        <w:rPr>
          <w:rFonts w:eastAsia="Calibri"/>
          <w:b w:val="0"/>
          <w:color w:val="auto"/>
          <w:sz w:val="20"/>
          <w:szCs w:val="20"/>
        </w:rPr>
        <w:t xml:space="preserve">z dnešní </w:t>
      </w:r>
      <w:r w:rsidRPr="00C24253">
        <w:rPr>
          <w:b w:val="0"/>
          <w:color w:val="auto"/>
          <w:sz w:val="20"/>
          <w:szCs w:val="20"/>
        </w:rPr>
        <w:t>jedné šestiny až na jednu třetinu</w:t>
      </w:r>
      <w:r w:rsidRPr="00C24253">
        <w:rPr>
          <w:rFonts w:eastAsia="Calibri"/>
          <w:b w:val="0"/>
          <w:color w:val="auto"/>
          <w:sz w:val="20"/>
          <w:szCs w:val="20"/>
        </w:rPr>
        <w:t xml:space="preserve">. </w:t>
      </w:r>
    </w:p>
    <w:p w:rsidR="00D912FA" w:rsidRPr="00C24253" w:rsidRDefault="00D912FA" w:rsidP="00D912FA">
      <w:pPr>
        <w:pStyle w:val="Zkladntextodsazen3"/>
        <w:spacing w:after="120"/>
        <w:ind w:firstLine="0"/>
        <w:rPr>
          <w:rFonts w:eastAsia="Calibri"/>
          <w:b w:val="0"/>
          <w:color w:val="auto"/>
          <w:sz w:val="20"/>
          <w:szCs w:val="20"/>
        </w:rPr>
      </w:pPr>
      <w:r w:rsidRPr="00C24253">
        <w:rPr>
          <w:rFonts w:eastAsia="Calibri"/>
          <w:b w:val="0"/>
          <w:color w:val="auto"/>
          <w:sz w:val="20"/>
          <w:szCs w:val="20"/>
        </w:rPr>
        <w:t>Průměrný věk obyvatel by měl ke konci století narůst</w:t>
      </w:r>
      <w:r w:rsidRPr="00C24253">
        <w:rPr>
          <w:b w:val="0"/>
          <w:color w:val="auto"/>
          <w:sz w:val="20"/>
          <w:szCs w:val="20"/>
        </w:rPr>
        <w:t xml:space="preserve"> ze 41,3 roku z počátku roku 2013 na 49,8 roku (střední varianta). Poroste také i</w:t>
      </w:r>
      <w:r w:rsidRPr="00C24253">
        <w:rPr>
          <w:rFonts w:eastAsia="Calibri"/>
          <w:b w:val="0"/>
          <w:color w:val="auto"/>
          <w:sz w:val="20"/>
          <w:szCs w:val="20"/>
        </w:rPr>
        <w:t xml:space="preserve">ndex stáří, který vyjadřuje poměr velikosti skupin </w:t>
      </w:r>
      <w:smartTag w:uri="urn:schemas-microsoft-com:office:smarttags" w:element="metricconverter">
        <w:smartTagPr>
          <w:attr w:name="ProductID" w:val="65 a"/>
        </w:smartTagPr>
        <w:r w:rsidRPr="00C24253">
          <w:rPr>
            <w:rFonts w:eastAsia="Calibri"/>
            <w:b w:val="0"/>
            <w:color w:val="auto"/>
            <w:sz w:val="20"/>
            <w:szCs w:val="20"/>
          </w:rPr>
          <w:t>65 a</w:t>
        </w:r>
      </w:smartTag>
      <w:r w:rsidRPr="00C24253">
        <w:rPr>
          <w:rFonts w:eastAsia="Calibri"/>
          <w:b w:val="0"/>
          <w:color w:val="auto"/>
          <w:sz w:val="20"/>
          <w:szCs w:val="20"/>
        </w:rPr>
        <w:t xml:space="preserve"> víceletých a dětí ve věku do 15 let, a jeho výše z konce roku 2012 byla 113. Dle střední varianty projekce překročí hodnotu 150 již před polovinou 20. let, hranici 200 jen</w:t>
      </w:r>
      <w:r w:rsidRPr="00C24253">
        <w:rPr>
          <w:b w:val="0"/>
          <w:color w:val="auto"/>
          <w:sz w:val="20"/>
          <w:szCs w:val="20"/>
        </w:rPr>
        <w:t xml:space="preserve"> </w:t>
      </w:r>
      <w:r>
        <w:rPr>
          <w:b w:val="0"/>
          <w:color w:val="auto"/>
          <w:sz w:val="20"/>
          <w:szCs w:val="20"/>
        </w:rPr>
        <w:t xml:space="preserve">o </w:t>
      </w:r>
      <w:r w:rsidRPr="00C24253">
        <w:rPr>
          <w:b w:val="0"/>
          <w:color w:val="auto"/>
          <w:sz w:val="20"/>
          <w:szCs w:val="20"/>
        </w:rPr>
        <w:t>deset let později. Celou druhou polovinu tohoto století by se měl index stáří pohybovat nad hranicí 250 seniorů na 100 dětí</w:t>
      </w:r>
      <w:r w:rsidRPr="00C24253">
        <w:rPr>
          <w:rFonts w:eastAsia="Calibri"/>
          <w:b w:val="0"/>
          <w:color w:val="auto"/>
          <w:sz w:val="20"/>
          <w:szCs w:val="20"/>
        </w:rPr>
        <w:t xml:space="preserve"> s vrcholem 2</w:t>
      </w:r>
      <w:r w:rsidRPr="00C24253">
        <w:rPr>
          <w:b w:val="0"/>
          <w:color w:val="auto"/>
          <w:sz w:val="20"/>
          <w:szCs w:val="20"/>
        </w:rPr>
        <w:t>77</w:t>
      </w:r>
      <w:r w:rsidRPr="00C24253">
        <w:rPr>
          <w:rFonts w:eastAsia="Calibri"/>
          <w:b w:val="0"/>
          <w:color w:val="auto"/>
          <w:sz w:val="20"/>
          <w:szCs w:val="20"/>
        </w:rPr>
        <w:t xml:space="preserve"> seniorů na 100 dětí </w:t>
      </w:r>
      <w:r w:rsidRPr="00C24253">
        <w:rPr>
          <w:b w:val="0"/>
          <w:color w:val="auto"/>
          <w:sz w:val="20"/>
          <w:szCs w:val="20"/>
        </w:rPr>
        <w:t>k 1. 1. </w:t>
      </w:r>
      <w:r w:rsidRPr="00C24253">
        <w:rPr>
          <w:rFonts w:eastAsia="Calibri"/>
          <w:b w:val="0"/>
          <w:color w:val="auto"/>
          <w:sz w:val="20"/>
          <w:szCs w:val="20"/>
        </w:rPr>
        <w:t>2063.</w:t>
      </w:r>
    </w:p>
    <w:p w:rsidR="00D912FA" w:rsidRPr="00C24253" w:rsidRDefault="00D912FA" w:rsidP="00D912FA">
      <w:pPr>
        <w:spacing w:after="240"/>
        <w:rPr>
          <w:rFonts w:cs="Arial"/>
          <w:sz w:val="20"/>
          <w:szCs w:val="20"/>
        </w:rPr>
      </w:pPr>
      <w:r w:rsidRPr="00C24253">
        <w:rPr>
          <w:rFonts w:eastAsia="Calibri" w:cs="Arial"/>
          <w:sz w:val="20"/>
          <w:szCs w:val="20"/>
        </w:rPr>
        <w:t xml:space="preserve">Závažné bude zhoršování početní relace mezi ekonomicky aktivní a neaktivní populací. Index ekonomického zatížení porovnávající právě počet osob v ekonomicky neaktivním a aktivním věku poroste, a to ze současných 57 osob ve věku 0-19 a 65 a více let na 100 osob ve věku 20-64 roků až </w:t>
      </w:r>
      <w:r>
        <w:rPr>
          <w:rFonts w:eastAsia="Calibri" w:cs="Arial"/>
          <w:sz w:val="20"/>
          <w:szCs w:val="20"/>
        </w:rPr>
        <w:t xml:space="preserve">k </w:t>
      </w:r>
      <w:r w:rsidRPr="00C24253">
        <w:rPr>
          <w:rFonts w:eastAsia="Calibri" w:cs="Arial"/>
          <w:sz w:val="20"/>
          <w:szCs w:val="20"/>
        </w:rPr>
        <w:t xml:space="preserve">početnímu vyrovnání velikosti obou složek populace </w:t>
      </w:r>
      <w:r w:rsidRPr="00C24253">
        <w:rPr>
          <w:rFonts w:cs="Arial"/>
          <w:sz w:val="20"/>
          <w:szCs w:val="20"/>
        </w:rPr>
        <w:t xml:space="preserve">osob od počátku padesátých let (střední varianta projekce). </w:t>
      </w:r>
      <w:r w:rsidRPr="00C24253">
        <w:rPr>
          <w:rFonts w:eastAsia="Calibri" w:cs="Arial"/>
          <w:sz w:val="20"/>
          <w:szCs w:val="20"/>
        </w:rPr>
        <w:t>Intenzivní růst indexu nastane v období 2035-2060.</w:t>
      </w:r>
    </w:p>
    <w:p w:rsidR="00D912FA" w:rsidRPr="00C24253" w:rsidRDefault="00746AC9" w:rsidP="00D912FA">
      <w:pPr>
        <w:spacing w:after="120"/>
        <w:jc w:val="center"/>
        <w:rPr>
          <w:rFonts w:cs="Arial"/>
          <w:sz w:val="20"/>
          <w:szCs w:val="20"/>
        </w:rPr>
      </w:pPr>
      <w:r w:rsidRPr="00517FA8">
        <w:rPr>
          <w:rFonts w:cs="Arial"/>
          <w:noProof/>
          <w:sz w:val="20"/>
          <w:szCs w:val="20"/>
        </w:rPr>
        <w:pict>
          <v:shape id="obrázek 8" o:spid="_x0000_i1031" type="#_x0000_t75" style="width:448.5pt;height:250.5pt;visibility:visible;mso-wrap-style:square">
            <v:imagedata r:id="rId23" o:title=""/>
          </v:shape>
        </w:pict>
      </w:r>
    </w:p>
    <w:p w:rsidR="00D912FA" w:rsidRPr="00C24253" w:rsidRDefault="00D912FA" w:rsidP="00D912FA">
      <w:pPr>
        <w:spacing w:before="240" w:after="120"/>
        <w:rPr>
          <w:rFonts w:cs="Arial"/>
          <w:sz w:val="20"/>
          <w:szCs w:val="20"/>
        </w:rPr>
      </w:pPr>
      <w:r w:rsidRPr="00C24253">
        <w:rPr>
          <w:rFonts w:cs="Arial"/>
          <w:sz w:val="20"/>
          <w:szCs w:val="20"/>
        </w:rPr>
        <w:t xml:space="preserve">S předpokládanými přírůstky obyvatel zahraniční migrací bude narůstat podíl cizinců v populaci. V současné době Česká republika patří mezi evropské země s nižším podílem cizinců v obyvatelstvu (necelých 5 % v populaci s obvyklým pobytem ke dni sčítání 2011). </w:t>
      </w:r>
    </w:p>
    <w:p w:rsidR="00D912FA" w:rsidRPr="00522702" w:rsidRDefault="00D912FA" w:rsidP="00D912FA">
      <w:pPr>
        <w:rPr>
          <w:b/>
        </w:rPr>
      </w:pPr>
      <w:r w:rsidRPr="00C24253">
        <w:rPr>
          <w:rFonts w:cs="Arial"/>
          <w:sz w:val="20"/>
          <w:szCs w:val="20"/>
        </w:rPr>
        <w:t>Budoucí odhad velikosti populace cizinců žijících na území ČR lze nepřímo odhadnout pomocí očekávaného salda migrace. Výsledkem načítání salda za jednotlivé roky celého prognózovaného období ve střední variantě je přírůstek ve výši 1,26 milionu, což představuje 22 % populace ČR k 1. 1. 2101 (9 % k 1. 1. 2051). Část cizinců se však stane občany ČR, část salda také mohou tvořit občané ČR, pokud saldo stěhování občanů ČR bude kladné. Ve skutečnosti lze tak očekávat podíl cizinců o něco nižší, avšak nikoliv podstatně.</w:t>
      </w:r>
    </w:p>
    <w:bookmarkEnd w:id="0"/>
    <w:p w:rsidR="00FB2B79" w:rsidRDefault="00FB2B79" w:rsidP="00FB2B79">
      <w:pPr>
        <w:spacing w:after="360"/>
        <w:rPr>
          <w:sz w:val="32"/>
          <w:szCs w:val="32"/>
        </w:rPr>
      </w:pPr>
    </w:p>
    <w:sectPr w:rsidR="00FB2B79" w:rsidSect="00FC6FDC">
      <w:footerReference w:type="even" r:id="rId24"/>
      <w:type w:val="continuous"/>
      <w:pgSz w:w="11906" w:h="16838" w:code="9"/>
      <w:pgMar w:top="1134" w:right="1134" w:bottom="1134" w:left="1134" w:header="1134"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4D0" w:rsidRDefault="007B04D0">
      <w:r>
        <w:separator/>
      </w:r>
    </w:p>
    <w:p w:rsidR="007B04D0" w:rsidRDefault="007B04D0"/>
  </w:endnote>
  <w:endnote w:type="continuationSeparator" w:id="0">
    <w:p w:rsidR="007B04D0" w:rsidRDefault="007B04D0">
      <w:r>
        <w:continuationSeparator/>
      </w:r>
    </w:p>
    <w:p w:rsidR="007B04D0" w:rsidRDefault="007B04D0"/>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T1FDo00">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5C3" w:rsidRDefault="00517FA8">
    <w:pPr>
      <w:pStyle w:val="Zpat"/>
      <w:framePr w:wrap="around" w:vAnchor="text" w:hAnchor="margin" w:xAlign="center" w:y="1"/>
      <w:rPr>
        <w:rStyle w:val="slostrnky"/>
      </w:rPr>
    </w:pPr>
    <w:r>
      <w:rPr>
        <w:rStyle w:val="slostrnky"/>
      </w:rPr>
      <w:fldChar w:fldCharType="begin"/>
    </w:r>
    <w:r w:rsidR="00D055C3">
      <w:rPr>
        <w:rStyle w:val="slostrnky"/>
      </w:rPr>
      <w:instrText xml:space="preserve">PAGE  </w:instrText>
    </w:r>
    <w:r>
      <w:rPr>
        <w:rStyle w:val="slostrnky"/>
      </w:rPr>
      <w:fldChar w:fldCharType="end"/>
    </w:r>
  </w:p>
  <w:p w:rsidR="00D055C3" w:rsidRDefault="00D055C3">
    <w:pPr>
      <w:pStyle w:val="Zpat"/>
    </w:pPr>
  </w:p>
  <w:p w:rsidR="00D055C3" w:rsidRDefault="00D055C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4D0" w:rsidRDefault="007B04D0">
      <w:r>
        <w:separator/>
      </w:r>
    </w:p>
    <w:p w:rsidR="007B04D0" w:rsidRDefault="007B04D0"/>
  </w:footnote>
  <w:footnote w:type="continuationSeparator" w:id="0">
    <w:p w:rsidR="007B04D0" w:rsidRDefault="007B04D0">
      <w:r>
        <w:continuationSeparator/>
      </w:r>
    </w:p>
    <w:p w:rsidR="007B04D0" w:rsidRDefault="007B04D0"/>
  </w:footnote>
  <w:footnote w:id="1">
    <w:p w:rsidR="00D055C3" w:rsidRPr="008A5A22" w:rsidRDefault="00D055C3" w:rsidP="00D912FA">
      <w:pPr>
        <w:pStyle w:val="Textpoznpodarou"/>
        <w:spacing w:after="60"/>
        <w:rPr>
          <w:rFonts w:cs="Arial"/>
          <w:i w:val="0"/>
          <w:szCs w:val="18"/>
        </w:rPr>
      </w:pPr>
      <w:r w:rsidRPr="008A5A22">
        <w:rPr>
          <w:rStyle w:val="Znakapoznpodarou"/>
          <w:rFonts w:cs="Arial"/>
          <w:szCs w:val="18"/>
        </w:rPr>
        <w:footnoteRef/>
      </w:r>
      <w:r w:rsidRPr="008A5A22">
        <w:rPr>
          <w:rFonts w:cs="Arial"/>
          <w:szCs w:val="18"/>
        </w:rPr>
        <w:t xml:space="preserve"> Údaj z roku 1992, neboť </w:t>
      </w:r>
      <w:r>
        <w:rPr>
          <w:rFonts w:cs="Arial"/>
          <w:szCs w:val="18"/>
        </w:rPr>
        <w:t xml:space="preserve">výše </w:t>
      </w:r>
      <w:r w:rsidRPr="008A5A22">
        <w:rPr>
          <w:rFonts w:cs="Arial"/>
          <w:szCs w:val="18"/>
        </w:rPr>
        <w:t>sňatečnost</w:t>
      </w:r>
      <w:r>
        <w:rPr>
          <w:rFonts w:cs="Arial"/>
          <w:szCs w:val="18"/>
        </w:rPr>
        <w:t>i</w:t>
      </w:r>
      <w:r w:rsidRPr="008A5A22">
        <w:rPr>
          <w:rFonts w:cs="Arial"/>
          <w:szCs w:val="18"/>
        </w:rPr>
        <w:t xml:space="preserve"> v roce 1991 byla ovlivněna jejím vzestupem v roce 1990 v souvislosti s ohlášeným zrušením výhodných novomanželských půjček od ledna 1991 a tím „uspíšením“ </w:t>
      </w:r>
      <w:r>
        <w:rPr>
          <w:rFonts w:cs="Arial"/>
          <w:szCs w:val="18"/>
        </w:rPr>
        <w:t>některých</w:t>
      </w:r>
      <w:r w:rsidRPr="008A5A22">
        <w:rPr>
          <w:rFonts w:cs="Arial"/>
          <w:szCs w:val="18"/>
        </w:rPr>
        <w:t xml:space="preserve"> sňatků.</w:t>
      </w:r>
    </w:p>
  </w:footnote>
  <w:footnote w:id="2">
    <w:p w:rsidR="00D055C3" w:rsidRPr="00CC6949" w:rsidRDefault="00D055C3" w:rsidP="00D912FA">
      <w:pPr>
        <w:pStyle w:val="Textpoznpodarou"/>
        <w:spacing w:after="60"/>
        <w:rPr>
          <w:rFonts w:cs="Arial"/>
          <w:i w:val="0"/>
          <w:sz w:val="16"/>
          <w:szCs w:val="16"/>
        </w:rPr>
      </w:pPr>
      <w:r w:rsidRPr="00CC6949">
        <w:rPr>
          <w:rStyle w:val="Znakapoznpodarou"/>
          <w:rFonts w:cs="Arial"/>
          <w:sz w:val="16"/>
          <w:szCs w:val="16"/>
        </w:rPr>
        <w:footnoteRef/>
      </w:r>
      <w:r w:rsidRPr="00CC6949">
        <w:rPr>
          <w:rFonts w:cs="Arial"/>
          <w:sz w:val="16"/>
          <w:szCs w:val="16"/>
        </w:rPr>
        <w:t xml:space="preserve"> Výpočet z dat běžné demografické statistiky, resp. </w:t>
      </w:r>
      <w:r>
        <w:rPr>
          <w:rFonts w:cs="Arial"/>
          <w:sz w:val="16"/>
          <w:szCs w:val="16"/>
        </w:rPr>
        <w:t xml:space="preserve">zdroj dat: </w:t>
      </w:r>
      <w:r w:rsidRPr="00CC6949">
        <w:rPr>
          <w:rFonts w:cs="Arial"/>
          <w:sz w:val="16"/>
          <w:szCs w:val="16"/>
        </w:rPr>
        <w:t>Human fertility database.</w:t>
      </w:r>
    </w:p>
  </w:footnote>
  <w:footnote w:id="3">
    <w:p w:rsidR="00D055C3" w:rsidRPr="00AC5846" w:rsidRDefault="00D055C3" w:rsidP="00D912FA">
      <w:pPr>
        <w:pStyle w:val="Textpoznpodarou"/>
        <w:rPr>
          <w:rFonts w:cs="Arial"/>
          <w:szCs w:val="18"/>
        </w:rPr>
      </w:pPr>
      <w:r w:rsidRPr="00AC5846">
        <w:rPr>
          <w:rStyle w:val="Znakapoznpodarou"/>
          <w:rFonts w:cs="Arial"/>
          <w:szCs w:val="18"/>
        </w:rPr>
        <w:footnoteRef/>
      </w:r>
      <w:r w:rsidRPr="00AC5846">
        <w:rPr>
          <w:rFonts w:cs="Arial"/>
          <w:szCs w:val="18"/>
        </w:rPr>
        <w:t xml:space="preserve"> Údaj o počtu narozených dětí při sčítání 1991 nebyl zjištěn přibližně u 65 tisíc žen, v roce 2001 u 274 tisíc žen, v roce 2011 to bylo u 182 tisíce žen. Vysokým podílem nezjištěného údaje jsou nejvíce ovlivněny údaje o plodnosti žen nejmladších věkových kategorií.</w:t>
      </w:r>
    </w:p>
  </w:footnote>
  <w:footnote w:id="4">
    <w:p w:rsidR="00D055C3" w:rsidRPr="00AC5846" w:rsidRDefault="00D055C3" w:rsidP="00D912FA">
      <w:pPr>
        <w:pStyle w:val="Textpoznpodarou"/>
        <w:rPr>
          <w:szCs w:val="18"/>
        </w:rPr>
      </w:pPr>
      <w:r w:rsidRPr="00AC5846">
        <w:rPr>
          <w:rStyle w:val="Znakapoznpodarou"/>
          <w:szCs w:val="18"/>
        </w:rPr>
        <w:footnoteRef/>
      </w:r>
      <w:r w:rsidRPr="00AC5846">
        <w:rPr>
          <w:szCs w:val="18"/>
        </w:rPr>
        <w:t xml:space="preserve"> </w:t>
      </w:r>
      <w:r w:rsidRPr="00AC5846">
        <w:rPr>
          <w:rFonts w:cs="Arial"/>
          <w:szCs w:val="18"/>
        </w:rPr>
        <w:t>Výrazně lepší situace nebyla ani při sčítání o deset let dříve, kdy se k romské národnosti přihlásilo 3 857 žen starších 15 let a 443 údaj o počtu narozených dětí neuvedlo. Při sčítání 1991 bylo sečteno 1</w:t>
      </w:r>
      <w:r>
        <w:rPr>
          <w:rFonts w:cs="Arial"/>
          <w:szCs w:val="18"/>
        </w:rPr>
        <w:t>0 056 romských žen ve věku 15 a </w:t>
      </w:r>
      <w:r w:rsidRPr="00AC5846">
        <w:rPr>
          <w:rFonts w:cs="Arial"/>
          <w:szCs w:val="18"/>
        </w:rPr>
        <w:t>více let a u 276 z nich počet dětí nebyl zjištěn.</w:t>
      </w:r>
    </w:p>
  </w:footnote>
  <w:footnote w:id="5">
    <w:p w:rsidR="00D055C3" w:rsidRPr="00E1502C" w:rsidRDefault="00D055C3" w:rsidP="00D912FA">
      <w:pPr>
        <w:pStyle w:val="Textpoznpodarou"/>
        <w:rPr>
          <w:rFonts w:cs="Arial"/>
          <w:i w:val="0"/>
          <w:szCs w:val="18"/>
        </w:rPr>
      </w:pPr>
      <w:r w:rsidRPr="00E1502C">
        <w:rPr>
          <w:rStyle w:val="Znakapoznpodarou"/>
          <w:rFonts w:cs="Arial"/>
          <w:szCs w:val="18"/>
        </w:rPr>
        <w:footnoteRef/>
      </w:r>
      <w:r w:rsidRPr="00E1502C">
        <w:rPr>
          <w:rFonts w:cs="Arial"/>
          <w:szCs w:val="18"/>
        </w:rPr>
        <w:t xml:space="preserve"> Z důvodu vzájemné srovnatelnosti a vyloučení nízkých počtů v okrajových </w:t>
      </w:r>
      <w:r>
        <w:rPr>
          <w:rFonts w:cs="Arial"/>
          <w:szCs w:val="18"/>
        </w:rPr>
        <w:t>věkových intervalech</w:t>
      </w:r>
      <w:r w:rsidRPr="00E1502C">
        <w:rPr>
          <w:rFonts w:cs="Arial"/>
          <w:szCs w:val="18"/>
        </w:rPr>
        <w:t xml:space="preserve"> </w:t>
      </w:r>
      <w:r>
        <w:rPr>
          <w:rFonts w:cs="Arial"/>
          <w:szCs w:val="18"/>
        </w:rPr>
        <w:t>byl uvažován věk 20 </w:t>
      </w:r>
      <w:r w:rsidRPr="00E1502C">
        <w:rPr>
          <w:rFonts w:cs="Arial"/>
          <w:szCs w:val="18"/>
        </w:rPr>
        <w:t>až 44 let.</w:t>
      </w:r>
    </w:p>
  </w:footnote>
  <w:footnote w:id="6">
    <w:p w:rsidR="00D055C3" w:rsidRPr="00F42CAB" w:rsidRDefault="00D055C3" w:rsidP="00D912FA">
      <w:pPr>
        <w:pStyle w:val="Textpoznpodarou"/>
        <w:rPr>
          <w:rFonts w:cs="Arial"/>
          <w:i w:val="0"/>
          <w:sz w:val="16"/>
          <w:szCs w:val="16"/>
        </w:rPr>
      </w:pPr>
      <w:r w:rsidRPr="00F42CAB">
        <w:rPr>
          <w:rStyle w:val="Znakapoznpodarou"/>
          <w:rFonts w:cs="Arial"/>
          <w:sz w:val="16"/>
          <w:szCs w:val="16"/>
        </w:rPr>
        <w:footnoteRef/>
      </w:r>
      <w:r w:rsidRPr="00F42CAB">
        <w:rPr>
          <w:rFonts w:cs="Arial"/>
          <w:sz w:val="16"/>
          <w:szCs w:val="16"/>
        </w:rPr>
        <w:t xml:space="preserve"> Při hodnocení vývoje úmrtnosti podle příčin smrti je třeba sledovat také změny v klasifikaci nemocí a kódování základní příčiny smrti. V České republice je </w:t>
      </w:r>
      <w:r>
        <w:rPr>
          <w:rFonts w:cs="Arial"/>
          <w:sz w:val="16"/>
          <w:szCs w:val="16"/>
        </w:rPr>
        <w:t xml:space="preserve">od zavedení 10. revize MKN </w:t>
      </w:r>
      <w:r w:rsidRPr="00F42CAB">
        <w:rPr>
          <w:rFonts w:cs="Arial"/>
          <w:sz w:val="16"/>
          <w:szCs w:val="16"/>
        </w:rPr>
        <w:t xml:space="preserve">nejvýraznější změnou </w:t>
      </w:r>
      <w:r>
        <w:rPr>
          <w:rFonts w:cs="Arial"/>
          <w:sz w:val="16"/>
          <w:szCs w:val="16"/>
        </w:rPr>
        <w:t>implementace</w:t>
      </w:r>
      <w:r w:rsidRPr="00F42CAB">
        <w:rPr>
          <w:rFonts w:cs="Arial"/>
          <w:sz w:val="16"/>
          <w:szCs w:val="16"/>
        </w:rPr>
        <w:t xml:space="preserve"> automatizovaného systému výběru základní příčiny smrti </w:t>
      </w:r>
      <w:r>
        <w:rPr>
          <w:rFonts w:cs="Arial"/>
          <w:sz w:val="16"/>
          <w:szCs w:val="16"/>
        </w:rPr>
        <w:t>v </w:t>
      </w:r>
      <w:r w:rsidRPr="00F42CAB">
        <w:rPr>
          <w:rFonts w:cs="Arial"/>
          <w:sz w:val="16"/>
          <w:szCs w:val="16"/>
        </w:rPr>
        <w:t>ro</w:t>
      </w:r>
      <w:r>
        <w:rPr>
          <w:rFonts w:cs="Arial"/>
          <w:sz w:val="16"/>
          <w:szCs w:val="16"/>
        </w:rPr>
        <w:t>ce</w:t>
      </w:r>
      <w:r w:rsidRPr="00F42CAB">
        <w:rPr>
          <w:rFonts w:cs="Arial"/>
          <w:sz w:val="16"/>
          <w:szCs w:val="16"/>
        </w:rPr>
        <w:t xml:space="preserve"> 2011, kterému od r. 2007 předcházela další opatření na zkvalitnění statistiky příčin smrti.</w:t>
      </w:r>
    </w:p>
  </w:footnote>
  <w:footnote w:id="7">
    <w:p w:rsidR="00D055C3" w:rsidRPr="00C173CF" w:rsidRDefault="00D055C3" w:rsidP="00D912FA">
      <w:pPr>
        <w:pStyle w:val="Textpoznpodarou"/>
        <w:spacing w:after="60"/>
        <w:rPr>
          <w:rFonts w:cs="Arial"/>
          <w:i w:val="0"/>
          <w:szCs w:val="18"/>
        </w:rPr>
      </w:pPr>
      <w:r w:rsidRPr="007A0D5D">
        <w:rPr>
          <w:rStyle w:val="Znakapoznpodarou"/>
        </w:rPr>
        <w:footnoteRef/>
      </w:r>
      <w:r w:rsidRPr="007A0D5D">
        <w:t xml:space="preserve"> </w:t>
      </w:r>
      <w:r w:rsidRPr="00C173CF">
        <w:rPr>
          <w:color w:val="000000" w:themeColor="text1"/>
        </w:rPr>
        <w:t>V</w:t>
      </w:r>
      <w:r w:rsidRPr="00C173CF">
        <w:rPr>
          <w:rFonts w:cs="Arial"/>
          <w:color w:val="000000" w:themeColor="text1"/>
          <w:szCs w:val="18"/>
        </w:rPr>
        <w:t> souladu s metodikou sčítání lidu 2001 byla statistika migrace rozšířena o cizince s dlouhodobým pobytem na území ČR (na základě víz nad 90 dnů; podle</w:t>
      </w:r>
      <w:r w:rsidRPr="00C173CF">
        <w:rPr>
          <w:rFonts w:cs="Arial"/>
          <w:szCs w:val="18"/>
        </w:rPr>
        <w:t xml:space="preserve"> zákona č. 326/1999 Sb., o pobytu cizinců na ú</w:t>
      </w:r>
      <w:r>
        <w:rPr>
          <w:rFonts w:cs="Arial"/>
          <w:szCs w:val="18"/>
        </w:rPr>
        <w:t>zemí České republiky), od 1. 5. </w:t>
      </w:r>
      <w:r w:rsidRPr="00C173CF">
        <w:rPr>
          <w:rFonts w:cs="Arial"/>
          <w:szCs w:val="18"/>
        </w:rPr>
        <w:t>2004 dále o občany EU s přechodným pobytem a občany třetích zemích s dlouhodobým pobytem na území ČR (podle zákona č. 217/2002, kterým se měnil zákon č. 326/1999 Sb., o pobytu cizinců) a o cizince s přiznaným azylem (podle zákona č. 325/1999, o azylu). Údaje o stěhování cizinců ČSU přebírá z informačních zdrojů Ministerstva vnitra (ISEO) a Ředitelství služby cizinecké policie (Cizinecký informační systém). Počty udělených azylů jsou nízké.</w:t>
      </w:r>
    </w:p>
  </w:footnote>
  <w:footnote w:id="8">
    <w:p w:rsidR="00D055C3" w:rsidRPr="00BB1DA3" w:rsidRDefault="00D055C3" w:rsidP="00D912FA">
      <w:pPr>
        <w:spacing w:after="60"/>
        <w:rPr>
          <w:rFonts w:cs="Arial"/>
          <w:i/>
          <w:sz w:val="18"/>
          <w:szCs w:val="18"/>
        </w:rPr>
      </w:pPr>
      <w:r w:rsidRPr="00C173CF">
        <w:rPr>
          <w:rStyle w:val="Znakapoznpodarou"/>
          <w:rFonts w:cs="Arial"/>
          <w:i/>
          <w:sz w:val="18"/>
          <w:szCs w:val="18"/>
        </w:rPr>
        <w:footnoteRef/>
      </w:r>
      <w:r w:rsidRPr="00C173CF">
        <w:rPr>
          <w:rFonts w:cs="Arial"/>
          <w:i/>
          <w:sz w:val="18"/>
          <w:szCs w:val="18"/>
        </w:rPr>
        <w:t>Záporné saldo v</w:t>
      </w:r>
      <w:r w:rsidRPr="00C173CF">
        <w:rPr>
          <w:rFonts w:eastAsia="Calibri" w:cs="Arial"/>
          <w:i/>
          <w:sz w:val="18"/>
          <w:szCs w:val="18"/>
        </w:rPr>
        <w:t> roce 2001 lze částečně vysvětlit rozšířením definice přistěhovalého a zařazováním přistěhovalých do statistiky až po dosažení délky pobytu 1 rok (ukázalo se</w:t>
      </w:r>
      <w:r w:rsidRPr="00BB1DA3">
        <w:rPr>
          <w:rFonts w:eastAsia="Calibri" w:cs="Arial"/>
          <w:i/>
          <w:sz w:val="18"/>
          <w:szCs w:val="18"/>
        </w:rPr>
        <w:t xml:space="preserve"> však jako problematické a v dalších letech se délka pobytu neuvažovala a zařazováni byli všichni cizinci s vízem nad 90 dnů) a novým zákonem o pobytu cizinců platným od</w:t>
      </w:r>
      <w:r>
        <w:rPr>
          <w:rFonts w:eastAsia="Calibri" w:cs="Arial"/>
          <w:i/>
          <w:sz w:val="18"/>
          <w:szCs w:val="18"/>
        </w:rPr>
        <w:t> </w:t>
      </w:r>
      <w:r w:rsidRPr="00BB1DA3">
        <w:rPr>
          <w:rFonts w:eastAsia="Calibri" w:cs="Arial"/>
          <w:i/>
          <w:sz w:val="18"/>
          <w:szCs w:val="18"/>
        </w:rPr>
        <w:t>1.</w:t>
      </w:r>
      <w:r>
        <w:rPr>
          <w:rFonts w:eastAsia="Calibri" w:cs="Arial"/>
          <w:i/>
          <w:sz w:val="18"/>
          <w:szCs w:val="18"/>
        </w:rPr>
        <w:t> </w:t>
      </w:r>
      <w:r w:rsidRPr="00BB1DA3">
        <w:rPr>
          <w:rFonts w:eastAsia="Calibri" w:cs="Arial"/>
          <w:i/>
          <w:sz w:val="18"/>
          <w:szCs w:val="18"/>
        </w:rPr>
        <w:t>1</w:t>
      </w:r>
      <w:r>
        <w:rPr>
          <w:rFonts w:eastAsia="Calibri" w:cs="Arial"/>
          <w:i/>
          <w:sz w:val="18"/>
          <w:szCs w:val="18"/>
        </w:rPr>
        <w:t>. </w:t>
      </w:r>
      <w:r w:rsidRPr="00BB1DA3">
        <w:rPr>
          <w:rFonts w:eastAsia="Calibri" w:cs="Arial"/>
          <w:i/>
          <w:sz w:val="18"/>
          <w:szCs w:val="18"/>
        </w:rPr>
        <w:t>2000.</w:t>
      </w:r>
    </w:p>
  </w:footnote>
  <w:footnote w:id="9">
    <w:p w:rsidR="00D055C3" w:rsidRPr="00BB1DA3" w:rsidRDefault="00D055C3" w:rsidP="00D912FA">
      <w:pPr>
        <w:pStyle w:val="Textpoznpodarou"/>
        <w:spacing w:after="60"/>
        <w:rPr>
          <w:rFonts w:cs="Arial"/>
          <w:i w:val="0"/>
          <w:szCs w:val="18"/>
        </w:rPr>
      </w:pPr>
      <w:r w:rsidRPr="00BB1DA3">
        <w:rPr>
          <w:rStyle w:val="Znakapoznpodarou"/>
          <w:rFonts w:cs="Arial"/>
          <w:szCs w:val="18"/>
        </w:rPr>
        <w:footnoteRef/>
      </w:r>
      <w:r w:rsidRPr="00BB1DA3">
        <w:rPr>
          <w:rFonts w:cs="Arial"/>
          <w:szCs w:val="18"/>
        </w:rPr>
        <w:t>Od roku 2005 se ve statistice zahraniční migrace sleduje jen státní občanství stěhujícího se, již ne země přích</w:t>
      </w:r>
      <w:r w:rsidRPr="00BB1DA3">
        <w:rPr>
          <w:rFonts w:cs="Arial"/>
          <w:szCs w:val="18"/>
        </w:rPr>
        <w:t>o</w:t>
      </w:r>
      <w:r w:rsidRPr="00BB1DA3">
        <w:rPr>
          <w:rFonts w:cs="Arial"/>
          <w:szCs w:val="18"/>
        </w:rPr>
        <w:t>du/odchodu. Státní občanství se sleduje od roku 1995.</w:t>
      </w:r>
    </w:p>
  </w:footnote>
  <w:footnote w:id="10">
    <w:p w:rsidR="00D055C3" w:rsidRPr="00DA65EE" w:rsidRDefault="00D055C3" w:rsidP="00D912FA">
      <w:pPr>
        <w:pStyle w:val="Textpoznpodarou"/>
        <w:rPr>
          <w:rFonts w:cs="Arial"/>
          <w:i w:val="0"/>
          <w:szCs w:val="18"/>
        </w:rPr>
      </w:pPr>
      <w:r w:rsidRPr="00DA65EE">
        <w:rPr>
          <w:rStyle w:val="Znakapoznpodarou"/>
          <w:rFonts w:cs="Arial"/>
          <w:szCs w:val="18"/>
        </w:rPr>
        <w:footnoteRef/>
      </w:r>
      <w:r w:rsidRPr="00DA65EE">
        <w:rPr>
          <w:rFonts w:cs="Arial"/>
          <w:szCs w:val="18"/>
        </w:rPr>
        <w:t xml:space="preserve"> Statistika ČSÚ zahraniční migrace je zcela nepochybně ovlivněna i zdrojem dat, kdy v období 01/2009 až 06/2012 byla data o stěhování cizinců přebírána z Informačního systému evidence obyvatel, zatímco </w:t>
      </w:r>
      <w:r>
        <w:rPr>
          <w:rFonts w:cs="Arial"/>
          <w:szCs w:val="18"/>
        </w:rPr>
        <w:t>v obdobích 2001-2008 a </w:t>
      </w:r>
      <w:r w:rsidRPr="00DA65EE">
        <w:rPr>
          <w:rFonts w:cs="Arial"/>
          <w:szCs w:val="18"/>
        </w:rPr>
        <w:t xml:space="preserve">07/2012 a později z Cizineckého informačního systému ŘSCP.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5372"/>
    <w:multiLevelType w:val="multilevel"/>
    <w:tmpl w:val="0405001D"/>
    <w:styleLink w:val="Styl13"/>
    <w:lvl w:ilvl="0">
      <w:start w:val="2"/>
      <w:numFmt w:val="decimal"/>
      <w:lvlText w:val="%1)"/>
      <w:lvlJc w:val="left"/>
      <w:pPr>
        <w:ind w:left="360" w:hanging="360"/>
      </w:pPr>
    </w:lvl>
    <w:lvl w:ilvl="1">
      <w:start w:val="1"/>
      <w:numFmt w:val="lowerLetter"/>
      <w:lvlText w:val="%2)"/>
      <w:lvlJc w:val="left"/>
      <w:pPr>
        <w:ind w:left="720" w:hanging="360"/>
      </w:pPr>
      <w:rPr>
        <w:rFonts w:ascii="Arial" w:hAnsi="Arial"/>
        <w:sz w:val="3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C1664EE"/>
    <w:multiLevelType w:val="multilevel"/>
    <w:tmpl w:val="CF4E77C0"/>
    <w:styleLink w:val="Styl4"/>
    <w:lvl w:ilvl="0">
      <w:start w:val="7"/>
      <w:numFmt w:val="decimal"/>
      <w:lvlText w:val="%1."/>
      <w:lvlJc w:val="left"/>
      <w:pPr>
        <w:ind w:left="720"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nsid w:val="0CAE1A6B"/>
    <w:multiLevelType w:val="multilevel"/>
    <w:tmpl w:val="2C401CCC"/>
    <w:numStyleLink w:val="Styl8"/>
  </w:abstractNum>
  <w:abstractNum w:abstractNumId="3">
    <w:nsid w:val="0E016256"/>
    <w:multiLevelType w:val="multilevel"/>
    <w:tmpl w:val="0405001D"/>
    <w:styleLink w:val="Styl15"/>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1FE6A4E"/>
    <w:multiLevelType w:val="multilevel"/>
    <w:tmpl w:val="03D4418A"/>
    <w:lvl w:ilvl="0">
      <w:start w:val="1"/>
      <w:numFmt w:val="decimal"/>
      <w:lvlText w:val="%1."/>
      <w:lvlJc w:val="left"/>
      <w:pPr>
        <w:ind w:left="480" w:hanging="48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1660190E"/>
    <w:multiLevelType w:val="multilevel"/>
    <w:tmpl w:val="070810C0"/>
    <w:styleLink w:val="Styl2"/>
    <w:lvl w:ilvl="0">
      <w:start w:val="2"/>
      <w:numFmt w:val="decimal"/>
      <w:lvlText w:val="%1.1."/>
      <w:lvlJc w:val="left"/>
      <w:pPr>
        <w:ind w:left="567" w:hanging="567"/>
      </w:pPr>
      <w:rPr>
        <w:rFonts w:hint="default"/>
      </w:rPr>
    </w:lvl>
    <w:lvl w:ilvl="1">
      <w:start w:val="2"/>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7472F0C"/>
    <w:multiLevelType w:val="hybridMultilevel"/>
    <w:tmpl w:val="4B1E2190"/>
    <w:lvl w:ilvl="0" w:tplc="B914C9F4">
      <w:start w:val="17"/>
      <w:numFmt w:val="bullet"/>
      <w:lvlText w:val="-"/>
      <w:lvlJc w:val="left"/>
      <w:pPr>
        <w:ind w:left="1080" w:hanging="360"/>
      </w:pPr>
      <w:rPr>
        <w:rFonts w:ascii="Arial" w:eastAsia="Times New Roman" w:hAnsi="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1A5F5F7F"/>
    <w:multiLevelType w:val="hybridMultilevel"/>
    <w:tmpl w:val="9C444472"/>
    <w:lvl w:ilvl="0" w:tplc="5456EEB4">
      <w:start w:val="1"/>
      <w:numFmt w:val="decimal"/>
      <w:lvlText w:val="%1)"/>
      <w:lvlJc w:val="left"/>
      <w:pPr>
        <w:tabs>
          <w:tab w:val="num" w:pos="397"/>
        </w:tabs>
        <w:ind w:left="397" w:hanging="397"/>
      </w:pPr>
      <w:rPr>
        <w:rFonts w:ascii="Arial" w:hAnsi="Arial" w:hint="default"/>
        <w:b w:val="0"/>
        <w:i w:val="0"/>
        <w:color w:val="auto"/>
        <w:sz w:val="16"/>
      </w:rPr>
    </w:lvl>
    <w:lvl w:ilvl="1" w:tplc="530C8A14">
      <w:start w:val="10"/>
      <w:numFmt w:val="decimal"/>
      <w:lvlText w:val="%2"/>
      <w:lvlJc w:val="left"/>
      <w:pPr>
        <w:ind w:left="1440" w:hanging="360"/>
      </w:pPr>
      <w:rPr>
        <w:rFonts w:hint="default"/>
      </w:rPr>
    </w:lvl>
    <w:lvl w:ilvl="2" w:tplc="2348E64C" w:tentative="1">
      <w:start w:val="1"/>
      <w:numFmt w:val="lowerRoman"/>
      <w:lvlText w:val="%3."/>
      <w:lvlJc w:val="right"/>
      <w:pPr>
        <w:tabs>
          <w:tab w:val="num" w:pos="2160"/>
        </w:tabs>
        <w:ind w:left="2160" w:hanging="180"/>
      </w:pPr>
    </w:lvl>
    <w:lvl w:ilvl="3" w:tplc="B8D2C9F4" w:tentative="1">
      <w:start w:val="1"/>
      <w:numFmt w:val="decimal"/>
      <w:lvlText w:val="%4."/>
      <w:lvlJc w:val="left"/>
      <w:pPr>
        <w:tabs>
          <w:tab w:val="num" w:pos="2880"/>
        </w:tabs>
        <w:ind w:left="2880" w:hanging="360"/>
      </w:pPr>
    </w:lvl>
    <w:lvl w:ilvl="4" w:tplc="0B7E2BAE" w:tentative="1">
      <w:start w:val="1"/>
      <w:numFmt w:val="lowerLetter"/>
      <w:lvlText w:val="%5."/>
      <w:lvlJc w:val="left"/>
      <w:pPr>
        <w:tabs>
          <w:tab w:val="num" w:pos="3600"/>
        </w:tabs>
        <w:ind w:left="3600" w:hanging="360"/>
      </w:pPr>
    </w:lvl>
    <w:lvl w:ilvl="5" w:tplc="4062505E" w:tentative="1">
      <w:start w:val="1"/>
      <w:numFmt w:val="lowerRoman"/>
      <w:lvlText w:val="%6."/>
      <w:lvlJc w:val="right"/>
      <w:pPr>
        <w:tabs>
          <w:tab w:val="num" w:pos="4320"/>
        </w:tabs>
        <w:ind w:left="4320" w:hanging="180"/>
      </w:pPr>
    </w:lvl>
    <w:lvl w:ilvl="6" w:tplc="799E3B98" w:tentative="1">
      <w:start w:val="1"/>
      <w:numFmt w:val="decimal"/>
      <w:lvlText w:val="%7."/>
      <w:lvlJc w:val="left"/>
      <w:pPr>
        <w:tabs>
          <w:tab w:val="num" w:pos="5040"/>
        </w:tabs>
        <w:ind w:left="5040" w:hanging="360"/>
      </w:pPr>
    </w:lvl>
    <w:lvl w:ilvl="7" w:tplc="B8702D2A" w:tentative="1">
      <w:start w:val="1"/>
      <w:numFmt w:val="lowerLetter"/>
      <w:lvlText w:val="%8."/>
      <w:lvlJc w:val="left"/>
      <w:pPr>
        <w:tabs>
          <w:tab w:val="num" w:pos="5760"/>
        </w:tabs>
        <w:ind w:left="5760" w:hanging="360"/>
      </w:pPr>
    </w:lvl>
    <w:lvl w:ilvl="8" w:tplc="0DF24DBA" w:tentative="1">
      <w:start w:val="1"/>
      <w:numFmt w:val="lowerRoman"/>
      <w:lvlText w:val="%9."/>
      <w:lvlJc w:val="right"/>
      <w:pPr>
        <w:tabs>
          <w:tab w:val="num" w:pos="6480"/>
        </w:tabs>
        <w:ind w:left="6480" w:hanging="180"/>
      </w:pPr>
    </w:lvl>
  </w:abstractNum>
  <w:abstractNum w:abstractNumId="8">
    <w:nsid w:val="25630679"/>
    <w:multiLevelType w:val="multilevel"/>
    <w:tmpl w:val="2C401CCC"/>
    <w:styleLink w:val="Styl8"/>
    <w:lvl w:ilvl="0">
      <w:start w:val="8"/>
      <w:numFmt w:val="decimal"/>
      <w:lvlText w:val="%1."/>
      <w:lvlJc w:val="left"/>
      <w:pPr>
        <w:ind w:left="360"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nsid w:val="25877537"/>
    <w:multiLevelType w:val="hybridMultilevel"/>
    <w:tmpl w:val="1F1E20C6"/>
    <w:lvl w:ilvl="0" w:tplc="33EC40F4">
      <w:start w:val="1"/>
      <w:numFmt w:val="lowerLetter"/>
      <w:lvlText w:val="%1)"/>
      <w:lvlJc w:val="left"/>
      <w:pPr>
        <w:ind w:left="720" w:hanging="360"/>
      </w:pPr>
      <w:rPr>
        <w:rFonts w:hint="default"/>
      </w:rPr>
    </w:lvl>
    <w:lvl w:ilvl="1" w:tplc="B91E55B6">
      <w:start w:val="10"/>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8057E7A"/>
    <w:multiLevelType w:val="multilevel"/>
    <w:tmpl w:val="E396A5C0"/>
    <w:lvl w:ilvl="0">
      <w:start w:val="3"/>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1">
    <w:nsid w:val="28C679A8"/>
    <w:multiLevelType w:val="multilevel"/>
    <w:tmpl w:val="0405001D"/>
    <w:styleLink w:val="Styl18"/>
    <w:lvl w:ilvl="0">
      <w:start w:val="2"/>
      <w:numFmt w:val="decimal"/>
      <w:lvlText w:val="%1)"/>
      <w:lvlJc w:val="left"/>
      <w:pPr>
        <w:ind w:left="360" w:hanging="360"/>
      </w:pPr>
      <w:rPr>
        <w:rFonts w:ascii="Arial" w:hAnsi="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DE3188B"/>
    <w:multiLevelType w:val="multilevel"/>
    <w:tmpl w:val="AA760272"/>
    <w:styleLink w:val="Styl3"/>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nsid w:val="303222AE"/>
    <w:multiLevelType w:val="hybridMultilevel"/>
    <w:tmpl w:val="42E235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20932AB"/>
    <w:multiLevelType w:val="hybridMultilevel"/>
    <w:tmpl w:val="B5FAAFC0"/>
    <w:lvl w:ilvl="0" w:tplc="046287AE">
      <w:start w:val="1"/>
      <w:numFmt w:val="bullet"/>
      <w:pStyle w:val="Seznamsodrkami3"/>
      <w:lvlText w:val=""/>
      <w:lvlJc w:val="left"/>
      <w:pPr>
        <w:tabs>
          <w:tab w:val="num" w:pos="720"/>
        </w:tabs>
        <w:ind w:left="720" w:hanging="360"/>
      </w:pPr>
      <w:rPr>
        <w:rFonts w:ascii="Wingdings" w:hAnsi="Wingdings" w:hint="default"/>
      </w:rPr>
    </w:lvl>
    <w:lvl w:ilvl="1" w:tplc="9BFA5D36">
      <w:start w:val="4"/>
      <w:numFmt w:val="bullet"/>
      <w:lvlText w:val="-"/>
      <w:lvlJc w:val="left"/>
      <w:pPr>
        <w:tabs>
          <w:tab w:val="num" w:pos="1440"/>
        </w:tabs>
        <w:ind w:left="1440" w:hanging="360"/>
      </w:pPr>
      <w:rPr>
        <w:rFonts w:ascii="Times New Roman" w:eastAsia="Times New Roman" w:hAnsi="Times New Roman" w:cs="Times New Roman" w:hint="default"/>
      </w:rPr>
    </w:lvl>
    <w:lvl w:ilvl="2" w:tplc="7D10342A">
      <w:start w:val="1"/>
      <w:numFmt w:val="bullet"/>
      <w:lvlText w:val=""/>
      <w:lvlJc w:val="left"/>
      <w:pPr>
        <w:tabs>
          <w:tab w:val="num" w:pos="2160"/>
        </w:tabs>
        <w:ind w:left="2160" w:hanging="360"/>
      </w:pPr>
      <w:rPr>
        <w:rFonts w:ascii="Wingdings" w:hAnsi="Wingdings" w:hint="default"/>
      </w:rPr>
    </w:lvl>
    <w:lvl w:ilvl="3" w:tplc="7966D18A" w:tentative="1">
      <w:start w:val="1"/>
      <w:numFmt w:val="bullet"/>
      <w:lvlText w:val=""/>
      <w:lvlJc w:val="left"/>
      <w:pPr>
        <w:tabs>
          <w:tab w:val="num" w:pos="2880"/>
        </w:tabs>
        <w:ind w:left="2880" w:hanging="360"/>
      </w:pPr>
      <w:rPr>
        <w:rFonts w:ascii="Symbol" w:hAnsi="Symbol" w:hint="default"/>
      </w:rPr>
    </w:lvl>
    <w:lvl w:ilvl="4" w:tplc="3794B44A" w:tentative="1">
      <w:start w:val="1"/>
      <w:numFmt w:val="bullet"/>
      <w:lvlText w:val="o"/>
      <w:lvlJc w:val="left"/>
      <w:pPr>
        <w:tabs>
          <w:tab w:val="num" w:pos="3600"/>
        </w:tabs>
        <w:ind w:left="3600" w:hanging="360"/>
      </w:pPr>
      <w:rPr>
        <w:rFonts w:ascii="Courier New" w:hAnsi="Courier New" w:hint="default"/>
      </w:rPr>
    </w:lvl>
    <w:lvl w:ilvl="5" w:tplc="F63863A8" w:tentative="1">
      <w:start w:val="1"/>
      <w:numFmt w:val="bullet"/>
      <w:lvlText w:val=""/>
      <w:lvlJc w:val="left"/>
      <w:pPr>
        <w:tabs>
          <w:tab w:val="num" w:pos="4320"/>
        </w:tabs>
        <w:ind w:left="4320" w:hanging="360"/>
      </w:pPr>
      <w:rPr>
        <w:rFonts w:ascii="Wingdings" w:hAnsi="Wingdings" w:hint="default"/>
      </w:rPr>
    </w:lvl>
    <w:lvl w:ilvl="6" w:tplc="A184DEB2" w:tentative="1">
      <w:start w:val="1"/>
      <w:numFmt w:val="bullet"/>
      <w:lvlText w:val=""/>
      <w:lvlJc w:val="left"/>
      <w:pPr>
        <w:tabs>
          <w:tab w:val="num" w:pos="5040"/>
        </w:tabs>
        <w:ind w:left="5040" w:hanging="360"/>
      </w:pPr>
      <w:rPr>
        <w:rFonts w:ascii="Symbol" w:hAnsi="Symbol" w:hint="default"/>
      </w:rPr>
    </w:lvl>
    <w:lvl w:ilvl="7" w:tplc="D1CE61DE" w:tentative="1">
      <w:start w:val="1"/>
      <w:numFmt w:val="bullet"/>
      <w:lvlText w:val="o"/>
      <w:lvlJc w:val="left"/>
      <w:pPr>
        <w:tabs>
          <w:tab w:val="num" w:pos="5760"/>
        </w:tabs>
        <w:ind w:left="5760" w:hanging="360"/>
      </w:pPr>
      <w:rPr>
        <w:rFonts w:ascii="Courier New" w:hAnsi="Courier New" w:hint="default"/>
      </w:rPr>
    </w:lvl>
    <w:lvl w:ilvl="8" w:tplc="FADC8E74" w:tentative="1">
      <w:start w:val="1"/>
      <w:numFmt w:val="bullet"/>
      <w:lvlText w:val=""/>
      <w:lvlJc w:val="left"/>
      <w:pPr>
        <w:tabs>
          <w:tab w:val="num" w:pos="6480"/>
        </w:tabs>
        <w:ind w:left="6480" w:hanging="360"/>
      </w:pPr>
      <w:rPr>
        <w:rFonts w:ascii="Wingdings" w:hAnsi="Wingdings" w:hint="default"/>
      </w:rPr>
    </w:lvl>
  </w:abstractNum>
  <w:abstractNum w:abstractNumId="15">
    <w:nsid w:val="32355AC0"/>
    <w:multiLevelType w:val="multilevel"/>
    <w:tmpl w:val="CF4E77C0"/>
    <w:styleLink w:val="Styl6"/>
    <w:lvl w:ilvl="0">
      <w:start w:val="8"/>
      <w:numFmt w:val="decimal"/>
      <w:lvlText w:val="%1."/>
      <w:lvlJc w:val="left"/>
      <w:pPr>
        <w:ind w:left="720" w:hanging="360"/>
      </w:pPr>
      <w:rPr>
        <w:rFonts w:ascii="Arial" w:hAnsi="Arial"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nsid w:val="351C27A4"/>
    <w:multiLevelType w:val="multilevel"/>
    <w:tmpl w:val="4F0E4C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pStyle w:val="Nadpis5"/>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nsid w:val="366617A7"/>
    <w:multiLevelType w:val="hybridMultilevel"/>
    <w:tmpl w:val="1CE00E5E"/>
    <w:lvl w:ilvl="0" w:tplc="61E893EA">
      <w:start w:val="3"/>
      <w:numFmt w:val="bullet"/>
      <w:lvlText w:val="-"/>
      <w:lvlJc w:val="left"/>
      <w:pPr>
        <w:tabs>
          <w:tab w:val="num" w:pos="1068"/>
        </w:tabs>
        <w:ind w:left="1068" w:hanging="360"/>
      </w:pPr>
      <w:rPr>
        <w:rFonts w:ascii="Times New Roman" w:eastAsia="Times New Roman" w:hAnsi="Times New Roman" w:cs="Times New Roman" w:hint="default"/>
      </w:rPr>
    </w:lvl>
    <w:lvl w:ilvl="1" w:tplc="DEFE4868" w:tentative="1">
      <w:start w:val="1"/>
      <w:numFmt w:val="bullet"/>
      <w:lvlText w:val="o"/>
      <w:lvlJc w:val="left"/>
      <w:pPr>
        <w:tabs>
          <w:tab w:val="num" w:pos="1788"/>
        </w:tabs>
        <w:ind w:left="1788" w:hanging="360"/>
      </w:pPr>
      <w:rPr>
        <w:rFonts w:ascii="Courier New" w:hAnsi="Courier New" w:hint="default"/>
      </w:rPr>
    </w:lvl>
    <w:lvl w:ilvl="2" w:tplc="19762D3C" w:tentative="1">
      <w:start w:val="1"/>
      <w:numFmt w:val="bullet"/>
      <w:lvlText w:val=""/>
      <w:lvlJc w:val="left"/>
      <w:pPr>
        <w:tabs>
          <w:tab w:val="num" w:pos="2508"/>
        </w:tabs>
        <w:ind w:left="2508" w:hanging="360"/>
      </w:pPr>
      <w:rPr>
        <w:rFonts w:ascii="Wingdings" w:hAnsi="Wingdings" w:hint="default"/>
      </w:rPr>
    </w:lvl>
    <w:lvl w:ilvl="3" w:tplc="AD4601C6" w:tentative="1">
      <w:start w:val="1"/>
      <w:numFmt w:val="bullet"/>
      <w:lvlText w:val=""/>
      <w:lvlJc w:val="left"/>
      <w:pPr>
        <w:tabs>
          <w:tab w:val="num" w:pos="3228"/>
        </w:tabs>
        <w:ind w:left="3228" w:hanging="360"/>
      </w:pPr>
      <w:rPr>
        <w:rFonts w:ascii="Symbol" w:hAnsi="Symbol" w:hint="default"/>
      </w:rPr>
    </w:lvl>
    <w:lvl w:ilvl="4" w:tplc="4E708514" w:tentative="1">
      <w:start w:val="1"/>
      <w:numFmt w:val="bullet"/>
      <w:lvlText w:val="o"/>
      <w:lvlJc w:val="left"/>
      <w:pPr>
        <w:tabs>
          <w:tab w:val="num" w:pos="3948"/>
        </w:tabs>
        <w:ind w:left="3948" w:hanging="360"/>
      </w:pPr>
      <w:rPr>
        <w:rFonts w:ascii="Courier New" w:hAnsi="Courier New" w:hint="default"/>
      </w:rPr>
    </w:lvl>
    <w:lvl w:ilvl="5" w:tplc="EEFCC05E" w:tentative="1">
      <w:start w:val="1"/>
      <w:numFmt w:val="bullet"/>
      <w:lvlText w:val=""/>
      <w:lvlJc w:val="left"/>
      <w:pPr>
        <w:tabs>
          <w:tab w:val="num" w:pos="4668"/>
        </w:tabs>
        <w:ind w:left="4668" w:hanging="360"/>
      </w:pPr>
      <w:rPr>
        <w:rFonts w:ascii="Wingdings" w:hAnsi="Wingdings" w:hint="default"/>
      </w:rPr>
    </w:lvl>
    <w:lvl w:ilvl="6" w:tplc="83A4C5D2" w:tentative="1">
      <w:start w:val="1"/>
      <w:numFmt w:val="bullet"/>
      <w:lvlText w:val=""/>
      <w:lvlJc w:val="left"/>
      <w:pPr>
        <w:tabs>
          <w:tab w:val="num" w:pos="5388"/>
        </w:tabs>
        <w:ind w:left="5388" w:hanging="360"/>
      </w:pPr>
      <w:rPr>
        <w:rFonts w:ascii="Symbol" w:hAnsi="Symbol" w:hint="default"/>
      </w:rPr>
    </w:lvl>
    <w:lvl w:ilvl="7" w:tplc="99B2C240" w:tentative="1">
      <w:start w:val="1"/>
      <w:numFmt w:val="bullet"/>
      <w:lvlText w:val="o"/>
      <w:lvlJc w:val="left"/>
      <w:pPr>
        <w:tabs>
          <w:tab w:val="num" w:pos="6108"/>
        </w:tabs>
        <w:ind w:left="6108" w:hanging="360"/>
      </w:pPr>
      <w:rPr>
        <w:rFonts w:ascii="Courier New" w:hAnsi="Courier New" w:hint="default"/>
      </w:rPr>
    </w:lvl>
    <w:lvl w:ilvl="8" w:tplc="B350A714" w:tentative="1">
      <w:start w:val="1"/>
      <w:numFmt w:val="bullet"/>
      <w:lvlText w:val=""/>
      <w:lvlJc w:val="left"/>
      <w:pPr>
        <w:tabs>
          <w:tab w:val="num" w:pos="6828"/>
        </w:tabs>
        <w:ind w:left="6828" w:hanging="360"/>
      </w:pPr>
      <w:rPr>
        <w:rFonts w:ascii="Wingdings" w:hAnsi="Wingdings" w:hint="default"/>
      </w:rPr>
    </w:lvl>
  </w:abstractNum>
  <w:abstractNum w:abstractNumId="18">
    <w:nsid w:val="369D7471"/>
    <w:multiLevelType w:val="hybridMultilevel"/>
    <w:tmpl w:val="BADAED88"/>
    <w:lvl w:ilvl="0" w:tplc="4C12AC06">
      <w:start w:val="3"/>
      <w:numFmt w:val="bullet"/>
      <w:lvlText w:val="-"/>
      <w:lvlJc w:val="left"/>
      <w:pPr>
        <w:tabs>
          <w:tab w:val="num" w:pos="1068"/>
        </w:tabs>
        <w:ind w:left="1068" w:hanging="360"/>
      </w:pPr>
      <w:rPr>
        <w:rFonts w:ascii="Times New Roman" w:eastAsia="Times New Roman" w:hAnsi="Times New Roman" w:cs="Times New Roman" w:hint="default"/>
      </w:rPr>
    </w:lvl>
    <w:lvl w:ilvl="1" w:tplc="FE4C622A" w:tentative="1">
      <w:start w:val="1"/>
      <w:numFmt w:val="bullet"/>
      <w:lvlText w:val="o"/>
      <w:lvlJc w:val="left"/>
      <w:pPr>
        <w:tabs>
          <w:tab w:val="num" w:pos="1788"/>
        </w:tabs>
        <w:ind w:left="1788" w:hanging="360"/>
      </w:pPr>
      <w:rPr>
        <w:rFonts w:ascii="Courier New" w:hAnsi="Courier New" w:hint="default"/>
      </w:rPr>
    </w:lvl>
    <w:lvl w:ilvl="2" w:tplc="5EF8E9B2" w:tentative="1">
      <w:start w:val="1"/>
      <w:numFmt w:val="bullet"/>
      <w:lvlText w:val=""/>
      <w:lvlJc w:val="left"/>
      <w:pPr>
        <w:tabs>
          <w:tab w:val="num" w:pos="2508"/>
        </w:tabs>
        <w:ind w:left="2508" w:hanging="360"/>
      </w:pPr>
      <w:rPr>
        <w:rFonts w:ascii="Wingdings" w:hAnsi="Wingdings" w:hint="default"/>
      </w:rPr>
    </w:lvl>
    <w:lvl w:ilvl="3" w:tplc="035C246C" w:tentative="1">
      <w:start w:val="1"/>
      <w:numFmt w:val="bullet"/>
      <w:lvlText w:val=""/>
      <w:lvlJc w:val="left"/>
      <w:pPr>
        <w:tabs>
          <w:tab w:val="num" w:pos="3228"/>
        </w:tabs>
        <w:ind w:left="3228" w:hanging="360"/>
      </w:pPr>
      <w:rPr>
        <w:rFonts w:ascii="Symbol" w:hAnsi="Symbol" w:hint="default"/>
      </w:rPr>
    </w:lvl>
    <w:lvl w:ilvl="4" w:tplc="B70E1170" w:tentative="1">
      <w:start w:val="1"/>
      <w:numFmt w:val="bullet"/>
      <w:lvlText w:val="o"/>
      <w:lvlJc w:val="left"/>
      <w:pPr>
        <w:tabs>
          <w:tab w:val="num" w:pos="3948"/>
        </w:tabs>
        <w:ind w:left="3948" w:hanging="360"/>
      </w:pPr>
      <w:rPr>
        <w:rFonts w:ascii="Courier New" w:hAnsi="Courier New" w:hint="default"/>
      </w:rPr>
    </w:lvl>
    <w:lvl w:ilvl="5" w:tplc="5ABA1C6A" w:tentative="1">
      <w:start w:val="1"/>
      <w:numFmt w:val="bullet"/>
      <w:lvlText w:val=""/>
      <w:lvlJc w:val="left"/>
      <w:pPr>
        <w:tabs>
          <w:tab w:val="num" w:pos="4668"/>
        </w:tabs>
        <w:ind w:left="4668" w:hanging="360"/>
      </w:pPr>
      <w:rPr>
        <w:rFonts w:ascii="Wingdings" w:hAnsi="Wingdings" w:hint="default"/>
      </w:rPr>
    </w:lvl>
    <w:lvl w:ilvl="6" w:tplc="7884DEDA" w:tentative="1">
      <w:start w:val="1"/>
      <w:numFmt w:val="bullet"/>
      <w:lvlText w:val=""/>
      <w:lvlJc w:val="left"/>
      <w:pPr>
        <w:tabs>
          <w:tab w:val="num" w:pos="5388"/>
        </w:tabs>
        <w:ind w:left="5388" w:hanging="360"/>
      </w:pPr>
      <w:rPr>
        <w:rFonts w:ascii="Symbol" w:hAnsi="Symbol" w:hint="default"/>
      </w:rPr>
    </w:lvl>
    <w:lvl w:ilvl="7" w:tplc="D11E021C" w:tentative="1">
      <w:start w:val="1"/>
      <w:numFmt w:val="bullet"/>
      <w:lvlText w:val="o"/>
      <w:lvlJc w:val="left"/>
      <w:pPr>
        <w:tabs>
          <w:tab w:val="num" w:pos="6108"/>
        </w:tabs>
        <w:ind w:left="6108" w:hanging="360"/>
      </w:pPr>
      <w:rPr>
        <w:rFonts w:ascii="Courier New" w:hAnsi="Courier New" w:hint="default"/>
      </w:rPr>
    </w:lvl>
    <w:lvl w:ilvl="8" w:tplc="5D7254C0" w:tentative="1">
      <w:start w:val="1"/>
      <w:numFmt w:val="bullet"/>
      <w:lvlText w:val=""/>
      <w:lvlJc w:val="left"/>
      <w:pPr>
        <w:tabs>
          <w:tab w:val="num" w:pos="6828"/>
        </w:tabs>
        <w:ind w:left="6828" w:hanging="360"/>
      </w:pPr>
      <w:rPr>
        <w:rFonts w:ascii="Wingdings" w:hAnsi="Wingdings" w:hint="default"/>
      </w:rPr>
    </w:lvl>
  </w:abstractNum>
  <w:abstractNum w:abstractNumId="19">
    <w:nsid w:val="3BBB3039"/>
    <w:multiLevelType w:val="multilevel"/>
    <w:tmpl w:val="0405001D"/>
    <w:styleLink w:val="Styl7"/>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E1273B5"/>
    <w:multiLevelType w:val="multilevel"/>
    <w:tmpl w:val="0405001D"/>
    <w:styleLink w:val="Styl9"/>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EE1007C"/>
    <w:multiLevelType w:val="multilevel"/>
    <w:tmpl w:val="D2F22594"/>
    <w:styleLink w:val="Styl5"/>
    <w:lvl w:ilvl="0">
      <w:start w:val="7"/>
      <w:numFmt w:val="decimal"/>
      <w:lvlText w:val="%1."/>
      <w:lvlJc w:val="left"/>
      <w:pPr>
        <w:ind w:left="720" w:hanging="360"/>
      </w:pPr>
      <w:rPr>
        <w:rFonts w:ascii="Arial" w:hAnsi="Arial" w:hint="default"/>
        <w:sz w:val="28"/>
      </w:rPr>
    </w:lvl>
    <w:lvl w:ilvl="1">
      <w:start w:val="1"/>
      <w:numFmt w:val="decimal"/>
      <w:isLgl/>
      <w:lvlText w:val="%1.%2."/>
      <w:lvlJc w:val="left"/>
      <w:pPr>
        <w:ind w:left="100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nsid w:val="3F58531E"/>
    <w:multiLevelType w:val="hybridMultilevel"/>
    <w:tmpl w:val="419AFC7C"/>
    <w:lvl w:ilvl="0" w:tplc="0405000F">
      <w:start w:val="1"/>
      <w:numFmt w:val="decimal"/>
      <w:lvlText w:val="%1."/>
      <w:lvlJc w:val="left"/>
      <w:pPr>
        <w:ind w:left="68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152228F"/>
    <w:multiLevelType w:val="hybridMultilevel"/>
    <w:tmpl w:val="E5DCC5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3E605BA"/>
    <w:multiLevelType w:val="hybridMultilevel"/>
    <w:tmpl w:val="06B841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A607915"/>
    <w:multiLevelType w:val="multilevel"/>
    <w:tmpl w:val="D1261EF4"/>
    <w:lvl w:ilvl="0">
      <w:start w:val="1"/>
      <w:numFmt w:val="none"/>
      <w:lvlText w:val="1."/>
      <w:lvlJc w:val="left"/>
      <w:pPr>
        <w:ind w:left="720" w:hanging="720"/>
      </w:pPr>
      <w:rPr>
        <w:rFonts w:ascii="Arial" w:hAnsi="Arial" w:hint="default"/>
        <w:b/>
        <w:i w:val="0"/>
        <w:sz w:val="32"/>
      </w:rPr>
    </w:lvl>
    <w:lvl w:ilvl="1">
      <w:start w:val="1"/>
      <w:numFmt w:val="decimal"/>
      <w:pStyle w:val="Podtitu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nsid w:val="4D9800EE"/>
    <w:multiLevelType w:val="multilevel"/>
    <w:tmpl w:val="C6BE134C"/>
    <w:lvl w:ilvl="0">
      <w:start w:val="1"/>
      <w:numFmt w:val="decimal"/>
      <w:lvlText w:val="%1."/>
      <w:lvlJc w:val="left"/>
      <w:pPr>
        <w:ind w:left="720" w:hanging="360"/>
      </w:pPr>
      <w:rPr>
        <w:rFonts w:hint="default"/>
        <w:b w:val="0"/>
        <w:sz w:val="32"/>
        <w:szCs w:val="32"/>
      </w:rPr>
    </w:lvl>
    <w:lvl w:ilvl="1">
      <w:start w:val="1"/>
      <w:numFmt w:val="decimal"/>
      <w:pStyle w:val="Nadpis3"/>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nsid w:val="4E4E4775"/>
    <w:multiLevelType w:val="multilevel"/>
    <w:tmpl w:val="981C045E"/>
    <w:lvl w:ilvl="0">
      <w:start w:val="3"/>
      <w:numFmt w:val="decimal"/>
      <w:pStyle w:val="Dilonadpis1"/>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8">
    <w:nsid w:val="4FD31589"/>
    <w:multiLevelType w:val="multilevel"/>
    <w:tmpl w:val="DE10C832"/>
    <w:styleLink w:val="Styl16"/>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nsid w:val="51B67423"/>
    <w:multiLevelType w:val="multilevel"/>
    <w:tmpl w:val="10224122"/>
    <w:styleLink w:val="Styl14"/>
    <w:lvl w:ilvl="0">
      <w:start w:val="1"/>
      <w:numFmt w:val="upperRoman"/>
      <w:lvlText w:val="%1."/>
      <w:lvlJc w:val="right"/>
      <w:pPr>
        <w:ind w:left="862"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876" w:hanging="108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672" w:hanging="144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468" w:hanging="1800"/>
      </w:pPr>
      <w:rPr>
        <w:rFonts w:hint="default"/>
      </w:rPr>
    </w:lvl>
    <w:lvl w:ilvl="8">
      <w:start w:val="1"/>
      <w:numFmt w:val="decimal"/>
      <w:isLgl/>
      <w:lvlText w:val="%1.%2.%3.%4.%5.%6.%7.%8.%9."/>
      <w:lvlJc w:val="left"/>
      <w:pPr>
        <w:ind w:left="4046" w:hanging="2160"/>
      </w:pPr>
      <w:rPr>
        <w:rFonts w:hint="default"/>
      </w:rPr>
    </w:lvl>
  </w:abstractNum>
  <w:abstractNum w:abstractNumId="30">
    <w:nsid w:val="52E900A6"/>
    <w:multiLevelType w:val="multilevel"/>
    <w:tmpl w:val="7F1A8332"/>
    <w:styleLink w:val="Styl10"/>
    <w:lvl w:ilvl="0">
      <w:start w:val="11"/>
      <w:numFmt w:val="decimal"/>
      <w:lvlText w:val="%1."/>
      <w:lvlJc w:val="left"/>
      <w:pPr>
        <w:ind w:left="360" w:hanging="360"/>
      </w:pPr>
      <w:rPr>
        <w:rFonts w:ascii="Arial" w:hAnsi="Arial" w:hint="default"/>
        <w:b/>
        <w:sz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55E47DF"/>
    <w:multiLevelType w:val="hybridMultilevel"/>
    <w:tmpl w:val="FD207BDA"/>
    <w:lvl w:ilvl="0" w:tplc="07208F32">
      <w:start w:val="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7B46308"/>
    <w:multiLevelType w:val="multilevel"/>
    <w:tmpl w:val="CB74B57A"/>
    <w:lvl w:ilvl="0">
      <w:start w:val="1"/>
      <w:numFmt w:val="decimal"/>
      <w:lvlText w:val="%1."/>
      <w:lvlJc w:val="left"/>
      <w:pPr>
        <w:ind w:left="502" w:hanging="360"/>
      </w:pPr>
      <w:rPr>
        <w:rFonts w:hint="default"/>
        <w:b/>
        <w:sz w:val="32"/>
        <w:szCs w:val="32"/>
      </w:rPr>
    </w:lvl>
    <w:lvl w:ilvl="1">
      <w:start w:val="2"/>
      <w:numFmt w:val="decimal"/>
      <w:isLgl/>
      <w:lvlText w:val="%1.%2."/>
      <w:lvlJc w:val="left"/>
      <w:pPr>
        <w:ind w:left="1004"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3">
    <w:nsid w:val="588A6AB8"/>
    <w:multiLevelType w:val="hybridMultilevel"/>
    <w:tmpl w:val="82EE5704"/>
    <w:lvl w:ilvl="0" w:tplc="B914C9F4">
      <w:start w:val="17"/>
      <w:numFmt w:val="bullet"/>
      <w:lvlText w:val="-"/>
      <w:lvlJc w:val="left"/>
      <w:pPr>
        <w:ind w:left="360" w:hanging="360"/>
      </w:pPr>
      <w:rPr>
        <w:rFonts w:ascii="Arial" w:eastAsia="Times New Roman" w:hAnsi="Arial" w:cs="Arial" w:hint="default"/>
      </w:rPr>
    </w:lvl>
    <w:lvl w:ilvl="1" w:tplc="26B2F4F8" w:tentative="1">
      <w:start w:val="1"/>
      <w:numFmt w:val="bullet"/>
      <w:lvlText w:val="o"/>
      <w:lvlJc w:val="left"/>
      <w:pPr>
        <w:ind w:left="1080" w:hanging="360"/>
      </w:pPr>
      <w:rPr>
        <w:rFonts w:ascii="Courier New" w:hAnsi="Courier New" w:cs="Courier New" w:hint="default"/>
      </w:rPr>
    </w:lvl>
    <w:lvl w:ilvl="2" w:tplc="5410466E" w:tentative="1">
      <w:start w:val="1"/>
      <w:numFmt w:val="bullet"/>
      <w:lvlText w:val=""/>
      <w:lvlJc w:val="left"/>
      <w:pPr>
        <w:ind w:left="1800" w:hanging="360"/>
      </w:pPr>
      <w:rPr>
        <w:rFonts w:ascii="Wingdings" w:hAnsi="Wingdings" w:hint="default"/>
      </w:rPr>
    </w:lvl>
    <w:lvl w:ilvl="3" w:tplc="51AA4A20" w:tentative="1">
      <w:start w:val="1"/>
      <w:numFmt w:val="bullet"/>
      <w:lvlText w:val=""/>
      <w:lvlJc w:val="left"/>
      <w:pPr>
        <w:ind w:left="2520" w:hanging="360"/>
      </w:pPr>
      <w:rPr>
        <w:rFonts w:ascii="Symbol" w:hAnsi="Symbol" w:hint="default"/>
      </w:rPr>
    </w:lvl>
    <w:lvl w:ilvl="4" w:tplc="3A0E74AC" w:tentative="1">
      <w:start w:val="1"/>
      <w:numFmt w:val="bullet"/>
      <w:lvlText w:val="o"/>
      <w:lvlJc w:val="left"/>
      <w:pPr>
        <w:ind w:left="3240" w:hanging="360"/>
      </w:pPr>
      <w:rPr>
        <w:rFonts w:ascii="Courier New" w:hAnsi="Courier New" w:cs="Courier New" w:hint="default"/>
      </w:rPr>
    </w:lvl>
    <w:lvl w:ilvl="5" w:tplc="4AE0E53E" w:tentative="1">
      <w:start w:val="1"/>
      <w:numFmt w:val="bullet"/>
      <w:lvlText w:val=""/>
      <w:lvlJc w:val="left"/>
      <w:pPr>
        <w:ind w:left="3960" w:hanging="360"/>
      </w:pPr>
      <w:rPr>
        <w:rFonts w:ascii="Wingdings" w:hAnsi="Wingdings" w:hint="default"/>
      </w:rPr>
    </w:lvl>
    <w:lvl w:ilvl="6" w:tplc="3E10757C" w:tentative="1">
      <w:start w:val="1"/>
      <w:numFmt w:val="bullet"/>
      <w:lvlText w:val=""/>
      <w:lvlJc w:val="left"/>
      <w:pPr>
        <w:ind w:left="4680" w:hanging="360"/>
      </w:pPr>
      <w:rPr>
        <w:rFonts w:ascii="Symbol" w:hAnsi="Symbol" w:hint="default"/>
      </w:rPr>
    </w:lvl>
    <w:lvl w:ilvl="7" w:tplc="B4FCC00A" w:tentative="1">
      <w:start w:val="1"/>
      <w:numFmt w:val="bullet"/>
      <w:lvlText w:val="o"/>
      <w:lvlJc w:val="left"/>
      <w:pPr>
        <w:ind w:left="5400" w:hanging="360"/>
      </w:pPr>
      <w:rPr>
        <w:rFonts w:ascii="Courier New" w:hAnsi="Courier New" w:cs="Courier New" w:hint="default"/>
      </w:rPr>
    </w:lvl>
    <w:lvl w:ilvl="8" w:tplc="BA42299C" w:tentative="1">
      <w:start w:val="1"/>
      <w:numFmt w:val="bullet"/>
      <w:lvlText w:val=""/>
      <w:lvlJc w:val="left"/>
      <w:pPr>
        <w:ind w:left="6120" w:hanging="360"/>
      </w:pPr>
      <w:rPr>
        <w:rFonts w:ascii="Wingdings" w:hAnsi="Wingdings" w:hint="default"/>
      </w:rPr>
    </w:lvl>
  </w:abstractNum>
  <w:abstractNum w:abstractNumId="34">
    <w:nsid w:val="67945AC8"/>
    <w:multiLevelType w:val="multilevel"/>
    <w:tmpl w:val="E9DC32DE"/>
    <w:styleLink w:val="Styl11"/>
    <w:lvl w:ilvl="0">
      <w:numFmt w:val="none"/>
      <w:lvlText w:val="1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738C128D"/>
    <w:multiLevelType w:val="hybridMultilevel"/>
    <w:tmpl w:val="DBE6BD38"/>
    <w:lvl w:ilvl="0" w:tplc="04050005">
      <w:start w:val="2"/>
      <w:numFmt w:val="bullet"/>
      <w:pStyle w:val="odrkyzlevaodsazeno0"/>
      <w:lvlText w:val="-"/>
      <w:lvlJc w:val="left"/>
      <w:pPr>
        <w:ind w:left="720" w:hanging="360"/>
      </w:pPr>
      <w:rPr>
        <w:rFonts w:ascii="Arial" w:eastAsia="Calibri" w:hAnsi="Arial" w:cs="Aria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6">
    <w:nsid w:val="789B2EEE"/>
    <w:multiLevelType w:val="multilevel"/>
    <w:tmpl w:val="DEF6302C"/>
    <w:styleLink w:val="Styl12"/>
    <w:lvl w:ilvl="0">
      <w:start w:val="1"/>
      <w:numFmt w:val="decimal"/>
      <w:lvlText w:val="%11.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7FBD4E99"/>
    <w:multiLevelType w:val="multilevel"/>
    <w:tmpl w:val="24B4949A"/>
    <w:lvl w:ilvl="0">
      <w:start w:val="3"/>
      <w:numFmt w:val="decimal"/>
      <w:lvlText w:val="%1."/>
      <w:lvlJc w:val="left"/>
      <w:pPr>
        <w:ind w:left="480" w:hanging="48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num w:numId="1">
    <w:abstractNumId w:val="7"/>
  </w:num>
  <w:num w:numId="2">
    <w:abstractNumId w:val="35"/>
  </w:num>
  <w:num w:numId="3">
    <w:abstractNumId w:val="14"/>
  </w:num>
  <w:num w:numId="4">
    <w:abstractNumId w:val="17"/>
  </w:num>
  <w:num w:numId="5">
    <w:abstractNumId w:val="18"/>
  </w:num>
  <w:num w:numId="6">
    <w:abstractNumId w:val="9"/>
  </w:num>
  <w:num w:numId="7">
    <w:abstractNumId w:val="33"/>
  </w:num>
  <w:num w:numId="8">
    <w:abstractNumId w:val="5"/>
  </w:num>
  <w:num w:numId="9">
    <w:abstractNumId w:val="12"/>
  </w:num>
  <w:num w:numId="10">
    <w:abstractNumId w:val="1"/>
  </w:num>
  <w:num w:numId="11">
    <w:abstractNumId w:val="21"/>
  </w:num>
  <w:num w:numId="12">
    <w:abstractNumId w:val="15"/>
  </w:num>
  <w:num w:numId="13">
    <w:abstractNumId w:val="19"/>
  </w:num>
  <w:num w:numId="14">
    <w:abstractNumId w:val="2"/>
  </w:num>
  <w:num w:numId="15">
    <w:abstractNumId w:val="8"/>
  </w:num>
  <w:num w:numId="16">
    <w:abstractNumId w:val="20"/>
  </w:num>
  <w:num w:numId="17">
    <w:abstractNumId w:val="30"/>
  </w:num>
  <w:num w:numId="18">
    <w:abstractNumId w:val="34"/>
  </w:num>
  <w:num w:numId="19">
    <w:abstractNumId w:val="36"/>
  </w:num>
  <w:num w:numId="20">
    <w:abstractNumId w:val="0"/>
  </w:num>
  <w:num w:numId="21">
    <w:abstractNumId w:val="29"/>
  </w:num>
  <w:num w:numId="22">
    <w:abstractNumId w:val="3"/>
  </w:num>
  <w:num w:numId="23">
    <w:abstractNumId w:val="25"/>
  </w:num>
  <w:num w:numId="24">
    <w:abstractNumId w:val="28"/>
  </w:num>
  <w:num w:numId="25">
    <w:abstractNumId w:val="11"/>
  </w:num>
  <w:num w:numId="26">
    <w:abstractNumId w:val="32"/>
  </w:num>
  <w:num w:numId="27">
    <w:abstractNumId w:val="16"/>
  </w:num>
  <w:num w:numId="28">
    <w:abstractNumId w:val="24"/>
  </w:num>
  <w:num w:numId="29">
    <w:abstractNumId w:val="22"/>
  </w:num>
  <w:num w:numId="30">
    <w:abstractNumId w:val="13"/>
  </w:num>
  <w:num w:numId="31">
    <w:abstractNumId w:val="4"/>
  </w:num>
  <w:num w:numId="32">
    <w:abstractNumId w:val="26"/>
  </w:num>
  <w:num w:numId="33">
    <w:abstractNumId w:val="32"/>
    <w:lvlOverride w:ilvl="0">
      <w:startOverride w:val="3"/>
    </w:lvlOverride>
    <w:lvlOverride w:ilvl="1">
      <w:startOverride w:val="1"/>
    </w:lvlOverride>
  </w:num>
  <w:num w:numId="34">
    <w:abstractNumId w:val="32"/>
    <w:lvlOverride w:ilvl="0">
      <w:startOverride w:val="4"/>
    </w:lvlOverride>
    <w:lvlOverride w:ilvl="1">
      <w:startOverride w:val="1"/>
    </w:lvlOverride>
  </w:num>
  <w:num w:numId="35">
    <w:abstractNumId w:val="32"/>
    <w:lvlOverride w:ilvl="0">
      <w:startOverride w:val="5"/>
    </w:lvlOverride>
    <w:lvlOverride w:ilvl="1">
      <w:startOverride w:val="1"/>
    </w:lvlOverride>
  </w:num>
  <w:num w:numId="36">
    <w:abstractNumId w:val="32"/>
    <w:lvlOverride w:ilvl="0">
      <w:startOverride w:val="6"/>
    </w:lvlOverride>
    <w:lvlOverride w:ilvl="1">
      <w:startOverride w:val="1"/>
    </w:lvlOverride>
  </w:num>
  <w:num w:numId="37">
    <w:abstractNumId w:val="32"/>
    <w:lvlOverride w:ilvl="0">
      <w:startOverride w:val="9"/>
    </w:lvlOverride>
    <w:lvlOverride w:ilvl="1">
      <w:startOverride w:val="1"/>
    </w:lvlOverride>
  </w:num>
  <w:num w:numId="38">
    <w:abstractNumId w:val="32"/>
    <w:lvlOverride w:ilvl="0">
      <w:startOverride w:val="13"/>
    </w:lvlOverride>
    <w:lvlOverride w:ilvl="1">
      <w:startOverride w:val="1"/>
    </w:lvlOverride>
  </w:num>
  <w:num w:numId="39">
    <w:abstractNumId w:val="32"/>
    <w:lvlOverride w:ilvl="0">
      <w:startOverride w:val="15"/>
    </w:lvlOverride>
    <w:lvlOverride w:ilvl="1">
      <w:startOverride w:val="1"/>
    </w:lvlOverride>
  </w:num>
  <w:num w:numId="40">
    <w:abstractNumId w:val="23"/>
  </w:num>
  <w:num w:numId="41">
    <w:abstractNumId w:val="31"/>
  </w:num>
  <w:num w:numId="42">
    <w:abstractNumId w:val="6"/>
  </w:num>
  <w:num w:numId="43">
    <w:abstractNumId w:val="32"/>
    <w:lvlOverride w:ilvl="0">
      <w:startOverride w:val="1"/>
    </w:lvlOverride>
    <w:lvlOverride w:ilvl="1">
      <w:startOverride w:val="1"/>
    </w:lvlOverride>
  </w:num>
  <w:num w:numId="44">
    <w:abstractNumId w:val="32"/>
    <w:lvlOverride w:ilvl="0">
      <w:startOverride w:val="10"/>
    </w:lvlOverride>
    <w:lvlOverride w:ilvl="1">
      <w:startOverride w:val="1"/>
    </w:lvlOverride>
  </w:num>
  <w:num w:numId="45">
    <w:abstractNumId w:val="32"/>
    <w:lvlOverride w:ilvl="0">
      <w:startOverride w:val="11"/>
    </w:lvlOverride>
    <w:lvlOverride w:ilvl="1">
      <w:startOverride w:val="1"/>
    </w:lvlOverride>
  </w:num>
  <w:num w:numId="46">
    <w:abstractNumId w:val="27"/>
  </w:num>
  <w:num w:numId="47">
    <w:abstractNumId w:val="37"/>
  </w:num>
  <w:num w:numId="48">
    <w:abstractNumId w:val="1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autoHyphenation/>
  <w:hyphenationZone w:val="425"/>
  <w:drawingGridHorizontalSpacing w:val="110"/>
  <w:displayHorizontalDrawingGridEvery w:val="2"/>
  <w:noPunctuationKerning/>
  <w:characterSpacingControl w:val="doNotCompress"/>
  <w:hdrShapeDefaults>
    <o:shapedefaults v:ext="edit" spidmax="17612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7D6C"/>
    <w:rsid w:val="00001106"/>
    <w:rsid w:val="0000141F"/>
    <w:rsid w:val="000020B7"/>
    <w:rsid w:val="0000307A"/>
    <w:rsid w:val="0000337E"/>
    <w:rsid w:val="000038B4"/>
    <w:rsid w:val="00005508"/>
    <w:rsid w:val="0001570D"/>
    <w:rsid w:val="00017076"/>
    <w:rsid w:val="000204F9"/>
    <w:rsid w:val="000271AB"/>
    <w:rsid w:val="000277C5"/>
    <w:rsid w:val="000325B5"/>
    <w:rsid w:val="00035B9A"/>
    <w:rsid w:val="00037E13"/>
    <w:rsid w:val="00043751"/>
    <w:rsid w:val="00043FB9"/>
    <w:rsid w:val="00045912"/>
    <w:rsid w:val="00045B2E"/>
    <w:rsid w:val="00052602"/>
    <w:rsid w:val="0005263E"/>
    <w:rsid w:val="00052BEF"/>
    <w:rsid w:val="000565D6"/>
    <w:rsid w:val="000602ED"/>
    <w:rsid w:val="00061298"/>
    <w:rsid w:val="00061E01"/>
    <w:rsid w:val="000623EF"/>
    <w:rsid w:val="00064260"/>
    <w:rsid w:val="00070EC3"/>
    <w:rsid w:val="00072E6D"/>
    <w:rsid w:val="000752F4"/>
    <w:rsid w:val="00076FB4"/>
    <w:rsid w:val="00077BA7"/>
    <w:rsid w:val="00080EA1"/>
    <w:rsid w:val="00083612"/>
    <w:rsid w:val="00084534"/>
    <w:rsid w:val="00086668"/>
    <w:rsid w:val="000928DB"/>
    <w:rsid w:val="00092C19"/>
    <w:rsid w:val="00094255"/>
    <w:rsid w:val="000950F8"/>
    <w:rsid w:val="00095921"/>
    <w:rsid w:val="00095A45"/>
    <w:rsid w:val="00096A9F"/>
    <w:rsid w:val="00097093"/>
    <w:rsid w:val="000A028C"/>
    <w:rsid w:val="000A04A6"/>
    <w:rsid w:val="000A0863"/>
    <w:rsid w:val="000A27C7"/>
    <w:rsid w:val="000A3839"/>
    <w:rsid w:val="000A7B7E"/>
    <w:rsid w:val="000B0E27"/>
    <w:rsid w:val="000B2742"/>
    <w:rsid w:val="000B2F55"/>
    <w:rsid w:val="000B4A54"/>
    <w:rsid w:val="000B7632"/>
    <w:rsid w:val="000C3274"/>
    <w:rsid w:val="000C4E2D"/>
    <w:rsid w:val="000C6D69"/>
    <w:rsid w:val="000C6E81"/>
    <w:rsid w:val="000C73FB"/>
    <w:rsid w:val="000D11A9"/>
    <w:rsid w:val="000D2CD7"/>
    <w:rsid w:val="000D312D"/>
    <w:rsid w:val="000D45EF"/>
    <w:rsid w:val="000D55BE"/>
    <w:rsid w:val="000D6A89"/>
    <w:rsid w:val="000E39B9"/>
    <w:rsid w:val="000E3E20"/>
    <w:rsid w:val="000E449D"/>
    <w:rsid w:val="000E525A"/>
    <w:rsid w:val="000E68E7"/>
    <w:rsid w:val="000E6995"/>
    <w:rsid w:val="000F0492"/>
    <w:rsid w:val="000F051C"/>
    <w:rsid w:val="000F0705"/>
    <w:rsid w:val="000F0968"/>
    <w:rsid w:val="00102F39"/>
    <w:rsid w:val="00103B54"/>
    <w:rsid w:val="00103CF6"/>
    <w:rsid w:val="00105EF5"/>
    <w:rsid w:val="00110DCF"/>
    <w:rsid w:val="00112A2F"/>
    <w:rsid w:val="001154CD"/>
    <w:rsid w:val="001154EA"/>
    <w:rsid w:val="00116B03"/>
    <w:rsid w:val="00117C59"/>
    <w:rsid w:val="00120F34"/>
    <w:rsid w:val="0012397A"/>
    <w:rsid w:val="001239B3"/>
    <w:rsid w:val="001242C1"/>
    <w:rsid w:val="0013222D"/>
    <w:rsid w:val="00135B2F"/>
    <w:rsid w:val="00135C2B"/>
    <w:rsid w:val="001404EF"/>
    <w:rsid w:val="00140EBA"/>
    <w:rsid w:val="00143192"/>
    <w:rsid w:val="00143825"/>
    <w:rsid w:val="00143F9D"/>
    <w:rsid w:val="00146F9D"/>
    <w:rsid w:val="00153388"/>
    <w:rsid w:val="00155F1F"/>
    <w:rsid w:val="00160022"/>
    <w:rsid w:val="001600C3"/>
    <w:rsid w:val="00161CBC"/>
    <w:rsid w:val="00163E5B"/>
    <w:rsid w:val="00164387"/>
    <w:rsid w:val="001664BB"/>
    <w:rsid w:val="00167EB9"/>
    <w:rsid w:val="00167F78"/>
    <w:rsid w:val="00170D18"/>
    <w:rsid w:val="001719E5"/>
    <w:rsid w:val="00175702"/>
    <w:rsid w:val="00176EDB"/>
    <w:rsid w:val="0018038C"/>
    <w:rsid w:val="00185E58"/>
    <w:rsid w:val="001868E9"/>
    <w:rsid w:val="00193514"/>
    <w:rsid w:val="001972BA"/>
    <w:rsid w:val="001A031F"/>
    <w:rsid w:val="001A1A05"/>
    <w:rsid w:val="001A1D59"/>
    <w:rsid w:val="001A58C5"/>
    <w:rsid w:val="001A5B6D"/>
    <w:rsid w:val="001B3D79"/>
    <w:rsid w:val="001B55BB"/>
    <w:rsid w:val="001B7ED8"/>
    <w:rsid w:val="001C4F18"/>
    <w:rsid w:val="001C71A0"/>
    <w:rsid w:val="001D1270"/>
    <w:rsid w:val="001D2BEA"/>
    <w:rsid w:val="001E0EB0"/>
    <w:rsid w:val="001E18A8"/>
    <w:rsid w:val="001E2B1E"/>
    <w:rsid w:val="001E3C17"/>
    <w:rsid w:val="001E52EC"/>
    <w:rsid w:val="001E660F"/>
    <w:rsid w:val="001E67E6"/>
    <w:rsid w:val="001E6A30"/>
    <w:rsid w:val="001F003D"/>
    <w:rsid w:val="001F12E8"/>
    <w:rsid w:val="001F519D"/>
    <w:rsid w:val="001F5768"/>
    <w:rsid w:val="001F6B70"/>
    <w:rsid w:val="001F71BA"/>
    <w:rsid w:val="001F724C"/>
    <w:rsid w:val="002003C2"/>
    <w:rsid w:val="00202DD0"/>
    <w:rsid w:val="002032AD"/>
    <w:rsid w:val="0020380C"/>
    <w:rsid w:val="00204179"/>
    <w:rsid w:val="00206078"/>
    <w:rsid w:val="00207AEC"/>
    <w:rsid w:val="0021071C"/>
    <w:rsid w:val="00211E64"/>
    <w:rsid w:val="002135DF"/>
    <w:rsid w:val="00214EC2"/>
    <w:rsid w:val="0021577F"/>
    <w:rsid w:val="00217BE5"/>
    <w:rsid w:val="002205D0"/>
    <w:rsid w:val="00221438"/>
    <w:rsid w:val="002223F9"/>
    <w:rsid w:val="002228B7"/>
    <w:rsid w:val="00224BFA"/>
    <w:rsid w:val="00225E22"/>
    <w:rsid w:val="002311FE"/>
    <w:rsid w:val="00231F90"/>
    <w:rsid w:val="00237F88"/>
    <w:rsid w:val="00240BF3"/>
    <w:rsid w:val="00240CEA"/>
    <w:rsid w:val="002416EF"/>
    <w:rsid w:val="00241D60"/>
    <w:rsid w:val="00244BD3"/>
    <w:rsid w:val="00246A1F"/>
    <w:rsid w:val="0025009E"/>
    <w:rsid w:val="0025176B"/>
    <w:rsid w:val="002518C4"/>
    <w:rsid w:val="002538EE"/>
    <w:rsid w:val="0025450E"/>
    <w:rsid w:val="002619FA"/>
    <w:rsid w:val="00262DF0"/>
    <w:rsid w:val="00263209"/>
    <w:rsid w:val="0026395F"/>
    <w:rsid w:val="00270E5A"/>
    <w:rsid w:val="00272452"/>
    <w:rsid w:val="0027247F"/>
    <w:rsid w:val="00277A0E"/>
    <w:rsid w:val="00280B3D"/>
    <w:rsid w:val="00281FD6"/>
    <w:rsid w:val="00283AF8"/>
    <w:rsid w:val="0028500B"/>
    <w:rsid w:val="00285A5B"/>
    <w:rsid w:val="002861A9"/>
    <w:rsid w:val="00286EC5"/>
    <w:rsid w:val="0029106B"/>
    <w:rsid w:val="00291788"/>
    <w:rsid w:val="00295E32"/>
    <w:rsid w:val="002A0A83"/>
    <w:rsid w:val="002A18C0"/>
    <w:rsid w:val="002A30BE"/>
    <w:rsid w:val="002A6910"/>
    <w:rsid w:val="002A6B48"/>
    <w:rsid w:val="002B1145"/>
    <w:rsid w:val="002B21BC"/>
    <w:rsid w:val="002B299E"/>
    <w:rsid w:val="002B2B9F"/>
    <w:rsid w:val="002B4087"/>
    <w:rsid w:val="002B4317"/>
    <w:rsid w:val="002B4390"/>
    <w:rsid w:val="002B5506"/>
    <w:rsid w:val="002B61CE"/>
    <w:rsid w:val="002B6BF8"/>
    <w:rsid w:val="002C18C5"/>
    <w:rsid w:val="002C1D44"/>
    <w:rsid w:val="002C1F3D"/>
    <w:rsid w:val="002C2DE4"/>
    <w:rsid w:val="002C5797"/>
    <w:rsid w:val="002C7E55"/>
    <w:rsid w:val="002D30D0"/>
    <w:rsid w:val="002D32DA"/>
    <w:rsid w:val="002D4B27"/>
    <w:rsid w:val="002D7A4E"/>
    <w:rsid w:val="002E02C6"/>
    <w:rsid w:val="002E272A"/>
    <w:rsid w:val="002E2B31"/>
    <w:rsid w:val="002E2BD1"/>
    <w:rsid w:val="002E4032"/>
    <w:rsid w:val="002E7AF0"/>
    <w:rsid w:val="002F086B"/>
    <w:rsid w:val="002F175F"/>
    <w:rsid w:val="002F29A3"/>
    <w:rsid w:val="002F2F8A"/>
    <w:rsid w:val="002F30DA"/>
    <w:rsid w:val="002F4E29"/>
    <w:rsid w:val="002F5448"/>
    <w:rsid w:val="002F5CF5"/>
    <w:rsid w:val="002F63C6"/>
    <w:rsid w:val="002F7AF4"/>
    <w:rsid w:val="00300889"/>
    <w:rsid w:val="003022B4"/>
    <w:rsid w:val="0030354A"/>
    <w:rsid w:val="00303B53"/>
    <w:rsid w:val="003074A0"/>
    <w:rsid w:val="00310F90"/>
    <w:rsid w:val="00312A7B"/>
    <w:rsid w:val="003132ED"/>
    <w:rsid w:val="00314DE5"/>
    <w:rsid w:val="00316FAF"/>
    <w:rsid w:val="00322530"/>
    <w:rsid w:val="003228B7"/>
    <w:rsid w:val="003231B1"/>
    <w:rsid w:val="00324A19"/>
    <w:rsid w:val="00325D67"/>
    <w:rsid w:val="00326A51"/>
    <w:rsid w:val="0033086D"/>
    <w:rsid w:val="00331F6F"/>
    <w:rsid w:val="003322CA"/>
    <w:rsid w:val="00332D21"/>
    <w:rsid w:val="00334268"/>
    <w:rsid w:val="003342E7"/>
    <w:rsid w:val="003359DC"/>
    <w:rsid w:val="00335B71"/>
    <w:rsid w:val="00336431"/>
    <w:rsid w:val="00342FC9"/>
    <w:rsid w:val="00343A64"/>
    <w:rsid w:val="003456C3"/>
    <w:rsid w:val="0034718E"/>
    <w:rsid w:val="003513E0"/>
    <w:rsid w:val="0035627B"/>
    <w:rsid w:val="00356542"/>
    <w:rsid w:val="00357E44"/>
    <w:rsid w:val="00361700"/>
    <w:rsid w:val="00361943"/>
    <w:rsid w:val="00363508"/>
    <w:rsid w:val="00363C27"/>
    <w:rsid w:val="003647DC"/>
    <w:rsid w:val="0037087B"/>
    <w:rsid w:val="0037144F"/>
    <w:rsid w:val="00373BE8"/>
    <w:rsid w:val="00374095"/>
    <w:rsid w:val="00377601"/>
    <w:rsid w:val="0038146A"/>
    <w:rsid w:val="00386C30"/>
    <w:rsid w:val="00386C4A"/>
    <w:rsid w:val="0039014E"/>
    <w:rsid w:val="00390A69"/>
    <w:rsid w:val="00390BCE"/>
    <w:rsid w:val="00391208"/>
    <w:rsid w:val="003912AD"/>
    <w:rsid w:val="00391B20"/>
    <w:rsid w:val="00391FA6"/>
    <w:rsid w:val="003967EA"/>
    <w:rsid w:val="00396E70"/>
    <w:rsid w:val="00396EDB"/>
    <w:rsid w:val="00397C6C"/>
    <w:rsid w:val="003A0DC2"/>
    <w:rsid w:val="003A1694"/>
    <w:rsid w:val="003A3586"/>
    <w:rsid w:val="003A3808"/>
    <w:rsid w:val="003A3A3D"/>
    <w:rsid w:val="003A6A00"/>
    <w:rsid w:val="003A7B42"/>
    <w:rsid w:val="003B0292"/>
    <w:rsid w:val="003B03EE"/>
    <w:rsid w:val="003B4641"/>
    <w:rsid w:val="003C0EA8"/>
    <w:rsid w:val="003C5ADA"/>
    <w:rsid w:val="003C5F53"/>
    <w:rsid w:val="003C665B"/>
    <w:rsid w:val="003D7D12"/>
    <w:rsid w:val="003E6409"/>
    <w:rsid w:val="003F0F14"/>
    <w:rsid w:val="003F1949"/>
    <w:rsid w:val="003F1D27"/>
    <w:rsid w:val="003F7978"/>
    <w:rsid w:val="003F7FB1"/>
    <w:rsid w:val="00401A37"/>
    <w:rsid w:val="00402FD0"/>
    <w:rsid w:val="004039E2"/>
    <w:rsid w:val="00405755"/>
    <w:rsid w:val="00405D02"/>
    <w:rsid w:val="00410BBC"/>
    <w:rsid w:val="00415538"/>
    <w:rsid w:val="00416AE7"/>
    <w:rsid w:val="00416C9D"/>
    <w:rsid w:val="00417DC1"/>
    <w:rsid w:val="00423A30"/>
    <w:rsid w:val="004243C7"/>
    <w:rsid w:val="00427F1E"/>
    <w:rsid w:val="00432A2F"/>
    <w:rsid w:val="0043341E"/>
    <w:rsid w:val="0043393C"/>
    <w:rsid w:val="00434D35"/>
    <w:rsid w:val="00435A58"/>
    <w:rsid w:val="004376D1"/>
    <w:rsid w:val="00437979"/>
    <w:rsid w:val="00437C46"/>
    <w:rsid w:val="0044158F"/>
    <w:rsid w:val="00441ACA"/>
    <w:rsid w:val="00442454"/>
    <w:rsid w:val="004457B5"/>
    <w:rsid w:val="00445DEF"/>
    <w:rsid w:val="004471FA"/>
    <w:rsid w:val="00452700"/>
    <w:rsid w:val="00453073"/>
    <w:rsid w:val="00453D49"/>
    <w:rsid w:val="00455146"/>
    <w:rsid w:val="004561FF"/>
    <w:rsid w:val="00460C80"/>
    <w:rsid w:val="00462422"/>
    <w:rsid w:val="004627EE"/>
    <w:rsid w:val="004637CB"/>
    <w:rsid w:val="00465C3F"/>
    <w:rsid w:val="00467221"/>
    <w:rsid w:val="00467420"/>
    <w:rsid w:val="004708E0"/>
    <w:rsid w:val="00473C74"/>
    <w:rsid w:val="004763C6"/>
    <w:rsid w:val="00477299"/>
    <w:rsid w:val="00477ED2"/>
    <w:rsid w:val="00480A20"/>
    <w:rsid w:val="00483515"/>
    <w:rsid w:val="004859DF"/>
    <w:rsid w:val="00485FDE"/>
    <w:rsid w:val="004875F4"/>
    <w:rsid w:val="00487BC7"/>
    <w:rsid w:val="0049103B"/>
    <w:rsid w:val="0049127F"/>
    <w:rsid w:val="0049164B"/>
    <w:rsid w:val="00492B70"/>
    <w:rsid w:val="00496DB9"/>
    <w:rsid w:val="004A0179"/>
    <w:rsid w:val="004A5521"/>
    <w:rsid w:val="004A6C50"/>
    <w:rsid w:val="004A7C11"/>
    <w:rsid w:val="004A7D4E"/>
    <w:rsid w:val="004B2479"/>
    <w:rsid w:val="004B2C7F"/>
    <w:rsid w:val="004B4F8D"/>
    <w:rsid w:val="004B5B82"/>
    <w:rsid w:val="004B65CF"/>
    <w:rsid w:val="004B70F4"/>
    <w:rsid w:val="004C15A2"/>
    <w:rsid w:val="004C26A2"/>
    <w:rsid w:val="004C3D2C"/>
    <w:rsid w:val="004C472E"/>
    <w:rsid w:val="004D05AC"/>
    <w:rsid w:val="004D11DC"/>
    <w:rsid w:val="004D14AA"/>
    <w:rsid w:val="004D3DC1"/>
    <w:rsid w:val="004D46E6"/>
    <w:rsid w:val="004D7BB7"/>
    <w:rsid w:val="004E4CC7"/>
    <w:rsid w:val="004E60E7"/>
    <w:rsid w:val="004F004E"/>
    <w:rsid w:val="004F13C6"/>
    <w:rsid w:val="004F1401"/>
    <w:rsid w:val="004F21A3"/>
    <w:rsid w:val="004F31B0"/>
    <w:rsid w:val="004F5027"/>
    <w:rsid w:val="004F5F1B"/>
    <w:rsid w:val="004F66D9"/>
    <w:rsid w:val="004F6980"/>
    <w:rsid w:val="00500473"/>
    <w:rsid w:val="005014E0"/>
    <w:rsid w:val="005018E6"/>
    <w:rsid w:val="005027C5"/>
    <w:rsid w:val="00505084"/>
    <w:rsid w:val="00506111"/>
    <w:rsid w:val="005123E5"/>
    <w:rsid w:val="00513233"/>
    <w:rsid w:val="00515501"/>
    <w:rsid w:val="005155A7"/>
    <w:rsid w:val="00517E12"/>
    <w:rsid w:val="00517FA8"/>
    <w:rsid w:val="00522702"/>
    <w:rsid w:val="00523BF0"/>
    <w:rsid w:val="00526E5C"/>
    <w:rsid w:val="00530C1B"/>
    <w:rsid w:val="00530CBE"/>
    <w:rsid w:val="00533F76"/>
    <w:rsid w:val="00534B2F"/>
    <w:rsid w:val="005364DB"/>
    <w:rsid w:val="00541047"/>
    <w:rsid w:val="005412ED"/>
    <w:rsid w:val="005413B5"/>
    <w:rsid w:val="0054592C"/>
    <w:rsid w:val="00545B5C"/>
    <w:rsid w:val="005513EF"/>
    <w:rsid w:val="005535F3"/>
    <w:rsid w:val="00554F54"/>
    <w:rsid w:val="005609B4"/>
    <w:rsid w:val="00561119"/>
    <w:rsid w:val="00563169"/>
    <w:rsid w:val="0056378C"/>
    <w:rsid w:val="005662A0"/>
    <w:rsid w:val="005675DB"/>
    <w:rsid w:val="00567DFC"/>
    <w:rsid w:val="00572410"/>
    <w:rsid w:val="00572741"/>
    <w:rsid w:val="00572AEC"/>
    <w:rsid w:val="00572C51"/>
    <w:rsid w:val="005748D9"/>
    <w:rsid w:val="0058007C"/>
    <w:rsid w:val="00581183"/>
    <w:rsid w:val="00581C3B"/>
    <w:rsid w:val="00583120"/>
    <w:rsid w:val="00585ADB"/>
    <w:rsid w:val="00586C59"/>
    <w:rsid w:val="00591FAB"/>
    <w:rsid w:val="0059270C"/>
    <w:rsid w:val="00594105"/>
    <w:rsid w:val="005A60E0"/>
    <w:rsid w:val="005B0568"/>
    <w:rsid w:val="005B0955"/>
    <w:rsid w:val="005B1745"/>
    <w:rsid w:val="005B4223"/>
    <w:rsid w:val="005B60E8"/>
    <w:rsid w:val="005C1D3A"/>
    <w:rsid w:val="005C26B7"/>
    <w:rsid w:val="005C4C1C"/>
    <w:rsid w:val="005C4FF0"/>
    <w:rsid w:val="005C6054"/>
    <w:rsid w:val="005C61B6"/>
    <w:rsid w:val="005C655B"/>
    <w:rsid w:val="005C6747"/>
    <w:rsid w:val="005D184D"/>
    <w:rsid w:val="005D1EFD"/>
    <w:rsid w:val="005D20ED"/>
    <w:rsid w:val="005D33E2"/>
    <w:rsid w:val="005D4291"/>
    <w:rsid w:val="005D623D"/>
    <w:rsid w:val="005D683D"/>
    <w:rsid w:val="005E0BE1"/>
    <w:rsid w:val="005F01B4"/>
    <w:rsid w:val="005F1930"/>
    <w:rsid w:val="005F3166"/>
    <w:rsid w:val="005F3652"/>
    <w:rsid w:val="005F5683"/>
    <w:rsid w:val="005F5B2D"/>
    <w:rsid w:val="005F600D"/>
    <w:rsid w:val="00600041"/>
    <w:rsid w:val="006022A0"/>
    <w:rsid w:val="006027A7"/>
    <w:rsid w:val="00602B8F"/>
    <w:rsid w:val="00610DBA"/>
    <w:rsid w:val="00613682"/>
    <w:rsid w:val="00615F00"/>
    <w:rsid w:val="0061677D"/>
    <w:rsid w:val="00616843"/>
    <w:rsid w:val="00616966"/>
    <w:rsid w:val="00617043"/>
    <w:rsid w:val="006210F3"/>
    <w:rsid w:val="00622398"/>
    <w:rsid w:val="006238C1"/>
    <w:rsid w:val="0062687D"/>
    <w:rsid w:val="00626D81"/>
    <w:rsid w:val="00631791"/>
    <w:rsid w:val="0063240D"/>
    <w:rsid w:val="00632E94"/>
    <w:rsid w:val="00633264"/>
    <w:rsid w:val="00637145"/>
    <w:rsid w:val="00641B36"/>
    <w:rsid w:val="0064250E"/>
    <w:rsid w:val="00643B3C"/>
    <w:rsid w:val="00646E82"/>
    <w:rsid w:val="00650A13"/>
    <w:rsid w:val="00651796"/>
    <w:rsid w:val="00652FE2"/>
    <w:rsid w:val="006538EC"/>
    <w:rsid w:val="006544B4"/>
    <w:rsid w:val="00655908"/>
    <w:rsid w:val="00655E12"/>
    <w:rsid w:val="0065793B"/>
    <w:rsid w:val="00661D75"/>
    <w:rsid w:val="0066255D"/>
    <w:rsid w:val="00662F08"/>
    <w:rsid w:val="00663406"/>
    <w:rsid w:val="00663C4A"/>
    <w:rsid w:val="00664139"/>
    <w:rsid w:val="00666EF8"/>
    <w:rsid w:val="00667D6C"/>
    <w:rsid w:val="006706FF"/>
    <w:rsid w:val="006734E1"/>
    <w:rsid w:val="006768F6"/>
    <w:rsid w:val="00677ABF"/>
    <w:rsid w:val="006812B5"/>
    <w:rsid w:val="00687020"/>
    <w:rsid w:val="006907D9"/>
    <w:rsid w:val="006948CC"/>
    <w:rsid w:val="006949BF"/>
    <w:rsid w:val="00696285"/>
    <w:rsid w:val="006976B8"/>
    <w:rsid w:val="006A0A08"/>
    <w:rsid w:val="006A0BAB"/>
    <w:rsid w:val="006A23E6"/>
    <w:rsid w:val="006A2BF9"/>
    <w:rsid w:val="006A3346"/>
    <w:rsid w:val="006A7457"/>
    <w:rsid w:val="006B0D14"/>
    <w:rsid w:val="006B7610"/>
    <w:rsid w:val="006C1BFA"/>
    <w:rsid w:val="006C5955"/>
    <w:rsid w:val="006C5F63"/>
    <w:rsid w:val="006C632C"/>
    <w:rsid w:val="006C6892"/>
    <w:rsid w:val="006D1EA5"/>
    <w:rsid w:val="006D39B0"/>
    <w:rsid w:val="006D3E55"/>
    <w:rsid w:val="006D57DB"/>
    <w:rsid w:val="006D5B64"/>
    <w:rsid w:val="006D7C57"/>
    <w:rsid w:val="006E1508"/>
    <w:rsid w:val="006E3AFE"/>
    <w:rsid w:val="006E4DC9"/>
    <w:rsid w:val="006E50FB"/>
    <w:rsid w:val="006F1FD3"/>
    <w:rsid w:val="006F2AB9"/>
    <w:rsid w:val="006F2C17"/>
    <w:rsid w:val="006F32E5"/>
    <w:rsid w:val="006F360C"/>
    <w:rsid w:val="006F6331"/>
    <w:rsid w:val="006F6B54"/>
    <w:rsid w:val="006F7033"/>
    <w:rsid w:val="0070077D"/>
    <w:rsid w:val="00703456"/>
    <w:rsid w:val="00703BFA"/>
    <w:rsid w:val="00705291"/>
    <w:rsid w:val="00706051"/>
    <w:rsid w:val="00707689"/>
    <w:rsid w:val="00710166"/>
    <w:rsid w:val="00712D80"/>
    <w:rsid w:val="00713052"/>
    <w:rsid w:val="00717500"/>
    <w:rsid w:val="007200D3"/>
    <w:rsid w:val="00722127"/>
    <w:rsid w:val="00723431"/>
    <w:rsid w:val="007236A5"/>
    <w:rsid w:val="00725A9A"/>
    <w:rsid w:val="00731B18"/>
    <w:rsid w:val="00731FBA"/>
    <w:rsid w:val="00732A15"/>
    <w:rsid w:val="00732D01"/>
    <w:rsid w:val="00732F3C"/>
    <w:rsid w:val="00734216"/>
    <w:rsid w:val="0073515D"/>
    <w:rsid w:val="00737684"/>
    <w:rsid w:val="00741F5A"/>
    <w:rsid w:val="00742879"/>
    <w:rsid w:val="00742DE1"/>
    <w:rsid w:val="00743BAF"/>
    <w:rsid w:val="00744F63"/>
    <w:rsid w:val="00746AC9"/>
    <w:rsid w:val="007475DB"/>
    <w:rsid w:val="007505CD"/>
    <w:rsid w:val="0075306C"/>
    <w:rsid w:val="0075311A"/>
    <w:rsid w:val="00754629"/>
    <w:rsid w:val="007552A1"/>
    <w:rsid w:val="007552BF"/>
    <w:rsid w:val="00755DAF"/>
    <w:rsid w:val="00757AF1"/>
    <w:rsid w:val="007604F1"/>
    <w:rsid w:val="00760CE6"/>
    <w:rsid w:val="007625A9"/>
    <w:rsid w:val="007625F7"/>
    <w:rsid w:val="0076469C"/>
    <w:rsid w:val="00766540"/>
    <w:rsid w:val="007668A7"/>
    <w:rsid w:val="00766F29"/>
    <w:rsid w:val="007670FE"/>
    <w:rsid w:val="00767CC5"/>
    <w:rsid w:val="00771B70"/>
    <w:rsid w:val="00771ECD"/>
    <w:rsid w:val="0077322B"/>
    <w:rsid w:val="00780396"/>
    <w:rsid w:val="00780634"/>
    <w:rsid w:val="00781C23"/>
    <w:rsid w:val="00783360"/>
    <w:rsid w:val="00797297"/>
    <w:rsid w:val="007A12C1"/>
    <w:rsid w:val="007A196F"/>
    <w:rsid w:val="007A3EDE"/>
    <w:rsid w:val="007B04D0"/>
    <w:rsid w:val="007B2C10"/>
    <w:rsid w:val="007B439E"/>
    <w:rsid w:val="007B6BA9"/>
    <w:rsid w:val="007C1EA9"/>
    <w:rsid w:val="007C1F91"/>
    <w:rsid w:val="007C25A7"/>
    <w:rsid w:val="007C2E61"/>
    <w:rsid w:val="007C51E0"/>
    <w:rsid w:val="007C5BE3"/>
    <w:rsid w:val="007D243B"/>
    <w:rsid w:val="007D6211"/>
    <w:rsid w:val="007D7C1B"/>
    <w:rsid w:val="007E16B0"/>
    <w:rsid w:val="007F4159"/>
    <w:rsid w:val="007F43EB"/>
    <w:rsid w:val="007F4EEC"/>
    <w:rsid w:val="007F69DC"/>
    <w:rsid w:val="007F6EBD"/>
    <w:rsid w:val="0080127B"/>
    <w:rsid w:val="00801C57"/>
    <w:rsid w:val="00804543"/>
    <w:rsid w:val="00806098"/>
    <w:rsid w:val="008062FE"/>
    <w:rsid w:val="0081224A"/>
    <w:rsid w:val="008140BF"/>
    <w:rsid w:val="00815638"/>
    <w:rsid w:val="008161F7"/>
    <w:rsid w:val="00816D46"/>
    <w:rsid w:val="008173FD"/>
    <w:rsid w:val="008209EE"/>
    <w:rsid w:val="00820F25"/>
    <w:rsid w:val="0082303F"/>
    <w:rsid w:val="00825D11"/>
    <w:rsid w:val="008262A5"/>
    <w:rsid w:val="0082671E"/>
    <w:rsid w:val="008278FC"/>
    <w:rsid w:val="00830717"/>
    <w:rsid w:val="008308A4"/>
    <w:rsid w:val="00831159"/>
    <w:rsid w:val="008338BF"/>
    <w:rsid w:val="00835171"/>
    <w:rsid w:val="008357F1"/>
    <w:rsid w:val="00836399"/>
    <w:rsid w:val="00842B9E"/>
    <w:rsid w:val="00845BA9"/>
    <w:rsid w:val="00852693"/>
    <w:rsid w:val="00853361"/>
    <w:rsid w:val="0085397F"/>
    <w:rsid w:val="00854F50"/>
    <w:rsid w:val="00855589"/>
    <w:rsid w:val="00855CFC"/>
    <w:rsid w:val="008570F8"/>
    <w:rsid w:val="00861299"/>
    <w:rsid w:val="008648D7"/>
    <w:rsid w:val="00867469"/>
    <w:rsid w:val="00870F2F"/>
    <w:rsid w:val="008761B5"/>
    <w:rsid w:val="00876CFE"/>
    <w:rsid w:val="00877C30"/>
    <w:rsid w:val="00881A7D"/>
    <w:rsid w:val="00881E0C"/>
    <w:rsid w:val="00885D49"/>
    <w:rsid w:val="00885EB3"/>
    <w:rsid w:val="00891188"/>
    <w:rsid w:val="008942CB"/>
    <w:rsid w:val="008953D2"/>
    <w:rsid w:val="008967CB"/>
    <w:rsid w:val="00897553"/>
    <w:rsid w:val="008A1E7A"/>
    <w:rsid w:val="008A1E92"/>
    <w:rsid w:val="008A2011"/>
    <w:rsid w:val="008A4144"/>
    <w:rsid w:val="008A538C"/>
    <w:rsid w:val="008A723C"/>
    <w:rsid w:val="008B0FB0"/>
    <w:rsid w:val="008B2F02"/>
    <w:rsid w:val="008B47A5"/>
    <w:rsid w:val="008B499B"/>
    <w:rsid w:val="008B54B2"/>
    <w:rsid w:val="008B5551"/>
    <w:rsid w:val="008C0466"/>
    <w:rsid w:val="008C15F0"/>
    <w:rsid w:val="008C34BC"/>
    <w:rsid w:val="008C4643"/>
    <w:rsid w:val="008C5359"/>
    <w:rsid w:val="008C5437"/>
    <w:rsid w:val="008C6C2C"/>
    <w:rsid w:val="008D1659"/>
    <w:rsid w:val="008D226D"/>
    <w:rsid w:val="008D3C30"/>
    <w:rsid w:val="008D4293"/>
    <w:rsid w:val="008D5AB3"/>
    <w:rsid w:val="008D5CBA"/>
    <w:rsid w:val="008E119F"/>
    <w:rsid w:val="008E28C8"/>
    <w:rsid w:val="008E37B2"/>
    <w:rsid w:val="008E5605"/>
    <w:rsid w:val="008E5979"/>
    <w:rsid w:val="008E68C8"/>
    <w:rsid w:val="008F4A1C"/>
    <w:rsid w:val="008F623D"/>
    <w:rsid w:val="00900B1D"/>
    <w:rsid w:val="00902C3D"/>
    <w:rsid w:val="00902E01"/>
    <w:rsid w:val="00911085"/>
    <w:rsid w:val="0091172B"/>
    <w:rsid w:val="009137F4"/>
    <w:rsid w:val="00921D5D"/>
    <w:rsid w:val="00923902"/>
    <w:rsid w:val="0092499F"/>
    <w:rsid w:val="00924D67"/>
    <w:rsid w:val="00925DA8"/>
    <w:rsid w:val="00926E82"/>
    <w:rsid w:val="00927F72"/>
    <w:rsid w:val="009358FD"/>
    <w:rsid w:val="00937505"/>
    <w:rsid w:val="00937761"/>
    <w:rsid w:val="00937C52"/>
    <w:rsid w:val="00940248"/>
    <w:rsid w:val="009432C0"/>
    <w:rsid w:val="0094564C"/>
    <w:rsid w:val="00946985"/>
    <w:rsid w:val="00954615"/>
    <w:rsid w:val="009554C4"/>
    <w:rsid w:val="00955ADD"/>
    <w:rsid w:val="00956230"/>
    <w:rsid w:val="00957860"/>
    <w:rsid w:val="00962804"/>
    <w:rsid w:val="00963F1A"/>
    <w:rsid w:val="00964043"/>
    <w:rsid w:val="00964EA0"/>
    <w:rsid w:val="00965C4E"/>
    <w:rsid w:val="009669AE"/>
    <w:rsid w:val="009708FE"/>
    <w:rsid w:val="00972085"/>
    <w:rsid w:val="00974752"/>
    <w:rsid w:val="00981D62"/>
    <w:rsid w:val="009869F9"/>
    <w:rsid w:val="009909ED"/>
    <w:rsid w:val="00991106"/>
    <w:rsid w:val="009928E6"/>
    <w:rsid w:val="00993520"/>
    <w:rsid w:val="00994F6E"/>
    <w:rsid w:val="00995B12"/>
    <w:rsid w:val="0099749F"/>
    <w:rsid w:val="009A4269"/>
    <w:rsid w:val="009A487A"/>
    <w:rsid w:val="009B0387"/>
    <w:rsid w:val="009B0843"/>
    <w:rsid w:val="009B1D86"/>
    <w:rsid w:val="009B3110"/>
    <w:rsid w:val="009B375A"/>
    <w:rsid w:val="009B3820"/>
    <w:rsid w:val="009B4D0E"/>
    <w:rsid w:val="009B638F"/>
    <w:rsid w:val="009C0C50"/>
    <w:rsid w:val="009C1C31"/>
    <w:rsid w:val="009C2268"/>
    <w:rsid w:val="009C373D"/>
    <w:rsid w:val="009C4B97"/>
    <w:rsid w:val="009D0488"/>
    <w:rsid w:val="009D06D1"/>
    <w:rsid w:val="009D1069"/>
    <w:rsid w:val="009D1B17"/>
    <w:rsid w:val="009D5C53"/>
    <w:rsid w:val="009E2909"/>
    <w:rsid w:val="009E403F"/>
    <w:rsid w:val="009E59A3"/>
    <w:rsid w:val="009E5F48"/>
    <w:rsid w:val="009E7787"/>
    <w:rsid w:val="009F4051"/>
    <w:rsid w:val="009F41CA"/>
    <w:rsid w:val="009F4642"/>
    <w:rsid w:val="009F7F2C"/>
    <w:rsid w:val="00A00C9C"/>
    <w:rsid w:val="00A01D9B"/>
    <w:rsid w:val="00A06370"/>
    <w:rsid w:val="00A0789D"/>
    <w:rsid w:val="00A162D6"/>
    <w:rsid w:val="00A16C33"/>
    <w:rsid w:val="00A202EA"/>
    <w:rsid w:val="00A2160C"/>
    <w:rsid w:val="00A2202B"/>
    <w:rsid w:val="00A247B1"/>
    <w:rsid w:val="00A275F5"/>
    <w:rsid w:val="00A3201A"/>
    <w:rsid w:val="00A323AA"/>
    <w:rsid w:val="00A3241E"/>
    <w:rsid w:val="00A34712"/>
    <w:rsid w:val="00A3514D"/>
    <w:rsid w:val="00A37E9E"/>
    <w:rsid w:val="00A420B8"/>
    <w:rsid w:val="00A42F85"/>
    <w:rsid w:val="00A432B5"/>
    <w:rsid w:val="00A43E80"/>
    <w:rsid w:val="00A508DC"/>
    <w:rsid w:val="00A53049"/>
    <w:rsid w:val="00A53678"/>
    <w:rsid w:val="00A53AF7"/>
    <w:rsid w:val="00A54572"/>
    <w:rsid w:val="00A6058E"/>
    <w:rsid w:val="00A606F5"/>
    <w:rsid w:val="00A617BC"/>
    <w:rsid w:val="00A67758"/>
    <w:rsid w:val="00A67766"/>
    <w:rsid w:val="00A75094"/>
    <w:rsid w:val="00A75F6F"/>
    <w:rsid w:val="00A76207"/>
    <w:rsid w:val="00A80BEC"/>
    <w:rsid w:val="00A819ED"/>
    <w:rsid w:val="00A81E26"/>
    <w:rsid w:val="00A83B72"/>
    <w:rsid w:val="00A8520C"/>
    <w:rsid w:val="00A87CF3"/>
    <w:rsid w:val="00A87EF6"/>
    <w:rsid w:val="00A90B64"/>
    <w:rsid w:val="00A92AFF"/>
    <w:rsid w:val="00A95619"/>
    <w:rsid w:val="00A9639F"/>
    <w:rsid w:val="00A965C4"/>
    <w:rsid w:val="00A96EA8"/>
    <w:rsid w:val="00A97DD9"/>
    <w:rsid w:val="00AA194B"/>
    <w:rsid w:val="00AA3148"/>
    <w:rsid w:val="00AB0B1B"/>
    <w:rsid w:val="00AB1A9D"/>
    <w:rsid w:val="00AB2200"/>
    <w:rsid w:val="00AB7E41"/>
    <w:rsid w:val="00AC0AD6"/>
    <w:rsid w:val="00AC12C6"/>
    <w:rsid w:val="00AC4671"/>
    <w:rsid w:val="00AC5846"/>
    <w:rsid w:val="00AC6863"/>
    <w:rsid w:val="00AC74BF"/>
    <w:rsid w:val="00AD07A7"/>
    <w:rsid w:val="00AD0B69"/>
    <w:rsid w:val="00AD1340"/>
    <w:rsid w:val="00AD148E"/>
    <w:rsid w:val="00AD1B18"/>
    <w:rsid w:val="00AD3167"/>
    <w:rsid w:val="00AD4568"/>
    <w:rsid w:val="00AD605E"/>
    <w:rsid w:val="00AD6B28"/>
    <w:rsid w:val="00AD7AC4"/>
    <w:rsid w:val="00AE0267"/>
    <w:rsid w:val="00AE047B"/>
    <w:rsid w:val="00AE151D"/>
    <w:rsid w:val="00AE23FC"/>
    <w:rsid w:val="00AE280A"/>
    <w:rsid w:val="00AE31D0"/>
    <w:rsid w:val="00AE5C40"/>
    <w:rsid w:val="00AE61F3"/>
    <w:rsid w:val="00AE66C3"/>
    <w:rsid w:val="00AE7C4B"/>
    <w:rsid w:val="00AF4404"/>
    <w:rsid w:val="00AF542A"/>
    <w:rsid w:val="00B01460"/>
    <w:rsid w:val="00B01773"/>
    <w:rsid w:val="00B01EE5"/>
    <w:rsid w:val="00B053B4"/>
    <w:rsid w:val="00B0586D"/>
    <w:rsid w:val="00B065FC"/>
    <w:rsid w:val="00B06DE2"/>
    <w:rsid w:val="00B11812"/>
    <w:rsid w:val="00B15A93"/>
    <w:rsid w:val="00B15E3A"/>
    <w:rsid w:val="00B16CA1"/>
    <w:rsid w:val="00B20CCF"/>
    <w:rsid w:val="00B2268F"/>
    <w:rsid w:val="00B26E83"/>
    <w:rsid w:val="00B3156F"/>
    <w:rsid w:val="00B3327E"/>
    <w:rsid w:val="00B34E93"/>
    <w:rsid w:val="00B41191"/>
    <w:rsid w:val="00B41D45"/>
    <w:rsid w:val="00B42DB2"/>
    <w:rsid w:val="00B43325"/>
    <w:rsid w:val="00B44D6C"/>
    <w:rsid w:val="00B45498"/>
    <w:rsid w:val="00B46D8E"/>
    <w:rsid w:val="00B47ABA"/>
    <w:rsid w:val="00B51B1F"/>
    <w:rsid w:val="00B5221B"/>
    <w:rsid w:val="00B546CF"/>
    <w:rsid w:val="00B556A1"/>
    <w:rsid w:val="00B567BE"/>
    <w:rsid w:val="00B576AA"/>
    <w:rsid w:val="00B57AEB"/>
    <w:rsid w:val="00B604A7"/>
    <w:rsid w:val="00B60AC7"/>
    <w:rsid w:val="00B62044"/>
    <w:rsid w:val="00B65C12"/>
    <w:rsid w:val="00B660D6"/>
    <w:rsid w:val="00B66650"/>
    <w:rsid w:val="00B67737"/>
    <w:rsid w:val="00B7656D"/>
    <w:rsid w:val="00B7680F"/>
    <w:rsid w:val="00B80502"/>
    <w:rsid w:val="00B80567"/>
    <w:rsid w:val="00B81070"/>
    <w:rsid w:val="00B81095"/>
    <w:rsid w:val="00B823EB"/>
    <w:rsid w:val="00B875EE"/>
    <w:rsid w:val="00B925A6"/>
    <w:rsid w:val="00B9401C"/>
    <w:rsid w:val="00BA03EB"/>
    <w:rsid w:val="00BA1309"/>
    <w:rsid w:val="00BA1616"/>
    <w:rsid w:val="00BA2227"/>
    <w:rsid w:val="00BA2C39"/>
    <w:rsid w:val="00BA3924"/>
    <w:rsid w:val="00BA621E"/>
    <w:rsid w:val="00BB2042"/>
    <w:rsid w:val="00BC0BCA"/>
    <w:rsid w:val="00BC42A6"/>
    <w:rsid w:val="00BC608B"/>
    <w:rsid w:val="00BD6811"/>
    <w:rsid w:val="00BE14D7"/>
    <w:rsid w:val="00BE2574"/>
    <w:rsid w:val="00BE328C"/>
    <w:rsid w:val="00BE52B2"/>
    <w:rsid w:val="00BE576A"/>
    <w:rsid w:val="00BE6A70"/>
    <w:rsid w:val="00BE7AB3"/>
    <w:rsid w:val="00BF1FDB"/>
    <w:rsid w:val="00BF2C3C"/>
    <w:rsid w:val="00BF5063"/>
    <w:rsid w:val="00C00640"/>
    <w:rsid w:val="00C00C3C"/>
    <w:rsid w:val="00C029E2"/>
    <w:rsid w:val="00C02B5F"/>
    <w:rsid w:val="00C04AF8"/>
    <w:rsid w:val="00C05083"/>
    <w:rsid w:val="00C052E4"/>
    <w:rsid w:val="00C0635E"/>
    <w:rsid w:val="00C07396"/>
    <w:rsid w:val="00C125E8"/>
    <w:rsid w:val="00C149C5"/>
    <w:rsid w:val="00C1712E"/>
    <w:rsid w:val="00C173CF"/>
    <w:rsid w:val="00C202CE"/>
    <w:rsid w:val="00C20569"/>
    <w:rsid w:val="00C2237E"/>
    <w:rsid w:val="00C23ECB"/>
    <w:rsid w:val="00C24208"/>
    <w:rsid w:val="00C24253"/>
    <w:rsid w:val="00C30910"/>
    <w:rsid w:val="00C32B2A"/>
    <w:rsid w:val="00C336B7"/>
    <w:rsid w:val="00C33947"/>
    <w:rsid w:val="00C34CC0"/>
    <w:rsid w:val="00C42605"/>
    <w:rsid w:val="00C450B5"/>
    <w:rsid w:val="00C47F68"/>
    <w:rsid w:val="00C55868"/>
    <w:rsid w:val="00C6134F"/>
    <w:rsid w:val="00C626A9"/>
    <w:rsid w:val="00C62D58"/>
    <w:rsid w:val="00C66521"/>
    <w:rsid w:val="00C72C64"/>
    <w:rsid w:val="00C731B1"/>
    <w:rsid w:val="00C731FB"/>
    <w:rsid w:val="00C75AA9"/>
    <w:rsid w:val="00C75C25"/>
    <w:rsid w:val="00C801A2"/>
    <w:rsid w:val="00C808CC"/>
    <w:rsid w:val="00C812AF"/>
    <w:rsid w:val="00C84497"/>
    <w:rsid w:val="00C84685"/>
    <w:rsid w:val="00C909D5"/>
    <w:rsid w:val="00C9207B"/>
    <w:rsid w:val="00C931F1"/>
    <w:rsid w:val="00C933A9"/>
    <w:rsid w:val="00C940A6"/>
    <w:rsid w:val="00C95B83"/>
    <w:rsid w:val="00C961EE"/>
    <w:rsid w:val="00CA0AD7"/>
    <w:rsid w:val="00CA2187"/>
    <w:rsid w:val="00CA2AD0"/>
    <w:rsid w:val="00CA3676"/>
    <w:rsid w:val="00CA7084"/>
    <w:rsid w:val="00CB1844"/>
    <w:rsid w:val="00CB377B"/>
    <w:rsid w:val="00CB509C"/>
    <w:rsid w:val="00CB609F"/>
    <w:rsid w:val="00CC17F6"/>
    <w:rsid w:val="00CC3A15"/>
    <w:rsid w:val="00CC3FC4"/>
    <w:rsid w:val="00CC4C95"/>
    <w:rsid w:val="00CC5E50"/>
    <w:rsid w:val="00CC6D89"/>
    <w:rsid w:val="00CC7477"/>
    <w:rsid w:val="00CD12C7"/>
    <w:rsid w:val="00CD15F2"/>
    <w:rsid w:val="00CD26A3"/>
    <w:rsid w:val="00CD282C"/>
    <w:rsid w:val="00CD6AAC"/>
    <w:rsid w:val="00CE051F"/>
    <w:rsid w:val="00CE0785"/>
    <w:rsid w:val="00CE0AA5"/>
    <w:rsid w:val="00CE3A95"/>
    <w:rsid w:val="00CE3C28"/>
    <w:rsid w:val="00CE5753"/>
    <w:rsid w:val="00CE5810"/>
    <w:rsid w:val="00CE6493"/>
    <w:rsid w:val="00CF081E"/>
    <w:rsid w:val="00CF1385"/>
    <w:rsid w:val="00CF4D5B"/>
    <w:rsid w:val="00CF661A"/>
    <w:rsid w:val="00D01676"/>
    <w:rsid w:val="00D01B4B"/>
    <w:rsid w:val="00D055C3"/>
    <w:rsid w:val="00D06732"/>
    <w:rsid w:val="00D07B21"/>
    <w:rsid w:val="00D07D61"/>
    <w:rsid w:val="00D1306A"/>
    <w:rsid w:val="00D15268"/>
    <w:rsid w:val="00D16856"/>
    <w:rsid w:val="00D22528"/>
    <w:rsid w:val="00D237C9"/>
    <w:rsid w:val="00D24757"/>
    <w:rsid w:val="00D25955"/>
    <w:rsid w:val="00D26259"/>
    <w:rsid w:val="00D30B32"/>
    <w:rsid w:val="00D341A3"/>
    <w:rsid w:val="00D423B3"/>
    <w:rsid w:val="00D4269E"/>
    <w:rsid w:val="00D440CB"/>
    <w:rsid w:val="00D46399"/>
    <w:rsid w:val="00D509C1"/>
    <w:rsid w:val="00D52425"/>
    <w:rsid w:val="00D5267A"/>
    <w:rsid w:val="00D52E59"/>
    <w:rsid w:val="00D54C6F"/>
    <w:rsid w:val="00D57AF7"/>
    <w:rsid w:val="00D61D64"/>
    <w:rsid w:val="00D63378"/>
    <w:rsid w:val="00D66B79"/>
    <w:rsid w:val="00D678D5"/>
    <w:rsid w:val="00D72A61"/>
    <w:rsid w:val="00D82C68"/>
    <w:rsid w:val="00D85ED7"/>
    <w:rsid w:val="00D86F34"/>
    <w:rsid w:val="00D8737C"/>
    <w:rsid w:val="00D873EF"/>
    <w:rsid w:val="00D90066"/>
    <w:rsid w:val="00D906DD"/>
    <w:rsid w:val="00D90DE9"/>
    <w:rsid w:val="00D912FA"/>
    <w:rsid w:val="00D925BC"/>
    <w:rsid w:val="00D92993"/>
    <w:rsid w:val="00D93588"/>
    <w:rsid w:val="00D93D1C"/>
    <w:rsid w:val="00D961D2"/>
    <w:rsid w:val="00D96A64"/>
    <w:rsid w:val="00DA1E8E"/>
    <w:rsid w:val="00DA5169"/>
    <w:rsid w:val="00DA5385"/>
    <w:rsid w:val="00DA7346"/>
    <w:rsid w:val="00DB0475"/>
    <w:rsid w:val="00DB0826"/>
    <w:rsid w:val="00DB4FC3"/>
    <w:rsid w:val="00DB5C48"/>
    <w:rsid w:val="00DB6941"/>
    <w:rsid w:val="00DB7C03"/>
    <w:rsid w:val="00DB7DD0"/>
    <w:rsid w:val="00DC4A93"/>
    <w:rsid w:val="00DC6715"/>
    <w:rsid w:val="00DC7501"/>
    <w:rsid w:val="00DD0D45"/>
    <w:rsid w:val="00DD1157"/>
    <w:rsid w:val="00DD1556"/>
    <w:rsid w:val="00DD4180"/>
    <w:rsid w:val="00DD53DB"/>
    <w:rsid w:val="00DD54E0"/>
    <w:rsid w:val="00DD6747"/>
    <w:rsid w:val="00DD6C7F"/>
    <w:rsid w:val="00DE04BC"/>
    <w:rsid w:val="00DE69B0"/>
    <w:rsid w:val="00DE7F5C"/>
    <w:rsid w:val="00DF1420"/>
    <w:rsid w:val="00DF23D5"/>
    <w:rsid w:val="00DF2A9C"/>
    <w:rsid w:val="00DF3C1C"/>
    <w:rsid w:val="00DF6785"/>
    <w:rsid w:val="00DF6C16"/>
    <w:rsid w:val="00E03A12"/>
    <w:rsid w:val="00E05493"/>
    <w:rsid w:val="00E11326"/>
    <w:rsid w:val="00E116A6"/>
    <w:rsid w:val="00E1186C"/>
    <w:rsid w:val="00E125AB"/>
    <w:rsid w:val="00E13B65"/>
    <w:rsid w:val="00E20310"/>
    <w:rsid w:val="00E21B24"/>
    <w:rsid w:val="00E21D3F"/>
    <w:rsid w:val="00E24374"/>
    <w:rsid w:val="00E244B6"/>
    <w:rsid w:val="00E276DC"/>
    <w:rsid w:val="00E31348"/>
    <w:rsid w:val="00E32211"/>
    <w:rsid w:val="00E33CD8"/>
    <w:rsid w:val="00E429A3"/>
    <w:rsid w:val="00E52256"/>
    <w:rsid w:val="00E52787"/>
    <w:rsid w:val="00E538D4"/>
    <w:rsid w:val="00E544D9"/>
    <w:rsid w:val="00E546E1"/>
    <w:rsid w:val="00E56695"/>
    <w:rsid w:val="00E57315"/>
    <w:rsid w:val="00E57B95"/>
    <w:rsid w:val="00E60852"/>
    <w:rsid w:val="00E62194"/>
    <w:rsid w:val="00E66BF9"/>
    <w:rsid w:val="00E70BEA"/>
    <w:rsid w:val="00E71B74"/>
    <w:rsid w:val="00E72EB9"/>
    <w:rsid w:val="00E76164"/>
    <w:rsid w:val="00E76D78"/>
    <w:rsid w:val="00E76F7D"/>
    <w:rsid w:val="00E77036"/>
    <w:rsid w:val="00E77900"/>
    <w:rsid w:val="00E82969"/>
    <w:rsid w:val="00E82F19"/>
    <w:rsid w:val="00E84725"/>
    <w:rsid w:val="00E87820"/>
    <w:rsid w:val="00E903C5"/>
    <w:rsid w:val="00E90825"/>
    <w:rsid w:val="00E9082C"/>
    <w:rsid w:val="00E9275B"/>
    <w:rsid w:val="00E92EA5"/>
    <w:rsid w:val="00E946DF"/>
    <w:rsid w:val="00E97043"/>
    <w:rsid w:val="00EA387F"/>
    <w:rsid w:val="00EA5FB2"/>
    <w:rsid w:val="00EA7526"/>
    <w:rsid w:val="00EB22BF"/>
    <w:rsid w:val="00EB24A8"/>
    <w:rsid w:val="00EB2F21"/>
    <w:rsid w:val="00EB48F8"/>
    <w:rsid w:val="00EB4AD9"/>
    <w:rsid w:val="00EB4BD4"/>
    <w:rsid w:val="00EC2823"/>
    <w:rsid w:val="00EC4A7D"/>
    <w:rsid w:val="00EC4ECE"/>
    <w:rsid w:val="00EC7BFD"/>
    <w:rsid w:val="00ED6658"/>
    <w:rsid w:val="00ED6DE0"/>
    <w:rsid w:val="00EE01D8"/>
    <w:rsid w:val="00EE0B09"/>
    <w:rsid w:val="00EE1D47"/>
    <w:rsid w:val="00EE2C7C"/>
    <w:rsid w:val="00EE6C11"/>
    <w:rsid w:val="00EF0C32"/>
    <w:rsid w:val="00EF105C"/>
    <w:rsid w:val="00EF2C1D"/>
    <w:rsid w:val="00EF3710"/>
    <w:rsid w:val="00EF39E5"/>
    <w:rsid w:val="00EF4CF3"/>
    <w:rsid w:val="00EF63AB"/>
    <w:rsid w:val="00EF777C"/>
    <w:rsid w:val="00F0047F"/>
    <w:rsid w:val="00F02F5E"/>
    <w:rsid w:val="00F041A4"/>
    <w:rsid w:val="00F0565F"/>
    <w:rsid w:val="00F079E7"/>
    <w:rsid w:val="00F13D2E"/>
    <w:rsid w:val="00F1639C"/>
    <w:rsid w:val="00F166F6"/>
    <w:rsid w:val="00F16BDF"/>
    <w:rsid w:val="00F1778E"/>
    <w:rsid w:val="00F2160F"/>
    <w:rsid w:val="00F246D1"/>
    <w:rsid w:val="00F247E5"/>
    <w:rsid w:val="00F26470"/>
    <w:rsid w:val="00F317E9"/>
    <w:rsid w:val="00F31BF5"/>
    <w:rsid w:val="00F324A6"/>
    <w:rsid w:val="00F3589F"/>
    <w:rsid w:val="00F400C3"/>
    <w:rsid w:val="00F40176"/>
    <w:rsid w:val="00F40531"/>
    <w:rsid w:val="00F40A13"/>
    <w:rsid w:val="00F4171E"/>
    <w:rsid w:val="00F43784"/>
    <w:rsid w:val="00F45BDB"/>
    <w:rsid w:val="00F46DC4"/>
    <w:rsid w:val="00F46E3A"/>
    <w:rsid w:val="00F5066A"/>
    <w:rsid w:val="00F5084B"/>
    <w:rsid w:val="00F52A14"/>
    <w:rsid w:val="00F52D24"/>
    <w:rsid w:val="00F63F16"/>
    <w:rsid w:val="00F657A1"/>
    <w:rsid w:val="00F6605F"/>
    <w:rsid w:val="00F66D3C"/>
    <w:rsid w:val="00F7208B"/>
    <w:rsid w:val="00F7211C"/>
    <w:rsid w:val="00F737AC"/>
    <w:rsid w:val="00F74EB5"/>
    <w:rsid w:val="00F75869"/>
    <w:rsid w:val="00F75E12"/>
    <w:rsid w:val="00F80ECC"/>
    <w:rsid w:val="00F81D2E"/>
    <w:rsid w:val="00F8270C"/>
    <w:rsid w:val="00F83788"/>
    <w:rsid w:val="00F83A84"/>
    <w:rsid w:val="00F8591F"/>
    <w:rsid w:val="00F85EC8"/>
    <w:rsid w:val="00F861AB"/>
    <w:rsid w:val="00F86777"/>
    <w:rsid w:val="00F9172E"/>
    <w:rsid w:val="00F9438C"/>
    <w:rsid w:val="00F9587B"/>
    <w:rsid w:val="00F96531"/>
    <w:rsid w:val="00FA2CA3"/>
    <w:rsid w:val="00FA3A7D"/>
    <w:rsid w:val="00FA6BE4"/>
    <w:rsid w:val="00FB2B79"/>
    <w:rsid w:val="00FB60FC"/>
    <w:rsid w:val="00FB6C0C"/>
    <w:rsid w:val="00FC0175"/>
    <w:rsid w:val="00FC1412"/>
    <w:rsid w:val="00FC3296"/>
    <w:rsid w:val="00FC38FB"/>
    <w:rsid w:val="00FC3CAC"/>
    <w:rsid w:val="00FC4488"/>
    <w:rsid w:val="00FC6551"/>
    <w:rsid w:val="00FC655E"/>
    <w:rsid w:val="00FC6FDC"/>
    <w:rsid w:val="00FC7973"/>
    <w:rsid w:val="00FD5C55"/>
    <w:rsid w:val="00FD79D0"/>
    <w:rsid w:val="00FE571F"/>
    <w:rsid w:val="00FE7752"/>
    <w:rsid w:val="00FF2641"/>
    <w:rsid w:val="00FF33EB"/>
    <w:rsid w:val="00FF466D"/>
    <w:rsid w:val="00FF6C3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6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C3D2C"/>
    <w:pPr>
      <w:jc w:val="both"/>
    </w:pPr>
    <w:rPr>
      <w:sz w:val="22"/>
      <w:szCs w:val="24"/>
    </w:rPr>
  </w:style>
  <w:style w:type="paragraph" w:styleId="Nadpis1">
    <w:name w:val="heading 1"/>
    <w:basedOn w:val="Normln"/>
    <w:next w:val="Normln"/>
    <w:link w:val="Nadpis1Char"/>
    <w:uiPriority w:val="9"/>
    <w:qFormat/>
    <w:rsid w:val="001E18A8"/>
    <w:pPr>
      <w:keepNext/>
      <w:spacing w:before="4800"/>
      <w:ind w:left="720"/>
      <w:outlineLvl w:val="0"/>
    </w:pPr>
    <w:rPr>
      <w:rFonts w:cs="Arial"/>
      <w:b/>
      <w:bCs/>
      <w:caps/>
      <w:kern w:val="32"/>
      <w:sz w:val="40"/>
      <w:szCs w:val="40"/>
    </w:rPr>
  </w:style>
  <w:style w:type="paragraph" w:styleId="Nadpis2">
    <w:name w:val="heading 2"/>
    <w:basedOn w:val="Nadpis1"/>
    <w:next w:val="Normln"/>
    <w:link w:val="Nadpis2Char"/>
    <w:autoRedefine/>
    <w:uiPriority w:val="9"/>
    <w:qFormat/>
    <w:rsid w:val="00CE6493"/>
    <w:pPr>
      <w:spacing w:before="0" w:after="360"/>
      <w:ind w:left="709" w:hanging="709"/>
      <w:jc w:val="left"/>
      <w:outlineLvl w:val="1"/>
    </w:pPr>
    <w:rPr>
      <w:sz w:val="32"/>
      <w:szCs w:val="32"/>
      <w:lang w:eastAsia="ar-SA"/>
    </w:rPr>
  </w:style>
  <w:style w:type="paragraph" w:styleId="Nadpis3">
    <w:name w:val="heading 3"/>
    <w:aliases w:val="2.1."/>
    <w:basedOn w:val="Podtitul"/>
    <w:next w:val="Normln"/>
    <w:autoRedefine/>
    <w:uiPriority w:val="9"/>
    <w:qFormat/>
    <w:rsid w:val="00FB2B79"/>
    <w:pPr>
      <w:numPr>
        <w:numId w:val="32"/>
      </w:numPr>
      <w:ind w:left="720"/>
      <w:jc w:val="left"/>
      <w:outlineLvl w:val="2"/>
    </w:pPr>
    <w:rPr>
      <w:rFonts w:cs="Arial"/>
    </w:rPr>
  </w:style>
  <w:style w:type="paragraph" w:styleId="Nadpis4">
    <w:name w:val="heading 4"/>
    <w:basedOn w:val="Normln"/>
    <w:next w:val="Normln"/>
    <w:uiPriority w:val="9"/>
    <w:qFormat/>
    <w:rsid w:val="00742879"/>
    <w:pPr>
      <w:keepNext/>
      <w:autoSpaceDE w:val="0"/>
      <w:autoSpaceDN w:val="0"/>
      <w:adjustRightInd w:val="0"/>
      <w:spacing w:before="360" w:after="240"/>
      <w:jc w:val="left"/>
      <w:outlineLvl w:val="3"/>
    </w:pPr>
    <w:rPr>
      <w:rFonts w:eastAsia="Calibri"/>
      <w:b/>
      <w:bCs/>
      <w:sz w:val="24"/>
    </w:rPr>
  </w:style>
  <w:style w:type="paragraph" w:styleId="Nadpis5">
    <w:name w:val="heading 5"/>
    <w:basedOn w:val="Nadpis4arial12bold"/>
    <w:next w:val="Normln"/>
    <w:link w:val="Nadpis5Char"/>
    <w:uiPriority w:val="9"/>
    <w:qFormat/>
    <w:rsid w:val="009E2909"/>
    <w:pPr>
      <w:numPr>
        <w:ilvl w:val="2"/>
        <w:numId w:val="27"/>
      </w:numPr>
      <w:outlineLvl w:val="4"/>
    </w:pPr>
  </w:style>
  <w:style w:type="paragraph" w:styleId="Nadpis6">
    <w:name w:val="heading 6"/>
    <w:basedOn w:val="Normln"/>
    <w:next w:val="Normln"/>
    <w:link w:val="Nadpis6Char"/>
    <w:uiPriority w:val="9"/>
    <w:qFormat/>
    <w:rsid w:val="00A76207"/>
    <w:pPr>
      <w:keepNext/>
      <w:autoSpaceDE w:val="0"/>
      <w:autoSpaceDN w:val="0"/>
      <w:adjustRightInd w:val="0"/>
      <w:jc w:val="left"/>
      <w:outlineLvl w:val="5"/>
    </w:pPr>
    <w:rPr>
      <w:rFonts w:cs="Arial"/>
      <w:b/>
      <w:bCs/>
      <w:sz w:val="32"/>
      <w:szCs w:val="28"/>
    </w:rPr>
  </w:style>
  <w:style w:type="paragraph" w:styleId="Nadpis7">
    <w:name w:val="heading 7"/>
    <w:basedOn w:val="Normln"/>
    <w:next w:val="Normln"/>
    <w:uiPriority w:val="9"/>
    <w:qFormat/>
    <w:rsid w:val="00A76207"/>
    <w:pPr>
      <w:keepNext/>
      <w:autoSpaceDE w:val="0"/>
      <w:autoSpaceDN w:val="0"/>
      <w:adjustRightInd w:val="0"/>
      <w:jc w:val="left"/>
      <w:outlineLvl w:val="6"/>
    </w:pPr>
    <w:rPr>
      <w:rFonts w:cs="Arial"/>
      <w:sz w:val="28"/>
      <w:szCs w:val="28"/>
    </w:rPr>
  </w:style>
  <w:style w:type="paragraph" w:styleId="Nadpis8">
    <w:name w:val="heading 8"/>
    <w:basedOn w:val="Normln"/>
    <w:next w:val="Normln"/>
    <w:link w:val="Nadpis8Char"/>
    <w:uiPriority w:val="9"/>
    <w:qFormat/>
    <w:rsid w:val="00A76207"/>
    <w:pPr>
      <w:keepNext/>
      <w:autoSpaceDE w:val="0"/>
      <w:autoSpaceDN w:val="0"/>
      <w:adjustRightInd w:val="0"/>
      <w:spacing w:after="120"/>
      <w:outlineLvl w:val="7"/>
    </w:pPr>
    <w:rPr>
      <w:rFonts w:cs="Arial"/>
      <w:b/>
      <w:bCs/>
      <w:sz w:val="28"/>
      <w:szCs w:val="28"/>
    </w:rPr>
  </w:style>
  <w:style w:type="paragraph" w:styleId="Nadpis9">
    <w:name w:val="heading 9"/>
    <w:basedOn w:val="Normln"/>
    <w:next w:val="Normln"/>
    <w:link w:val="Nadpis9Char"/>
    <w:uiPriority w:val="9"/>
    <w:qFormat/>
    <w:rsid w:val="00A76207"/>
    <w:pPr>
      <w:keepNext/>
      <w:jc w:val="center"/>
      <w:outlineLvl w:val="8"/>
    </w:pPr>
    <w:rPr>
      <w:rFonts w:cs="Arial"/>
      <w:b/>
      <w:bCs/>
      <w:cap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E18A8"/>
    <w:rPr>
      <w:rFonts w:cs="Arial"/>
      <w:b/>
      <w:bCs/>
      <w:caps/>
      <w:kern w:val="32"/>
      <w:sz w:val="40"/>
      <w:szCs w:val="40"/>
    </w:rPr>
  </w:style>
  <w:style w:type="character" w:customStyle="1" w:styleId="Nadpis2Char">
    <w:name w:val="Nadpis 2 Char"/>
    <w:basedOn w:val="Standardnpsmoodstavce"/>
    <w:link w:val="Nadpis2"/>
    <w:uiPriority w:val="9"/>
    <w:rsid w:val="00CE6493"/>
    <w:rPr>
      <w:rFonts w:cs="Arial"/>
      <w:b/>
      <w:bCs/>
      <w:caps/>
      <w:kern w:val="32"/>
      <w:sz w:val="32"/>
      <w:szCs w:val="32"/>
      <w:lang w:eastAsia="ar-SA"/>
    </w:rPr>
  </w:style>
  <w:style w:type="character" w:customStyle="1" w:styleId="Nadpis9Char">
    <w:name w:val="Nadpis 9 Char"/>
    <w:basedOn w:val="Standardnpsmoodstavce"/>
    <w:link w:val="Nadpis9"/>
    <w:uiPriority w:val="9"/>
    <w:rsid w:val="00754629"/>
    <w:rPr>
      <w:rFonts w:ascii="Arial" w:hAnsi="Arial" w:cs="Arial"/>
      <w:b/>
      <w:bCs/>
      <w:caps/>
      <w:sz w:val="22"/>
    </w:rPr>
  </w:style>
  <w:style w:type="paragraph" w:styleId="Nzev">
    <w:name w:val="Title"/>
    <w:basedOn w:val="Normln"/>
    <w:link w:val="NzevChar"/>
    <w:uiPriority w:val="10"/>
    <w:qFormat/>
    <w:rsid w:val="00A76207"/>
    <w:pPr>
      <w:spacing w:before="240" w:after="240"/>
      <w:jc w:val="center"/>
      <w:outlineLvl w:val="0"/>
    </w:pPr>
    <w:rPr>
      <w:rFonts w:cs="Arial"/>
      <w:b/>
      <w:bCs/>
      <w:kern w:val="28"/>
      <w:sz w:val="28"/>
      <w:szCs w:val="32"/>
    </w:rPr>
  </w:style>
  <w:style w:type="paragraph" w:customStyle="1" w:styleId="normalnsodrkami">
    <w:name w:val="normalní s odrážkami"/>
    <w:basedOn w:val="Normln"/>
    <w:rsid w:val="00A76207"/>
    <w:pPr>
      <w:tabs>
        <w:tab w:val="num" w:pos="720"/>
      </w:tabs>
      <w:ind w:left="720" w:hanging="360"/>
    </w:pPr>
  </w:style>
  <w:style w:type="paragraph" w:styleId="Zpat">
    <w:name w:val="footer"/>
    <w:basedOn w:val="Normln"/>
    <w:link w:val="ZpatChar"/>
    <w:uiPriority w:val="99"/>
    <w:rsid w:val="00A76207"/>
    <w:pPr>
      <w:tabs>
        <w:tab w:val="center" w:pos="4536"/>
        <w:tab w:val="right" w:pos="9072"/>
      </w:tabs>
    </w:pPr>
  </w:style>
  <w:style w:type="character" w:customStyle="1" w:styleId="ZpatChar">
    <w:name w:val="Zápatí Char"/>
    <w:basedOn w:val="Standardnpsmoodstavce"/>
    <w:link w:val="Zpat"/>
    <w:uiPriority w:val="99"/>
    <w:rsid w:val="006D3E55"/>
    <w:rPr>
      <w:rFonts w:ascii="Arial" w:hAnsi="Arial"/>
      <w:sz w:val="22"/>
      <w:szCs w:val="24"/>
    </w:rPr>
  </w:style>
  <w:style w:type="character" w:styleId="slostrnky">
    <w:name w:val="page number"/>
    <w:basedOn w:val="Standardnpsmoodstavce"/>
    <w:uiPriority w:val="99"/>
    <w:semiHidden/>
    <w:rsid w:val="00A76207"/>
  </w:style>
  <w:style w:type="paragraph" w:styleId="Zkladntext">
    <w:name w:val="Body Text"/>
    <w:basedOn w:val="Normln"/>
    <w:link w:val="ZkladntextChar1"/>
    <w:uiPriority w:val="99"/>
    <w:rsid w:val="00A76207"/>
    <w:pPr>
      <w:autoSpaceDE w:val="0"/>
      <w:autoSpaceDN w:val="0"/>
      <w:adjustRightInd w:val="0"/>
      <w:spacing w:after="120"/>
      <w:ind w:firstLine="709"/>
    </w:pPr>
    <w:rPr>
      <w:rFonts w:cs="Arial"/>
      <w:sz w:val="20"/>
      <w:szCs w:val="20"/>
    </w:rPr>
  </w:style>
  <w:style w:type="paragraph" w:styleId="Zhlav">
    <w:name w:val="header"/>
    <w:basedOn w:val="Normln"/>
    <w:uiPriority w:val="99"/>
    <w:unhideWhenUsed/>
    <w:rsid w:val="00A76207"/>
    <w:pPr>
      <w:tabs>
        <w:tab w:val="center" w:pos="4536"/>
        <w:tab w:val="right" w:pos="9072"/>
      </w:tabs>
    </w:pPr>
  </w:style>
  <w:style w:type="character" w:customStyle="1" w:styleId="ZhlavChar">
    <w:name w:val="Záhlaví Char"/>
    <w:basedOn w:val="Standardnpsmoodstavce"/>
    <w:uiPriority w:val="99"/>
    <w:rsid w:val="00A76207"/>
    <w:rPr>
      <w:rFonts w:ascii="Arial" w:hAnsi="Arial"/>
      <w:sz w:val="22"/>
      <w:szCs w:val="24"/>
    </w:rPr>
  </w:style>
  <w:style w:type="paragraph" w:styleId="Zkladntextodsazen">
    <w:name w:val="Body Text Indent"/>
    <w:basedOn w:val="Normln"/>
    <w:uiPriority w:val="99"/>
    <w:semiHidden/>
    <w:rsid w:val="00A76207"/>
    <w:pPr>
      <w:spacing w:after="240"/>
      <w:ind w:left="720" w:hanging="360"/>
    </w:pPr>
    <w:rPr>
      <w:rFonts w:eastAsia="Calibri" w:cs="Arial"/>
      <w:sz w:val="20"/>
      <w:szCs w:val="22"/>
      <w:lang w:eastAsia="en-US"/>
    </w:rPr>
  </w:style>
  <w:style w:type="character" w:customStyle="1" w:styleId="ZkladntextodsazenChar">
    <w:name w:val="Základní text odsazený Char"/>
    <w:basedOn w:val="Standardnpsmoodstavce"/>
    <w:uiPriority w:val="99"/>
    <w:semiHidden/>
    <w:rsid w:val="00A76207"/>
    <w:rPr>
      <w:rFonts w:eastAsia="Calibri"/>
      <w:sz w:val="22"/>
      <w:szCs w:val="22"/>
      <w:lang w:eastAsia="en-US"/>
    </w:rPr>
  </w:style>
  <w:style w:type="character" w:styleId="Hypertextovodkaz">
    <w:name w:val="Hyperlink"/>
    <w:basedOn w:val="Standardnpsmoodstavce"/>
    <w:uiPriority w:val="99"/>
    <w:rsid w:val="00A76207"/>
    <w:rPr>
      <w:b w:val="0"/>
      <w:bCs w:val="0"/>
      <w:color w:val="000066"/>
      <w:sz w:val="20"/>
      <w:szCs w:val="20"/>
      <w:u w:val="single"/>
    </w:rPr>
  </w:style>
  <w:style w:type="paragraph" w:styleId="Normlnweb">
    <w:name w:val="Normal (Web)"/>
    <w:basedOn w:val="Normln"/>
    <w:uiPriority w:val="99"/>
    <w:semiHidden/>
    <w:rsid w:val="00A76207"/>
    <w:pPr>
      <w:spacing w:before="100" w:beforeAutospacing="1" w:after="100" w:afterAutospacing="1"/>
      <w:jc w:val="left"/>
    </w:pPr>
    <w:rPr>
      <w:rFonts w:cs="Arial"/>
      <w:color w:val="000000"/>
      <w:sz w:val="20"/>
      <w:szCs w:val="20"/>
    </w:rPr>
  </w:style>
  <w:style w:type="paragraph" w:styleId="Zkladntext2">
    <w:name w:val="Body Text 2"/>
    <w:basedOn w:val="Normln"/>
    <w:uiPriority w:val="99"/>
    <w:semiHidden/>
    <w:rsid w:val="00A76207"/>
    <w:pPr>
      <w:autoSpaceDE w:val="0"/>
      <w:autoSpaceDN w:val="0"/>
      <w:adjustRightInd w:val="0"/>
      <w:jc w:val="left"/>
    </w:pPr>
    <w:rPr>
      <w:color w:val="FF0000"/>
    </w:rPr>
  </w:style>
  <w:style w:type="paragraph" w:styleId="Zkladntextodsazen2">
    <w:name w:val="Body Text Indent 2"/>
    <w:basedOn w:val="Normln"/>
    <w:uiPriority w:val="99"/>
    <w:semiHidden/>
    <w:rsid w:val="00A76207"/>
    <w:pPr>
      <w:spacing w:after="240"/>
      <w:ind w:firstLine="709"/>
    </w:pPr>
    <w:rPr>
      <w:rFonts w:cs="Arial"/>
      <w:color w:val="000000"/>
    </w:rPr>
  </w:style>
  <w:style w:type="paragraph" w:styleId="Zkladntextodsazen3">
    <w:name w:val="Body Text Indent 3"/>
    <w:basedOn w:val="Normln"/>
    <w:uiPriority w:val="99"/>
    <w:rsid w:val="00A76207"/>
    <w:pPr>
      <w:spacing w:after="240"/>
      <w:ind w:firstLine="709"/>
    </w:pPr>
    <w:rPr>
      <w:rFonts w:cs="Arial"/>
      <w:b/>
      <w:bCs/>
      <w:color w:val="000080"/>
    </w:rPr>
  </w:style>
  <w:style w:type="paragraph" w:styleId="Zkladntext3">
    <w:name w:val="Body Text 3"/>
    <w:basedOn w:val="Normln"/>
    <w:link w:val="Zkladntext3Char"/>
    <w:uiPriority w:val="99"/>
    <w:semiHidden/>
    <w:rsid w:val="00A76207"/>
    <w:pPr>
      <w:autoSpaceDE w:val="0"/>
      <w:autoSpaceDN w:val="0"/>
      <w:adjustRightInd w:val="0"/>
      <w:jc w:val="left"/>
    </w:pPr>
    <w:rPr>
      <w:b/>
      <w:bCs/>
      <w:color w:val="800000"/>
    </w:rPr>
  </w:style>
  <w:style w:type="paragraph" w:styleId="Textpoznpodarou">
    <w:name w:val="footnote text"/>
    <w:basedOn w:val="Normln"/>
    <w:uiPriority w:val="99"/>
    <w:rsid w:val="00A76207"/>
    <w:rPr>
      <w:i/>
      <w:iCs/>
      <w:sz w:val="18"/>
      <w:szCs w:val="20"/>
    </w:rPr>
  </w:style>
  <w:style w:type="character" w:styleId="Znakapoznpodarou">
    <w:name w:val="footnote reference"/>
    <w:basedOn w:val="Standardnpsmoodstavce"/>
    <w:uiPriority w:val="99"/>
    <w:rsid w:val="00A76207"/>
    <w:rPr>
      <w:vertAlign w:val="superscript"/>
    </w:rPr>
  </w:style>
  <w:style w:type="character" w:customStyle="1" w:styleId="mw-headline">
    <w:name w:val="mw-headline"/>
    <w:basedOn w:val="Standardnpsmoodstavce"/>
    <w:rsid w:val="00A76207"/>
  </w:style>
  <w:style w:type="character" w:customStyle="1" w:styleId="doplnte-zdroj">
    <w:name w:val="doplnte-zdroj"/>
    <w:basedOn w:val="Standardnpsmoodstavce"/>
    <w:rsid w:val="00A76207"/>
  </w:style>
  <w:style w:type="character" w:customStyle="1" w:styleId="Zkladntextodsazen3Char">
    <w:name w:val="Základní text odsazený 3 Char"/>
    <w:basedOn w:val="Standardnpsmoodstavce"/>
    <w:uiPriority w:val="99"/>
    <w:rsid w:val="00A76207"/>
    <w:rPr>
      <w:rFonts w:ascii="Arial" w:hAnsi="Arial" w:cs="Arial"/>
      <w:b/>
      <w:bCs/>
      <w:color w:val="000080"/>
      <w:sz w:val="22"/>
      <w:szCs w:val="24"/>
    </w:rPr>
  </w:style>
  <w:style w:type="character" w:customStyle="1" w:styleId="Zkladntext2Char">
    <w:name w:val="Základní text 2 Char"/>
    <w:basedOn w:val="Standardnpsmoodstavce"/>
    <w:uiPriority w:val="99"/>
    <w:semiHidden/>
    <w:rsid w:val="00A76207"/>
    <w:rPr>
      <w:rFonts w:ascii="Arial" w:hAnsi="Arial"/>
      <w:color w:val="FF0000"/>
      <w:sz w:val="22"/>
      <w:szCs w:val="24"/>
    </w:rPr>
  </w:style>
  <w:style w:type="character" w:customStyle="1" w:styleId="Nadpis7Char">
    <w:name w:val="Nadpis 7 Char"/>
    <w:basedOn w:val="Standardnpsmoodstavce"/>
    <w:uiPriority w:val="9"/>
    <w:rsid w:val="00A76207"/>
    <w:rPr>
      <w:rFonts w:ascii="Arial" w:hAnsi="Arial" w:cs="Arial"/>
      <w:sz w:val="28"/>
      <w:szCs w:val="28"/>
    </w:rPr>
  </w:style>
  <w:style w:type="character" w:styleId="Siln">
    <w:name w:val="Strong"/>
    <w:basedOn w:val="Standardnpsmoodstavce"/>
    <w:uiPriority w:val="22"/>
    <w:qFormat/>
    <w:rsid w:val="00A76207"/>
    <w:rPr>
      <w:b/>
      <w:bCs/>
    </w:rPr>
  </w:style>
  <w:style w:type="character" w:styleId="Zvraznn">
    <w:name w:val="Emphasis"/>
    <w:basedOn w:val="Standardnpsmoodstavce"/>
    <w:uiPriority w:val="20"/>
    <w:qFormat/>
    <w:rsid w:val="00A76207"/>
    <w:rPr>
      <w:i/>
      <w:iCs/>
    </w:rPr>
  </w:style>
  <w:style w:type="character" w:customStyle="1" w:styleId="ZkladntextChar">
    <w:name w:val="Základní text Char"/>
    <w:basedOn w:val="Standardnpsmoodstavce"/>
    <w:uiPriority w:val="99"/>
    <w:rsid w:val="00A76207"/>
    <w:rPr>
      <w:rFonts w:ascii="Arial" w:hAnsi="Arial" w:cs="Arial"/>
    </w:rPr>
  </w:style>
  <w:style w:type="character" w:customStyle="1" w:styleId="Zkladntextodsazen2Char">
    <w:name w:val="Základní text odsazený 2 Char"/>
    <w:basedOn w:val="Standardnpsmoodstavce"/>
    <w:uiPriority w:val="99"/>
    <w:semiHidden/>
    <w:rsid w:val="00A76207"/>
    <w:rPr>
      <w:rFonts w:ascii="Arial" w:hAnsi="Arial" w:cs="Arial"/>
      <w:color w:val="000000"/>
      <w:sz w:val="22"/>
      <w:szCs w:val="24"/>
    </w:rPr>
  </w:style>
  <w:style w:type="character" w:customStyle="1" w:styleId="Nadpis3Char">
    <w:name w:val="Nadpis 3 Char"/>
    <w:aliases w:val="2.1. Char"/>
    <w:basedOn w:val="Standardnpsmoodstavce"/>
    <w:uiPriority w:val="9"/>
    <w:rsid w:val="00A76207"/>
    <w:rPr>
      <w:rFonts w:ascii="Arial" w:hAnsi="Arial" w:cs="Arial"/>
      <w:b/>
      <w:bCs/>
      <w:sz w:val="22"/>
      <w:szCs w:val="26"/>
    </w:rPr>
  </w:style>
  <w:style w:type="character" w:customStyle="1" w:styleId="Nadpis4Char">
    <w:name w:val="Nadpis 4 Char"/>
    <w:basedOn w:val="Standardnpsmoodstavce"/>
    <w:uiPriority w:val="9"/>
    <w:rsid w:val="00A76207"/>
    <w:rPr>
      <w:rFonts w:ascii="TT1FDo00" w:hAnsi="TT1FDo00"/>
      <w:b/>
      <w:bCs/>
      <w:sz w:val="22"/>
      <w:szCs w:val="22"/>
    </w:rPr>
  </w:style>
  <w:style w:type="character" w:customStyle="1" w:styleId="TextpoznpodarouChar">
    <w:name w:val="Text pozn. pod čarou Char"/>
    <w:basedOn w:val="Standardnpsmoodstavce"/>
    <w:uiPriority w:val="99"/>
    <w:rsid w:val="00A76207"/>
    <w:rPr>
      <w:rFonts w:ascii="Arial" w:hAnsi="Arial"/>
    </w:rPr>
  </w:style>
  <w:style w:type="character" w:styleId="Sledovanodkaz">
    <w:name w:val="FollowedHyperlink"/>
    <w:basedOn w:val="Standardnpsmoodstavce"/>
    <w:uiPriority w:val="99"/>
    <w:semiHidden/>
    <w:rsid w:val="00A76207"/>
    <w:rPr>
      <w:color w:val="800080"/>
      <w:u w:val="single"/>
    </w:rPr>
  </w:style>
  <w:style w:type="paragraph" w:styleId="Obsah1">
    <w:name w:val="toc 1"/>
    <w:basedOn w:val="Normln"/>
    <w:next w:val="Normln"/>
    <w:autoRedefine/>
    <w:uiPriority w:val="39"/>
    <w:rsid w:val="00760CE6"/>
    <w:pPr>
      <w:tabs>
        <w:tab w:val="left" w:pos="660"/>
        <w:tab w:val="right" w:leader="dot" w:pos="9628"/>
      </w:tabs>
      <w:spacing w:before="360" w:after="240"/>
      <w:jc w:val="left"/>
    </w:pPr>
    <w:rPr>
      <w:rFonts w:cs="Arial"/>
      <w:b/>
      <w:noProof/>
      <w:sz w:val="24"/>
    </w:rPr>
  </w:style>
  <w:style w:type="paragraph" w:styleId="Obsah2">
    <w:name w:val="toc 2"/>
    <w:basedOn w:val="Normln"/>
    <w:next w:val="Normln"/>
    <w:autoRedefine/>
    <w:uiPriority w:val="39"/>
    <w:rsid w:val="00D01B4B"/>
    <w:pPr>
      <w:tabs>
        <w:tab w:val="right" w:leader="dot" w:pos="9628"/>
      </w:tabs>
      <w:spacing w:before="120"/>
      <w:ind w:left="221"/>
    </w:pPr>
  </w:style>
  <w:style w:type="paragraph" w:styleId="Obsah3">
    <w:name w:val="toc 3"/>
    <w:basedOn w:val="Normln"/>
    <w:next w:val="Normln"/>
    <w:autoRedefine/>
    <w:uiPriority w:val="39"/>
    <w:rsid w:val="00A76207"/>
    <w:pPr>
      <w:ind w:left="440"/>
    </w:pPr>
  </w:style>
  <w:style w:type="paragraph" w:styleId="Obsah4">
    <w:name w:val="toc 4"/>
    <w:basedOn w:val="Normln"/>
    <w:next w:val="Normln"/>
    <w:autoRedefine/>
    <w:uiPriority w:val="39"/>
    <w:semiHidden/>
    <w:rsid w:val="00A76207"/>
    <w:pPr>
      <w:ind w:left="660"/>
    </w:pPr>
  </w:style>
  <w:style w:type="paragraph" w:styleId="Obsah5">
    <w:name w:val="toc 5"/>
    <w:basedOn w:val="Normln"/>
    <w:next w:val="Normln"/>
    <w:autoRedefine/>
    <w:uiPriority w:val="39"/>
    <w:semiHidden/>
    <w:rsid w:val="00A76207"/>
    <w:pPr>
      <w:ind w:left="880"/>
    </w:pPr>
  </w:style>
  <w:style w:type="paragraph" w:styleId="Obsah6">
    <w:name w:val="toc 6"/>
    <w:basedOn w:val="Normln"/>
    <w:next w:val="Normln"/>
    <w:autoRedefine/>
    <w:uiPriority w:val="39"/>
    <w:semiHidden/>
    <w:rsid w:val="00A76207"/>
    <w:pPr>
      <w:ind w:left="1100"/>
    </w:pPr>
  </w:style>
  <w:style w:type="paragraph" w:styleId="Obsah7">
    <w:name w:val="toc 7"/>
    <w:basedOn w:val="Normln"/>
    <w:next w:val="Normln"/>
    <w:autoRedefine/>
    <w:uiPriority w:val="39"/>
    <w:semiHidden/>
    <w:rsid w:val="00A76207"/>
    <w:pPr>
      <w:ind w:left="1320"/>
    </w:pPr>
  </w:style>
  <w:style w:type="paragraph" w:styleId="Obsah8">
    <w:name w:val="toc 8"/>
    <w:basedOn w:val="Normln"/>
    <w:next w:val="Normln"/>
    <w:autoRedefine/>
    <w:uiPriority w:val="39"/>
    <w:semiHidden/>
    <w:rsid w:val="00A76207"/>
    <w:pPr>
      <w:ind w:left="1540"/>
    </w:pPr>
  </w:style>
  <w:style w:type="paragraph" w:styleId="Obsah9">
    <w:name w:val="toc 9"/>
    <w:basedOn w:val="Normln"/>
    <w:next w:val="Normln"/>
    <w:autoRedefine/>
    <w:uiPriority w:val="39"/>
    <w:semiHidden/>
    <w:rsid w:val="00A76207"/>
    <w:pPr>
      <w:ind w:left="1760"/>
    </w:pPr>
  </w:style>
  <w:style w:type="paragraph" w:customStyle="1" w:styleId="Default">
    <w:name w:val="Default"/>
    <w:rsid w:val="00A76207"/>
    <w:pPr>
      <w:autoSpaceDE w:val="0"/>
      <w:autoSpaceDN w:val="0"/>
      <w:adjustRightInd w:val="0"/>
    </w:pPr>
    <w:rPr>
      <w:rFonts w:ascii="Calibri" w:hAnsi="Calibri"/>
      <w:color w:val="000000"/>
      <w:sz w:val="24"/>
      <w:szCs w:val="24"/>
    </w:rPr>
  </w:style>
  <w:style w:type="character" w:customStyle="1" w:styleId="st">
    <w:name w:val="st"/>
    <w:basedOn w:val="Standardnpsmoodstavce"/>
    <w:rsid w:val="00A76207"/>
    <w:rPr>
      <w:rFonts w:ascii="Times New Roman" w:hAnsi="Times New Roman" w:cs="Times New Roman"/>
    </w:rPr>
  </w:style>
  <w:style w:type="paragraph" w:styleId="Nadpisobsahu">
    <w:name w:val="TOC Heading"/>
    <w:basedOn w:val="Nadpis1"/>
    <w:next w:val="Normln"/>
    <w:uiPriority w:val="39"/>
    <w:unhideWhenUsed/>
    <w:qFormat/>
    <w:rsid w:val="00103B54"/>
    <w:pPr>
      <w:keepLines/>
      <w:spacing w:before="480" w:line="276" w:lineRule="auto"/>
      <w:outlineLvl w:val="9"/>
    </w:pPr>
    <w:rPr>
      <w:rFonts w:ascii="Cambria" w:hAnsi="Cambria" w:cs="Times New Roman"/>
      <w:caps w:val="0"/>
      <w:color w:val="365F91"/>
      <w:kern w:val="0"/>
      <w:sz w:val="28"/>
      <w:lang w:eastAsia="en-US"/>
    </w:rPr>
  </w:style>
  <w:style w:type="paragraph" w:styleId="Textvysvtlivek">
    <w:name w:val="endnote text"/>
    <w:basedOn w:val="Normln"/>
    <w:link w:val="TextvysvtlivekChar"/>
    <w:uiPriority w:val="99"/>
    <w:semiHidden/>
    <w:unhideWhenUsed/>
    <w:rsid w:val="0029106B"/>
    <w:rPr>
      <w:sz w:val="20"/>
      <w:szCs w:val="20"/>
    </w:rPr>
  </w:style>
  <w:style w:type="character" w:customStyle="1" w:styleId="TextvysvtlivekChar">
    <w:name w:val="Text vysvětlivek Char"/>
    <w:basedOn w:val="Standardnpsmoodstavce"/>
    <w:link w:val="Textvysvtlivek"/>
    <w:uiPriority w:val="99"/>
    <w:semiHidden/>
    <w:rsid w:val="0029106B"/>
    <w:rPr>
      <w:rFonts w:ascii="Arial" w:hAnsi="Arial"/>
    </w:rPr>
  </w:style>
  <w:style w:type="character" w:styleId="Odkaznavysvtlivky">
    <w:name w:val="endnote reference"/>
    <w:basedOn w:val="Standardnpsmoodstavce"/>
    <w:uiPriority w:val="99"/>
    <w:semiHidden/>
    <w:unhideWhenUsed/>
    <w:rsid w:val="0029106B"/>
    <w:rPr>
      <w:vertAlign w:val="superscript"/>
    </w:rPr>
  </w:style>
  <w:style w:type="paragraph" w:customStyle="1" w:styleId="Nadpis4arial12bold">
    <w:name w:val="Nadpis 4 arial 12 bold"/>
    <w:basedOn w:val="Nadpis4"/>
    <w:link w:val="Nadpis4arial12boldChar"/>
    <w:qFormat/>
    <w:rsid w:val="00F8591F"/>
  </w:style>
  <w:style w:type="character" w:customStyle="1" w:styleId="Nadpis4arial12boldChar">
    <w:name w:val="Nadpis 4 arial 12 bold Char"/>
    <w:basedOn w:val="Standardnpsmoodstavce"/>
    <w:link w:val="Nadpis4arial12bold"/>
    <w:rsid w:val="00F8591F"/>
    <w:rPr>
      <w:rFonts w:eastAsia="Calibri"/>
      <w:b/>
      <w:bCs/>
      <w:sz w:val="24"/>
      <w:szCs w:val="24"/>
    </w:rPr>
  </w:style>
  <w:style w:type="character" w:customStyle="1" w:styleId="ata11y">
    <w:name w:val="at_a11y"/>
    <w:basedOn w:val="Standardnpsmoodstavce"/>
    <w:rsid w:val="006D3E55"/>
  </w:style>
  <w:style w:type="paragraph" w:styleId="Odstavecseseznamem">
    <w:name w:val="List Paragraph"/>
    <w:basedOn w:val="Normln"/>
    <w:link w:val="OdstavecseseznamemChar"/>
    <w:uiPriority w:val="34"/>
    <w:qFormat/>
    <w:rsid w:val="006D3E55"/>
    <w:pPr>
      <w:spacing w:after="240"/>
      <w:ind w:left="720"/>
      <w:contextualSpacing/>
      <w:jc w:val="left"/>
    </w:pPr>
    <w:rPr>
      <w:rFonts w:eastAsia="Calibri" w:cs="Arial"/>
      <w:b/>
      <w:sz w:val="28"/>
      <w:szCs w:val="28"/>
      <w:lang w:eastAsia="en-US"/>
    </w:rPr>
  </w:style>
  <w:style w:type="paragraph" w:customStyle="1" w:styleId="para">
    <w:name w:val="para"/>
    <w:basedOn w:val="Normln"/>
    <w:rsid w:val="006D3E55"/>
    <w:pPr>
      <w:spacing w:before="100" w:beforeAutospacing="1" w:after="100" w:afterAutospacing="1"/>
      <w:jc w:val="left"/>
    </w:pPr>
    <w:rPr>
      <w:rFonts w:ascii="Times New Roman" w:hAnsi="Times New Roman"/>
      <w:sz w:val="24"/>
    </w:rPr>
  </w:style>
  <w:style w:type="paragraph" w:customStyle="1" w:styleId="go">
    <w:name w:val="go"/>
    <w:basedOn w:val="Normln"/>
    <w:rsid w:val="006D3E55"/>
    <w:pPr>
      <w:spacing w:before="100" w:beforeAutospacing="1" w:after="100" w:afterAutospacing="1"/>
      <w:jc w:val="left"/>
    </w:pPr>
    <w:rPr>
      <w:rFonts w:ascii="Times New Roman" w:hAnsi="Times New Roman"/>
      <w:sz w:val="24"/>
    </w:rPr>
  </w:style>
  <w:style w:type="character" w:customStyle="1" w:styleId="h1a">
    <w:name w:val="h1a"/>
    <w:basedOn w:val="Standardnpsmoodstavce"/>
    <w:rsid w:val="006D3E55"/>
  </w:style>
  <w:style w:type="paragraph" w:customStyle="1" w:styleId="Style8">
    <w:name w:val="Style8"/>
    <w:basedOn w:val="Normln"/>
    <w:rsid w:val="006D3E55"/>
    <w:pPr>
      <w:widowControl w:val="0"/>
      <w:autoSpaceDE w:val="0"/>
      <w:autoSpaceDN w:val="0"/>
      <w:adjustRightInd w:val="0"/>
      <w:jc w:val="left"/>
    </w:pPr>
    <w:rPr>
      <w:rFonts w:cs="Arial"/>
      <w:sz w:val="24"/>
    </w:rPr>
  </w:style>
  <w:style w:type="character" w:customStyle="1" w:styleId="FontStyle19">
    <w:name w:val="Font Style19"/>
    <w:basedOn w:val="Standardnpsmoodstavce"/>
    <w:rsid w:val="006D3E55"/>
    <w:rPr>
      <w:rFonts w:ascii="Arial Narrow" w:hAnsi="Arial Narrow" w:cs="Arial Narrow" w:hint="default"/>
      <w:color w:val="000000"/>
      <w:sz w:val="18"/>
      <w:szCs w:val="18"/>
    </w:rPr>
  </w:style>
  <w:style w:type="character" w:customStyle="1" w:styleId="FontStyle18">
    <w:name w:val="Font Style18"/>
    <w:basedOn w:val="Standardnpsmoodstavce"/>
    <w:rsid w:val="006D3E55"/>
    <w:rPr>
      <w:rFonts w:ascii="Arial Narrow" w:hAnsi="Arial Narrow" w:cs="Arial Narrow" w:hint="default"/>
      <w:b/>
      <w:bCs/>
      <w:color w:val="000000"/>
      <w:sz w:val="18"/>
      <w:szCs w:val="18"/>
    </w:rPr>
  </w:style>
  <w:style w:type="paragraph" w:customStyle="1" w:styleId="Style10">
    <w:name w:val="Style10"/>
    <w:basedOn w:val="Normln"/>
    <w:rsid w:val="006D3E55"/>
    <w:pPr>
      <w:widowControl w:val="0"/>
      <w:autoSpaceDE w:val="0"/>
      <w:autoSpaceDN w:val="0"/>
      <w:adjustRightInd w:val="0"/>
      <w:spacing w:line="220" w:lineRule="exact"/>
    </w:pPr>
    <w:rPr>
      <w:rFonts w:cs="Arial"/>
      <w:sz w:val="24"/>
    </w:rPr>
  </w:style>
  <w:style w:type="paragraph" w:customStyle="1" w:styleId="GroupWiseView">
    <w:name w:val="GroupWiseView"/>
    <w:rsid w:val="00096A9F"/>
    <w:pPr>
      <w:widowControl w:val="0"/>
      <w:autoSpaceDE w:val="0"/>
      <w:autoSpaceDN w:val="0"/>
      <w:adjustRightInd w:val="0"/>
    </w:pPr>
    <w:rPr>
      <w:rFonts w:ascii="Tahoma" w:hAnsi="Tahoma" w:cs="Tahoma"/>
      <w:sz w:val="16"/>
      <w:szCs w:val="16"/>
    </w:rPr>
  </w:style>
  <w:style w:type="paragraph" w:styleId="Textbubliny">
    <w:name w:val="Balloon Text"/>
    <w:basedOn w:val="Normln"/>
    <w:link w:val="TextbublinyChar"/>
    <w:uiPriority w:val="99"/>
    <w:unhideWhenUsed/>
    <w:rsid w:val="00096A9F"/>
    <w:pPr>
      <w:jc w:val="left"/>
    </w:pPr>
    <w:rPr>
      <w:rFonts w:ascii="Tahoma" w:eastAsia="Calibri" w:hAnsi="Tahoma" w:cs="Tahoma"/>
      <w:sz w:val="16"/>
      <w:szCs w:val="16"/>
      <w:lang w:eastAsia="en-US"/>
    </w:rPr>
  </w:style>
  <w:style w:type="character" w:customStyle="1" w:styleId="TextbublinyChar">
    <w:name w:val="Text bubliny Char"/>
    <w:basedOn w:val="Standardnpsmoodstavce"/>
    <w:link w:val="Textbubliny"/>
    <w:uiPriority w:val="99"/>
    <w:rsid w:val="00096A9F"/>
    <w:rPr>
      <w:rFonts w:ascii="Tahoma" w:eastAsia="Calibri" w:hAnsi="Tahoma" w:cs="Tahoma"/>
      <w:sz w:val="16"/>
      <w:szCs w:val="16"/>
      <w:lang w:eastAsia="en-US"/>
    </w:rPr>
  </w:style>
  <w:style w:type="table" w:styleId="Mkatabulky">
    <w:name w:val="Table Grid"/>
    <w:basedOn w:val="Normlntabulka"/>
    <w:uiPriority w:val="59"/>
    <w:rsid w:val="00096A9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1name">
    <w:name w:val="p1name"/>
    <w:basedOn w:val="Standardnpsmoodstavce"/>
    <w:rsid w:val="00096A9F"/>
  </w:style>
  <w:style w:type="character" w:customStyle="1" w:styleId="pnname">
    <w:name w:val="pnname"/>
    <w:basedOn w:val="Standardnpsmoodstavce"/>
    <w:rsid w:val="00096A9F"/>
  </w:style>
  <w:style w:type="character" w:styleId="Odkaznakoment">
    <w:name w:val="annotation reference"/>
    <w:basedOn w:val="Standardnpsmoodstavce"/>
    <w:uiPriority w:val="99"/>
    <w:unhideWhenUsed/>
    <w:rsid w:val="00096A9F"/>
    <w:rPr>
      <w:sz w:val="16"/>
      <w:szCs w:val="16"/>
    </w:rPr>
  </w:style>
  <w:style w:type="paragraph" w:styleId="Textkomente">
    <w:name w:val="annotation text"/>
    <w:basedOn w:val="Normln"/>
    <w:link w:val="TextkomenteChar"/>
    <w:uiPriority w:val="99"/>
    <w:unhideWhenUsed/>
    <w:rsid w:val="00096A9F"/>
    <w:pPr>
      <w:spacing w:after="200"/>
      <w:jc w:val="left"/>
    </w:pPr>
    <w:rPr>
      <w:rFonts w:ascii="Calibri" w:eastAsia="Calibri" w:hAnsi="Calibri"/>
      <w:sz w:val="20"/>
      <w:szCs w:val="20"/>
      <w:lang w:eastAsia="en-US"/>
    </w:rPr>
  </w:style>
  <w:style w:type="character" w:customStyle="1" w:styleId="TextkomenteChar">
    <w:name w:val="Text komentáře Char"/>
    <w:basedOn w:val="Standardnpsmoodstavce"/>
    <w:link w:val="Textkomente"/>
    <w:uiPriority w:val="99"/>
    <w:rsid w:val="00096A9F"/>
    <w:rPr>
      <w:rFonts w:ascii="Calibri" w:eastAsia="Calibri" w:hAnsi="Calibri"/>
      <w:lang w:eastAsia="en-US"/>
    </w:rPr>
  </w:style>
  <w:style w:type="paragraph" w:styleId="Pedmtkomente">
    <w:name w:val="annotation subject"/>
    <w:basedOn w:val="Textkomente"/>
    <w:next w:val="Textkomente"/>
    <w:link w:val="PedmtkomenteChar"/>
    <w:uiPriority w:val="99"/>
    <w:unhideWhenUsed/>
    <w:rsid w:val="00096A9F"/>
    <w:rPr>
      <w:b/>
      <w:bCs/>
    </w:rPr>
  </w:style>
  <w:style w:type="character" w:customStyle="1" w:styleId="PedmtkomenteChar">
    <w:name w:val="Předmět komentáře Char"/>
    <w:basedOn w:val="TextkomenteChar"/>
    <w:link w:val="Pedmtkomente"/>
    <w:uiPriority w:val="99"/>
    <w:rsid w:val="00096A9F"/>
    <w:rPr>
      <w:b/>
      <w:bCs/>
    </w:rPr>
  </w:style>
  <w:style w:type="paragraph" w:styleId="Seznamsodrkami3">
    <w:name w:val="List Bullet 3"/>
    <w:basedOn w:val="Normln"/>
    <w:autoRedefine/>
    <w:uiPriority w:val="99"/>
    <w:semiHidden/>
    <w:rsid w:val="00096A9F"/>
    <w:pPr>
      <w:numPr>
        <w:numId w:val="3"/>
      </w:numPr>
      <w:ind w:left="714" w:hanging="357"/>
    </w:pPr>
    <w:rPr>
      <w:rFonts w:ascii="Times New Roman" w:hAnsi="Times New Roman"/>
      <w:sz w:val="24"/>
    </w:rPr>
  </w:style>
  <w:style w:type="paragraph" w:styleId="Seznamsodrkami4">
    <w:name w:val="List Bullet 4"/>
    <w:basedOn w:val="Normln"/>
    <w:autoRedefine/>
    <w:uiPriority w:val="99"/>
    <w:semiHidden/>
    <w:rsid w:val="00096A9F"/>
    <w:pPr>
      <w:tabs>
        <w:tab w:val="num" w:pos="1440"/>
      </w:tabs>
      <w:ind w:left="1434" w:hanging="357"/>
    </w:pPr>
    <w:rPr>
      <w:rFonts w:ascii="Times New Roman" w:hAnsi="Times New Roman"/>
      <w:sz w:val="24"/>
    </w:rPr>
  </w:style>
  <w:style w:type="paragraph" w:styleId="Seznam2">
    <w:name w:val="List 2"/>
    <w:basedOn w:val="Normln"/>
    <w:uiPriority w:val="99"/>
    <w:semiHidden/>
    <w:rsid w:val="00096A9F"/>
    <w:pPr>
      <w:ind w:left="566" w:hanging="283"/>
      <w:jc w:val="left"/>
    </w:pPr>
    <w:rPr>
      <w:rFonts w:ascii="Times New Roman" w:hAnsi="Times New Roman"/>
      <w:sz w:val="24"/>
    </w:rPr>
  </w:style>
  <w:style w:type="paragraph" w:styleId="Pokraovnseznamu">
    <w:name w:val="List Continue"/>
    <w:basedOn w:val="Normln"/>
    <w:uiPriority w:val="99"/>
    <w:semiHidden/>
    <w:unhideWhenUsed/>
    <w:rsid w:val="00096A9F"/>
    <w:pPr>
      <w:spacing w:after="120"/>
      <w:ind w:left="283"/>
      <w:contextualSpacing/>
    </w:pPr>
    <w:rPr>
      <w:rFonts w:ascii="Calibri" w:eastAsia="Calibri" w:hAnsi="Calibri"/>
      <w:szCs w:val="22"/>
      <w:lang w:eastAsia="en-US"/>
    </w:rPr>
  </w:style>
  <w:style w:type="paragraph" w:customStyle="1" w:styleId="Normln0">
    <w:name w:val="Normln"/>
    <w:rsid w:val="00096A9F"/>
    <w:pPr>
      <w:autoSpaceDE w:val="0"/>
      <w:autoSpaceDN w:val="0"/>
      <w:adjustRightInd w:val="0"/>
    </w:pPr>
    <w:rPr>
      <w:sz w:val="24"/>
      <w:szCs w:val="24"/>
    </w:rPr>
  </w:style>
  <w:style w:type="paragraph" w:styleId="Pokraovnseznamu2">
    <w:name w:val="List Continue 2"/>
    <w:basedOn w:val="Normln"/>
    <w:uiPriority w:val="99"/>
    <w:semiHidden/>
    <w:unhideWhenUsed/>
    <w:rsid w:val="00096A9F"/>
    <w:pPr>
      <w:spacing w:after="120"/>
      <w:ind w:left="566"/>
      <w:contextualSpacing/>
    </w:pPr>
    <w:rPr>
      <w:rFonts w:ascii="Calibri" w:eastAsia="Calibri" w:hAnsi="Calibri"/>
      <w:szCs w:val="22"/>
      <w:lang w:eastAsia="en-US"/>
    </w:rPr>
  </w:style>
  <w:style w:type="paragraph" w:customStyle="1" w:styleId="odrkyzlevaodsazeno0">
    <w:name w:val="odrážky zleva odsazení o 0"/>
    <w:aliases w:val="6 cm"/>
    <w:basedOn w:val="Normln"/>
    <w:link w:val="odrkyzlevaodsazeno0Char"/>
    <w:qFormat/>
    <w:rsid w:val="00377601"/>
    <w:pPr>
      <w:numPr>
        <w:numId w:val="2"/>
      </w:numPr>
      <w:spacing w:after="120"/>
      <w:ind w:left="584" w:hanging="227"/>
    </w:pPr>
    <w:rPr>
      <w:sz w:val="20"/>
      <w:szCs w:val="20"/>
    </w:rPr>
  </w:style>
  <w:style w:type="character" w:customStyle="1" w:styleId="OdstavecseseznamemChar">
    <w:name w:val="Odstavec se seznamem Char"/>
    <w:basedOn w:val="Standardnpsmoodstavce"/>
    <w:link w:val="Odstavecseseznamem"/>
    <w:uiPriority w:val="34"/>
    <w:rsid w:val="002311FE"/>
    <w:rPr>
      <w:rFonts w:ascii="Arial" w:eastAsia="Calibri" w:hAnsi="Arial" w:cs="Arial"/>
      <w:b/>
      <w:sz w:val="28"/>
      <w:szCs w:val="28"/>
      <w:lang w:eastAsia="en-US"/>
    </w:rPr>
  </w:style>
  <w:style w:type="character" w:customStyle="1" w:styleId="odrkyzlevaodsazeno0Char">
    <w:name w:val="odrážky zleva odsazení o 0 Char"/>
    <w:aliases w:val="6 cm Char"/>
    <w:basedOn w:val="OdstavecseseznamemChar"/>
    <w:link w:val="odrkyzlevaodsazeno0"/>
    <w:rsid w:val="00377601"/>
  </w:style>
  <w:style w:type="paragraph" w:customStyle="1" w:styleId="Styl1">
    <w:name w:val="Styl1"/>
    <w:basedOn w:val="Normln"/>
    <w:rsid w:val="005C61B6"/>
    <w:pPr>
      <w:spacing w:after="60"/>
      <w:ind w:firstLine="567"/>
    </w:pPr>
    <w:rPr>
      <w:rFonts w:cs="Arial"/>
      <w:sz w:val="20"/>
    </w:rPr>
  </w:style>
  <w:style w:type="paragraph" w:customStyle="1" w:styleId="obycA10">
    <w:name w:val="obyc_A10"/>
    <w:basedOn w:val="Normln"/>
    <w:rsid w:val="005C61B6"/>
    <w:pPr>
      <w:jc w:val="left"/>
    </w:pPr>
    <w:rPr>
      <w:sz w:val="20"/>
    </w:rPr>
  </w:style>
  <w:style w:type="paragraph" w:styleId="Bezmezer">
    <w:name w:val="No Spacing"/>
    <w:link w:val="BezmezerChar"/>
    <w:uiPriority w:val="1"/>
    <w:qFormat/>
    <w:rsid w:val="002B4317"/>
    <w:rPr>
      <w:rFonts w:ascii="Calibri" w:hAnsi="Calibri"/>
      <w:sz w:val="22"/>
      <w:szCs w:val="22"/>
      <w:lang w:eastAsia="en-US"/>
    </w:rPr>
  </w:style>
  <w:style w:type="character" w:customStyle="1" w:styleId="BezmezerChar">
    <w:name w:val="Bez mezer Char"/>
    <w:basedOn w:val="Standardnpsmoodstavce"/>
    <w:link w:val="Bezmezer"/>
    <w:uiPriority w:val="1"/>
    <w:rsid w:val="002B4317"/>
    <w:rPr>
      <w:rFonts w:ascii="Calibri" w:hAnsi="Calibri"/>
      <w:sz w:val="22"/>
      <w:szCs w:val="22"/>
      <w:lang w:val="cs-CZ" w:eastAsia="en-US" w:bidi="ar-SA"/>
    </w:rPr>
  </w:style>
  <w:style w:type="paragraph" w:customStyle="1" w:styleId="odrkybezmezer">
    <w:name w:val="odrážky bez mezer"/>
    <w:aliases w:val="vlevo kraj 6 mm"/>
    <w:basedOn w:val="odrkyzlevaodsazeno0"/>
    <w:link w:val="odrkybezmezerChar"/>
    <w:qFormat/>
    <w:rsid w:val="004A0179"/>
    <w:pPr>
      <w:spacing w:after="240"/>
      <w:ind w:left="340" w:hanging="340"/>
    </w:pPr>
  </w:style>
  <w:style w:type="character" w:customStyle="1" w:styleId="odrkybezmezerChar">
    <w:name w:val="odrážky bez mezer Char"/>
    <w:aliases w:val="vlevo kraj 6 mm Char"/>
    <w:basedOn w:val="odrkyzlevaodsazeno0Char"/>
    <w:link w:val="odrkybezmezer"/>
    <w:rsid w:val="004A0179"/>
  </w:style>
  <w:style w:type="paragraph" w:styleId="Podtitul">
    <w:name w:val="Subtitle"/>
    <w:aliases w:val="2.1"/>
    <w:basedOn w:val="Normln"/>
    <w:next w:val="Normln"/>
    <w:link w:val="PodtitulChar"/>
    <w:uiPriority w:val="11"/>
    <w:qFormat/>
    <w:rsid w:val="00BE14D7"/>
    <w:pPr>
      <w:numPr>
        <w:ilvl w:val="1"/>
        <w:numId w:val="23"/>
      </w:numPr>
      <w:spacing w:before="360" w:after="240"/>
    </w:pPr>
    <w:rPr>
      <w:b/>
      <w:sz w:val="28"/>
      <w:szCs w:val="28"/>
    </w:rPr>
  </w:style>
  <w:style w:type="character" w:customStyle="1" w:styleId="PodtitulChar">
    <w:name w:val="Podtitul Char"/>
    <w:aliases w:val="2.1 Char"/>
    <w:basedOn w:val="Standardnpsmoodstavce"/>
    <w:link w:val="Podtitul"/>
    <w:uiPriority w:val="11"/>
    <w:rsid w:val="00BE14D7"/>
    <w:rPr>
      <w:b/>
      <w:sz w:val="28"/>
      <w:szCs w:val="28"/>
    </w:rPr>
  </w:style>
  <w:style w:type="character" w:customStyle="1" w:styleId="StyleParagraphItalicChar">
    <w:name w:val="Style Paragraph + Italic Char"/>
    <w:basedOn w:val="Standardnpsmoodstavce"/>
    <w:rsid w:val="00A617BC"/>
    <w:rPr>
      <w:i/>
      <w:iCs/>
      <w:sz w:val="24"/>
      <w:szCs w:val="24"/>
      <w:lang w:val="en-GB" w:eastAsia="en-US" w:bidi="ar-SA"/>
    </w:rPr>
  </w:style>
  <w:style w:type="paragraph" w:customStyle="1" w:styleId="Mujnadpis2">
    <w:name w:val="Mujnadpis2"/>
    <w:basedOn w:val="Normln"/>
    <w:rsid w:val="00A617BC"/>
    <w:pPr>
      <w:jc w:val="left"/>
    </w:pPr>
    <w:rPr>
      <w:b/>
      <w:bCs/>
      <w:sz w:val="24"/>
      <w:u w:val="single"/>
    </w:rPr>
  </w:style>
  <w:style w:type="paragraph" w:customStyle="1" w:styleId="ParagraphIndent">
    <w:name w:val="ParagraphIndent"/>
    <w:basedOn w:val="Normln"/>
    <w:rsid w:val="00A617BC"/>
    <w:pPr>
      <w:tabs>
        <w:tab w:val="num" w:pos="720"/>
        <w:tab w:val="num" w:pos="1260"/>
      </w:tabs>
      <w:spacing w:after="120"/>
      <w:ind w:left="720" w:hanging="360"/>
      <w:jc w:val="left"/>
    </w:pPr>
    <w:rPr>
      <w:rFonts w:ascii="Times New Roman" w:hAnsi="Times New Roman"/>
      <w:sz w:val="24"/>
      <w:lang w:val="en-GB" w:eastAsia="en-US"/>
    </w:rPr>
  </w:style>
  <w:style w:type="paragraph" w:customStyle="1" w:styleId="h3">
    <w:name w:val="h3"/>
    <w:basedOn w:val="Normln"/>
    <w:rsid w:val="00A617BC"/>
    <w:pPr>
      <w:spacing w:before="100" w:beforeAutospacing="1" w:after="100" w:afterAutospacing="1"/>
      <w:jc w:val="left"/>
    </w:pPr>
    <w:rPr>
      <w:rFonts w:ascii="Verdana" w:eastAsia="Arial Unicode MS" w:hAnsi="Verdana" w:cs="Arial Unicode MS"/>
      <w:sz w:val="20"/>
      <w:szCs w:val="20"/>
    </w:rPr>
  </w:style>
  <w:style w:type="character" w:customStyle="1" w:styleId="NzevChar">
    <w:name w:val="Název Char"/>
    <w:basedOn w:val="Standardnpsmoodstavce"/>
    <w:link w:val="Nzev"/>
    <w:uiPriority w:val="10"/>
    <w:rsid w:val="002518C4"/>
    <w:rPr>
      <w:rFonts w:ascii="Arial" w:hAnsi="Arial" w:cs="Arial"/>
      <w:b/>
      <w:bCs/>
      <w:kern w:val="28"/>
      <w:sz w:val="28"/>
      <w:szCs w:val="32"/>
    </w:rPr>
  </w:style>
  <w:style w:type="character" w:customStyle="1" w:styleId="Zkladntext3Char">
    <w:name w:val="Základní text 3 Char"/>
    <w:basedOn w:val="Standardnpsmoodstavce"/>
    <w:link w:val="Zkladntext3"/>
    <w:uiPriority w:val="99"/>
    <w:semiHidden/>
    <w:rsid w:val="002518C4"/>
    <w:rPr>
      <w:rFonts w:ascii="Arial" w:hAnsi="Arial"/>
      <w:b/>
      <w:bCs/>
      <w:color w:val="800000"/>
      <w:sz w:val="22"/>
      <w:szCs w:val="24"/>
    </w:rPr>
  </w:style>
  <w:style w:type="paragraph" w:styleId="Rozvrendokumentu">
    <w:name w:val="Document Map"/>
    <w:basedOn w:val="Normln"/>
    <w:link w:val="RozvrendokumentuChar"/>
    <w:uiPriority w:val="99"/>
    <w:semiHidden/>
    <w:unhideWhenUsed/>
    <w:rsid w:val="002518C4"/>
    <w:pPr>
      <w:jc w:val="right"/>
    </w:pPr>
    <w:rPr>
      <w:rFonts w:ascii="Tahoma" w:eastAsia="Calibri" w:hAnsi="Tahoma" w:cs="Tahoma"/>
      <w:sz w:val="16"/>
      <w:szCs w:val="16"/>
      <w:lang w:eastAsia="en-US"/>
    </w:rPr>
  </w:style>
  <w:style w:type="character" w:customStyle="1" w:styleId="RozvrendokumentuChar">
    <w:name w:val="Rozvržení dokumentu Char"/>
    <w:basedOn w:val="Standardnpsmoodstavce"/>
    <w:link w:val="Rozvrendokumentu"/>
    <w:uiPriority w:val="99"/>
    <w:semiHidden/>
    <w:rsid w:val="002518C4"/>
    <w:rPr>
      <w:rFonts w:ascii="Tahoma" w:eastAsia="Calibri" w:hAnsi="Tahoma" w:cs="Tahoma"/>
      <w:sz w:val="16"/>
      <w:szCs w:val="16"/>
      <w:lang w:eastAsia="en-US"/>
    </w:rPr>
  </w:style>
  <w:style w:type="paragraph" w:styleId="Textvbloku">
    <w:name w:val="Block Text"/>
    <w:basedOn w:val="Normln"/>
    <w:uiPriority w:val="99"/>
    <w:unhideWhenUsed/>
    <w:rsid w:val="002518C4"/>
    <w:pPr>
      <w:widowControl w:val="0"/>
      <w:pBdr>
        <w:top w:val="single" w:sz="2" w:space="10" w:color="4F81BD" w:shadow="1"/>
        <w:left w:val="single" w:sz="2" w:space="10" w:color="4F81BD" w:shadow="1"/>
        <w:bottom w:val="single" w:sz="2" w:space="10" w:color="4F81BD" w:shadow="1"/>
        <w:right w:val="single" w:sz="2" w:space="10" w:color="4F81BD" w:shadow="1"/>
      </w:pBdr>
      <w:autoSpaceDE w:val="0"/>
      <w:autoSpaceDN w:val="0"/>
      <w:adjustRightInd w:val="0"/>
      <w:ind w:left="1152" w:right="1152"/>
      <w:jc w:val="right"/>
    </w:pPr>
    <w:rPr>
      <w:rFonts w:ascii="Calibri" w:hAnsi="Calibri"/>
      <w:i/>
      <w:iCs/>
      <w:color w:val="4F81BD"/>
      <w:sz w:val="20"/>
      <w:szCs w:val="20"/>
    </w:rPr>
  </w:style>
  <w:style w:type="character" w:customStyle="1" w:styleId="ZkladntextChar1">
    <w:name w:val="Základní text Char1"/>
    <w:basedOn w:val="Standardnpsmoodstavce"/>
    <w:link w:val="Zkladntext"/>
    <w:uiPriority w:val="99"/>
    <w:rsid w:val="002518C4"/>
    <w:rPr>
      <w:rFonts w:ascii="Arial" w:hAnsi="Arial" w:cs="Arial"/>
    </w:rPr>
  </w:style>
  <w:style w:type="numbering" w:customStyle="1" w:styleId="Styl2">
    <w:name w:val="Styl2"/>
    <w:rsid w:val="00617043"/>
    <w:pPr>
      <w:numPr>
        <w:numId w:val="8"/>
      </w:numPr>
    </w:pPr>
  </w:style>
  <w:style w:type="character" w:customStyle="1" w:styleId="Nzvyobrzku">
    <w:name w:val="Názvy obrázku"/>
    <w:basedOn w:val="Siln"/>
    <w:uiPriority w:val="1"/>
    <w:qFormat/>
    <w:rsid w:val="000A3839"/>
    <w:rPr>
      <w:rFonts w:ascii="Arial Black" w:hAnsi="Arial Black"/>
      <w:i/>
    </w:rPr>
  </w:style>
  <w:style w:type="paragraph" w:customStyle="1" w:styleId="Dilonadpis1">
    <w:name w:val="Dilo_nadpis_1"/>
    <w:basedOn w:val="Nadpis2"/>
    <w:link w:val="Dilonadpis1Char"/>
    <w:autoRedefine/>
    <w:rsid w:val="004B4F8D"/>
    <w:pPr>
      <w:numPr>
        <w:numId w:val="46"/>
      </w:numPr>
      <w:ind w:left="567" w:hanging="567"/>
    </w:pPr>
  </w:style>
  <w:style w:type="paragraph" w:customStyle="1" w:styleId="Dilotext">
    <w:name w:val="Dilo_text"/>
    <w:basedOn w:val="Dilonadpis1"/>
    <w:autoRedefine/>
    <w:qFormat/>
    <w:rsid w:val="009B1D86"/>
    <w:pPr>
      <w:spacing w:after="120"/>
      <w:ind w:left="142" w:firstLine="0"/>
    </w:pPr>
    <w:rPr>
      <w:sz w:val="20"/>
    </w:rPr>
  </w:style>
  <w:style w:type="paragraph" w:customStyle="1" w:styleId="Nadpis">
    <w:name w:val="Nadpis"/>
    <w:basedOn w:val="Normln"/>
    <w:next w:val="Zkladntext"/>
    <w:rsid w:val="00EE2C7C"/>
    <w:pPr>
      <w:keepNext/>
      <w:suppressAutoHyphens/>
      <w:spacing w:before="240" w:after="120"/>
      <w:jc w:val="left"/>
    </w:pPr>
    <w:rPr>
      <w:rFonts w:eastAsia="Arial Unicode MS" w:cs="Tahoma"/>
      <w:bCs/>
      <w:sz w:val="28"/>
      <w:szCs w:val="28"/>
      <w:lang w:eastAsia="ar-SA"/>
    </w:rPr>
  </w:style>
  <w:style w:type="character" w:styleId="Zdraznnjemn">
    <w:name w:val="Subtle Emphasis"/>
    <w:basedOn w:val="Standardnpsmoodstavce"/>
    <w:uiPriority w:val="19"/>
    <w:qFormat/>
    <w:rsid w:val="008D4293"/>
    <w:rPr>
      <w:i/>
      <w:iCs/>
      <w:color w:val="808080"/>
    </w:rPr>
  </w:style>
  <w:style w:type="paragraph" w:styleId="Revize">
    <w:name w:val="Revision"/>
    <w:hidden/>
    <w:uiPriority w:val="99"/>
    <w:semiHidden/>
    <w:rsid w:val="008D4293"/>
    <w:rPr>
      <w:rFonts w:ascii="Times New Roman" w:hAnsi="Times New Roman"/>
      <w:sz w:val="24"/>
      <w:szCs w:val="24"/>
      <w:lang w:eastAsia="ar-SA"/>
    </w:rPr>
  </w:style>
  <w:style w:type="paragraph" w:customStyle="1" w:styleId="Rbntext">
    <w:name w:val="R běžný text"/>
    <w:rsid w:val="008D4293"/>
    <w:pPr>
      <w:spacing w:after="120"/>
      <w:jc w:val="both"/>
    </w:pPr>
  </w:style>
  <w:style w:type="numbering" w:customStyle="1" w:styleId="Styl3">
    <w:name w:val="Styl3"/>
    <w:rsid w:val="00FA6BE4"/>
    <w:pPr>
      <w:numPr>
        <w:numId w:val="9"/>
      </w:numPr>
    </w:pPr>
  </w:style>
  <w:style w:type="numbering" w:customStyle="1" w:styleId="Styl4">
    <w:name w:val="Styl4"/>
    <w:rsid w:val="00852693"/>
    <w:pPr>
      <w:numPr>
        <w:numId w:val="10"/>
      </w:numPr>
    </w:pPr>
  </w:style>
  <w:style w:type="numbering" w:customStyle="1" w:styleId="Styl5">
    <w:name w:val="Styl5"/>
    <w:rsid w:val="00852693"/>
    <w:pPr>
      <w:numPr>
        <w:numId w:val="11"/>
      </w:numPr>
    </w:pPr>
  </w:style>
  <w:style w:type="numbering" w:customStyle="1" w:styleId="Styl6">
    <w:name w:val="Styl6"/>
    <w:rsid w:val="00852693"/>
    <w:pPr>
      <w:numPr>
        <w:numId w:val="12"/>
      </w:numPr>
    </w:pPr>
  </w:style>
  <w:style w:type="numbering" w:customStyle="1" w:styleId="Styl7">
    <w:name w:val="Styl7"/>
    <w:rsid w:val="00852693"/>
    <w:pPr>
      <w:numPr>
        <w:numId w:val="13"/>
      </w:numPr>
    </w:pPr>
  </w:style>
  <w:style w:type="numbering" w:customStyle="1" w:styleId="Styl8">
    <w:name w:val="Styl8"/>
    <w:rsid w:val="00852693"/>
    <w:pPr>
      <w:numPr>
        <w:numId w:val="15"/>
      </w:numPr>
    </w:pPr>
  </w:style>
  <w:style w:type="numbering" w:customStyle="1" w:styleId="Styl9">
    <w:name w:val="Styl9"/>
    <w:rsid w:val="00852693"/>
    <w:pPr>
      <w:numPr>
        <w:numId w:val="16"/>
      </w:numPr>
    </w:pPr>
  </w:style>
  <w:style w:type="numbering" w:customStyle="1" w:styleId="Styl10">
    <w:name w:val="Styl10"/>
    <w:rsid w:val="00852693"/>
    <w:pPr>
      <w:numPr>
        <w:numId w:val="17"/>
      </w:numPr>
    </w:pPr>
  </w:style>
  <w:style w:type="numbering" w:customStyle="1" w:styleId="Styl11">
    <w:name w:val="Styl11"/>
    <w:rsid w:val="00852693"/>
    <w:pPr>
      <w:numPr>
        <w:numId w:val="18"/>
      </w:numPr>
    </w:pPr>
  </w:style>
  <w:style w:type="numbering" w:customStyle="1" w:styleId="Styl12">
    <w:name w:val="Styl12"/>
    <w:rsid w:val="00B823EB"/>
    <w:pPr>
      <w:numPr>
        <w:numId w:val="19"/>
      </w:numPr>
    </w:pPr>
  </w:style>
  <w:style w:type="numbering" w:customStyle="1" w:styleId="Styl13">
    <w:name w:val="Styl13"/>
    <w:rsid w:val="00926E82"/>
    <w:pPr>
      <w:numPr>
        <w:numId w:val="20"/>
      </w:numPr>
    </w:pPr>
  </w:style>
  <w:style w:type="numbering" w:customStyle="1" w:styleId="Styl14">
    <w:name w:val="Styl14"/>
    <w:rsid w:val="001E0EB0"/>
    <w:pPr>
      <w:numPr>
        <w:numId w:val="21"/>
      </w:numPr>
    </w:pPr>
  </w:style>
  <w:style w:type="character" w:customStyle="1" w:styleId="Nadpis5Char">
    <w:name w:val="Nadpis 5 Char"/>
    <w:basedOn w:val="Standardnpsmoodstavce"/>
    <w:link w:val="Nadpis5"/>
    <w:uiPriority w:val="9"/>
    <w:rsid w:val="009E2909"/>
    <w:rPr>
      <w:rFonts w:eastAsia="Calibri"/>
      <w:b/>
      <w:bCs/>
      <w:sz w:val="24"/>
      <w:szCs w:val="24"/>
    </w:rPr>
  </w:style>
  <w:style w:type="character" w:customStyle="1" w:styleId="Nadpis6Char">
    <w:name w:val="Nadpis 6 Char"/>
    <w:basedOn w:val="Standardnpsmoodstavce"/>
    <w:link w:val="Nadpis6"/>
    <w:uiPriority w:val="9"/>
    <w:rsid w:val="001E0EB0"/>
    <w:rPr>
      <w:rFonts w:cs="Arial"/>
      <w:b/>
      <w:bCs/>
      <w:sz w:val="32"/>
      <w:szCs w:val="28"/>
    </w:rPr>
  </w:style>
  <w:style w:type="character" w:customStyle="1" w:styleId="Nadpis8Char">
    <w:name w:val="Nadpis 8 Char"/>
    <w:basedOn w:val="Standardnpsmoodstavce"/>
    <w:link w:val="Nadpis8"/>
    <w:uiPriority w:val="9"/>
    <w:rsid w:val="001E0EB0"/>
    <w:rPr>
      <w:rFonts w:cs="Arial"/>
      <w:b/>
      <w:bCs/>
      <w:sz w:val="28"/>
      <w:szCs w:val="28"/>
    </w:rPr>
  </w:style>
  <w:style w:type="numbering" w:customStyle="1" w:styleId="Styl15">
    <w:name w:val="Styl15"/>
    <w:rsid w:val="000C73FB"/>
    <w:pPr>
      <w:numPr>
        <w:numId w:val="22"/>
      </w:numPr>
    </w:pPr>
  </w:style>
  <w:style w:type="numbering" w:customStyle="1" w:styleId="Styl16">
    <w:name w:val="Styl16"/>
    <w:rsid w:val="00742879"/>
    <w:pPr>
      <w:numPr>
        <w:numId w:val="24"/>
      </w:numPr>
    </w:pPr>
  </w:style>
  <w:style w:type="paragraph" w:customStyle="1" w:styleId="Styl17">
    <w:name w:val="Styl17"/>
    <w:basedOn w:val="Podtitul"/>
    <w:link w:val="Styl17Char"/>
    <w:qFormat/>
    <w:rsid w:val="00742879"/>
    <w:pPr>
      <w:numPr>
        <w:ilvl w:val="0"/>
        <w:numId w:val="0"/>
      </w:numPr>
      <w:ind w:left="709" w:hanging="709"/>
    </w:pPr>
  </w:style>
  <w:style w:type="numbering" w:customStyle="1" w:styleId="Styl18">
    <w:name w:val="Styl18"/>
    <w:rsid w:val="00CE6493"/>
    <w:pPr>
      <w:numPr>
        <w:numId w:val="25"/>
      </w:numPr>
    </w:pPr>
  </w:style>
  <w:style w:type="character" w:customStyle="1" w:styleId="Styl17Char">
    <w:name w:val="Styl17 Char"/>
    <w:basedOn w:val="PodtitulChar"/>
    <w:link w:val="Styl17"/>
    <w:rsid w:val="00742879"/>
    <w:rPr>
      <w:b/>
    </w:rPr>
  </w:style>
  <w:style w:type="paragraph" w:customStyle="1" w:styleId="Stylkapitola1">
    <w:name w:val="Styl kapitola 1"/>
    <w:basedOn w:val="Dilonadpis1"/>
    <w:link w:val="Stylkapitola1Char"/>
    <w:qFormat/>
    <w:rsid w:val="00513233"/>
    <w:rPr>
      <w:rFonts w:eastAsia="Calibri"/>
    </w:rPr>
  </w:style>
  <w:style w:type="paragraph" w:customStyle="1" w:styleId="podkapitola11Styl19">
    <w:name w:val="podkapitola 1.1.Styl19"/>
    <w:basedOn w:val="Podtitul"/>
    <w:link w:val="podkapitola11Styl19Char"/>
    <w:qFormat/>
    <w:rsid w:val="00513233"/>
    <w:pPr>
      <w:numPr>
        <w:ilvl w:val="0"/>
        <w:numId w:val="0"/>
      </w:numPr>
      <w:ind w:left="709" w:hanging="709"/>
    </w:pPr>
  </w:style>
  <w:style w:type="character" w:customStyle="1" w:styleId="Stylkapitola1Char">
    <w:name w:val="Styl kapitola 1 Char"/>
    <w:basedOn w:val="PodtitulChar"/>
    <w:link w:val="Stylkapitola1"/>
    <w:rsid w:val="00513233"/>
    <w:rPr>
      <w:rFonts w:eastAsia="Calibri" w:cs="Arial"/>
      <w:bCs/>
      <w:caps/>
      <w:kern w:val="32"/>
      <w:sz w:val="32"/>
      <w:szCs w:val="32"/>
      <w:lang w:eastAsia="ar-SA"/>
    </w:rPr>
  </w:style>
  <w:style w:type="paragraph" w:customStyle="1" w:styleId="podkapitola21">
    <w:name w:val="podkapitola 2.1."/>
    <w:basedOn w:val="podkapitola11Styl19"/>
    <w:link w:val="podkapitola21Char"/>
    <w:qFormat/>
    <w:rsid w:val="00650A13"/>
  </w:style>
  <w:style w:type="character" w:customStyle="1" w:styleId="podkapitola11Styl19Char">
    <w:name w:val="podkapitola 1.1.Styl19 Char"/>
    <w:basedOn w:val="PodtitulChar"/>
    <w:link w:val="podkapitola11Styl19"/>
    <w:rsid w:val="00513233"/>
    <w:rPr>
      <w:b/>
    </w:rPr>
  </w:style>
  <w:style w:type="paragraph" w:customStyle="1" w:styleId="3kapitola">
    <w:name w:val="3. kapitola"/>
    <w:basedOn w:val="Dilonadpis1"/>
    <w:link w:val="3kapitolaChar"/>
    <w:qFormat/>
    <w:rsid w:val="00650A13"/>
  </w:style>
  <w:style w:type="character" w:customStyle="1" w:styleId="podkapitola21Char">
    <w:name w:val="podkapitola 2.1. Char"/>
    <w:basedOn w:val="podkapitola11Styl19Char"/>
    <w:link w:val="podkapitola21"/>
    <w:rsid w:val="00650A13"/>
  </w:style>
  <w:style w:type="paragraph" w:customStyle="1" w:styleId="31">
    <w:name w:val="3.1."/>
    <w:basedOn w:val="Styl17"/>
    <w:link w:val="31Char"/>
    <w:qFormat/>
    <w:rsid w:val="00650A13"/>
    <w:pPr>
      <w:ind w:left="360" w:hanging="360"/>
    </w:pPr>
  </w:style>
  <w:style w:type="character" w:customStyle="1" w:styleId="Dilonadpis1Char">
    <w:name w:val="Dilo_nadpis_1 Char"/>
    <w:basedOn w:val="Nadpis2Char"/>
    <w:link w:val="Dilonadpis1"/>
    <w:rsid w:val="004B4F8D"/>
    <w:rPr>
      <w:b/>
      <w:bCs/>
      <w:caps/>
    </w:rPr>
  </w:style>
  <w:style w:type="character" w:customStyle="1" w:styleId="3kapitolaChar">
    <w:name w:val="3. kapitola Char"/>
    <w:basedOn w:val="Dilonadpis1Char"/>
    <w:link w:val="3kapitola"/>
    <w:rsid w:val="00650A13"/>
  </w:style>
  <w:style w:type="character" w:customStyle="1" w:styleId="31Char">
    <w:name w:val="3.1. Char"/>
    <w:basedOn w:val="podkapitola11Styl19Char"/>
    <w:link w:val="31"/>
    <w:rsid w:val="00650A13"/>
    <w:rPr>
      <w:b/>
    </w:rPr>
  </w:style>
  <w:style w:type="paragraph" w:customStyle="1" w:styleId="11">
    <w:name w:val="1.1."/>
    <w:basedOn w:val="Styl17"/>
    <w:link w:val="11Char"/>
    <w:qFormat/>
    <w:rsid w:val="007C5BE3"/>
    <w:pPr>
      <w:ind w:left="1440" w:hanging="360"/>
    </w:pPr>
  </w:style>
  <w:style w:type="character" w:customStyle="1" w:styleId="11Char">
    <w:name w:val="1.1. Char"/>
    <w:basedOn w:val="podkapitola11Styl19Char"/>
    <w:link w:val="11"/>
    <w:locked/>
    <w:rsid w:val="007C5BE3"/>
    <w:rPr>
      <w:b/>
    </w:rPr>
  </w:style>
</w:styles>
</file>

<file path=word/webSettings.xml><?xml version="1.0" encoding="utf-8"?>
<w:webSettings xmlns:r="http://schemas.openxmlformats.org/officeDocument/2006/relationships" xmlns:w="http://schemas.openxmlformats.org/wordprocessingml/2006/main">
  <w:divs>
    <w:div w:id="27804367">
      <w:bodyDiv w:val="1"/>
      <w:marLeft w:val="0"/>
      <w:marRight w:val="0"/>
      <w:marTop w:val="0"/>
      <w:marBottom w:val="0"/>
      <w:divBdr>
        <w:top w:val="none" w:sz="0" w:space="0" w:color="auto"/>
        <w:left w:val="none" w:sz="0" w:space="0" w:color="auto"/>
        <w:bottom w:val="none" w:sz="0" w:space="0" w:color="auto"/>
        <w:right w:val="none" w:sz="0" w:space="0" w:color="auto"/>
      </w:divBdr>
    </w:div>
    <w:div w:id="42826998">
      <w:bodyDiv w:val="1"/>
      <w:marLeft w:val="0"/>
      <w:marRight w:val="0"/>
      <w:marTop w:val="0"/>
      <w:marBottom w:val="0"/>
      <w:divBdr>
        <w:top w:val="none" w:sz="0" w:space="0" w:color="auto"/>
        <w:left w:val="none" w:sz="0" w:space="0" w:color="auto"/>
        <w:bottom w:val="none" w:sz="0" w:space="0" w:color="auto"/>
        <w:right w:val="none" w:sz="0" w:space="0" w:color="auto"/>
      </w:divBdr>
    </w:div>
    <w:div w:id="44185850">
      <w:bodyDiv w:val="1"/>
      <w:marLeft w:val="0"/>
      <w:marRight w:val="0"/>
      <w:marTop w:val="0"/>
      <w:marBottom w:val="0"/>
      <w:divBdr>
        <w:top w:val="none" w:sz="0" w:space="0" w:color="auto"/>
        <w:left w:val="none" w:sz="0" w:space="0" w:color="auto"/>
        <w:bottom w:val="none" w:sz="0" w:space="0" w:color="auto"/>
        <w:right w:val="none" w:sz="0" w:space="0" w:color="auto"/>
      </w:divBdr>
    </w:div>
    <w:div w:id="74936367">
      <w:bodyDiv w:val="1"/>
      <w:marLeft w:val="0"/>
      <w:marRight w:val="0"/>
      <w:marTop w:val="0"/>
      <w:marBottom w:val="0"/>
      <w:divBdr>
        <w:top w:val="none" w:sz="0" w:space="0" w:color="auto"/>
        <w:left w:val="none" w:sz="0" w:space="0" w:color="auto"/>
        <w:bottom w:val="none" w:sz="0" w:space="0" w:color="auto"/>
        <w:right w:val="none" w:sz="0" w:space="0" w:color="auto"/>
      </w:divBdr>
    </w:div>
    <w:div w:id="75904817">
      <w:bodyDiv w:val="1"/>
      <w:marLeft w:val="0"/>
      <w:marRight w:val="0"/>
      <w:marTop w:val="0"/>
      <w:marBottom w:val="0"/>
      <w:divBdr>
        <w:top w:val="none" w:sz="0" w:space="0" w:color="auto"/>
        <w:left w:val="none" w:sz="0" w:space="0" w:color="auto"/>
        <w:bottom w:val="none" w:sz="0" w:space="0" w:color="auto"/>
        <w:right w:val="none" w:sz="0" w:space="0" w:color="auto"/>
      </w:divBdr>
    </w:div>
    <w:div w:id="103577305">
      <w:bodyDiv w:val="1"/>
      <w:marLeft w:val="0"/>
      <w:marRight w:val="0"/>
      <w:marTop w:val="0"/>
      <w:marBottom w:val="0"/>
      <w:divBdr>
        <w:top w:val="none" w:sz="0" w:space="0" w:color="auto"/>
        <w:left w:val="none" w:sz="0" w:space="0" w:color="auto"/>
        <w:bottom w:val="none" w:sz="0" w:space="0" w:color="auto"/>
        <w:right w:val="none" w:sz="0" w:space="0" w:color="auto"/>
      </w:divBdr>
    </w:div>
    <w:div w:id="114568953">
      <w:bodyDiv w:val="1"/>
      <w:marLeft w:val="0"/>
      <w:marRight w:val="0"/>
      <w:marTop w:val="0"/>
      <w:marBottom w:val="0"/>
      <w:divBdr>
        <w:top w:val="none" w:sz="0" w:space="0" w:color="auto"/>
        <w:left w:val="none" w:sz="0" w:space="0" w:color="auto"/>
        <w:bottom w:val="none" w:sz="0" w:space="0" w:color="auto"/>
        <w:right w:val="none" w:sz="0" w:space="0" w:color="auto"/>
      </w:divBdr>
    </w:div>
    <w:div w:id="115607951">
      <w:bodyDiv w:val="1"/>
      <w:marLeft w:val="0"/>
      <w:marRight w:val="0"/>
      <w:marTop w:val="0"/>
      <w:marBottom w:val="0"/>
      <w:divBdr>
        <w:top w:val="none" w:sz="0" w:space="0" w:color="auto"/>
        <w:left w:val="none" w:sz="0" w:space="0" w:color="auto"/>
        <w:bottom w:val="none" w:sz="0" w:space="0" w:color="auto"/>
        <w:right w:val="none" w:sz="0" w:space="0" w:color="auto"/>
      </w:divBdr>
    </w:div>
    <w:div w:id="192499739">
      <w:bodyDiv w:val="1"/>
      <w:marLeft w:val="0"/>
      <w:marRight w:val="0"/>
      <w:marTop w:val="0"/>
      <w:marBottom w:val="0"/>
      <w:divBdr>
        <w:top w:val="none" w:sz="0" w:space="0" w:color="auto"/>
        <w:left w:val="none" w:sz="0" w:space="0" w:color="auto"/>
        <w:bottom w:val="none" w:sz="0" w:space="0" w:color="auto"/>
        <w:right w:val="none" w:sz="0" w:space="0" w:color="auto"/>
      </w:divBdr>
    </w:div>
    <w:div w:id="224339498">
      <w:bodyDiv w:val="1"/>
      <w:marLeft w:val="0"/>
      <w:marRight w:val="0"/>
      <w:marTop w:val="0"/>
      <w:marBottom w:val="0"/>
      <w:divBdr>
        <w:top w:val="none" w:sz="0" w:space="0" w:color="auto"/>
        <w:left w:val="none" w:sz="0" w:space="0" w:color="auto"/>
        <w:bottom w:val="none" w:sz="0" w:space="0" w:color="auto"/>
        <w:right w:val="none" w:sz="0" w:space="0" w:color="auto"/>
      </w:divBdr>
    </w:div>
    <w:div w:id="227768091">
      <w:bodyDiv w:val="1"/>
      <w:marLeft w:val="0"/>
      <w:marRight w:val="0"/>
      <w:marTop w:val="0"/>
      <w:marBottom w:val="0"/>
      <w:divBdr>
        <w:top w:val="none" w:sz="0" w:space="0" w:color="auto"/>
        <w:left w:val="none" w:sz="0" w:space="0" w:color="auto"/>
        <w:bottom w:val="none" w:sz="0" w:space="0" w:color="auto"/>
        <w:right w:val="none" w:sz="0" w:space="0" w:color="auto"/>
      </w:divBdr>
    </w:div>
    <w:div w:id="230775350">
      <w:bodyDiv w:val="1"/>
      <w:marLeft w:val="0"/>
      <w:marRight w:val="0"/>
      <w:marTop w:val="0"/>
      <w:marBottom w:val="0"/>
      <w:divBdr>
        <w:top w:val="none" w:sz="0" w:space="0" w:color="auto"/>
        <w:left w:val="none" w:sz="0" w:space="0" w:color="auto"/>
        <w:bottom w:val="none" w:sz="0" w:space="0" w:color="auto"/>
        <w:right w:val="none" w:sz="0" w:space="0" w:color="auto"/>
      </w:divBdr>
    </w:div>
    <w:div w:id="281619050">
      <w:bodyDiv w:val="1"/>
      <w:marLeft w:val="0"/>
      <w:marRight w:val="0"/>
      <w:marTop w:val="0"/>
      <w:marBottom w:val="0"/>
      <w:divBdr>
        <w:top w:val="none" w:sz="0" w:space="0" w:color="auto"/>
        <w:left w:val="none" w:sz="0" w:space="0" w:color="auto"/>
        <w:bottom w:val="none" w:sz="0" w:space="0" w:color="auto"/>
        <w:right w:val="none" w:sz="0" w:space="0" w:color="auto"/>
      </w:divBdr>
    </w:div>
    <w:div w:id="345444582">
      <w:bodyDiv w:val="1"/>
      <w:marLeft w:val="0"/>
      <w:marRight w:val="0"/>
      <w:marTop w:val="0"/>
      <w:marBottom w:val="0"/>
      <w:divBdr>
        <w:top w:val="none" w:sz="0" w:space="0" w:color="auto"/>
        <w:left w:val="none" w:sz="0" w:space="0" w:color="auto"/>
        <w:bottom w:val="none" w:sz="0" w:space="0" w:color="auto"/>
        <w:right w:val="none" w:sz="0" w:space="0" w:color="auto"/>
      </w:divBdr>
    </w:div>
    <w:div w:id="388698841">
      <w:bodyDiv w:val="1"/>
      <w:marLeft w:val="0"/>
      <w:marRight w:val="0"/>
      <w:marTop w:val="0"/>
      <w:marBottom w:val="0"/>
      <w:divBdr>
        <w:top w:val="none" w:sz="0" w:space="0" w:color="auto"/>
        <w:left w:val="none" w:sz="0" w:space="0" w:color="auto"/>
        <w:bottom w:val="none" w:sz="0" w:space="0" w:color="auto"/>
        <w:right w:val="none" w:sz="0" w:space="0" w:color="auto"/>
      </w:divBdr>
    </w:div>
    <w:div w:id="432943583">
      <w:bodyDiv w:val="1"/>
      <w:marLeft w:val="0"/>
      <w:marRight w:val="0"/>
      <w:marTop w:val="0"/>
      <w:marBottom w:val="0"/>
      <w:divBdr>
        <w:top w:val="none" w:sz="0" w:space="0" w:color="auto"/>
        <w:left w:val="none" w:sz="0" w:space="0" w:color="auto"/>
        <w:bottom w:val="none" w:sz="0" w:space="0" w:color="auto"/>
        <w:right w:val="none" w:sz="0" w:space="0" w:color="auto"/>
      </w:divBdr>
    </w:div>
    <w:div w:id="492648888">
      <w:bodyDiv w:val="1"/>
      <w:marLeft w:val="0"/>
      <w:marRight w:val="0"/>
      <w:marTop w:val="0"/>
      <w:marBottom w:val="0"/>
      <w:divBdr>
        <w:top w:val="none" w:sz="0" w:space="0" w:color="auto"/>
        <w:left w:val="none" w:sz="0" w:space="0" w:color="auto"/>
        <w:bottom w:val="none" w:sz="0" w:space="0" w:color="auto"/>
        <w:right w:val="none" w:sz="0" w:space="0" w:color="auto"/>
      </w:divBdr>
    </w:div>
    <w:div w:id="554202696">
      <w:bodyDiv w:val="1"/>
      <w:marLeft w:val="0"/>
      <w:marRight w:val="0"/>
      <w:marTop w:val="0"/>
      <w:marBottom w:val="0"/>
      <w:divBdr>
        <w:top w:val="none" w:sz="0" w:space="0" w:color="auto"/>
        <w:left w:val="none" w:sz="0" w:space="0" w:color="auto"/>
        <w:bottom w:val="none" w:sz="0" w:space="0" w:color="auto"/>
        <w:right w:val="none" w:sz="0" w:space="0" w:color="auto"/>
      </w:divBdr>
    </w:div>
    <w:div w:id="643386736">
      <w:bodyDiv w:val="1"/>
      <w:marLeft w:val="0"/>
      <w:marRight w:val="0"/>
      <w:marTop w:val="0"/>
      <w:marBottom w:val="0"/>
      <w:divBdr>
        <w:top w:val="none" w:sz="0" w:space="0" w:color="auto"/>
        <w:left w:val="none" w:sz="0" w:space="0" w:color="auto"/>
        <w:bottom w:val="none" w:sz="0" w:space="0" w:color="auto"/>
        <w:right w:val="none" w:sz="0" w:space="0" w:color="auto"/>
      </w:divBdr>
    </w:div>
    <w:div w:id="644091133">
      <w:bodyDiv w:val="1"/>
      <w:marLeft w:val="0"/>
      <w:marRight w:val="0"/>
      <w:marTop w:val="0"/>
      <w:marBottom w:val="0"/>
      <w:divBdr>
        <w:top w:val="none" w:sz="0" w:space="0" w:color="auto"/>
        <w:left w:val="none" w:sz="0" w:space="0" w:color="auto"/>
        <w:bottom w:val="none" w:sz="0" w:space="0" w:color="auto"/>
        <w:right w:val="none" w:sz="0" w:space="0" w:color="auto"/>
      </w:divBdr>
    </w:div>
    <w:div w:id="692459919">
      <w:bodyDiv w:val="1"/>
      <w:marLeft w:val="0"/>
      <w:marRight w:val="0"/>
      <w:marTop w:val="0"/>
      <w:marBottom w:val="0"/>
      <w:divBdr>
        <w:top w:val="none" w:sz="0" w:space="0" w:color="auto"/>
        <w:left w:val="none" w:sz="0" w:space="0" w:color="auto"/>
        <w:bottom w:val="none" w:sz="0" w:space="0" w:color="auto"/>
        <w:right w:val="none" w:sz="0" w:space="0" w:color="auto"/>
      </w:divBdr>
    </w:div>
    <w:div w:id="704596729">
      <w:bodyDiv w:val="1"/>
      <w:marLeft w:val="0"/>
      <w:marRight w:val="0"/>
      <w:marTop w:val="0"/>
      <w:marBottom w:val="0"/>
      <w:divBdr>
        <w:top w:val="none" w:sz="0" w:space="0" w:color="auto"/>
        <w:left w:val="none" w:sz="0" w:space="0" w:color="auto"/>
        <w:bottom w:val="none" w:sz="0" w:space="0" w:color="auto"/>
        <w:right w:val="none" w:sz="0" w:space="0" w:color="auto"/>
      </w:divBdr>
    </w:div>
    <w:div w:id="754784416">
      <w:bodyDiv w:val="1"/>
      <w:marLeft w:val="0"/>
      <w:marRight w:val="0"/>
      <w:marTop w:val="0"/>
      <w:marBottom w:val="0"/>
      <w:divBdr>
        <w:top w:val="none" w:sz="0" w:space="0" w:color="auto"/>
        <w:left w:val="none" w:sz="0" w:space="0" w:color="auto"/>
        <w:bottom w:val="none" w:sz="0" w:space="0" w:color="auto"/>
        <w:right w:val="none" w:sz="0" w:space="0" w:color="auto"/>
      </w:divBdr>
    </w:div>
    <w:div w:id="813915524">
      <w:bodyDiv w:val="1"/>
      <w:marLeft w:val="0"/>
      <w:marRight w:val="0"/>
      <w:marTop w:val="0"/>
      <w:marBottom w:val="0"/>
      <w:divBdr>
        <w:top w:val="none" w:sz="0" w:space="0" w:color="auto"/>
        <w:left w:val="none" w:sz="0" w:space="0" w:color="auto"/>
        <w:bottom w:val="none" w:sz="0" w:space="0" w:color="auto"/>
        <w:right w:val="none" w:sz="0" w:space="0" w:color="auto"/>
      </w:divBdr>
    </w:div>
    <w:div w:id="817383832">
      <w:bodyDiv w:val="1"/>
      <w:marLeft w:val="0"/>
      <w:marRight w:val="0"/>
      <w:marTop w:val="0"/>
      <w:marBottom w:val="0"/>
      <w:divBdr>
        <w:top w:val="none" w:sz="0" w:space="0" w:color="auto"/>
        <w:left w:val="none" w:sz="0" w:space="0" w:color="auto"/>
        <w:bottom w:val="none" w:sz="0" w:space="0" w:color="auto"/>
        <w:right w:val="none" w:sz="0" w:space="0" w:color="auto"/>
      </w:divBdr>
    </w:div>
    <w:div w:id="831528479">
      <w:bodyDiv w:val="1"/>
      <w:marLeft w:val="0"/>
      <w:marRight w:val="0"/>
      <w:marTop w:val="0"/>
      <w:marBottom w:val="0"/>
      <w:divBdr>
        <w:top w:val="none" w:sz="0" w:space="0" w:color="auto"/>
        <w:left w:val="none" w:sz="0" w:space="0" w:color="auto"/>
        <w:bottom w:val="none" w:sz="0" w:space="0" w:color="auto"/>
        <w:right w:val="none" w:sz="0" w:space="0" w:color="auto"/>
      </w:divBdr>
    </w:div>
    <w:div w:id="864096364">
      <w:bodyDiv w:val="1"/>
      <w:marLeft w:val="0"/>
      <w:marRight w:val="0"/>
      <w:marTop w:val="0"/>
      <w:marBottom w:val="0"/>
      <w:divBdr>
        <w:top w:val="none" w:sz="0" w:space="0" w:color="auto"/>
        <w:left w:val="none" w:sz="0" w:space="0" w:color="auto"/>
        <w:bottom w:val="none" w:sz="0" w:space="0" w:color="auto"/>
        <w:right w:val="none" w:sz="0" w:space="0" w:color="auto"/>
      </w:divBdr>
    </w:div>
    <w:div w:id="875043978">
      <w:bodyDiv w:val="1"/>
      <w:marLeft w:val="0"/>
      <w:marRight w:val="0"/>
      <w:marTop w:val="0"/>
      <w:marBottom w:val="0"/>
      <w:divBdr>
        <w:top w:val="none" w:sz="0" w:space="0" w:color="auto"/>
        <w:left w:val="none" w:sz="0" w:space="0" w:color="auto"/>
        <w:bottom w:val="none" w:sz="0" w:space="0" w:color="auto"/>
        <w:right w:val="none" w:sz="0" w:space="0" w:color="auto"/>
      </w:divBdr>
    </w:div>
    <w:div w:id="944388958">
      <w:bodyDiv w:val="1"/>
      <w:marLeft w:val="0"/>
      <w:marRight w:val="0"/>
      <w:marTop w:val="0"/>
      <w:marBottom w:val="0"/>
      <w:divBdr>
        <w:top w:val="none" w:sz="0" w:space="0" w:color="auto"/>
        <w:left w:val="none" w:sz="0" w:space="0" w:color="auto"/>
        <w:bottom w:val="none" w:sz="0" w:space="0" w:color="auto"/>
        <w:right w:val="none" w:sz="0" w:space="0" w:color="auto"/>
      </w:divBdr>
    </w:div>
    <w:div w:id="1078481937">
      <w:bodyDiv w:val="1"/>
      <w:marLeft w:val="0"/>
      <w:marRight w:val="0"/>
      <w:marTop w:val="0"/>
      <w:marBottom w:val="0"/>
      <w:divBdr>
        <w:top w:val="none" w:sz="0" w:space="0" w:color="auto"/>
        <w:left w:val="none" w:sz="0" w:space="0" w:color="auto"/>
        <w:bottom w:val="none" w:sz="0" w:space="0" w:color="auto"/>
        <w:right w:val="none" w:sz="0" w:space="0" w:color="auto"/>
      </w:divBdr>
    </w:div>
    <w:div w:id="1112746538">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53595133">
      <w:bodyDiv w:val="1"/>
      <w:marLeft w:val="0"/>
      <w:marRight w:val="0"/>
      <w:marTop w:val="0"/>
      <w:marBottom w:val="0"/>
      <w:divBdr>
        <w:top w:val="none" w:sz="0" w:space="0" w:color="auto"/>
        <w:left w:val="none" w:sz="0" w:space="0" w:color="auto"/>
        <w:bottom w:val="none" w:sz="0" w:space="0" w:color="auto"/>
        <w:right w:val="none" w:sz="0" w:space="0" w:color="auto"/>
      </w:divBdr>
    </w:div>
    <w:div w:id="1162965205">
      <w:bodyDiv w:val="1"/>
      <w:marLeft w:val="0"/>
      <w:marRight w:val="0"/>
      <w:marTop w:val="0"/>
      <w:marBottom w:val="0"/>
      <w:divBdr>
        <w:top w:val="none" w:sz="0" w:space="0" w:color="auto"/>
        <w:left w:val="none" w:sz="0" w:space="0" w:color="auto"/>
        <w:bottom w:val="none" w:sz="0" w:space="0" w:color="auto"/>
        <w:right w:val="none" w:sz="0" w:space="0" w:color="auto"/>
      </w:divBdr>
    </w:div>
    <w:div w:id="1163352201">
      <w:bodyDiv w:val="1"/>
      <w:marLeft w:val="0"/>
      <w:marRight w:val="0"/>
      <w:marTop w:val="0"/>
      <w:marBottom w:val="0"/>
      <w:divBdr>
        <w:top w:val="none" w:sz="0" w:space="0" w:color="auto"/>
        <w:left w:val="none" w:sz="0" w:space="0" w:color="auto"/>
        <w:bottom w:val="none" w:sz="0" w:space="0" w:color="auto"/>
        <w:right w:val="none" w:sz="0" w:space="0" w:color="auto"/>
      </w:divBdr>
    </w:div>
    <w:div w:id="1220357205">
      <w:bodyDiv w:val="1"/>
      <w:marLeft w:val="0"/>
      <w:marRight w:val="0"/>
      <w:marTop w:val="0"/>
      <w:marBottom w:val="0"/>
      <w:divBdr>
        <w:top w:val="none" w:sz="0" w:space="0" w:color="auto"/>
        <w:left w:val="none" w:sz="0" w:space="0" w:color="auto"/>
        <w:bottom w:val="none" w:sz="0" w:space="0" w:color="auto"/>
        <w:right w:val="none" w:sz="0" w:space="0" w:color="auto"/>
      </w:divBdr>
    </w:div>
    <w:div w:id="1270695417">
      <w:bodyDiv w:val="1"/>
      <w:marLeft w:val="0"/>
      <w:marRight w:val="0"/>
      <w:marTop w:val="0"/>
      <w:marBottom w:val="0"/>
      <w:divBdr>
        <w:top w:val="none" w:sz="0" w:space="0" w:color="auto"/>
        <w:left w:val="none" w:sz="0" w:space="0" w:color="auto"/>
        <w:bottom w:val="none" w:sz="0" w:space="0" w:color="auto"/>
        <w:right w:val="none" w:sz="0" w:space="0" w:color="auto"/>
      </w:divBdr>
    </w:div>
    <w:div w:id="1282763680">
      <w:bodyDiv w:val="1"/>
      <w:marLeft w:val="0"/>
      <w:marRight w:val="0"/>
      <w:marTop w:val="0"/>
      <w:marBottom w:val="0"/>
      <w:divBdr>
        <w:top w:val="none" w:sz="0" w:space="0" w:color="auto"/>
        <w:left w:val="none" w:sz="0" w:space="0" w:color="auto"/>
        <w:bottom w:val="none" w:sz="0" w:space="0" w:color="auto"/>
        <w:right w:val="none" w:sz="0" w:space="0" w:color="auto"/>
      </w:divBdr>
    </w:div>
    <w:div w:id="1295519853">
      <w:bodyDiv w:val="1"/>
      <w:marLeft w:val="0"/>
      <w:marRight w:val="0"/>
      <w:marTop w:val="0"/>
      <w:marBottom w:val="0"/>
      <w:divBdr>
        <w:top w:val="none" w:sz="0" w:space="0" w:color="auto"/>
        <w:left w:val="none" w:sz="0" w:space="0" w:color="auto"/>
        <w:bottom w:val="none" w:sz="0" w:space="0" w:color="auto"/>
        <w:right w:val="none" w:sz="0" w:space="0" w:color="auto"/>
      </w:divBdr>
    </w:div>
    <w:div w:id="1336418020">
      <w:bodyDiv w:val="1"/>
      <w:marLeft w:val="0"/>
      <w:marRight w:val="0"/>
      <w:marTop w:val="0"/>
      <w:marBottom w:val="0"/>
      <w:divBdr>
        <w:top w:val="none" w:sz="0" w:space="0" w:color="auto"/>
        <w:left w:val="none" w:sz="0" w:space="0" w:color="auto"/>
        <w:bottom w:val="none" w:sz="0" w:space="0" w:color="auto"/>
        <w:right w:val="none" w:sz="0" w:space="0" w:color="auto"/>
      </w:divBdr>
    </w:div>
    <w:div w:id="1399476367">
      <w:bodyDiv w:val="1"/>
      <w:marLeft w:val="0"/>
      <w:marRight w:val="0"/>
      <w:marTop w:val="0"/>
      <w:marBottom w:val="0"/>
      <w:divBdr>
        <w:top w:val="none" w:sz="0" w:space="0" w:color="auto"/>
        <w:left w:val="none" w:sz="0" w:space="0" w:color="auto"/>
        <w:bottom w:val="none" w:sz="0" w:space="0" w:color="auto"/>
        <w:right w:val="none" w:sz="0" w:space="0" w:color="auto"/>
      </w:divBdr>
    </w:div>
    <w:div w:id="1420062745">
      <w:bodyDiv w:val="1"/>
      <w:marLeft w:val="0"/>
      <w:marRight w:val="0"/>
      <w:marTop w:val="0"/>
      <w:marBottom w:val="0"/>
      <w:divBdr>
        <w:top w:val="none" w:sz="0" w:space="0" w:color="auto"/>
        <w:left w:val="none" w:sz="0" w:space="0" w:color="auto"/>
        <w:bottom w:val="none" w:sz="0" w:space="0" w:color="auto"/>
        <w:right w:val="none" w:sz="0" w:space="0" w:color="auto"/>
      </w:divBdr>
    </w:div>
    <w:div w:id="1465393855">
      <w:bodyDiv w:val="1"/>
      <w:marLeft w:val="0"/>
      <w:marRight w:val="0"/>
      <w:marTop w:val="0"/>
      <w:marBottom w:val="0"/>
      <w:divBdr>
        <w:top w:val="none" w:sz="0" w:space="0" w:color="auto"/>
        <w:left w:val="none" w:sz="0" w:space="0" w:color="auto"/>
        <w:bottom w:val="none" w:sz="0" w:space="0" w:color="auto"/>
        <w:right w:val="none" w:sz="0" w:space="0" w:color="auto"/>
      </w:divBdr>
    </w:div>
    <w:div w:id="1522088410">
      <w:bodyDiv w:val="1"/>
      <w:marLeft w:val="0"/>
      <w:marRight w:val="0"/>
      <w:marTop w:val="0"/>
      <w:marBottom w:val="0"/>
      <w:divBdr>
        <w:top w:val="none" w:sz="0" w:space="0" w:color="auto"/>
        <w:left w:val="none" w:sz="0" w:space="0" w:color="auto"/>
        <w:bottom w:val="none" w:sz="0" w:space="0" w:color="auto"/>
        <w:right w:val="none" w:sz="0" w:space="0" w:color="auto"/>
      </w:divBdr>
    </w:div>
    <w:div w:id="1536038767">
      <w:bodyDiv w:val="1"/>
      <w:marLeft w:val="0"/>
      <w:marRight w:val="0"/>
      <w:marTop w:val="0"/>
      <w:marBottom w:val="0"/>
      <w:divBdr>
        <w:top w:val="none" w:sz="0" w:space="0" w:color="auto"/>
        <w:left w:val="none" w:sz="0" w:space="0" w:color="auto"/>
        <w:bottom w:val="none" w:sz="0" w:space="0" w:color="auto"/>
        <w:right w:val="none" w:sz="0" w:space="0" w:color="auto"/>
      </w:divBdr>
    </w:div>
    <w:div w:id="1537229880">
      <w:bodyDiv w:val="1"/>
      <w:marLeft w:val="0"/>
      <w:marRight w:val="0"/>
      <w:marTop w:val="0"/>
      <w:marBottom w:val="0"/>
      <w:divBdr>
        <w:top w:val="none" w:sz="0" w:space="0" w:color="auto"/>
        <w:left w:val="none" w:sz="0" w:space="0" w:color="auto"/>
        <w:bottom w:val="none" w:sz="0" w:space="0" w:color="auto"/>
        <w:right w:val="none" w:sz="0" w:space="0" w:color="auto"/>
      </w:divBdr>
    </w:div>
    <w:div w:id="1587884083">
      <w:bodyDiv w:val="1"/>
      <w:marLeft w:val="0"/>
      <w:marRight w:val="0"/>
      <w:marTop w:val="0"/>
      <w:marBottom w:val="0"/>
      <w:divBdr>
        <w:top w:val="none" w:sz="0" w:space="0" w:color="auto"/>
        <w:left w:val="none" w:sz="0" w:space="0" w:color="auto"/>
        <w:bottom w:val="none" w:sz="0" w:space="0" w:color="auto"/>
        <w:right w:val="none" w:sz="0" w:space="0" w:color="auto"/>
      </w:divBdr>
    </w:div>
    <w:div w:id="1678146295">
      <w:bodyDiv w:val="1"/>
      <w:marLeft w:val="0"/>
      <w:marRight w:val="0"/>
      <w:marTop w:val="0"/>
      <w:marBottom w:val="0"/>
      <w:divBdr>
        <w:top w:val="none" w:sz="0" w:space="0" w:color="auto"/>
        <w:left w:val="none" w:sz="0" w:space="0" w:color="auto"/>
        <w:bottom w:val="none" w:sz="0" w:space="0" w:color="auto"/>
        <w:right w:val="none" w:sz="0" w:space="0" w:color="auto"/>
      </w:divBdr>
    </w:div>
    <w:div w:id="1689328154">
      <w:bodyDiv w:val="1"/>
      <w:marLeft w:val="0"/>
      <w:marRight w:val="0"/>
      <w:marTop w:val="0"/>
      <w:marBottom w:val="0"/>
      <w:divBdr>
        <w:top w:val="none" w:sz="0" w:space="0" w:color="auto"/>
        <w:left w:val="none" w:sz="0" w:space="0" w:color="auto"/>
        <w:bottom w:val="none" w:sz="0" w:space="0" w:color="auto"/>
        <w:right w:val="none" w:sz="0" w:space="0" w:color="auto"/>
      </w:divBdr>
    </w:div>
    <w:div w:id="1699312407">
      <w:bodyDiv w:val="1"/>
      <w:marLeft w:val="0"/>
      <w:marRight w:val="0"/>
      <w:marTop w:val="0"/>
      <w:marBottom w:val="0"/>
      <w:divBdr>
        <w:top w:val="none" w:sz="0" w:space="0" w:color="auto"/>
        <w:left w:val="none" w:sz="0" w:space="0" w:color="auto"/>
        <w:bottom w:val="none" w:sz="0" w:space="0" w:color="auto"/>
        <w:right w:val="none" w:sz="0" w:space="0" w:color="auto"/>
      </w:divBdr>
    </w:div>
    <w:div w:id="1699895820">
      <w:bodyDiv w:val="1"/>
      <w:marLeft w:val="0"/>
      <w:marRight w:val="0"/>
      <w:marTop w:val="0"/>
      <w:marBottom w:val="0"/>
      <w:divBdr>
        <w:top w:val="none" w:sz="0" w:space="0" w:color="auto"/>
        <w:left w:val="none" w:sz="0" w:space="0" w:color="auto"/>
        <w:bottom w:val="none" w:sz="0" w:space="0" w:color="auto"/>
        <w:right w:val="none" w:sz="0" w:space="0" w:color="auto"/>
      </w:divBdr>
    </w:div>
    <w:div w:id="1725328910">
      <w:bodyDiv w:val="1"/>
      <w:marLeft w:val="0"/>
      <w:marRight w:val="0"/>
      <w:marTop w:val="0"/>
      <w:marBottom w:val="0"/>
      <w:divBdr>
        <w:top w:val="none" w:sz="0" w:space="0" w:color="auto"/>
        <w:left w:val="none" w:sz="0" w:space="0" w:color="auto"/>
        <w:bottom w:val="none" w:sz="0" w:space="0" w:color="auto"/>
        <w:right w:val="none" w:sz="0" w:space="0" w:color="auto"/>
      </w:divBdr>
    </w:div>
    <w:div w:id="1731226646">
      <w:bodyDiv w:val="1"/>
      <w:marLeft w:val="0"/>
      <w:marRight w:val="0"/>
      <w:marTop w:val="0"/>
      <w:marBottom w:val="0"/>
      <w:divBdr>
        <w:top w:val="none" w:sz="0" w:space="0" w:color="auto"/>
        <w:left w:val="none" w:sz="0" w:space="0" w:color="auto"/>
        <w:bottom w:val="none" w:sz="0" w:space="0" w:color="auto"/>
        <w:right w:val="none" w:sz="0" w:space="0" w:color="auto"/>
      </w:divBdr>
    </w:div>
    <w:div w:id="1739748724">
      <w:bodyDiv w:val="1"/>
      <w:marLeft w:val="0"/>
      <w:marRight w:val="0"/>
      <w:marTop w:val="0"/>
      <w:marBottom w:val="0"/>
      <w:divBdr>
        <w:top w:val="none" w:sz="0" w:space="0" w:color="auto"/>
        <w:left w:val="none" w:sz="0" w:space="0" w:color="auto"/>
        <w:bottom w:val="none" w:sz="0" w:space="0" w:color="auto"/>
        <w:right w:val="none" w:sz="0" w:space="0" w:color="auto"/>
      </w:divBdr>
    </w:div>
    <w:div w:id="1750273472">
      <w:bodyDiv w:val="1"/>
      <w:marLeft w:val="0"/>
      <w:marRight w:val="0"/>
      <w:marTop w:val="0"/>
      <w:marBottom w:val="0"/>
      <w:divBdr>
        <w:top w:val="none" w:sz="0" w:space="0" w:color="auto"/>
        <w:left w:val="none" w:sz="0" w:space="0" w:color="auto"/>
        <w:bottom w:val="none" w:sz="0" w:space="0" w:color="auto"/>
        <w:right w:val="none" w:sz="0" w:space="0" w:color="auto"/>
      </w:divBdr>
    </w:div>
    <w:div w:id="1752117379">
      <w:bodyDiv w:val="1"/>
      <w:marLeft w:val="0"/>
      <w:marRight w:val="0"/>
      <w:marTop w:val="0"/>
      <w:marBottom w:val="0"/>
      <w:divBdr>
        <w:top w:val="none" w:sz="0" w:space="0" w:color="auto"/>
        <w:left w:val="none" w:sz="0" w:space="0" w:color="auto"/>
        <w:bottom w:val="none" w:sz="0" w:space="0" w:color="auto"/>
        <w:right w:val="none" w:sz="0" w:space="0" w:color="auto"/>
      </w:divBdr>
    </w:div>
    <w:div w:id="1816990299">
      <w:bodyDiv w:val="1"/>
      <w:marLeft w:val="0"/>
      <w:marRight w:val="0"/>
      <w:marTop w:val="0"/>
      <w:marBottom w:val="0"/>
      <w:divBdr>
        <w:top w:val="none" w:sz="0" w:space="0" w:color="auto"/>
        <w:left w:val="none" w:sz="0" w:space="0" w:color="auto"/>
        <w:bottom w:val="none" w:sz="0" w:space="0" w:color="auto"/>
        <w:right w:val="none" w:sz="0" w:space="0" w:color="auto"/>
      </w:divBdr>
    </w:div>
    <w:div w:id="1826238375">
      <w:bodyDiv w:val="1"/>
      <w:marLeft w:val="0"/>
      <w:marRight w:val="0"/>
      <w:marTop w:val="0"/>
      <w:marBottom w:val="0"/>
      <w:divBdr>
        <w:top w:val="none" w:sz="0" w:space="0" w:color="auto"/>
        <w:left w:val="none" w:sz="0" w:space="0" w:color="auto"/>
        <w:bottom w:val="none" w:sz="0" w:space="0" w:color="auto"/>
        <w:right w:val="none" w:sz="0" w:space="0" w:color="auto"/>
      </w:divBdr>
    </w:div>
    <w:div w:id="1861116469">
      <w:bodyDiv w:val="1"/>
      <w:marLeft w:val="0"/>
      <w:marRight w:val="0"/>
      <w:marTop w:val="0"/>
      <w:marBottom w:val="0"/>
      <w:divBdr>
        <w:top w:val="none" w:sz="0" w:space="0" w:color="auto"/>
        <w:left w:val="none" w:sz="0" w:space="0" w:color="auto"/>
        <w:bottom w:val="none" w:sz="0" w:space="0" w:color="auto"/>
        <w:right w:val="none" w:sz="0" w:space="0" w:color="auto"/>
      </w:divBdr>
    </w:div>
    <w:div w:id="1876917636">
      <w:bodyDiv w:val="1"/>
      <w:marLeft w:val="0"/>
      <w:marRight w:val="0"/>
      <w:marTop w:val="0"/>
      <w:marBottom w:val="0"/>
      <w:divBdr>
        <w:top w:val="none" w:sz="0" w:space="0" w:color="auto"/>
        <w:left w:val="none" w:sz="0" w:space="0" w:color="auto"/>
        <w:bottom w:val="none" w:sz="0" w:space="0" w:color="auto"/>
        <w:right w:val="none" w:sz="0" w:space="0" w:color="auto"/>
      </w:divBdr>
    </w:div>
    <w:div w:id="2009207414">
      <w:bodyDiv w:val="1"/>
      <w:marLeft w:val="0"/>
      <w:marRight w:val="0"/>
      <w:marTop w:val="0"/>
      <w:marBottom w:val="0"/>
      <w:divBdr>
        <w:top w:val="none" w:sz="0" w:space="0" w:color="auto"/>
        <w:left w:val="none" w:sz="0" w:space="0" w:color="auto"/>
        <w:bottom w:val="none" w:sz="0" w:space="0" w:color="auto"/>
        <w:right w:val="none" w:sz="0" w:space="0" w:color="auto"/>
      </w:divBdr>
    </w:div>
    <w:div w:id="2029983807">
      <w:bodyDiv w:val="1"/>
      <w:marLeft w:val="0"/>
      <w:marRight w:val="0"/>
      <w:marTop w:val="0"/>
      <w:marBottom w:val="0"/>
      <w:divBdr>
        <w:top w:val="none" w:sz="0" w:space="0" w:color="auto"/>
        <w:left w:val="none" w:sz="0" w:space="0" w:color="auto"/>
        <w:bottom w:val="none" w:sz="0" w:space="0" w:color="auto"/>
        <w:right w:val="none" w:sz="0" w:space="0" w:color="auto"/>
      </w:divBdr>
    </w:div>
    <w:div w:id="2116292752">
      <w:bodyDiv w:val="1"/>
      <w:marLeft w:val="0"/>
      <w:marRight w:val="0"/>
      <w:marTop w:val="0"/>
      <w:marBottom w:val="0"/>
      <w:divBdr>
        <w:top w:val="none" w:sz="0" w:space="0" w:color="auto"/>
        <w:left w:val="none" w:sz="0" w:space="0" w:color="auto"/>
        <w:bottom w:val="none" w:sz="0" w:space="0" w:color="auto"/>
        <w:right w:val="none" w:sz="0" w:space="0" w:color="auto"/>
      </w:divBdr>
    </w:div>
    <w:div w:id="212526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29560-B142-467C-9F2A-72117B1DA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12753</Words>
  <Characters>75246</Characters>
  <Application>Microsoft Office Word</Application>
  <DocSecurity>0</DocSecurity>
  <Lines>627</Lines>
  <Paragraphs>175</Paragraphs>
  <ScaleCrop>false</ScaleCrop>
  <HeadingPairs>
    <vt:vector size="2" baseType="variant">
      <vt:variant>
        <vt:lpstr>Název</vt:lpstr>
      </vt:variant>
      <vt:variant>
        <vt:i4>1</vt:i4>
      </vt:variant>
    </vt:vector>
  </HeadingPairs>
  <TitlesOfParts>
    <vt:vector size="1" baseType="lpstr">
      <vt:lpstr>1</vt:lpstr>
    </vt:vector>
  </TitlesOfParts>
  <Company/>
  <LinksUpToDate>false</LinksUpToDate>
  <CharactersWithSpaces>87824</CharactersWithSpaces>
  <SharedDoc>false</SharedDoc>
  <HLinks>
    <vt:vector size="138" baseType="variant">
      <vt:variant>
        <vt:i4>1900574</vt:i4>
      </vt:variant>
      <vt:variant>
        <vt:i4>129</vt:i4>
      </vt:variant>
      <vt:variant>
        <vt:i4>0</vt:i4>
      </vt:variant>
      <vt:variant>
        <vt:i4>5</vt:i4>
      </vt:variant>
      <vt:variant>
        <vt:lpwstr>http://cs.wikipedia.org/wiki/1652</vt:lpwstr>
      </vt:variant>
      <vt:variant>
        <vt:lpwstr/>
      </vt:variant>
      <vt:variant>
        <vt:i4>2818088</vt:i4>
      </vt:variant>
      <vt:variant>
        <vt:i4>126</vt:i4>
      </vt:variant>
      <vt:variant>
        <vt:i4>0</vt:i4>
      </vt:variant>
      <vt:variant>
        <vt:i4>5</vt:i4>
      </vt:variant>
      <vt:variant>
        <vt:lpwstr>http://cs.wikipedia.org/wiki/2</vt:lpwstr>
      </vt:variant>
      <vt:variant>
        <vt:lpwstr/>
      </vt:variant>
      <vt:variant>
        <vt:i4>5242915</vt:i4>
      </vt:variant>
      <vt:variant>
        <vt:i4>123</vt:i4>
      </vt:variant>
      <vt:variant>
        <vt:i4>0</vt:i4>
      </vt:variant>
      <vt:variant>
        <vt:i4>5</vt:i4>
      </vt:variant>
      <vt:variant>
        <vt:lpwstr>http://cs.wikipedia.org/wiki/Dynastie_Chan</vt:lpwstr>
      </vt:variant>
      <vt:variant>
        <vt:lpwstr/>
      </vt:variant>
      <vt:variant>
        <vt:i4>1245246</vt:i4>
      </vt:variant>
      <vt:variant>
        <vt:i4>116</vt:i4>
      </vt:variant>
      <vt:variant>
        <vt:i4>0</vt:i4>
      </vt:variant>
      <vt:variant>
        <vt:i4>5</vt:i4>
      </vt:variant>
      <vt:variant>
        <vt:lpwstr/>
      </vt:variant>
      <vt:variant>
        <vt:lpwstr>_Toc356387356</vt:lpwstr>
      </vt:variant>
      <vt:variant>
        <vt:i4>1245246</vt:i4>
      </vt:variant>
      <vt:variant>
        <vt:i4>110</vt:i4>
      </vt:variant>
      <vt:variant>
        <vt:i4>0</vt:i4>
      </vt:variant>
      <vt:variant>
        <vt:i4>5</vt:i4>
      </vt:variant>
      <vt:variant>
        <vt:lpwstr/>
      </vt:variant>
      <vt:variant>
        <vt:lpwstr>_Toc356387355</vt:lpwstr>
      </vt:variant>
      <vt:variant>
        <vt:i4>1245246</vt:i4>
      </vt:variant>
      <vt:variant>
        <vt:i4>104</vt:i4>
      </vt:variant>
      <vt:variant>
        <vt:i4>0</vt:i4>
      </vt:variant>
      <vt:variant>
        <vt:i4>5</vt:i4>
      </vt:variant>
      <vt:variant>
        <vt:lpwstr/>
      </vt:variant>
      <vt:variant>
        <vt:lpwstr>_Toc356387354</vt:lpwstr>
      </vt:variant>
      <vt:variant>
        <vt:i4>1245246</vt:i4>
      </vt:variant>
      <vt:variant>
        <vt:i4>98</vt:i4>
      </vt:variant>
      <vt:variant>
        <vt:i4>0</vt:i4>
      </vt:variant>
      <vt:variant>
        <vt:i4>5</vt:i4>
      </vt:variant>
      <vt:variant>
        <vt:lpwstr/>
      </vt:variant>
      <vt:variant>
        <vt:lpwstr>_Toc356387353</vt:lpwstr>
      </vt:variant>
      <vt:variant>
        <vt:i4>1245246</vt:i4>
      </vt:variant>
      <vt:variant>
        <vt:i4>92</vt:i4>
      </vt:variant>
      <vt:variant>
        <vt:i4>0</vt:i4>
      </vt:variant>
      <vt:variant>
        <vt:i4>5</vt:i4>
      </vt:variant>
      <vt:variant>
        <vt:lpwstr/>
      </vt:variant>
      <vt:variant>
        <vt:lpwstr>_Toc356387352</vt:lpwstr>
      </vt:variant>
      <vt:variant>
        <vt:i4>1245246</vt:i4>
      </vt:variant>
      <vt:variant>
        <vt:i4>86</vt:i4>
      </vt:variant>
      <vt:variant>
        <vt:i4>0</vt:i4>
      </vt:variant>
      <vt:variant>
        <vt:i4>5</vt:i4>
      </vt:variant>
      <vt:variant>
        <vt:lpwstr/>
      </vt:variant>
      <vt:variant>
        <vt:lpwstr>_Toc356387351</vt:lpwstr>
      </vt:variant>
      <vt:variant>
        <vt:i4>1245246</vt:i4>
      </vt:variant>
      <vt:variant>
        <vt:i4>80</vt:i4>
      </vt:variant>
      <vt:variant>
        <vt:i4>0</vt:i4>
      </vt:variant>
      <vt:variant>
        <vt:i4>5</vt:i4>
      </vt:variant>
      <vt:variant>
        <vt:lpwstr/>
      </vt:variant>
      <vt:variant>
        <vt:lpwstr>_Toc356387350</vt:lpwstr>
      </vt:variant>
      <vt:variant>
        <vt:i4>1179710</vt:i4>
      </vt:variant>
      <vt:variant>
        <vt:i4>74</vt:i4>
      </vt:variant>
      <vt:variant>
        <vt:i4>0</vt:i4>
      </vt:variant>
      <vt:variant>
        <vt:i4>5</vt:i4>
      </vt:variant>
      <vt:variant>
        <vt:lpwstr/>
      </vt:variant>
      <vt:variant>
        <vt:lpwstr>_Toc356387349</vt:lpwstr>
      </vt:variant>
      <vt:variant>
        <vt:i4>1179710</vt:i4>
      </vt:variant>
      <vt:variant>
        <vt:i4>68</vt:i4>
      </vt:variant>
      <vt:variant>
        <vt:i4>0</vt:i4>
      </vt:variant>
      <vt:variant>
        <vt:i4>5</vt:i4>
      </vt:variant>
      <vt:variant>
        <vt:lpwstr/>
      </vt:variant>
      <vt:variant>
        <vt:lpwstr>_Toc356387348</vt:lpwstr>
      </vt:variant>
      <vt:variant>
        <vt:i4>1179710</vt:i4>
      </vt:variant>
      <vt:variant>
        <vt:i4>62</vt:i4>
      </vt:variant>
      <vt:variant>
        <vt:i4>0</vt:i4>
      </vt:variant>
      <vt:variant>
        <vt:i4>5</vt:i4>
      </vt:variant>
      <vt:variant>
        <vt:lpwstr/>
      </vt:variant>
      <vt:variant>
        <vt:lpwstr>_Toc356387347</vt:lpwstr>
      </vt:variant>
      <vt:variant>
        <vt:i4>1179710</vt:i4>
      </vt:variant>
      <vt:variant>
        <vt:i4>56</vt:i4>
      </vt:variant>
      <vt:variant>
        <vt:i4>0</vt:i4>
      </vt:variant>
      <vt:variant>
        <vt:i4>5</vt:i4>
      </vt:variant>
      <vt:variant>
        <vt:lpwstr/>
      </vt:variant>
      <vt:variant>
        <vt:lpwstr>_Toc356387346</vt:lpwstr>
      </vt:variant>
      <vt:variant>
        <vt:i4>1179710</vt:i4>
      </vt:variant>
      <vt:variant>
        <vt:i4>50</vt:i4>
      </vt:variant>
      <vt:variant>
        <vt:i4>0</vt:i4>
      </vt:variant>
      <vt:variant>
        <vt:i4>5</vt:i4>
      </vt:variant>
      <vt:variant>
        <vt:lpwstr/>
      </vt:variant>
      <vt:variant>
        <vt:lpwstr>_Toc356387345</vt:lpwstr>
      </vt:variant>
      <vt:variant>
        <vt:i4>1179710</vt:i4>
      </vt:variant>
      <vt:variant>
        <vt:i4>44</vt:i4>
      </vt:variant>
      <vt:variant>
        <vt:i4>0</vt:i4>
      </vt:variant>
      <vt:variant>
        <vt:i4>5</vt:i4>
      </vt:variant>
      <vt:variant>
        <vt:lpwstr/>
      </vt:variant>
      <vt:variant>
        <vt:lpwstr>_Toc356387344</vt:lpwstr>
      </vt:variant>
      <vt:variant>
        <vt:i4>1179710</vt:i4>
      </vt:variant>
      <vt:variant>
        <vt:i4>38</vt:i4>
      </vt:variant>
      <vt:variant>
        <vt:i4>0</vt:i4>
      </vt:variant>
      <vt:variant>
        <vt:i4>5</vt:i4>
      </vt:variant>
      <vt:variant>
        <vt:lpwstr/>
      </vt:variant>
      <vt:variant>
        <vt:lpwstr>_Toc356387343</vt:lpwstr>
      </vt:variant>
      <vt:variant>
        <vt:i4>1179710</vt:i4>
      </vt:variant>
      <vt:variant>
        <vt:i4>32</vt:i4>
      </vt:variant>
      <vt:variant>
        <vt:i4>0</vt:i4>
      </vt:variant>
      <vt:variant>
        <vt:i4>5</vt:i4>
      </vt:variant>
      <vt:variant>
        <vt:lpwstr/>
      </vt:variant>
      <vt:variant>
        <vt:lpwstr>_Toc356387342</vt:lpwstr>
      </vt:variant>
      <vt:variant>
        <vt:i4>1179710</vt:i4>
      </vt:variant>
      <vt:variant>
        <vt:i4>26</vt:i4>
      </vt:variant>
      <vt:variant>
        <vt:i4>0</vt:i4>
      </vt:variant>
      <vt:variant>
        <vt:i4>5</vt:i4>
      </vt:variant>
      <vt:variant>
        <vt:lpwstr/>
      </vt:variant>
      <vt:variant>
        <vt:lpwstr>_Toc356387341</vt:lpwstr>
      </vt:variant>
      <vt:variant>
        <vt:i4>1179710</vt:i4>
      </vt:variant>
      <vt:variant>
        <vt:i4>20</vt:i4>
      </vt:variant>
      <vt:variant>
        <vt:i4>0</vt:i4>
      </vt:variant>
      <vt:variant>
        <vt:i4>5</vt:i4>
      </vt:variant>
      <vt:variant>
        <vt:lpwstr/>
      </vt:variant>
      <vt:variant>
        <vt:lpwstr>_Toc356387340</vt:lpwstr>
      </vt:variant>
      <vt:variant>
        <vt:i4>1376318</vt:i4>
      </vt:variant>
      <vt:variant>
        <vt:i4>14</vt:i4>
      </vt:variant>
      <vt:variant>
        <vt:i4>0</vt:i4>
      </vt:variant>
      <vt:variant>
        <vt:i4>5</vt:i4>
      </vt:variant>
      <vt:variant>
        <vt:lpwstr/>
      </vt:variant>
      <vt:variant>
        <vt:lpwstr>_Toc356387339</vt:lpwstr>
      </vt:variant>
      <vt:variant>
        <vt:i4>1376318</vt:i4>
      </vt:variant>
      <vt:variant>
        <vt:i4>8</vt:i4>
      </vt:variant>
      <vt:variant>
        <vt:i4>0</vt:i4>
      </vt:variant>
      <vt:variant>
        <vt:i4>5</vt:i4>
      </vt:variant>
      <vt:variant>
        <vt:lpwstr/>
      </vt:variant>
      <vt:variant>
        <vt:lpwstr>_Toc356387338</vt:lpwstr>
      </vt:variant>
      <vt:variant>
        <vt:i4>1376318</vt:i4>
      </vt:variant>
      <vt:variant>
        <vt:i4>2</vt:i4>
      </vt:variant>
      <vt:variant>
        <vt:i4>0</vt:i4>
      </vt:variant>
      <vt:variant>
        <vt:i4>5</vt:i4>
      </vt:variant>
      <vt:variant>
        <vt:lpwstr/>
      </vt:variant>
      <vt:variant>
        <vt:lpwstr>_Toc356387337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System Service</dc:creator>
  <cp:keywords/>
  <dc:description/>
  <cp:lastModifiedBy>System Service</cp:lastModifiedBy>
  <cp:revision>3</cp:revision>
  <cp:lastPrinted>2013-11-12T07:39:00Z</cp:lastPrinted>
  <dcterms:created xsi:type="dcterms:W3CDTF">2013-11-13T12:27:00Z</dcterms:created>
  <dcterms:modified xsi:type="dcterms:W3CDTF">2013-11-18T11:41:00Z</dcterms:modified>
</cp:coreProperties>
</file>