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66" w:rsidRDefault="00701066" w:rsidP="00701066">
      <w:pPr>
        <w:pStyle w:val="Rnadpis"/>
      </w:pPr>
      <w:r>
        <w:t>METODICKÉ VYSVĚTLIVKY</w:t>
      </w:r>
    </w:p>
    <w:p w:rsidR="00701066" w:rsidRDefault="00701066" w:rsidP="00701066">
      <w:pPr>
        <w:pStyle w:val="Rbntext"/>
        <w:spacing w:before="240"/>
        <w:rPr>
          <w:b/>
          <w:bCs/>
        </w:rPr>
      </w:pPr>
      <w:r>
        <w:rPr>
          <w:b/>
          <w:bCs/>
        </w:rPr>
        <w:t>Obyvatelstvo</w:t>
      </w:r>
    </w:p>
    <w:p w:rsidR="00701066" w:rsidRDefault="00701066" w:rsidP="00701066">
      <w:pPr>
        <w:pStyle w:val="Rbntext"/>
      </w:pPr>
      <w:r>
        <w:t xml:space="preserve">Údaj o </w:t>
      </w:r>
      <w:r>
        <w:rPr>
          <w:b/>
          <w:bCs/>
        </w:rPr>
        <w:t>počtu obyvatel</w:t>
      </w:r>
      <w:r>
        <w:t xml:space="preserve"> v definitivních výsledcích SLDB 2011 zahrnuje všechny osoby, které měly v rozhodný okamžik sčítání místo obvyklého pobytu na území České republiky.</w:t>
      </w:r>
    </w:p>
    <w:p w:rsidR="00701066" w:rsidRDefault="00701066" w:rsidP="00701066">
      <w:pPr>
        <w:pStyle w:val="Rbntext"/>
      </w:pPr>
      <w:r>
        <w:rPr>
          <w:b/>
          <w:bCs/>
        </w:rPr>
        <w:t>Místo obvyklého pobytu</w:t>
      </w:r>
      <w:r>
        <w:t xml:space="preserve"> je definováno jako místo, kde osoba obvykle tráví období svého každodenního odpočinku bez ohledu na dočasnou nepřítomnost z důvodu rekreace, návštěv, pracovních cest, pobytu ve zdravotnickém zařízení apod. a kde je členem konkrétní domácnosti. </w:t>
      </w:r>
    </w:p>
    <w:p w:rsidR="00701066" w:rsidRDefault="00701066" w:rsidP="00701066">
      <w:pPr>
        <w:pStyle w:val="Rbntext"/>
      </w:pPr>
      <w:r>
        <w:t>Pro zahrnutí osoby do obvykle bydlícího obyvatelstva České republiky je rozhodující kritérium 12 měsíců pobytu na území ČR, příp. úmysl dlouhodobého pobytu.</w:t>
      </w:r>
    </w:p>
    <w:p w:rsidR="00701066" w:rsidRDefault="00701066" w:rsidP="00701066">
      <w:pPr>
        <w:pStyle w:val="Rbntext"/>
      </w:pPr>
      <w:r>
        <w:t xml:space="preserve">Pro odvození místa obvyklého pobytu osoby byla určující deklarace na sčítacím formuláři týkající se faktického bydliště osoby (bez ohledu na místo trvalého pobytu, resp. povoleného přechodného pobytu); vyhodnocovány byly i další informace o faktickém bydlišti před rokem, údaje o místě trvalého pobytu, resp. povoleného přechodného pobytu, a místě sečtení. </w:t>
      </w:r>
    </w:p>
    <w:p w:rsidR="000F0873" w:rsidRDefault="00556F2F" w:rsidP="007C4CB5">
      <w:pPr>
        <w:pStyle w:val="Rbntext"/>
      </w:pPr>
      <w:r>
        <w:t>Pojem „</w:t>
      </w:r>
      <w:r w:rsidRPr="00CA49C6">
        <w:rPr>
          <w:b/>
        </w:rPr>
        <w:t>trvalý pobyt</w:t>
      </w:r>
      <w:r>
        <w:t xml:space="preserve">“ je v datových výstupech používán ve dvojím významu. </w:t>
      </w:r>
      <w:r w:rsidR="00151ED8">
        <w:t xml:space="preserve">V širším významu se za osoby </w:t>
      </w:r>
      <w:r>
        <w:t xml:space="preserve">s trvalým pobytem </w:t>
      </w:r>
      <w:r w:rsidR="00151ED8">
        <w:t xml:space="preserve">považují </w:t>
      </w:r>
      <w:r w:rsidR="00CA49C6">
        <w:t xml:space="preserve">- ve shodě s metodikou předchozích cenzů - </w:t>
      </w:r>
      <w:r w:rsidR="00151ED8">
        <w:t xml:space="preserve">všechny </w:t>
      </w:r>
      <w:r>
        <w:t>osoby, které mají evidovanou adresu v Informačním systému evidence obyvatel (ISEO).</w:t>
      </w:r>
      <w:r w:rsidR="00151ED8">
        <w:t xml:space="preserve"> Ve výstupech je takové členění většinou v tabulkách, které vyhodnocují nebo porovnávají obyvatelstvo s obvyklým a trvalým pobytem, Všechny osoby v ISEO mají kromě adresy uveden i </w:t>
      </w:r>
      <w:r w:rsidR="00CA49C6">
        <w:t xml:space="preserve">tzv. </w:t>
      </w:r>
      <w:r w:rsidR="00151ED8">
        <w:t xml:space="preserve">druh pobytu, který je ve </w:t>
      </w:r>
      <w:r w:rsidR="00C95549">
        <w:t>vybraných tabulkách uváděn v členění na trvalý (v užším slova smyslu) a dlouhodobý.</w:t>
      </w:r>
    </w:p>
    <w:p w:rsidR="007C4CB5" w:rsidRDefault="00CA49C6" w:rsidP="007C4CB5">
      <w:pPr>
        <w:pStyle w:val="Rbntext"/>
      </w:pPr>
      <w:r w:rsidRPr="00CA49C6">
        <w:rPr>
          <w:b/>
        </w:rPr>
        <w:t>Druh pobytu</w:t>
      </w:r>
      <w:r w:rsidR="0035603E" w:rsidRPr="00CA49C6">
        <w:t xml:space="preserve"> </w:t>
      </w:r>
      <w:r>
        <w:t>–</w:t>
      </w:r>
      <w:r w:rsidRPr="00CA49C6">
        <w:t xml:space="preserve"> </w:t>
      </w:r>
      <w:r w:rsidR="0035603E" w:rsidRPr="00CA49C6">
        <w:t>trvalý</w:t>
      </w:r>
      <w:r>
        <w:t xml:space="preserve"> -</w:t>
      </w:r>
      <w:r w:rsidR="0035603E" w:rsidRPr="00CA49C6">
        <w:t xml:space="preserve"> </w:t>
      </w:r>
      <w:r>
        <w:t xml:space="preserve">mají </w:t>
      </w:r>
      <w:r w:rsidR="00FC007E" w:rsidRPr="00CA49C6">
        <w:t xml:space="preserve">osoby evidované v ISEO </w:t>
      </w:r>
      <w:r w:rsidR="00C95549" w:rsidRPr="00CA49C6">
        <w:t>občané ČR</w:t>
      </w:r>
      <w:r w:rsidR="00FC007E" w:rsidRPr="00CA49C6">
        <w:t xml:space="preserve"> (mají všichni </w:t>
      </w:r>
      <w:r>
        <w:t xml:space="preserve">bez výjimky </w:t>
      </w:r>
      <w:r w:rsidR="00FC007E" w:rsidRPr="00CA49C6">
        <w:t>trvalý pobyt) a cizinci s povolením k trvalému pobytu</w:t>
      </w:r>
      <w:r>
        <w:t>. Druh pobytu – dlouhodobý - mají</w:t>
      </w:r>
      <w:r w:rsidR="0035603E" w:rsidRPr="005E6408">
        <w:t xml:space="preserve"> cizinci</w:t>
      </w:r>
      <w:r w:rsidR="00FC007E">
        <w:t xml:space="preserve"> evidovaní v </w:t>
      </w:r>
      <w:proofErr w:type="gramStart"/>
      <w:r w:rsidR="00FC007E">
        <w:t>ISEO</w:t>
      </w:r>
      <w:proofErr w:type="gramEnd"/>
      <w:r w:rsidR="0035603E" w:rsidRPr="005E6408">
        <w:t>, kteří měli k datu sčítání evidovaný přechodný pobyt, dlouhodobý pobyt, nebo povolený pobyt azylanta na území ČR</w:t>
      </w:r>
      <w:r w:rsidR="00D96037">
        <w:t>.</w:t>
      </w:r>
    </w:p>
    <w:p w:rsidR="00701066" w:rsidRDefault="00701066" w:rsidP="00701066">
      <w:pPr>
        <w:pStyle w:val="Rbntext"/>
      </w:pPr>
      <w:r>
        <w:rPr>
          <w:b/>
          <w:bCs/>
        </w:rPr>
        <w:t>Osoby v zařízeních</w:t>
      </w:r>
      <w:r>
        <w:t xml:space="preserve"> jsou osoby s místem obvyklého pobytu ve všech typech ubytovacích a lůžkových léčebných zařízení sloužících k individuálnímu i kolektivnímu ubytování většího počtu osob (svobodárny, domovy důchodců, penziony pro důchodce, dětské domovy, ústavy sociální péče, ubytovny, studentské koleje, domovy mládeže, internáty, léčebny, sanatoria, kojenecké ústavy, lázeňské ústavy apod.).</w:t>
      </w:r>
    </w:p>
    <w:p w:rsidR="00701066" w:rsidRDefault="00701066" w:rsidP="00701066">
      <w:pPr>
        <w:pStyle w:val="Rbntext"/>
      </w:pPr>
      <w:r>
        <w:rPr>
          <w:b/>
          <w:bCs/>
        </w:rPr>
        <w:t>Osoby mimo byty a zařízení</w:t>
      </w:r>
      <w:r>
        <w:t xml:space="preserve"> jsou osoby s místem obvyklého pobytu v nouzových obydlích, mobilních objektech, rekreačních chatách, chalupách (tj. v objektech, které nejsou součástí bytového fondu) nebo v obytných domech, ale mimo byty (nouzové ubytování v nebytovém prostoru). </w:t>
      </w:r>
    </w:p>
    <w:p w:rsidR="00701066" w:rsidRDefault="00701066" w:rsidP="00701066">
      <w:pPr>
        <w:pStyle w:val="Rbntext"/>
      </w:pPr>
      <w:r>
        <w:rPr>
          <w:b/>
          <w:bCs/>
        </w:rPr>
        <w:t>Bezdomovci</w:t>
      </w:r>
      <w:r>
        <w:t xml:space="preserve"> jsou osoby, které jako osoby bez domova (nemající domov či možnost dlouhodobě využívat nějaké přístřeší) identifikoval při sčítání v terénu sčítací komisař. „Bezdomovectví“ nebylo zjišťováno prostřednictvím otázek na sčítacím formuláři. Za místo obvyklého pobytu je u bezdomovců, v souladu s mezinárodními doporučeními, považováno místo sečtení. V datových výstupech jsou bezdomovci zahrnuti územně v lokalitách, kde byli sečteni, pouze v údajích za osoby. Údaje o domácnostech se v případě bezdomovců nezjišťují.</w:t>
      </w:r>
    </w:p>
    <w:p w:rsidR="00EB11F5" w:rsidRPr="00EB11F5" w:rsidRDefault="00701066" w:rsidP="00337E3F">
      <w:p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>
        <w:t xml:space="preserve">Kromě </w:t>
      </w:r>
      <w:r w:rsidRPr="00EB11F5">
        <w:rPr>
          <w:rFonts w:cs="Arial"/>
          <w:b/>
          <w:bCs/>
          <w:szCs w:val="20"/>
        </w:rPr>
        <w:t>státního občanství</w:t>
      </w:r>
      <w:r w:rsidRPr="00EB11F5">
        <w:rPr>
          <w:rFonts w:cs="Arial"/>
          <w:szCs w:val="20"/>
        </w:rPr>
        <w:t xml:space="preserve"> jednotlivých států jsou ve zpracování výsledků zpravidla uváděny samostatně i údaje za osoby s dvojím občanstvím a za osoby bez státního občanství, u nichž byla tato skutečnost zjištěna.</w:t>
      </w:r>
      <w:r w:rsidR="00EB11F5" w:rsidRPr="00EB11F5">
        <w:rPr>
          <w:rFonts w:cs="Arial"/>
          <w:szCs w:val="20"/>
        </w:rPr>
        <w:t xml:space="preserve"> </w:t>
      </w:r>
      <w:r w:rsidR="00EB11F5" w:rsidRPr="00337E3F">
        <w:rPr>
          <w:rFonts w:eastAsiaTheme="minorHAnsi" w:cs="Arial"/>
          <w:b/>
          <w:szCs w:val="20"/>
          <w:lang w:eastAsia="en-US"/>
        </w:rPr>
        <w:t>Cizinci</w:t>
      </w:r>
      <w:r w:rsidR="00EB11F5" w:rsidRPr="00EB11F5">
        <w:rPr>
          <w:rFonts w:eastAsiaTheme="minorHAnsi" w:cs="Arial"/>
          <w:szCs w:val="20"/>
          <w:lang w:eastAsia="en-US"/>
        </w:rPr>
        <w:t xml:space="preserve"> jsou osoby s jiným státním občanstvím než ČR, které měly v rozhodný okamžik sčítání místo obvyklého pobytu na území </w:t>
      </w:r>
      <w:r w:rsidR="00EB11F5">
        <w:rPr>
          <w:rFonts w:eastAsiaTheme="minorHAnsi" w:cs="Arial"/>
          <w:szCs w:val="20"/>
          <w:lang w:eastAsia="en-US"/>
        </w:rPr>
        <w:t>republiky</w:t>
      </w:r>
      <w:r w:rsidR="00EB11F5" w:rsidRPr="00EB11F5">
        <w:rPr>
          <w:rFonts w:eastAsiaTheme="minorHAnsi" w:cs="Arial"/>
          <w:szCs w:val="20"/>
          <w:lang w:eastAsia="en-US"/>
        </w:rPr>
        <w:t xml:space="preserve">. </w:t>
      </w:r>
      <w:r w:rsidR="00EB11F5">
        <w:rPr>
          <w:rFonts w:eastAsiaTheme="minorHAnsi" w:cs="Arial"/>
          <w:szCs w:val="20"/>
          <w:lang w:eastAsia="en-US"/>
        </w:rPr>
        <w:t>Mezi cizince nejsou zahrnuty</w:t>
      </w:r>
      <w:r w:rsidR="00EB11F5" w:rsidRPr="00EB11F5">
        <w:rPr>
          <w:rFonts w:eastAsiaTheme="minorHAnsi" w:cs="Arial"/>
          <w:szCs w:val="20"/>
          <w:lang w:eastAsia="en-US"/>
        </w:rPr>
        <w:t xml:space="preserve"> osoby s dvojím státním občanstvím</w:t>
      </w:r>
      <w:r w:rsidR="00EB11F5">
        <w:rPr>
          <w:rFonts w:eastAsiaTheme="minorHAnsi" w:cs="Arial"/>
          <w:szCs w:val="20"/>
          <w:lang w:eastAsia="en-US"/>
        </w:rPr>
        <w:t>.</w:t>
      </w:r>
    </w:p>
    <w:p w:rsidR="00D96037" w:rsidRDefault="00701066" w:rsidP="00701066">
      <w:pPr>
        <w:pStyle w:val="Rbntext"/>
      </w:pPr>
      <w:r>
        <w:rPr>
          <w:b/>
          <w:bCs/>
        </w:rPr>
        <w:t>Národnost</w:t>
      </w:r>
      <w:r>
        <w:t xml:space="preserve"> vyplnil každý podle svého rozhodnutí, včetně uvedení dvou národností nebo neuvedení žádné (údaj byl dobrovolný). </w:t>
      </w:r>
    </w:p>
    <w:p w:rsidR="007C4CB5" w:rsidRDefault="00701066" w:rsidP="007C4CB5">
      <w:pPr>
        <w:pStyle w:val="Rbntext"/>
      </w:pPr>
      <w:r>
        <w:t xml:space="preserve">Obdobný postup – dobrovolné uvádění údaje podle svého rozhodnutí – byl uplatňován také při zjišťování </w:t>
      </w:r>
      <w:r>
        <w:rPr>
          <w:b/>
          <w:bCs/>
        </w:rPr>
        <w:t>náboženské víry</w:t>
      </w:r>
      <w:r>
        <w:t>.</w:t>
      </w:r>
      <w:r w:rsidR="00D96037">
        <w:t xml:space="preserve"> </w:t>
      </w:r>
      <w:r w:rsidR="007C4CB5">
        <w:t>V členění obyvatel podle náboženské víry nejsou v žádné kategorii zahrnuty osoby, které nedeklarovaly, zda se hlásí k víře nebo zda jsou bez náboženské víry, ale uvedly pouze slovním zápisem, že jsou ateisté. Tyto osoby jsou zahrnuty pouze v celkovém počtu obyvatel.</w:t>
      </w:r>
    </w:p>
    <w:p w:rsidR="00701066" w:rsidRDefault="00701066" w:rsidP="00701066">
      <w:pPr>
        <w:pStyle w:val="Rbntext"/>
      </w:pPr>
      <w:r w:rsidRPr="002A3B31">
        <w:rPr>
          <w:b/>
        </w:rPr>
        <w:t>Mateřský jazyk</w:t>
      </w:r>
      <w:r>
        <w:t xml:space="preserve"> byl definován jako jazyk, kterým se sčítanou osobou v jejím dětství hovořila matka nebo osoby, které sčítanou osobu vychovaly.</w:t>
      </w:r>
    </w:p>
    <w:p w:rsidR="00701066" w:rsidRDefault="00701066" w:rsidP="00701066">
      <w:pPr>
        <w:pStyle w:val="Rbntext"/>
      </w:pPr>
      <w:r>
        <w:rPr>
          <w:b/>
          <w:bCs/>
        </w:rPr>
        <w:lastRenderedPageBreak/>
        <w:t>Rodinný stav</w:t>
      </w:r>
      <w:r>
        <w:t xml:space="preserve"> je stav de </w:t>
      </w:r>
      <w:proofErr w:type="spellStart"/>
      <w:r>
        <w:t>jure</w:t>
      </w:r>
      <w:proofErr w:type="spellEnd"/>
      <w:r>
        <w:t>, tedy právní manželský stav osoby. Faktický stav – soužití druha a družky – se rozlišuje pouze v rámci údajů za domácnosti. Rozdíl mezi součtem za jednotlivé kategorie rodinného stavu a celkovým počtem představují kromě osob s nezjištěným rodinným stavem také osoby s registrovaným partnerstvím.</w:t>
      </w:r>
    </w:p>
    <w:p w:rsidR="00701066" w:rsidRDefault="00701066" w:rsidP="00701066">
      <w:pPr>
        <w:pStyle w:val="Rbntext"/>
      </w:pPr>
      <w:r>
        <w:rPr>
          <w:b/>
          <w:bCs/>
        </w:rPr>
        <w:t>Registrované partnerství</w:t>
      </w:r>
      <w:r>
        <w:t xml:space="preserve"> je stav de </w:t>
      </w:r>
      <w:proofErr w:type="spellStart"/>
      <w:r>
        <w:t>jure</w:t>
      </w:r>
      <w:proofErr w:type="spellEnd"/>
      <w:r>
        <w:t>, tedy právní stav – registrované partnerství osob stejného pohlaví uzavřené podle zákona č. 115/2006 Sb., o registrovaném partnerství, anebo dle platných právních předpisů v zahraničí.</w:t>
      </w:r>
    </w:p>
    <w:p w:rsidR="007C4CB5" w:rsidRDefault="00701066" w:rsidP="007C4CB5">
      <w:pPr>
        <w:pStyle w:val="Rbntext"/>
      </w:pPr>
      <w:r>
        <w:rPr>
          <w:b/>
          <w:bCs/>
        </w:rPr>
        <w:t>Bydlištěm matky v době narození</w:t>
      </w:r>
      <w:r>
        <w:t xml:space="preserve"> sčítané osoby se rozumělo faktické bydliště matky v době narození sčítané osoby, tj. první bydliště, kde sčítaná osoba žila hned po narození.</w:t>
      </w:r>
      <w:r w:rsidR="007C4CB5">
        <w:t xml:space="preserve"> </w:t>
      </w:r>
      <w:r w:rsidR="007C4CB5" w:rsidRPr="008A0EFA">
        <w:rPr>
          <w:b/>
        </w:rPr>
        <w:t>Narození v obci obvyklého pobytu</w:t>
      </w:r>
      <w:r w:rsidR="007C4CB5">
        <w:t xml:space="preserve"> (tzv. rodáci) jsou osoby, jejichž bydliště v době narození bylo ve stejné obci, v jaké měly k datu sčítání obvyklý pobyt.</w:t>
      </w:r>
    </w:p>
    <w:p w:rsidR="00701066" w:rsidRDefault="00701066" w:rsidP="00701066">
      <w:pPr>
        <w:pStyle w:val="Rbntext"/>
      </w:pPr>
      <w:r>
        <w:rPr>
          <w:b/>
          <w:bCs/>
        </w:rPr>
        <w:t>Nejvyšší ukončené vzdělání</w:t>
      </w:r>
      <w:r>
        <w:t xml:space="preserve"> vyplňovaly pouze osoby ve věku 15 a více let podle nejvyšší ukončené školy. Jako samostatný stupeň vzdělání se rozlišuje </w:t>
      </w:r>
      <w:r>
        <w:rPr>
          <w:i/>
        </w:rPr>
        <w:t>nástavbové studium</w:t>
      </w:r>
      <w:r>
        <w:t xml:space="preserve"> (zahrnující kromě nástavbového a pomaturitního studia rovněž absolventy dvou nebo více středních škol ukončených závěrečnou zkouškou nebo maturitou) a </w:t>
      </w:r>
      <w:r>
        <w:rPr>
          <w:i/>
        </w:rPr>
        <w:t>vyšší odborné vzdělání</w:t>
      </w:r>
      <w:r>
        <w:t xml:space="preserve"> (absolventi vyšších odborných aj. škol ukončených absolutoriem). Vysokoškolské vzdělání se zjišťovalo v členění na </w:t>
      </w:r>
      <w:r>
        <w:rPr>
          <w:i/>
        </w:rPr>
        <w:t>bakalářské</w:t>
      </w:r>
      <w:r>
        <w:t xml:space="preserve"> (pouze absolventi bakalářského studijního programu), </w:t>
      </w:r>
      <w:r>
        <w:rPr>
          <w:i/>
        </w:rPr>
        <w:t>magisterské</w:t>
      </w:r>
      <w:r>
        <w:t xml:space="preserve"> (dřívější absolventi vysokých škol a absolventi magisterského studijního programu) a </w:t>
      </w:r>
      <w:r>
        <w:rPr>
          <w:i/>
        </w:rPr>
        <w:t>doktorské</w:t>
      </w:r>
      <w:r>
        <w:t xml:space="preserve"> (doktorský studijní program a bývalá vědecká příprava).</w:t>
      </w:r>
    </w:p>
    <w:p w:rsidR="00701066" w:rsidRDefault="00701066" w:rsidP="00701066">
      <w:pPr>
        <w:pStyle w:val="Rbntext"/>
      </w:pPr>
      <w:r>
        <w:rPr>
          <w:b/>
          <w:bCs/>
        </w:rPr>
        <w:t>Obor vzdělání</w:t>
      </w:r>
      <w:r>
        <w:t xml:space="preserve"> vyplňovaly pouze osoby ve věku 15 a více let s ukončeným vyšším než základním vzděláním, a to podle specializace nejvyšší ukončené školy.</w:t>
      </w:r>
    </w:p>
    <w:p w:rsidR="00701066" w:rsidRDefault="00701066" w:rsidP="00701066">
      <w:pPr>
        <w:pStyle w:val="Rbntext"/>
      </w:pPr>
      <w:r>
        <w:rPr>
          <w:b/>
          <w:bCs/>
        </w:rPr>
        <w:t>Ekonomicky aktivní</w:t>
      </w:r>
      <w:r>
        <w:t xml:space="preserve"> jsou všechny osoby představující pracovní sílu – zaměstnaní (pracující) a nezaměstnaní.</w:t>
      </w:r>
    </w:p>
    <w:p w:rsidR="00701066" w:rsidRDefault="00701066" w:rsidP="00D54A0F">
      <w:pPr>
        <w:pStyle w:val="Rbntext"/>
        <w:spacing w:after="0"/>
      </w:pPr>
      <w:r>
        <w:t xml:space="preserve">Mezi </w:t>
      </w:r>
      <w:r>
        <w:rPr>
          <w:i/>
        </w:rPr>
        <w:t>zaměstnané</w:t>
      </w:r>
      <w:r>
        <w:t xml:space="preserve"> patří všechny osoby ve věku 15 a více let, které v rozhodný okamžik sčítání byly v placeném zaměstnání jako zaměstnanci, patřily mezi</w:t>
      </w:r>
      <w:r w:rsidR="00D96037">
        <w:t xml:space="preserve"> </w:t>
      </w:r>
      <w:proofErr w:type="spellStart"/>
      <w:r>
        <w:t>sebezaměstnané</w:t>
      </w:r>
      <w:proofErr w:type="spellEnd"/>
      <w:r w:rsidR="00D54A0F">
        <w:t xml:space="preserve"> </w:t>
      </w:r>
      <w:r>
        <w:t>(zaměstnavatelé, samostatně činní, členové produkčních družstev) nebo pomáhající členy rodiny. Zahrnuti jsou rovněž pracující důchodci, pracující studenti a učni a ženy na mateřské dovolené (28 resp. 37 týdnů).</w:t>
      </w:r>
      <w:r w:rsidR="00D54A0F">
        <w:t xml:space="preserve"> </w:t>
      </w:r>
      <w:r>
        <w:t>Pro zařazení osob byl rozhodující stav k rozhodnému okamžiku sčítání</w:t>
      </w:r>
      <w:r w:rsidRPr="008C11FE">
        <w:t xml:space="preserve"> </w:t>
      </w:r>
      <w:r>
        <w:t xml:space="preserve">– jejich formální vazba k zaměstnání bez ohledu na délku pracovního úvazku, charakter pracovní aktivity (trvalý, dočasný) nebo druh pracovního poměru, dohody či smlouvy. </w:t>
      </w:r>
    </w:p>
    <w:p w:rsidR="00701066" w:rsidRDefault="00701066" w:rsidP="00701066">
      <w:pPr>
        <w:pStyle w:val="Rbntext"/>
      </w:pPr>
      <w:r>
        <w:rPr>
          <w:i/>
        </w:rPr>
        <w:t>Nezaměstnané</w:t>
      </w:r>
      <w:r>
        <w:t xml:space="preserve"> jsou všechny osoby ve věku 15 a více let, které byly v rozhodný okamžik sčítání bez práce, hledaly aktivně práci a byly připraveny k nástupu do práce.</w:t>
      </w:r>
    </w:p>
    <w:p w:rsidR="00701066" w:rsidRDefault="00701066" w:rsidP="00701066">
      <w:pPr>
        <w:pStyle w:val="Rbntext"/>
      </w:pPr>
      <w:r>
        <w:rPr>
          <w:b/>
          <w:bCs/>
        </w:rPr>
        <w:t>Ekonomicky neaktivní</w:t>
      </w:r>
      <w:r>
        <w:t xml:space="preserve"> osoby jsou nepracující důchodci, ostatní nepracující osoby s vlastním zdrojem obživy, nepracující žáci, studenti a učni, osoby v domácnosti, děti předškolního věku a ostatní závislé osoby.</w:t>
      </w:r>
    </w:p>
    <w:p w:rsidR="00701066" w:rsidRDefault="00701066" w:rsidP="00701066">
      <w:pPr>
        <w:pStyle w:val="Rbntext"/>
      </w:pPr>
      <w:r>
        <w:t xml:space="preserve">Zaměstnané (pracující) osoby uváděly své </w:t>
      </w:r>
      <w:r>
        <w:rPr>
          <w:b/>
          <w:bCs/>
        </w:rPr>
        <w:t>zaměstnání</w:t>
      </w:r>
      <w:r>
        <w:t xml:space="preserve"> (konkrétní vykonávanou činnost), </w:t>
      </w: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>v zaměstnání</w:t>
      </w:r>
      <w:r>
        <w:t xml:space="preserve"> a </w:t>
      </w:r>
      <w:r>
        <w:rPr>
          <w:b/>
          <w:bCs/>
        </w:rPr>
        <w:t>odvětví ekonomické činnosti</w:t>
      </w:r>
      <w:r>
        <w:t xml:space="preserve"> podle současného zaměstnání, nezaměstnaní podle posledního vykonávaného zaměstnání. Rozdíl mezi součtem za jednotlivé kategorie těchto ukazatelů a celkovým počtem ekonomicky aktivních představují kromě osob s nezjištěnými údaji také nezaměstnaní hledající první zaměstnání, kteří tyto údaje nevyplňovali. </w:t>
      </w:r>
    </w:p>
    <w:p w:rsidR="00701066" w:rsidRDefault="00701066" w:rsidP="00701066">
      <w:pPr>
        <w:pStyle w:val="Rbntext"/>
      </w:pPr>
      <w:r>
        <w:rPr>
          <w:i/>
        </w:rPr>
        <w:t xml:space="preserve">Zaměstnavatelé </w:t>
      </w:r>
      <w:r>
        <w:t xml:space="preserve">jsou ekonomicky aktivní osoby, které zaměstnávají (nebo zaměstnávaly) jednu nebo více osob. </w:t>
      </w:r>
      <w:r>
        <w:rPr>
          <w:i/>
        </w:rPr>
        <w:t>Samostatně činní</w:t>
      </w:r>
      <w:r>
        <w:t xml:space="preserve"> jsou osoby s podnikatelským oprávněním, které pracují na vlastní účet a nezaměstnávají v rámci svého podnikání žádné další osoby – zaměstnance. </w:t>
      </w:r>
      <w:r>
        <w:rPr>
          <w:i/>
        </w:rPr>
        <w:t xml:space="preserve">Zaměstnanci </w:t>
      </w:r>
      <w:r>
        <w:t>mají placená zaměstnanecká místa.</w:t>
      </w:r>
    </w:p>
    <w:p w:rsidR="00124F40" w:rsidRPr="00276FCA" w:rsidRDefault="00124F40" w:rsidP="00124F40">
      <w:pPr>
        <w:pStyle w:val="Rbntext"/>
      </w:pPr>
      <w:r w:rsidRPr="00276FCA">
        <w:rPr>
          <w:b/>
        </w:rPr>
        <w:t>Počet všech živě narozených dětí</w:t>
      </w:r>
      <w:r w:rsidRPr="00276FCA">
        <w:t xml:space="preserve"> uváděly ve sčítání ženy 15leté a starší. Zahrnuje všechny děti živě narozené do rozhodného okamžiku sčítání (před manželstvím, v manželství i mimo ně), i když některé z dětí později zemřelo.</w:t>
      </w:r>
    </w:p>
    <w:p w:rsidR="00124F40" w:rsidRDefault="00124F40" w:rsidP="00124F40">
      <w:pPr>
        <w:pStyle w:val="Rbntext"/>
      </w:pPr>
      <w:r w:rsidRPr="00276FCA">
        <w:rPr>
          <w:b/>
        </w:rPr>
        <w:t>Počet živě narozených dětí ze současného (posledního) manželství</w:t>
      </w:r>
      <w:r w:rsidRPr="00276FCA">
        <w:t xml:space="preserve"> uváděly pouze ženy 15leté a starší s jiným rodinným stavem než svobodná. Představuje počet dětí živě narozených do rozhodného okamžiku sčítání ve stávajícím manželství (u žen vdaných) nebo v posledním manželství (u žen rozvedených nebo ovdovělých), i když některé z dětí později zemřelo.</w:t>
      </w:r>
      <w:r>
        <w:t xml:space="preserve"> </w:t>
      </w:r>
    </w:p>
    <w:p w:rsidR="006822DA" w:rsidRPr="00BA2E02" w:rsidRDefault="006822DA" w:rsidP="00701066">
      <w:pPr>
        <w:pStyle w:val="Rbntext"/>
        <w:rPr>
          <w:b/>
          <w:bCs/>
        </w:rPr>
      </w:pPr>
      <w:r w:rsidRPr="00BA2E02">
        <w:rPr>
          <w:b/>
          <w:bCs/>
        </w:rPr>
        <w:t>Dojížďka</w:t>
      </w:r>
    </w:p>
    <w:p w:rsidR="006822DA" w:rsidRPr="00BA2E02" w:rsidRDefault="006822DA" w:rsidP="006822DA">
      <w:pPr>
        <w:pStyle w:val="Rbntext"/>
        <w:rPr>
          <w:bCs/>
        </w:rPr>
      </w:pPr>
      <w:r w:rsidRPr="00BA2E02">
        <w:rPr>
          <w:bCs/>
        </w:rPr>
        <w:t>Otázky týkající se dojížďky</w:t>
      </w:r>
      <w:r w:rsidRPr="00BA2E02">
        <w:rPr>
          <w:b/>
          <w:bCs/>
        </w:rPr>
        <w:t>/docházky do zaměstnání nebo školy</w:t>
      </w:r>
      <w:r w:rsidRPr="00BA2E02">
        <w:rPr>
          <w:bCs/>
        </w:rPr>
        <w:t xml:space="preserve"> (tj. místo pracoviště nebo školy, dopravní prostředek, doba trvání dojížďky/docházky a frekvence dojížďky do místa pracoviště nebo </w:t>
      </w:r>
      <w:r w:rsidRPr="00BA2E02">
        <w:rPr>
          <w:bCs/>
        </w:rPr>
        <w:lastRenderedPageBreak/>
        <w:t>školy) vyplňovali pouze zaměstnaní a žáci, studenti a učni. Pracující studenti a učni vyplňovali údaje podle dojížďky/docházky do školy.</w:t>
      </w:r>
    </w:p>
    <w:p w:rsidR="006822DA" w:rsidRPr="00BA2E02" w:rsidRDefault="006822DA" w:rsidP="006822DA">
      <w:pPr>
        <w:pStyle w:val="Rbntext"/>
      </w:pPr>
      <w:r w:rsidRPr="00BA2E02">
        <w:rPr>
          <w:b/>
          <w:bCs/>
        </w:rPr>
        <w:t xml:space="preserve">V případě místa pracoviště se uváděla </w:t>
      </w:r>
      <w:r w:rsidRPr="00BA2E02">
        <w:t xml:space="preserve">adresa místa výkonu práce (nikoliv např. sídla firmy). Osoby, které neměly pevné místo pracoviště, ale pracovní dobu začínaly na stejné adrese (např. pracovníci v dopravě - řidiči aj.), uváděly místo nástupu do zaměstnání. </w:t>
      </w:r>
      <w:r w:rsidRPr="00BA2E02">
        <w:rPr>
          <w:b/>
          <w:bCs/>
        </w:rPr>
        <w:t xml:space="preserve">Údaje o dopravním prostředku a době trvání dojížďky/docházky </w:t>
      </w:r>
      <w:r w:rsidRPr="00BA2E02">
        <w:t xml:space="preserve">se uváděly podle každodenní cesty do zaměstnání nebo školy. </w:t>
      </w:r>
      <w:r w:rsidRPr="00BA2E02">
        <w:rPr>
          <w:b/>
          <w:bCs/>
        </w:rPr>
        <w:t>Frekvenci dojížďky do místa pracoviště nebo školy vyplňovaly pouze osoby, které při cestě do zaměstnání nebo školy opouštěly obec obvyklého pobytu.</w:t>
      </w:r>
    </w:p>
    <w:p w:rsidR="006822DA" w:rsidRPr="00D54A0F" w:rsidRDefault="006822DA" w:rsidP="006822DA">
      <w:pPr>
        <w:pStyle w:val="Rbntext"/>
        <w:rPr>
          <w:bCs/>
        </w:rPr>
      </w:pPr>
      <w:r w:rsidRPr="00BA2E02">
        <w:t xml:space="preserve">Osoby, které místo výkonu zaměstnání často mění a uvedly „zaměstnání bez stálého pracoviště", nejsou v tabulkách za dojížďku zahrnuty, stejně jako nejsou zahrnuty osoby, </w:t>
      </w:r>
      <w:r w:rsidRPr="00D54A0F">
        <w:rPr>
          <w:bCs/>
        </w:rPr>
        <w:t xml:space="preserve">jejichž adresa pracoviště (školy) je shodná s adresou místa obvyklého pobytu. Tyto osoby údaje o dojížďce neuváděly. </w:t>
      </w:r>
    </w:p>
    <w:p w:rsidR="006822DA" w:rsidRPr="00BA2E02" w:rsidRDefault="006822DA" w:rsidP="006822DA">
      <w:pPr>
        <w:pStyle w:val="Rbntext"/>
      </w:pPr>
      <w:r w:rsidRPr="00BA2E02">
        <w:t xml:space="preserve">Osoby </w:t>
      </w:r>
      <w:r w:rsidRPr="00BA2E02">
        <w:rPr>
          <w:b/>
        </w:rPr>
        <w:t xml:space="preserve">vyjíždějící do zaměstnání nebo školy </w:t>
      </w:r>
      <w:r w:rsidRPr="00BA2E02">
        <w:t>jsou osoby, jejichž místo pracoviště nebo školy je na jiné adrese</w:t>
      </w:r>
      <w:r w:rsidR="00D96037">
        <w:t>,</w:t>
      </w:r>
      <w:r w:rsidRPr="00BA2E02">
        <w:t xml:space="preserve"> než je jejich místo obvyklého pobytu. </w:t>
      </w: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sz w:val="20"/>
          <w:szCs w:val="20"/>
        </w:rPr>
      </w:pPr>
      <w:r w:rsidRPr="00D54A0F">
        <w:rPr>
          <w:b/>
          <w:sz w:val="20"/>
          <w:szCs w:val="20"/>
        </w:rPr>
        <w:t>Vyjíždějící/dojíždějící</w:t>
      </w:r>
      <w:r w:rsidRPr="00BA2E02">
        <w:rPr>
          <w:b/>
          <w:sz w:val="20"/>
          <w:szCs w:val="20"/>
        </w:rPr>
        <w:t xml:space="preserve"> v rámci obce</w:t>
      </w:r>
      <w:r w:rsidRPr="00BA2E02">
        <w:rPr>
          <w:sz w:val="20"/>
          <w:szCs w:val="20"/>
        </w:rPr>
        <w:t xml:space="preserve"> jsou osoby splňující podmínku pro vyjížďku, přičemž místo pracoviště je ve stejném nebo v jiném ZSJ obce obvyklého pobytu.</w:t>
      </w:r>
      <w:r w:rsidR="00D54A0F">
        <w:rPr>
          <w:sz w:val="20"/>
          <w:szCs w:val="20"/>
        </w:rPr>
        <w:t xml:space="preserve"> </w:t>
      </w:r>
      <w:r w:rsidRPr="00BA2E02">
        <w:rPr>
          <w:b/>
          <w:sz w:val="20"/>
          <w:szCs w:val="20"/>
        </w:rPr>
        <w:t>Vyjíždějící mimo obec</w:t>
      </w:r>
      <w:r w:rsidRPr="00BA2E02">
        <w:rPr>
          <w:sz w:val="20"/>
          <w:szCs w:val="20"/>
        </w:rPr>
        <w:t xml:space="preserve"> jsou osoby s různou obcí pracoviště/školy a místa obvyklého pobytu. V celkovém počtu vyjíždějících mimo obec jsou zahrnuty i osoby s nezjištěnou obcí pracoviště/školy, pokud uvedly okres, ve kterém pracují nebo studují a tento okres je jiný než okres místa obvyklého pobytu.</w:t>
      </w:r>
      <w:r w:rsidR="00D54A0F">
        <w:rPr>
          <w:sz w:val="20"/>
          <w:szCs w:val="20"/>
        </w:rPr>
        <w:t xml:space="preserve"> </w:t>
      </w:r>
      <w:r w:rsidRPr="00BA2E02">
        <w:rPr>
          <w:b/>
          <w:sz w:val="20"/>
          <w:szCs w:val="20"/>
        </w:rPr>
        <w:t>Vyjíždějící mimo ČR</w:t>
      </w:r>
      <w:r w:rsidRPr="00BA2E02">
        <w:rPr>
          <w:sz w:val="20"/>
          <w:szCs w:val="20"/>
        </w:rPr>
        <w:t xml:space="preserve"> jsou osoby s uvedeným i nezjištěným státem pracoviště, pokud uvedly, že pracují v zahraničí.</w:t>
      </w: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b/>
          <w:sz w:val="20"/>
          <w:szCs w:val="20"/>
        </w:rPr>
      </w:pP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sz w:val="20"/>
          <w:szCs w:val="20"/>
        </w:rPr>
      </w:pPr>
      <w:r w:rsidRPr="00D54A0F">
        <w:rPr>
          <w:b/>
          <w:sz w:val="20"/>
          <w:szCs w:val="20"/>
        </w:rPr>
        <w:t>Zaměstnané osoby jsou v tabulkách dojížďky definovány odlišně</w:t>
      </w:r>
      <w:r w:rsidRPr="00BA2E02">
        <w:rPr>
          <w:sz w:val="20"/>
          <w:szCs w:val="20"/>
        </w:rPr>
        <w:t xml:space="preserve"> než v jiných publikačních tabulkách. Počty zaměstnaných osob v dojížďce nezahrnují pracující studenty a učně, kteří – ačkoliv byli k datu sčítání ekonomicky aktivní - jsou zařazeni v počtech dojíždějících osob do školy.</w:t>
      </w: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b/>
          <w:sz w:val="20"/>
          <w:szCs w:val="20"/>
        </w:rPr>
      </w:pP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sz w:val="20"/>
          <w:szCs w:val="20"/>
        </w:rPr>
      </w:pPr>
      <w:r w:rsidRPr="00BA2E02">
        <w:rPr>
          <w:b/>
          <w:sz w:val="20"/>
          <w:szCs w:val="20"/>
        </w:rPr>
        <w:t>Směrový proud vyjížďky/dojížďky</w:t>
      </w:r>
      <w:r w:rsidRPr="00BA2E02">
        <w:rPr>
          <w:sz w:val="20"/>
          <w:szCs w:val="20"/>
        </w:rPr>
        <w:t xml:space="preserve"> je definován počtem osob vyjíždějících z obce místa obvyklého pobytu do obce pracoviště/školy, případně do konkrétního státu při dojížďce do zahraničí. Podmínkou je zjištěná obec resp. zjištěný stát pracoviště.</w:t>
      </w: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b/>
          <w:sz w:val="20"/>
          <w:szCs w:val="20"/>
        </w:rPr>
      </w:pP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sz w:val="20"/>
          <w:szCs w:val="20"/>
        </w:rPr>
      </w:pPr>
      <w:r w:rsidRPr="00BA2E02">
        <w:rPr>
          <w:b/>
          <w:sz w:val="20"/>
          <w:szCs w:val="20"/>
        </w:rPr>
        <w:t>Saldo dojížďky</w:t>
      </w:r>
      <w:r w:rsidRPr="00BA2E02">
        <w:rPr>
          <w:sz w:val="20"/>
          <w:szCs w:val="20"/>
        </w:rPr>
        <w:t xml:space="preserve"> je rozdíl počtu dojíždějících a vyjíždějících. </w:t>
      </w:r>
      <w:r w:rsidRPr="00BA2E02">
        <w:rPr>
          <w:b/>
          <w:sz w:val="20"/>
          <w:szCs w:val="20"/>
        </w:rPr>
        <w:t>Saldo vyjížďky</w:t>
      </w:r>
      <w:r w:rsidRPr="00BA2E02">
        <w:rPr>
          <w:sz w:val="20"/>
          <w:szCs w:val="20"/>
        </w:rPr>
        <w:t xml:space="preserve"> je rozdíl počtu vyjíždějících a dojíždějících.</w:t>
      </w:r>
    </w:p>
    <w:p w:rsidR="006822DA" w:rsidRPr="00BA2E02" w:rsidRDefault="006822DA" w:rsidP="006822DA">
      <w:pPr>
        <w:pStyle w:val="Style8"/>
        <w:tabs>
          <w:tab w:val="left" w:pos="278"/>
        </w:tabs>
        <w:jc w:val="both"/>
        <w:rPr>
          <w:b/>
          <w:sz w:val="20"/>
          <w:szCs w:val="20"/>
        </w:rPr>
      </w:pPr>
    </w:p>
    <w:p w:rsidR="006822DA" w:rsidRDefault="006822DA" w:rsidP="006822DA">
      <w:pPr>
        <w:pStyle w:val="Style8"/>
        <w:tabs>
          <w:tab w:val="left" w:pos="278"/>
        </w:tabs>
        <w:jc w:val="both"/>
        <w:rPr>
          <w:sz w:val="20"/>
          <w:szCs w:val="20"/>
        </w:rPr>
      </w:pPr>
      <w:r w:rsidRPr="00BA2E02">
        <w:rPr>
          <w:b/>
          <w:sz w:val="20"/>
          <w:szCs w:val="20"/>
        </w:rPr>
        <w:t>Obsazená pracovní místa</w:t>
      </w:r>
      <w:r w:rsidRPr="00BA2E02">
        <w:rPr>
          <w:sz w:val="20"/>
          <w:szCs w:val="20"/>
        </w:rPr>
        <w:t xml:space="preserve"> jsou součtem počtu zaměstnaných osob a salda dojížďky.</w:t>
      </w:r>
    </w:p>
    <w:p w:rsidR="00A91B0D" w:rsidRDefault="00A91B0D" w:rsidP="0065730C">
      <w:pPr>
        <w:pStyle w:val="Rbntext"/>
        <w:rPr>
          <w:b/>
          <w:bCs/>
        </w:rPr>
      </w:pPr>
    </w:p>
    <w:p w:rsidR="0065730C" w:rsidRDefault="0065730C" w:rsidP="0065730C">
      <w:pPr>
        <w:pStyle w:val="Rbntext"/>
        <w:rPr>
          <w:b/>
          <w:bCs/>
        </w:rPr>
      </w:pPr>
      <w:r>
        <w:rPr>
          <w:b/>
          <w:bCs/>
        </w:rPr>
        <w:t>Domácnosti</w:t>
      </w:r>
    </w:p>
    <w:p w:rsidR="0065730C" w:rsidRDefault="0065730C" w:rsidP="0065730C">
      <w:pPr>
        <w:pStyle w:val="Rbntext"/>
      </w:pPr>
      <w:r>
        <w:t>Údaje o domácnostech byly zpracovány podle zápisů na Bytovém listu, kde osoby žijící v jednom bytě zaznamenaly příbuzenské a jiné vztahy v rámci jedné hospodařící domácnosti. Domácnosti jsou tvořeny osobami se společným místem obvyklého pobytu.</w:t>
      </w:r>
    </w:p>
    <w:p w:rsidR="0065730C" w:rsidRDefault="0065730C" w:rsidP="0065730C">
      <w:pPr>
        <w:pStyle w:val="Rbntext"/>
      </w:pPr>
      <w:r>
        <w:rPr>
          <w:b/>
        </w:rPr>
        <w:t>Bytovou domácnost</w:t>
      </w:r>
      <w:r>
        <w:t xml:space="preserve"> tvoří osoby žijící společně v jednom bytě.</w:t>
      </w:r>
    </w:p>
    <w:p w:rsidR="0065730C" w:rsidRDefault="0065730C" w:rsidP="0065730C">
      <w:pPr>
        <w:pStyle w:val="Rbntext"/>
      </w:pPr>
      <w:r>
        <w:rPr>
          <w:b/>
        </w:rPr>
        <w:t>Hospodařící domácnost</w:t>
      </w:r>
      <w:r>
        <w:rPr>
          <w:bCs/>
        </w:rPr>
        <w:t xml:space="preserve"> </w:t>
      </w:r>
      <w:r>
        <w:t>tvoří osoby, které společně hospodaří, tj. společně hradí výdaje domácnosti, jako je strava, náklady na bydlení aj. Společné hospodaření se vztahuje i na děti, které do příslušné domácnosti patří, i když samy na výdaje domácnosti nepřispívají. Hospodařící domácnost může být typu:</w:t>
      </w:r>
    </w:p>
    <w:p w:rsidR="0065730C" w:rsidRDefault="0065730C" w:rsidP="00D54A0F">
      <w:pPr>
        <w:pStyle w:val="Rbntext"/>
        <w:numPr>
          <w:ilvl w:val="0"/>
          <w:numId w:val="4"/>
        </w:numPr>
        <w:spacing w:after="0"/>
        <w:ind w:hanging="432"/>
        <w:rPr>
          <w:bCs/>
        </w:rPr>
      </w:pPr>
      <w:r>
        <w:rPr>
          <w:b/>
        </w:rPr>
        <w:t>Domácnost rodinná – tvořená 1 úplnou rodinou</w:t>
      </w:r>
      <w:r>
        <w:rPr>
          <w:bCs/>
        </w:rPr>
        <w:t xml:space="preserve"> </w:t>
      </w:r>
      <w:r>
        <w:t xml:space="preserve">(manželský pár, neformální soužití druha a družky – tzv. faktické manželství, registrované partnerství, příp. neformální soužití osob stejného pohlaví – tzv. faktické partnerství, a to ve všech případech s dětmi nebo bez dětí) </w:t>
      </w:r>
    </w:p>
    <w:p w:rsidR="0065730C" w:rsidRDefault="0065730C" w:rsidP="00D54A0F">
      <w:pPr>
        <w:pStyle w:val="Rbntext"/>
        <w:numPr>
          <w:ilvl w:val="0"/>
          <w:numId w:val="4"/>
        </w:numPr>
        <w:spacing w:after="0"/>
        <w:ind w:hanging="432"/>
        <w:rPr>
          <w:bCs/>
        </w:rPr>
      </w:pPr>
      <w:r>
        <w:rPr>
          <w:b/>
        </w:rPr>
        <w:t>Domácnost rodinná – tvořená 1 neúplnou rodinou</w:t>
      </w:r>
      <w:r>
        <w:rPr>
          <w:bCs/>
        </w:rPr>
        <w:t xml:space="preserve"> </w:t>
      </w:r>
      <w:r>
        <w:t>(jeden z rodičů s alespoň jedním dítětem)</w:t>
      </w:r>
    </w:p>
    <w:p w:rsidR="0065730C" w:rsidRDefault="0065730C" w:rsidP="00D54A0F">
      <w:pPr>
        <w:pStyle w:val="Rbntext"/>
        <w:numPr>
          <w:ilvl w:val="0"/>
          <w:numId w:val="4"/>
        </w:numPr>
        <w:spacing w:after="0"/>
        <w:ind w:hanging="432"/>
        <w:rPr>
          <w:b/>
        </w:rPr>
      </w:pPr>
      <w:r>
        <w:rPr>
          <w:b/>
        </w:rPr>
        <w:t>Domácnost rodinná – tvořená 2 a více rodinami</w:t>
      </w:r>
    </w:p>
    <w:p w:rsidR="0065730C" w:rsidRDefault="0065730C" w:rsidP="00D54A0F">
      <w:pPr>
        <w:pStyle w:val="Rbntext"/>
        <w:numPr>
          <w:ilvl w:val="0"/>
          <w:numId w:val="4"/>
        </w:numPr>
        <w:spacing w:after="0"/>
        <w:ind w:hanging="432"/>
        <w:rPr>
          <w:bCs/>
        </w:rPr>
      </w:pPr>
      <w:r>
        <w:rPr>
          <w:b/>
        </w:rPr>
        <w:t>Domácnost nerodinná vícečlenná</w:t>
      </w:r>
      <w:r>
        <w:rPr>
          <w:bCs/>
        </w:rPr>
        <w:t xml:space="preserve"> </w:t>
      </w:r>
      <w:r>
        <w:t>(dvě nebo více osob příbuzných i nepříbuzných, společně hospodařících, které netvoří rodinnou domácnost; mezi nerodinné vícečlenné domácnosti patří také domácnost prarodiče/prarodičů s vnoučaty)</w:t>
      </w:r>
    </w:p>
    <w:p w:rsidR="0065730C" w:rsidRDefault="0065730C" w:rsidP="00D54A0F">
      <w:pPr>
        <w:pStyle w:val="Rbntext"/>
        <w:numPr>
          <w:ilvl w:val="0"/>
          <w:numId w:val="4"/>
        </w:numPr>
        <w:ind w:hanging="432"/>
        <w:rPr>
          <w:b/>
        </w:rPr>
      </w:pPr>
      <w:r>
        <w:rPr>
          <w:b/>
        </w:rPr>
        <w:t>Domácnost jednotlivce</w:t>
      </w:r>
    </w:p>
    <w:p w:rsidR="0065730C" w:rsidRDefault="0065730C" w:rsidP="0065730C">
      <w:pPr>
        <w:pStyle w:val="Rbntext"/>
      </w:pPr>
      <w:r>
        <w:t xml:space="preserve">Součástí rodinných domácností tvořených 1 rodinou mohou být i další jednotlivé osoby, pokud s rodinou společně hospodaří. </w:t>
      </w:r>
    </w:p>
    <w:p w:rsidR="0065730C" w:rsidRDefault="0065730C" w:rsidP="0065730C">
      <w:pPr>
        <w:pStyle w:val="Rbntext"/>
      </w:pPr>
      <w:r>
        <w:lastRenderedPageBreak/>
        <w:t xml:space="preserve">Ve výsledcích sčítání jsou rodinné domácnosti tvořené 1 rodinou tříděny mimo jiné podle počtu závislých dětí. </w:t>
      </w:r>
      <w:r>
        <w:rPr>
          <w:b/>
        </w:rPr>
        <w:t>Závislé dítě</w:t>
      </w:r>
      <w:r>
        <w:t xml:space="preserve"> je každá osoba v domácnosti tvořené 1 rodinou, která má k osobě v čele vztah „syn/dcera“, je ekonomicky neaktivní a je ve věku 0</w:t>
      </w:r>
      <w:r>
        <w:rPr>
          <w:rFonts w:cs="Arial"/>
        </w:rPr>
        <w:t>–</w:t>
      </w:r>
      <w:r>
        <w:t>25 let.</w:t>
      </w:r>
    </w:p>
    <w:p w:rsidR="00A4627A" w:rsidRDefault="00A4627A" w:rsidP="00A4627A">
      <w:pPr>
        <w:pStyle w:val="Rbntext"/>
      </w:pPr>
      <w:r>
        <w:t xml:space="preserve">Údaj o nulovém počtu závislých dětí (bez závislých dětí) zahrnuje jednak úplné rodiny, které jsou zcela bez dětí a dále úplné či neúplné rodiny s dětmi/dítětem (tj. s osobou se vztahem „syn“, „dcera“ vůči osobě v čele domácnosti), které ale nesplňují podmínky pro zařazení mezi děti závislé (tedy jsou starší než 25 let a/nebo ekonomicky aktivní). </w:t>
      </w:r>
    </w:p>
    <w:p w:rsidR="00A4627A" w:rsidRDefault="00C7522D" w:rsidP="0065730C">
      <w:pPr>
        <w:pStyle w:val="Rbntext"/>
      </w:pPr>
      <w:r>
        <w:t xml:space="preserve">Termínem </w:t>
      </w:r>
      <w:r w:rsidRPr="00A2299A">
        <w:rPr>
          <w:b/>
        </w:rPr>
        <w:t>„faktické manželství“</w:t>
      </w:r>
      <w:r>
        <w:t xml:space="preserve"> nebo </w:t>
      </w:r>
      <w:r w:rsidRPr="00A2299A">
        <w:rPr>
          <w:b/>
        </w:rPr>
        <w:t>„faktické partnerství“</w:t>
      </w:r>
      <w:r>
        <w:t xml:space="preserve"> se označuje hospodařící domácnost, kterou tvoří osoby žijící v neformálním soužití, které toto soužití deklarovaly na sčítacím formuláři za byt, bez ohledu na jejich skutečný rodinný stav. Manželské páry a registrovaná partnerství jsou svazky de iure.</w:t>
      </w:r>
    </w:p>
    <w:p w:rsidR="0065730C" w:rsidRPr="0065730C" w:rsidRDefault="0065730C" w:rsidP="0065730C">
      <w:pPr>
        <w:pStyle w:val="Rbntext"/>
      </w:pPr>
      <w:r w:rsidRPr="0065730C">
        <w:t>V hospodařících domácnostech tvořených 1 rodinou je určena osoba v čele domácnosti. V úplných rodinách - párech osob odlišného pohlaví je osobou v čele vždy muž, v párech osob stejného pohlaví je osobou v čele vždy starší osoba. V neúplné rodině je osobou v čele rodič.</w:t>
      </w:r>
    </w:p>
    <w:p w:rsidR="0065730C" w:rsidRDefault="0065730C" w:rsidP="0065730C">
      <w:pPr>
        <w:pStyle w:val="Rbntext"/>
      </w:pPr>
      <w:r>
        <w:t xml:space="preserve">Hospodařící domácnosti byly zpracovány za osoby bydlící </w:t>
      </w:r>
      <w:r>
        <w:rPr>
          <w:b/>
        </w:rPr>
        <w:t>v bytech, mimo byty</w:t>
      </w:r>
      <w:r>
        <w:t xml:space="preserve"> (nouzové bydlení, chaty, chalupy) a také za </w:t>
      </w:r>
      <w:r>
        <w:rPr>
          <w:b/>
        </w:rPr>
        <w:t>rodiny v zařízení</w:t>
      </w:r>
      <w:r>
        <w:t>. Jednotlivé osoby žijící v zařízení a osoby bez přístřeší (bezdomovci) nevyplňovaly Bytový list a nejsou tudíž do počtu hospodařících domácností zahrnuty.</w:t>
      </w:r>
    </w:p>
    <w:p w:rsidR="00F64CC0" w:rsidRDefault="00F64CC0" w:rsidP="00F64CC0">
      <w:pPr>
        <w:pStyle w:val="Rbntext"/>
      </w:pPr>
      <w:r>
        <w:t>Zkratka HD v textu tabulek znamená hospodařící domácnost.</w:t>
      </w:r>
    </w:p>
    <w:p w:rsidR="00CC6FF6" w:rsidRDefault="00CC6FF6" w:rsidP="00CC6FF6">
      <w:pPr>
        <w:pStyle w:val="Rbntext"/>
        <w:rPr>
          <w:b/>
        </w:rPr>
      </w:pPr>
      <w:r>
        <w:rPr>
          <w:b/>
        </w:rPr>
        <w:t>Domy</w:t>
      </w:r>
    </w:p>
    <w:p w:rsidR="00CC6FF6" w:rsidRDefault="00CC6FF6" w:rsidP="00CC6FF6">
      <w:pPr>
        <w:pStyle w:val="Rbntext"/>
      </w:pPr>
      <w:r>
        <w:t xml:space="preserve">Do </w:t>
      </w:r>
      <w:r>
        <w:rPr>
          <w:b/>
          <w:iCs/>
        </w:rPr>
        <w:t>počtu domů</w:t>
      </w:r>
      <w:r>
        <w:rPr>
          <w:bCs/>
          <w:iCs/>
        </w:rPr>
        <w:t xml:space="preserve"> </w:t>
      </w:r>
      <w:r>
        <w:t>jsou zahrnuty všechny domy určené k bydlení (obydlené i neobydlené), objekty s byty (bytem) a ubytovací zařízení bez bytu, pokud slouží k bydlení. Do počtu domů tak patří kromě rodinných a bytových domů i různá zařízení určená k bydlení – např. domovy mládeže, internáty, dětské domovy, ústavy sociální péče, domovy důchodců, penziony pro důchodce, kláštery a konventy, azylová zařízení pro cizince, provozní budovy s bytem (např. škola s bytem) apod.</w:t>
      </w:r>
    </w:p>
    <w:p w:rsidR="00CC6FF6" w:rsidRDefault="00CC6FF6" w:rsidP="00D54A0F">
      <w:pPr>
        <w:pStyle w:val="Rbntext"/>
        <w:spacing w:after="0"/>
      </w:pPr>
      <w:r>
        <w:t xml:space="preserve">Podle </w:t>
      </w:r>
      <w:r>
        <w:rPr>
          <w:b/>
          <w:iCs/>
        </w:rPr>
        <w:t>druhu domu</w:t>
      </w:r>
      <w:r>
        <w:rPr>
          <w:bCs/>
          <w:iCs/>
        </w:rPr>
        <w:t xml:space="preserve"> </w:t>
      </w:r>
      <w:r>
        <w:t>se rozlišují:</w:t>
      </w:r>
    </w:p>
    <w:p w:rsidR="00CC6FF6" w:rsidRDefault="00CC6FF6" w:rsidP="00D54A0F">
      <w:pPr>
        <w:pStyle w:val="Rbntext"/>
        <w:numPr>
          <w:ilvl w:val="0"/>
          <w:numId w:val="3"/>
        </w:numPr>
        <w:tabs>
          <w:tab w:val="clear" w:pos="1800"/>
          <w:tab w:val="num" w:pos="709"/>
        </w:tabs>
        <w:spacing w:after="0"/>
        <w:ind w:left="709" w:hanging="425"/>
      </w:pPr>
      <w:r>
        <w:rPr>
          <w:bCs/>
          <w:iCs/>
        </w:rPr>
        <w:t xml:space="preserve">rodinný dům </w:t>
      </w:r>
      <w:r>
        <w:t>– má maximálně tři samostatné byty, nejvíce dvě nadzemní a jedno podzemní podlaží a podkroví. Mezi rodinné domy patří rovněž rekreační chalupy s číslem popisným nevyčleněné z bytového fondu, využívané k rekreaci. Rodinný dům může být samostatný, dvojdomek (společná část obvodové zdi s rodinným domem na sousedící parcele) nebo řadový (alespoň tři rodinné domy k sobě přiléhají částí obvodové zdi)</w:t>
      </w:r>
    </w:p>
    <w:p w:rsidR="00CC6FF6" w:rsidRDefault="00CC6FF6" w:rsidP="00D54A0F">
      <w:pPr>
        <w:pStyle w:val="Rbntext"/>
        <w:numPr>
          <w:ilvl w:val="0"/>
          <w:numId w:val="3"/>
        </w:numPr>
        <w:tabs>
          <w:tab w:val="clear" w:pos="1800"/>
          <w:tab w:val="num" w:pos="709"/>
        </w:tabs>
        <w:spacing w:after="0"/>
        <w:ind w:left="709" w:hanging="425"/>
      </w:pPr>
      <w:r>
        <w:t>bytový dům – má více bytů přístupných ze společné chodby nebo schodiště a nejde o rodinný dům, počet podlaží není určující. Mezi bytové domy patří také vily, které nesplňují podmínky rodinného domu.</w:t>
      </w:r>
    </w:p>
    <w:p w:rsidR="00CC6FF6" w:rsidRDefault="00CC6FF6" w:rsidP="00D54A0F">
      <w:pPr>
        <w:pStyle w:val="Rbntext"/>
        <w:numPr>
          <w:ilvl w:val="0"/>
          <w:numId w:val="3"/>
        </w:numPr>
        <w:tabs>
          <w:tab w:val="clear" w:pos="1800"/>
          <w:tab w:val="num" w:pos="709"/>
        </w:tabs>
        <w:ind w:left="709" w:hanging="425"/>
      </w:pPr>
      <w:r>
        <w:t>ostatní budovy – zahrnují všechny další druhy budov kromě rodinných a bytových domů.</w:t>
      </w:r>
    </w:p>
    <w:p w:rsidR="00CC6FF6" w:rsidRDefault="00CC6FF6" w:rsidP="00CC6FF6">
      <w:pPr>
        <w:pStyle w:val="Rbntext"/>
      </w:pPr>
      <w:r>
        <w:rPr>
          <w:b/>
          <w:iCs/>
        </w:rPr>
        <w:t>Obydlený dům</w:t>
      </w:r>
      <w:r>
        <w:rPr>
          <w:bCs/>
          <w:iCs/>
        </w:rPr>
        <w:t xml:space="preserve"> </w:t>
      </w:r>
      <w:r>
        <w:t>je dům, ve kterém je alespoň jeden obydlený byt nebo je v něm umístěno zařízení pro hromadné ubytování osob alespoň s jednou obvykle bydlící osobou. V obydleném domě musí mít obvyklý pobyt alespoň jedna osoba.</w:t>
      </w:r>
    </w:p>
    <w:p w:rsidR="00CC6FF6" w:rsidRDefault="00CC6FF6" w:rsidP="00CC6FF6">
      <w:pPr>
        <w:pStyle w:val="Rbntext"/>
      </w:pPr>
      <w:r>
        <w:rPr>
          <w:b/>
          <w:iCs/>
        </w:rPr>
        <w:t>Neobydlený dům</w:t>
      </w:r>
      <w:r>
        <w:rPr>
          <w:bCs/>
          <w:iCs/>
        </w:rPr>
        <w:t xml:space="preserve"> </w:t>
      </w:r>
      <w:r>
        <w:t>je dům určený k bydlení, ve kterém nebyla sečtena žádná osoba s obvyklým pobytem. Do počtu neobydlených domů jsou zahrnuty všechny domy s byty a všechny domy s ubytovacím zařízením bez bytu, pokud jsou určeny k bydlení. Neobydlené objekty bez bytů, příp. se zařízením sloužícím pouze ke krátkodobému ubytování (hotely, turistické ubytovny, nemocnice, apod.) nejsou do počtu neobydlených domů zahrnuty.</w:t>
      </w:r>
    </w:p>
    <w:p w:rsidR="00CC6FF6" w:rsidRDefault="00CC6FF6" w:rsidP="00CC6FF6">
      <w:pPr>
        <w:pStyle w:val="Rbntext"/>
      </w:pPr>
      <w:r>
        <w:rPr>
          <w:b/>
          <w:iCs/>
        </w:rPr>
        <w:t>Vlastníkem domu</w:t>
      </w:r>
      <w:r>
        <w:rPr>
          <w:bCs/>
          <w:iCs/>
        </w:rPr>
        <w:t xml:space="preserve"> </w:t>
      </w:r>
      <w:r>
        <w:t xml:space="preserve">je fyzická nebo právnická osoba. Rozhodující je forma vlastnictví, nikoliv počet vlastníků. </w:t>
      </w:r>
      <w:r>
        <w:rPr>
          <w:iCs/>
        </w:rPr>
        <w:t xml:space="preserve">Vlastník </w:t>
      </w:r>
      <w:r>
        <w:t>–</w:t>
      </w:r>
      <w:r>
        <w:rPr>
          <w:iCs/>
        </w:rPr>
        <w:t xml:space="preserve"> fyzická osoba </w:t>
      </w:r>
      <w:r>
        <w:t xml:space="preserve">zahrnuje i případy více spoluvlastníků domu, pokud to jsou fyzické osoby. Vlastník – bytové družstvo zahrnuje všechny typy bytových družstev, i bývalá SBD, LBD aj. </w:t>
      </w:r>
      <w:r>
        <w:rPr>
          <w:bCs/>
        </w:rPr>
        <w:t>Spoluvlastnictví vlastníků bytů (jednotek)</w:t>
      </w:r>
      <w:r>
        <w:t xml:space="preserve"> zahrnuje pouze případy, kdy je celý dům ve spoluvlastnictví vlastníků bytů (jednotek) a vlastníci jednotek jsou uvedeni v katastru nemovitostí jako vlastníci jednotek a spoluvlastníci budovy. </w:t>
      </w:r>
      <w:r>
        <w:rPr>
          <w:bCs/>
        </w:rPr>
        <w:t>Kombinace vlastníků</w:t>
      </w:r>
      <w:r>
        <w:t xml:space="preserve"> představuje spoluvlastnictví fyzických osob (vlastníků jednotek) a právnické osoby, většinou družstva (část bytů nepřevedených do osobního vlastnictví).</w:t>
      </w:r>
    </w:p>
    <w:p w:rsidR="00A63D4A" w:rsidRDefault="00A63D4A" w:rsidP="00CC6FF6">
      <w:pPr>
        <w:pStyle w:val="Rbntext"/>
      </w:pPr>
      <w:r>
        <w:t xml:space="preserve">Vodovod v </w:t>
      </w:r>
      <w:r w:rsidRPr="00A63D4A">
        <w:t>technické</w:t>
      </w:r>
      <w:r>
        <w:t>m</w:t>
      </w:r>
      <w:r w:rsidRPr="00A63D4A">
        <w:t xml:space="preserve"> vybavení domů</w:t>
      </w:r>
      <w:r>
        <w:t xml:space="preserve"> zahrnuje případy vodovodu v bytech i mimo byty v domě, a to jak z veřejné sítě, tak domácí (soukromý) vodovod. </w:t>
      </w:r>
    </w:p>
    <w:p w:rsidR="00A63D4A" w:rsidRDefault="00A63D4A" w:rsidP="00CC6FF6">
      <w:pPr>
        <w:pStyle w:val="Rbntext"/>
      </w:pPr>
      <w:r>
        <w:t xml:space="preserve">Plyn v </w:t>
      </w:r>
      <w:r w:rsidRPr="00A63D4A">
        <w:t>technické</w:t>
      </w:r>
      <w:r>
        <w:t>m</w:t>
      </w:r>
      <w:r w:rsidRPr="00A63D4A">
        <w:t xml:space="preserve"> vybavení domů</w:t>
      </w:r>
      <w:r>
        <w:t xml:space="preserve"> zahrnuje plyn z veřejné sítě i z domovního zásobníku.</w:t>
      </w:r>
    </w:p>
    <w:p w:rsidR="00CC6FF6" w:rsidRDefault="00CC6FF6" w:rsidP="00A91B0D">
      <w:pPr>
        <w:pStyle w:val="Rbntext"/>
        <w:keepNext/>
        <w:rPr>
          <w:b/>
        </w:rPr>
      </w:pPr>
      <w:r>
        <w:rPr>
          <w:b/>
        </w:rPr>
        <w:lastRenderedPageBreak/>
        <w:t>Byty</w:t>
      </w:r>
    </w:p>
    <w:p w:rsidR="00CC6FF6" w:rsidRDefault="00CC6FF6" w:rsidP="00A91B0D">
      <w:pPr>
        <w:pStyle w:val="Rbntext"/>
        <w:keepNext/>
      </w:pPr>
      <w:r>
        <w:t xml:space="preserve">V rámci otázky na </w:t>
      </w:r>
      <w:r>
        <w:rPr>
          <w:b/>
          <w:iCs/>
        </w:rPr>
        <w:t>způsob bydlení bytové domácnosti</w:t>
      </w:r>
      <w:r>
        <w:rPr>
          <w:bCs/>
          <w:iCs/>
        </w:rPr>
        <w:t xml:space="preserve"> </w:t>
      </w:r>
      <w:r>
        <w:t xml:space="preserve">se zjišťoval charakter obydlí. Publikovány jsou údaje za byty a jejich charakteristiky; v případě osob je rozlišen i způsob bydlení mimo bytový fond (rekreační chata, nouzové bydlí, mobilní obydlí). </w:t>
      </w:r>
    </w:p>
    <w:p w:rsidR="00CC6FF6" w:rsidRDefault="00CC6FF6" w:rsidP="00CC6FF6">
      <w:pPr>
        <w:pStyle w:val="Rbntext"/>
      </w:pPr>
      <w:r>
        <w:rPr>
          <w:b/>
          <w:iCs/>
        </w:rPr>
        <w:t>Obydlený byt</w:t>
      </w:r>
      <w:r>
        <w:rPr>
          <w:bCs/>
          <w:iCs/>
        </w:rPr>
        <w:t xml:space="preserve"> </w:t>
      </w:r>
      <w:r>
        <w:t>je byt, ve kterém má alespoň jedna osoba obvyklý pobyt.</w:t>
      </w:r>
    </w:p>
    <w:p w:rsidR="00CC6FF6" w:rsidRDefault="00CC6FF6" w:rsidP="00CC6FF6">
      <w:pPr>
        <w:pStyle w:val="Rbntext"/>
      </w:pPr>
      <w:r>
        <w:rPr>
          <w:b/>
          <w:iCs/>
        </w:rPr>
        <w:t>Neobydlený byt</w:t>
      </w:r>
      <w:r>
        <w:rPr>
          <w:bCs/>
          <w:iCs/>
        </w:rPr>
        <w:t xml:space="preserve"> </w:t>
      </w:r>
      <w:r>
        <w:t xml:space="preserve">je byt, ve kterém nebyla žádná osoba s obvyklým pobytem. </w:t>
      </w:r>
    </w:p>
    <w:p w:rsidR="00CC6FF6" w:rsidRDefault="00CC6FF6" w:rsidP="00CC6FF6">
      <w:pPr>
        <w:pStyle w:val="Rbntext"/>
        <w:rPr>
          <w:iCs/>
        </w:rPr>
      </w:pPr>
      <w:r>
        <w:rPr>
          <w:b/>
          <w:iCs/>
        </w:rPr>
        <w:t>Právní důvod užívání bytu</w:t>
      </w:r>
      <w:r>
        <w:rPr>
          <w:bCs/>
          <w:iCs/>
        </w:rPr>
        <w:t xml:space="preserve"> charakterizuje status užívání z hlediska uživatele bytu. </w:t>
      </w:r>
      <w:r>
        <w:rPr>
          <w:iCs/>
        </w:rPr>
        <w:t xml:space="preserve">Byt v osobním vlastnictví </w:t>
      </w:r>
      <w:r>
        <w:t>je byt, jehož uživatel je samostatně veden v katastru nemovitostí jako vlastník jednotky</w:t>
      </w:r>
      <w:r>
        <w:rPr>
          <w:iCs/>
        </w:rPr>
        <w:t xml:space="preserve">. Byt nájemní </w:t>
      </w:r>
      <w:r>
        <w:t xml:space="preserve">je užíván na základě nájemní smlouvy; zahrnuje i případy osob bydlících v podnájmu v pronajatém bytě. </w:t>
      </w:r>
      <w:r>
        <w:rPr>
          <w:iCs/>
        </w:rPr>
        <w:t xml:space="preserve">Byt družstevní </w:t>
      </w:r>
      <w:r>
        <w:t xml:space="preserve">je byt ve vlastnictví družstva, přičemž uživatel bytu je současně </w:t>
      </w:r>
      <w:r>
        <w:rPr>
          <w:iCs/>
        </w:rPr>
        <w:t xml:space="preserve">členem družstva. </w:t>
      </w:r>
    </w:p>
    <w:p w:rsidR="00CC6FF6" w:rsidRDefault="00CC6FF6" w:rsidP="00CC6FF6">
      <w:pPr>
        <w:pStyle w:val="Rbntext"/>
      </w:pPr>
      <w:r>
        <w:rPr>
          <w:b/>
          <w:bCs/>
        </w:rPr>
        <w:t>Typ bytu</w:t>
      </w:r>
      <w:r>
        <w:t xml:space="preserve"> nahrazuje dřívější členění bytů na čtyři kategorie a rozlišuje byty </w:t>
      </w:r>
      <w:r>
        <w:rPr>
          <w:bCs/>
        </w:rPr>
        <w:t>standardní a byty se sníženou kvalitou</w:t>
      </w:r>
      <w:r>
        <w:t>. Byty standardní jsou byty s ústředním topením a úplným nebo částečným příslušenstvím, případně byty bez ústředního topení s úplným příslušenstvím. Byty se sníženou kvalitou jsou byty bez ústředního topení s částečným příslušenstvím, případně s úplným příslušenstvím,</w:t>
      </w:r>
      <w:r w:rsidR="00253567">
        <w:t xml:space="preserve"> ale ne vlastním.</w:t>
      </w:r>
    </w:p>
    <w:p w:rsidR="00253567" w:rsidRDefault="00253567" w:rsidP="00CC6FF6">
      <w:pPr>
        <w:pStyle w:val="Rbntext"/>
        <w:rPr>
          <w:iCs/>
        </w:rPr>
      </w:pPr>
    </w:p>
    <w:tbl>
      <w:tblPr>
        <w:tblW w:w="84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960"/>
        <w:gridCol w:w="960"/>
        <w:gridCol w:w="960"/>
        <w:gridCol w:w="960"/>
        <w:gridCol w:w="940"/>
        <w:gridCol w:w="2080"/>
      </w:tblGrid>
      <w:tr w:rsidR="00253567" w:rsidRPr="00253567" w:rsidTr="00253567">
        <w:trPr>
          <w:trHeight w:val="360"/>
          <w:jc w:val="center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7A7939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 xml:space="preserve">Srovnatelnost </w:t>
            </w:r>
            <w:r w:rsidR="007A7939">
              <w:rPr>
                <w:rFonts w:ascii="Arial CE" w:hAnsi="Arial CE" w:cs="Arial CE"/>
                <w:b/>
                <w:bCs/>
                <w:szCs w:val="20"/>
              </w:rPr>
              <w:t>kategorie/</w:t>
            </w:r>
            <w:r w:rsidRPr="00253567">
              <w:rPr>
                <w:rFonts w:ascii="Arial CE" w:hAnsi="Arial CE" w:cs="Arial CE"/>
                <w:b/>
                <w:bCs/>
                <w:szCs w:val="20"/>
              </w:rPr>
              <w:t>typ</w:t>
            </w:r>
            <w:r w:rsidR="007A7939">
              <w:rPr>
                <w:rFonts w:ascii="Arial CE" w:hAnsi="Arial CE" w:cs="Arial CE"/>
                <w:b/>
                <w:bCs/>
                <w:szCs w:val="20"/>
              </w:rPr>
              <w:t>u</w:t>
            </w:r>
            <w:r w:rsidRPr="00253567">
              <w:rPr>
                <w:rFonts w:ascii="Arial CE" w:hAnsi="Arial CE" w:cs="Arial CE"/>
                <w:b/>
                <w:bCs/>
                <w:szCs w:val="20"/>
              </w:rPr>
              <w:t xml:space="preserve"> bytů v letech 2001 a 2011</w:t>
            </w: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53567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</w:p>
        </w:tc>
      </w:tr>
      <w:tr w:rsidR="00253567" w:rsidRPr="00253567" w:rsidTr="00253567">
        <w:trPr>
          <w:trHeight w:val="795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vytápění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ústřední nebo elektrické, plynové etážové vč. kamen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splachovací záchod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koupelna, sprchový kout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2001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kategorie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bytu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2011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typ bytu</w:t>
            </w:r>
          </w:p>
        </w:tc>
      </w:tr>
      <w:tr w:rsidR="00253567" w:rsidRPr="00253567" w:rsidTr="00253567">
        <w:trPr>
          <w:trHeight w:val="48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společný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/žádný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společná</w:t>
            </w:r>
            <w:r w:rsidRPr="00253567">
              <w:rPr>
                <w:rFonts w:ascii="Arial CE" w:hAnsi="Arial CE" w:cs="Arial CE"/>
                <w:sz w:val="16"/>
                <w:szCs w:val="16"/>
              </w:rPr>
              <w:br/>
              <w:t>/žádná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53567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standardní byt</w:t>
            </w: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byt se sníženou kvalitou</w:t>
            </w: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standardní byt</w:t>
            </w: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III.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byt se sníženou kvalitou</w:t>
            </w: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III.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53567" w:rsidRPr="00253567" w:rsidTr="00253567">
        <w:trPr>
          <w:trHeight w:val="2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53567" w:rsidRPr="00253567" w:rsidRDefault="00253567" w:rsidP="00253567">
            <w:pPr>
              <w:spacing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53567">
              <w:rPr>
                <w:rFonts w:ascii="Arial CE" w:hAnsi="Arial CE" w:cs="Arial CE"/>
                <w:sz w:val="16"/>
                <w:szCs w:val="16"/>
              </w:rPr>
              <w:t>IV.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567" w:rsidRPr="00253567" w:rsidRDefault="00253567" w:rsidP="00253567">
            <w:pPr>
              <w:spacing w:after="0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253567" w:rsidRDefault="00253567" w:rsidP="00CC6FF6">
      <w:pPr>
        <w:pStyle w:val="Rbntext"/>
        <w:rPr>
          <w:iCs/>
        </w:rPr>
      </w:pPr>
    </w:p>
    <w:p w:rsidR="00253567" w:rsidRDefault="00253567" w:rsidP="00CC6FF6">
      <w:pPr>
        <w:pStyle w:val="Rbntext"/>
        <w:rPr>
          <w:iCs/>
        </w:rPr>
      </w:pPr>
    </w:p>
    <w:p w:rsidR="00CC6FF6" w:rsidRPr="00A52732" w:rsidRDefault="00CC6FF6" w:rsidP="00CC6FF6">
      <w:pPr>
        <w:rPr>
          <w:rFonts w:cs="Arial"/>
          <w:szCs w:val="20"/>
        </w:rPr>
      </w:pPr>
      <w:r w:rsidRPr="00426977">
        <w:rPr>
          <w:rFonts w:cs="Arial"/>
          <w:b/>
          <w:szCs w:val="20"/>
        </w:rPr>
        <w:t>Obytná místnost</w:t>
      </w:r>
      <w:r w:rsidRPr="00A52732">
        <w:rPr>
          <w:rFonts w:cs="Arial"/>
          <w:szCs w:val="20"/>
        </w:rPr>
        <w:t xml:space="preserve"> je část bytu (zejména obývací pokoj, ložnice, jídelna, kuchy</w:t>
      </w:r>
      <w:r>
        <w:rPr>
          <w:rFonts w:cs="Arial"/>
          <w:szCs w:val="20"/>
        </w:rPr>
        <w:t>ň</w:t>
      </w:r>
      <w:r w:rsidRPr="00A52732">
        <w:rPr>
          <w:rFonts w:cs="Arial"/>
          <w:szCs w:val="20"/>
        </w:rPr>
        <w:t>)</w:t>
      </w:r>
      <w:r>
        <w:rPr>
          <w:rFonts w:cs="Arial"/>
          <w:szCs w:val="20"/>
        </w:rPr>
        <w:t>, která je určena k bydlení a má podlahovou plochu minimálně 8 m</w:t>
      </w:r>
      <w:r w:rsidRPr="0042697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:rsidR="00CC6FF6" w:rsidRDefault="00CC6FF6" w:rsidP="00CC6FF6">
      <w:pPr>
        <w:pStyle w:val="Rbntext"/>
      </w:pPr>
      <w:r>
        <w:rPr>
          <w:b/>
        </w:rPr>
        <w:t>Obytná plocha bytu</w:t>
      </w:r>
      <w:r>
        <w:t xml:space="preserve"> je součtem plochy všech obytných místností a kuchyně, pokud má plochu 8 m</w:t>
      </w:r>
      <w:r>
        <w:rPr>
          <w:vertAlign w:val="superscript"/>
        </w:rPr>
        <w:t>2</w:t>
      </w:r>
      <w:r>
        <w:t xml:space="preserve"> a větší. Kuchyňský kout, resp. kuchyň menší než 8 m</w:t>
      </w:r>
      <w:r>
        <w:rPr>
          <w:vertAlign w:val="superscript"/>
        </w:rPr>
        <w:t>2</w:t>
      </w:r>
      <w:r w:rsidRPr="00D80208">
        <w:t xml:space="preserve"> </w:t>
      </w:r>
      <w:r>
        <w:t xml:space="preserve">není považován za obytnou místnost. </w:t>
      </w:r>
    </w:p>
    <w:p w:rsidR="00CC6FF6" w:rsidRDefault="00CC6FF6" w:rsidP="00CC6FF6">
      <w:pPr>
        <w:pStyle w:val="Rbntext"/>
      </w:pPr>
      <w:r>
        <w:rPr>
          <w:b/>
        </w:rPr>
        <w:t>Celková plocha bytu</w:t>
      </w:r>
      <w:r>
        <w:t xml:space="preserve"> je součtem plochy všech obytných místností, kuchyně, kuchyňského koutu i ostatních prostor bytu (příslušenství, předsíň, apod.). Je to plocha měřená uvnitř obvodových stěn bytu, nezahrnuje tedy sklep, balkon, lodžii (ani zasklenou). </w:t>
      </w:r>
    </w:p>
    <w:p w:rsidR="00B5636A" w:rsidRDefault="0035603E" w:rsidP="00B5636A">
      <w:pPr>
        <w:pStyle w:val="Rbntext"/>
      </w:pPr>
      <w:r w:rsidRPr="0035603E">
        <w:rPr>
          <w:b/>
        </w:rPr>
        <w:t>Plyn zaveden do bytu</w:t>
      </w:r>
      <w:r w:rsidR="00B5636A">
        <w:t xml:space="preserve"> zahrnuje plyn z veřejné sítě i z domovního zásobníku.</w:t>
      </w:r>
    </w:p>
    <w:p w:rsidR="00B5636A" w:rsidRDefault="0035603E" w:rsidP="00B5636A">
      <w:pPr>
        <w:pStyle w:val="Rbntext"/>
      </w:pPr>
      <w:r w:rsidRPr="0035603E">
        <w:rPr>
          <w:b/>
        </w:rPr>
        <w:t>Vodovod v bytě</w:t>
      </w:r>
      <w:r w:rsidR="00B5636A">
        <w:t xml:space="preserve"> zahrnuje veřejnou síť i domácí (soukromý) vodovod.</w:t>
      </w:r>
    </w:p>
    <w:p w:rsidR="005968DA" w:rsidRDefault="005968DA" w:rsidP="00B5636A">
      <w:pPr>
        <w:pStyle w:val="Rbntext"/>
      </w:pPr>
      <w:r>
        <w:t>Vlastní splachovací záchod a vlastní koupelna, sprchový kout zahrnuje případy, kdy je záchod nebo koupelna nejen v bytě, ale i mimo byt vlastní.</w:t>
      </w:r>
    </w:p>
    <w:p w:rsidR="00CC6FF6" w:rsidRDefault="00CC6FF6" w:rsidP="00CC6FF6">
      <w:pPr>
        <w:pStyle w:val="Rbntext"/>
      </w:pPr>
      <w:r>
        <w:rPr>
          <w:b/>
          <w:iCs/>
        </w:rPr>
        <w:t>Vybavení</w:t>
      </w:r>
      <w:r>
        <w:rPr>
          <w:bCs/>
          <w:iCs/>
        </w:rPr>
        <w:t xml:space="preserve"> </w:t>
      </w:r>
      <w:r>
        <w:t xml:space="preserve">obydleného bytu (bytové domácnosti) </w:t>
      </w:r>
      <w:r>
        <w:rPr>
          <w:b/>
          <w:iCs/>
        </w:rPr>
        <w:t>osobním počítačem</w:t>
      </w:r>
      <w:r>
        <w:rPr>
          <w:bCs/>
          <w:iCs/>
        </w:rPr>
        <w:t xml:space="preserve"> </w:t>
      </w:r>
      <w:r>
        <w:t xml:space="preserve">se zjišťovalo bez zřetele k tomu, který člen bytové domácnosti je vlastníkem. </w:t>
      </w:r>
    </w:p>
    <w:p w:rsidR="00CC6FF6" w:rsidRDefault="00CC6FF6" w:rsidP="00CC6FF6">
      <w:pPr>
        <w:pStyle w:val="Rbntext"/>
      </w:pPr>
      <w:r>
        <w:t>Všechny výpočty průměrných hodnot charakteristik bytového fondu – např. průměrná obytná plocha bytu, průměrný počet obytných místností na 1 byt apod. – byly počítány pouze ze souborů bytů se zjištěnými hodnotami.</w:t>
      </w:r>
    </w:p>
    <w:p w:rsidR="00BA2E02" w:rsidRPr="006822DA" w:rsidRDefault="00BA2E02" w:rsidP="006822DA">
      <w:pPr>
        <w:pStyle w:val="Rbntext"/>
        <w:rPr>
          <w:b/>
          <w:highlight w:val="yellow"/>
        </w:rPr>
      </w:pPr>
    </w:p>
    <w:p w:rsidR="00D079AA" w:rsidRDefault="00D079AA" w:rsidP="00D079AA">
      <w:pPr>
        <w:pStyle w:val="Rbntext"/>
        <w:rPr>
          <w:b/>
          <w:bCs/>
          <w:caps/>
        </w:rPr>
      </w:pPr>
      <w:r>
        <w:rPr>
          <w:b/>
          <w:bCs/>
          <w:caps/>
        </w:rPr>
        <w:t>Srovnatelnost výsledků sčítání 2011 a 2001</w:t>
      </w:r>
    </w:p>
    <w:p w:rsidR="00D079AA" w:rsidRDefault="00D079AA" w:rsidP="00D079AA">
      <w:pPr>
        <w:pStyle w:val="Rbntext"/>
      </w:pPr>
      <w:r>
        <w:rPr>
          <w:b/>
          <w:bCs/>
        </w:rPr>
        <w:t>Definitivní výsledky SLDB 2011</w:t>
      </w:r>
      <w:r>
        <w:t xml:space="preserve"> jsou zpracovány a publikovány </w:t>
      </w:r>
      <w:r>
        <w:rPr>
          <w:b/>
          <w:bCs/>
        </w:rPr>
        <w:t>za obvykle bydlící obyvatelstvo</w:t>
      </w:r>
      <w:r>
        <w:t xml:space="preserve">, resp. tříděny </w:t>
      </w:r>
      <w:r>
        <w:rPr>
          <w:b/>
          <w:bCs/>
        </w:rPr>
        <w:t>podle místa obvyklého pobytu osob</w:t>
      </w:r>
      <w:r>
        <w:t>. Oproti tomu při sčítání v roce 2001 probíhalo veškeré zpracování a publikování výsledků podle místa trvalého pobytu osob, případně podle místa dlouhodobého pobytu.</w:t>
      </w:r>
    </w:p>
    <w:p w:rsidR="00D079AA" w:rsidRDefault="00D079AA" w:rsidP="00D079AA">
      <w:pPr>
        <w:pStyle w:val="Rbntext"/>
      </w:pPr>
      <w:r>
        <w:t xml:space="preserve">Základní metodickou odlišností, která se promítá do všech věcných okruhů zpracovaných dat, je tedy </w:t>
      </w:r>
      <w:r>
        <w:rPr>
          <w:b/>
          <w:bCs/>
        </w:rPr>
        <w:t>místo obvyklého pobytu osoby</w:t>
      </w:r>
      <w:r>
        <w:t xml:space="preserve">, které je určující jak pro zpracování územních charakteristik osob, jejich územní třídění, tak pro zpracování domácností, určení </w:t>
      </w:r>
      <w:proofErr w:type="spellStart"/>
      <w:r>
        <w:t>obydlenosti</w:t>
      </w:r>
      <w:proofErr w:type="spellEnd"/>
      <w:r>
        <w:t xml:space="preserve"> bytu a domu i výpočet </w:t>
      </w:r>
      <w:proofErr w:type="spellStart"/>
      <w:r>
        <w:t>dojížďkových</w:t>
      </w:r>
      <w:proofErr w:type="spellEnd"/>
      <w:r>
        <w:t xml:space="preserve"> proudů. </w:t>
      </w:r>
    </w:p>
    <w:p w:rsidR="00D079AA" w:rsidRDefault="00D079AA" w:rsidP="00D079AA">
      <w:pPr>
        <w:pStyle w:val="Rbntext"/>
      </w:pPr>
      <w:r>
        <w:t xml:space="preserve">Všechny údaje za osoby, kde dochází k porovnávání adres – </w:t>
      </w:r>
      <w:r>
        <w:rPr>
          <w:b/>
          <w:bCs/>
        </w:rPr>
        <w:t xml:space="preserve">bydliště jeden rok před sčítáním, bydliště matky v době narození </w:t>
      </w:r>
      <w:r>
        <w:t>a</w:t>
      </w:r>
      <w:r>
        <w:rPr>
          <w:b/>
          <w:bCs/>
        </w:rPr>
        <w:t xml:space="preserve"> dojížďka do místa pracoviště nebo školy</w:t>
      </w:r>
      <w:r w:rsidRPr="00554FFF">
        <w:rPr>
          <w:bCs/>
        </w:rPr>
        <w:t>,</w:t>
      </w:r>
      <w:r>
        <w:t xml:space="preserve"> jsou vztaženy k místu obvyklého pobytu. </w:t>
      </w:r>
    </w:p>
    <w:p w:rsidR="00D079AA" w:rsidRDefault="00D079AA" w:rsidP="00D079AA">
      <w:pPr>
        <w:pStyle w:val="Rbntext"/>
      </w:pPr>
      <w:r>
        <w:t xml:space="preserve">V údajích o </w:t>
      </w:r>
      <w:r>
        <w:rPr>
          <w:b/>
          <w:bCs/>
        </w:rPr>
        <w:t xml:space="preserve">náboženské víře </w:t>
      </w:r>
      <w:r>
        <w:rPr>
          <w:color w:val="000000"/>
        </w:rPr>
        <w:t xml:space="preserve">v SLDB 2011 je jako </w:t>
      </w:r>
      <w:r>
        <w:t>samostatná</w:t>
      </w:r>
      <w:r>
        <w:rPr>
          <w:color w:val="000000"/>
        </w:rPr>
        <w:t xml:space="preserve"> kategorie uvedena deklarace „</w:t>
      </w:r>
      <w:r>
        <w:t>věřící – nehlásící se k žádné církvi ani náboženské společnosti“. V údajích sčítání v roce 2001 byly takto formulované odpovědi zahrnuty mezi „ostatní a nepřesně určené“. Kromě většího počtu konkrétních církví, náboženských společností a směrů, za něž jsou údaje ze SLDB 2011 samostatně publikovány, jsou ostatní změny pouze terminologické a údaje jsou srovnatelné – kategorie „bez náboženské víry“ v údajích SLDB 2011 odpovídá kategorii „bez vyznání“ v údajích SLDB 2001, namísto pojmu „nezjištěno“ v údajích z roku 2001 je v SLDB 2011 používán termín „neuvedeno“.</w:t>
      </w:r>
    </w:p>
    <w:p w:rsidR="00D079AA" w:rsidRDefault="00D079AA" w:rsidP="00D079AA">
      <w:pPr>
        <w:pStyle w:val="Rbntext"/>
      </w:pPr>
      <w:r>
        <w:rPr>
          <w:b/>
          <w:bCs/>
        </w:rPr>
        <w:t>Nejvyšší ukončené vzdělání</w:t>
      </w:r>
      <w:r>
        <w:t xml:space="preserve"> je obdobně jako v SLDB 2001 členěno do kategorií odpovídajících klasifikaci ISCED-97 (Mezinárodní klasifikace vzdělání). Stupně vzdělání „vyučení bez maturity“ a „střední odborné bez maturity“ rozlišované při sčítání v roce 2001 jsou v SLDB 2011 sloučeny do jediné kategorie </w:t>
      </w:r>
      <w:r>
        <w:rPr>
          <w:bCs/>
        </w:rPr>
        <w:t>„střední vč. vyučení (bez maturity)“. Obdobně kategorie „učební obory s maturitou“ a „úplné střední odborné s maturitou“ zjišťované ve sčítání 2001 jsou v</w:t>
      </w:r>
      <w:r>
        <w:t xml:space="preserve"> SLDB 2011 zahrnuty v jediné </w:t>
      </w:r>
      <w:r>
        <w:rPr>
          <w:bCs/>
        </w:rPr>
        <w:t>skupině</w:t>
      </w:r>
      <w:r>
        <w:t xml:space="preserve"> </w:t>
      </w:r>
      <w:r>
        <w:rPr>
          <w:bCs/>
        </w:rPr>
        <w:t>„</w:t>
      </w:r>
      <w:r>
        <w:t>úplné střední odborné (s maturitou)“.</w:t>
      </w:r>
    </w:p>
    <w:p w:rsidR="00D079AA" w:rsidRDefault="00D079AA" w:rsidP="00D079AA">
      <w:pPr>
        <w:pStyle w:val="Rbntext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Nejvyšší ukončené vzdělání podle klasifikace </w:t>
      </w:r>
      <w:r>
        <w:rPr>
          <w:sz w:val="18"/>
          <w:szCs w:val="18"/>
        </w:rPr>
        <w:t>ISCED-97</w:t>
      </w:r>
    </w:p>
    <w:p w:rsidR="00D079AA" w:rsidRDefault="00D079AA" w:rsidP="00D079AA">
      <w:pPr>
        <w:pStyle w:val="Rbntext"/>
        <w:spacing w:after="0"/>
        <w:rPr>
          <w:sz w:val="18"/>
          <w:szCs w:val="18"/>
        </w:rPr>
      </w:pPr>
    </w:p>
    <w:tbl>
      <w:tblPr>
        <w:tblW w:w="0" w:type="auto"/>
        <w:tblInd w:w="411" w:type="dxa"/>
        <w:shd w:val="solid" w:color="FFFFFF" w:fill="auto"/>
        <w:tblLayout w:type="fixed"/>
        <w:tblCellMar>
          <w:left w:w="30" w:type="dxa"/>
          <w:right w:w="30" w:type="dxa"/>
        </w:tblCellMar>
        <w:tblLook w:val="0000"/>
      </w:tblPr>
      <w:tblGrid>
        <w:gridCol w:w="4014"/>
        <w:gridCol w:w="283"/>
        <w:gridCol w:w="993"/>
      </w:tblGrid>
      <w:tr w:rsidR="00D079AA" w:rsidTr="00885539">
        <w:trPr>
          <w:trHeight w:val="340"/>
        </w:trPr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bez vzdělání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0</w:t>
            </w:r>
          </w:p>
        </w:tc>
      </w:tr>
      <w:tr w:rsidR="00D079AA" w:rsidTr="00885539">
        <w:trPr>
          <w:trHeight w:val="340"/>
        </w:trPr>
        <w:tc>
          <w:tcPr>
            <w:tcW w:w="40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neukončené základní vzdělání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1</w:t>
            </w:r>
          </w:p>
        </w:tc>
      </w:tr>
      <w:tr w:rsidR="00D079AA" w:rsidTr="00885539">
        <w:trPr>
          <w:trHeight w:val="340"/>
        </w:trPr>
        <w:tc>
          <w:tcPr>
            <w:tcW w:w="40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základní vzdělání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2</w:t>
            </w:r>
          </w:p>
        </w:tc>
      </w:tr>
      <w:tr w:rsidR="00D079AA" w:rsidTr="00885539">
        <w:trPr>
          <w:trHeight w:val="340"/>
        </w:trPr>
        <w:tc>
          <w:tcPr>
            <w:tcW w:w="40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vč. vyučení (bez maturity)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3C</w:t>
            </w:r>
          </w:p>
        </w:tc>
      </w:tr>
      <w:tr w:rsidR="00D079AA" w:rsidTr="00885539">
        <w:trPr>
          <w:cantSplit/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úplné střední všeobecné (s maturitou)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3A</w:t>
            </w:r>
          </w:p>
        </w:tc>
      </w:tr>
      <w:tr w:rsidR="00D079AA" w:rsidTr="00885539">
        <w:trPr>
          <w:cantSplit/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úplné střední odborné (s maturitou)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9AA" w:rsidTr="00885539">
        <w:trPr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nástavbové studium (vč. pomaturitního studia)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4</w:t>
            </w:r>
          </w:p>
        </w:tc>
      </w:tr>
      <w:tr w:rsidR="00D079AA" w:rsidTr="00885539">
        <w:trPr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vyšší odborné vzdělání (absolutorium)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5B</w:t>
            </w:r>
          </w:p>
        </w:tc>
      </w:tr>
      <w:tr w:rsidR="00D079AA" w:rsidTr="00885539">
        <w:trPr>
          <w:cantSplit/>
          <w:trHeight w:val="340"/>
        </w:trPr>
        <w:tc>
          <w:tcPr>
            <w:tcW w:w="40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bakalářské (Bc., </w:t>
            </w:r>
            <w:proofErr w:type="spellStart"/>
            <w:r>
              <w:rPr>
                <w:color w:val="000000"/>
                <w:sz w:val="18"/>
                <w:szCs w:val="18"/>
              </w:rPr>
              <w:t>BcA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5A</w:t>
            </w:r>
          </w:p>
        </w:tc>
      </w:tr>
      <w:tr w:rsidR="00D079AA" w:rsidTr="00885539">
        <w:trPr>
          <w:cantSplit/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magisterské (Ing., MUDr., JUDr., PhDr., Mgr. aj.)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9AA" w:rsidTr="00885539">
        <w:trPr>
          <w:trHeight w:val="340"/>
        </w:trPr>
        <w:tc>
          <w:tcPr>
            <w:tcW w:w="42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doktorské (</w:t>
            </w:r>
            <w:proofErr w:type="spellStart"/>
            <w:r>
              <w:rPr>
                <w:color w:val="000000"/>
                <w:sz w:val="18"/>
                <w:szCs w:val="18"/>
              </w:rPr>
              <w:t>Ph.D</w:t>
            </w:r>
            <w:proofErr w:type="spellEnd"/>
            <w:r>
              <w:rPr>
                <w:color w:val="000000"/>
                <w:sz w:val="18"/>
                <w:szCs w:val="18"/>
              </w:rPr>
              <w:t>.,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ThD</w:t>
            </w:r>
            <w:proofErr w:type="spellEnd"/>
            <w:r>
              <w:rPr>
                <w:color w:val="000000"/>
                <w:sz w:val="18"/>
                <w:szCs w:val="18"/>
              </w:rPr>
              <w:t>.,DrSc.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aj. tituly za jménem)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79AA" w:rsidRDefault="00D079AA" w:rsidP="00885539">
            <w:pPr>
              <w:pStyle w:val="Rbntext"/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ISCED 6</w:t>
            </w:r>
          </w:p>
        </w:tc>
      </w:tr>
    </w:tbl>
    <w:p w:rsidR="00D079AA" w:rsidRDefault="00D079AA" w:rsidP="00D079AA">
      <w:pPr>
        <w:pStyle w:val="Rbntext"/>
      </w:pPr>
    </w:p>
    <w:p w:rsidR="00D079AA" w:rsidRDefault="00D079AA" w:rsidP="00D079AA">
      <w:pPr>
        <w:pStyle w:val="Rbntext"/>
      </w:pPr>
      <w:r>
        <w:t xml:space="preserve">V údajích o </w:t>
      </w:r>
      <w:r>
        <w:rPr>
          <w:b/>
          <w:bCs/>
        </w:rPr>
        <w:t>ekonomické aktivitě</w:t>
      </w:r>
      <w:r>
        <w:t xml:space="preserve"> jsou kategorie „osoby v domácnosti“ a „děti předškolního věku, ostatní závislé osoby“, zjišťované při sčítání v roce 2001 odděleně, sloučeny do jediné skupiny.</w:t>
      </w:r>
    </w:p>
    <w:p w:rsidR="00D079AA" w:rsidRDefault="00D079AA" w:rsidP="00D079AA">
      <w:pPr>
        <w:pStyle w:val="Rbntext"/>
      </w:pPr>
      <w:r>
        <w:t xml:space="preserve">Údaje o </w:t>
      </w:r>
      <w:r>
        <w:rPr>
          <w:b/>
          <w:bCs/>
        </w:rPr>
        <w:t>postavení v zaměstnání</w:t>
      </w:r>
      <w:r>
        <w:t xml:space="preserve"> jsou tříděny v souladu s Klasifikací postavení v zaměstnání </w:t>
      </w:r>
      <w:r>
        <w:rPr>
          <w:rFonts w:hint="eastAsia"/>
        </w:rPr>
        <w:t>CZ-ICSE</w:t>
      </w:r>
      <w:r>
        <w:t>. Kategorie „zaměstnanci v pracovním a služebním poměru“ a „ostatní zaměstnanci (na základě dohod aj.)“ zjišťované při sčítání v roce 2001 odděleně, jsou v SLDB 2011 sloučeny do jediné skupiny.</w:t>
      </w:r>
    </w:p>
    <w:p w:rsidR="00D079AA" w:rsidRDefault="00D079AA" w:rsidP="00D079AA">
      <w:pPr>
        <w:pStyle w:val="Rbntext"/>
      </w:pPr>
      <w:r>
        <w:t xml:space="preserve">Údaje o </w:t>
      </w:r>
      <w:r>
        <w:rPr>
          <w:b/>
          <w:bCs/>
        </w:rPr>
        <w:t>oboru vzdělání, zaměstnání a odvětví ekonomické činnosti</w:t>
      </w:r>
      <w:r>
        <w:t xml:space="preserve"> na rozdíl od SLDB 2001 respektují ve svém členění standardní platné statistické klasifikace – Mezinárodní klasifikace vzdělání (ISCED-97), Klasifikaci zaměstnání (CZ-ISCO), Klasifikaci ekonomických činností (CZ-NACE). </w:t>
      </w:r>
    </w:p>
    <w:p w:rsidR="00D079AA" w:rsidRDefault="00D079AA" w:rsidP="00D079AA">
      <w:pPr>
        <w:pStyle w:val="Rbntext"/>
      </w:pPr>
      <w:r>
        <w:lastRenderedPageBreak/>
        <w:t xml:space="preserve">Osoby, které místo výkonu zaměstnání často mění a osoby bez stálého pracoviště při sčítání v roce 2001 uváděly údaj o </w:t>
      </w:r>
      <w:r>
        <w:rPr>
          <w:b/>
          <w:bCs/>
        </w:rPr>
        <w:t>místě pracoviště</w:t>
      </w:r>
      <w:r>
        <w:t xml:space="preserve"> podle skutečnosti k rozhodnému okamžiku sčítání. V SLDB 2011 je pro tyto osoby zavedena zvláštní kategorie „zaměstnání bez stálého pracoviště“ a v údajích o dojížďce nejsou zahrnuty.</w:t>
      </w:r>
    </w:p>
    <w:p w:rsidR="00D079AA" w:rsidRDefault="00D079AA" w:rsidP="00D079AA">
      <w:pPr>
        <w:pStyle w:val="Rbntext"/>
      </w:pPr>
      <w:r>
        <w:t xml:space="preserve">Základním kriteriem pro odvození </w:t>
      </w:r>
      <w:r>
        <w:rPr>
          <w:b/>
          <w:bCs/>
        </w:rPr>
        <w:t>domácnosti</w:t>
      </w:r>
      <w:r>
        <w:t xml:space="preserve"> bylo místo obvyklého pobytu společně žijících a společně hospodařících osob, resp. jediné osoby.</w:t>
      </w:r>
    </w:p>
    <w:p w:rsidR="00D079AA" w:rsidRDefault="00D079AA" w:rsidP="00D079AA">
      <w:pPr>
        <w:pStyle w:val="Rbntext"/>
      </w:pPr>
      <w:r>
        <w:t xml:space="preserve">Způsob sběru formulářů a pořízení dat umožnily získání informací o vzájemných vztazích pouze v rámci hospodařící domácnosti. Proto v roce 2011 </w:t>
      </w:r>
      <w:r>
        <w:rPr>
          <w:b/>
          <w:bCs/>
        </w:rPr>
        <w:t>nebylo možné zpracovat údaje o domácnostech cenzových</w:t>
      </w:r>
      <w:r>
        <w:t xml:space="preserve">. </w:t>
      </w:r>
    </w:p>
    <w:p w:rsidR="00D079AA" w:rsidRDefault="00D079AA" w:rsidP="00D079AA">
      <w:pPr>
        <w:pStyle w:val="Rbntext"/>
      </w:pPr>
      <w:r>
        <w:t xml:space="preserve">Srovnatelnost dat 2011 a 2001 je v případě rodinných domácností omezena na hospodařící domácnosti tvořené 1 rodinou, kde jsou informace o jednotlivé domácnosti zpracovány ve stejném detailu jako v roce 2001. </w:t>
      </w:r>
    </w:p>
    <w:p w:rsidR="00D079AA" w:rsidRDefault="00D079AA" w:rsidP="00D079AA">
      <w:pPr>
        <w:pStyle w:val="Rbntext"/>
      </w:pPr>
      <w:r>
        <w:t xml:space="preserve">V omezeném rozsahu jsou k dispozici údaje o osobě v čele a její atributy; odvozeny jsou pouze u domácnosti jednotlivce a u domácností tvořených 1 rodinou. </w:t>
      </w:r>
    </w:p>
    <w:p w:rsidR="00D079AA" w:rsidRDefault="00D079AA" w:rsidP="00D079AA">
      <w:pPr>
        <w:pStyle w:val="Rbntext"/>
      </w:pPr>
      <w:r>
        <w:t>Nově jsou součástí výstupů za hospodařící domácnosti – z pohledu způsobu bydlení domácnosti – údaje o rodinných domácnostech žijících v zařízeních. Tento údaj nemá srovnání s minulými sčítáními. Osoby žijící v rodinách v zařízení byly v předchozích cenzech sčítány jako jednotlivci v zařízení.</w:t>
      </w:r>
    </w:p>
    <w:p w:rsidR="00D079AA" w:rsidRDefault="00D079AA" w:rsidP="00D079AA">
      <w:pPr>
        <w:pStyle w:val="Rbntext"/>
      </w:pPr>
      <w:r>
        <w:t>V rámci úplných rodin jsou poprvé (ve vazbě na zjišťování registrovaného partnerství osob) zpracovány údaje i o rodinách osob stejného pohlaví, a to jak registrované partnerství, tak faktické partnerství (neformální soužití).</w:t>
      </w:r>
    </w:p>
    <w:p w:rsidR="00D079AA" w:rsidRDefault="00D079AA" w:rsidP="00D079AA">
      <w:pPr>
        <w:pStyle w:val="Rbntext"/>
      </w:pPr>
      <w:r>
        <w:rPr>
          <w:b/>
          <w:bCs/>
        </w:rPr>
        <w:t>Obydlenost domů a bytů</w:t>
      </w:r>
      <w:r>
        <w:t xml:space="preserve"> je odvozena od počtu obvykle bydlících osob na rozdíl od roku 2001, kdy byl určující počet trvale bydlících osob. Na rozdíl od roku 2001 se nezjišťovala ani u domů ani u bytů kategorie „obydlen přechodně“.</w:t>
      </w:r>
    </w:p>
    <w:p w:rsidR="00D079AA" w:rsidRDefault="00D079AA" w:rsidP="00D079AA">
      <w:pPr>
        <w:pStyle w:val="Rbntext"/>
      </w:pPr>
      <w:r>
        <w:t xml:space="preserve">Struktura podle </w:t>
      </w:r>
      <w:r>
        <w:rPr>
          <w:b/>
          <w:bCs/>
        </w:rPr>
        <w:t>vlastníka domu</w:t>
      </w:r>
      <w:r>
        <w:t xml:space="preserve"> není srovnatelná. </w:t>
      </w:r>
      <w:r>
        <w:rPr>
          <w:b/>
          <w:color w:val="000000"/>
          <w:szCs w:val="22"/>
        </w:rPr>
        <w:t>Bytové družstvo</w:t>
      </w:r>
      <w:r>
        <w:rPr>
          <w:color w:val="000000"/>
          <w:szCs w:val="22"/>
        </w:rPr>
        <w:t xml:space="preserve"> zahrnuje </w:t>
      </w:r>
      <w:r>
        <w:t>případy</w:t>
      </w:r>
      <w:r>
        <w:rPr>
          <w:color w:val="000000"/>
          <w:szCs w:val="22"/>
        </w:rPr>
        <w:t xml:space="preserve">, kdy je bytové družstvo jediným vlastníkem domu (dle zápisu v katastru nemovitostí). </w:t>
      </w:r>
      <w:r>
        <w:t xml:space="preserve">Mezi bytová družstva patří všechny typy bytových družstev – bývalá SBD, LBD, nově vzniklá bytová družstva vyčleněná z původních družstev, nově založená bytová družstva atp. V roce 2001 </w:t>
      </w:r>
      <w:r>
        <w:rPr>
          <w:b/>
          <w:bCs/>
        </w:rPr>
        <w:t>stavební bytová družstva</w:t>
      </w:r>
      <w:r>
        <w:t xml:space="preserve"> zahrnovala výlučně družstva ustanovená zákonem č. 27/1959 Sb. nebo družstva od původního SBD oddělená. Samostatně byla zjišťována </w:t>
      </w:r>
      <w:r>
        <w:rPr>
          <w:b/>
          <w:bCs/>
        </w:rPr>
        <w:t>družstva založená za účelem privatizace domu</w:t>
      </w:r>
      <w:r>
        <w:t xml:space="preserve">. Tyto právnické subjekty měly časově omezenou platnost (průběh privatizace) a po ukončení privatizace se transformovaly nebo zanikly (vlastníky domu se stali vlastníci jednotek). V této položce byly uváděny i jiné právnické osoby – nejen družstva – pokud byly založeny za účelem privatizace domu. </w:t>
      </w:r>
    </w:p>
    <w:p w:rsidR="00D079AA" w:rsidRDefault="00D079AA" w:rsidP="00D079AA">
      <w:pPr>
        <w:pStyle w:val="Rbntext"/>
      </w:pPr>
      <w:r>
        <w:t>Dřívější lidová bytová družstva (LBD) byla v roce 2001 zahrnuta (pokud nedošlo k převodu bytů do vlastnictví), do položky „obec, stát“.</w:t>
      </w:r>
    </w:p>
    <w:p w:rsidR="00D079AA" w:rsidRDefault="00D079AA" w:rsidP="00D079AA">
      <w:pPr>
        <w:pStyle w:val="Rbntext"/>
      </w:pPr>
      <w:r>
        <w:t xml:space="preserve">Jiný obsah má položka </w:t>
      </w:r>
      <w:r>
        <w:rPr>
          <w:b/>
          <w:bCs/>
        </w:rPr>
        <w:t>kombinace vlastníků</w:t>
      </w:r>
      <w:r>
        <w:t xml:space="preserve">. Sčítání 2011 definovalo kombinaci vlastníků výlučně jako kombinaci vlastnických forem. V roce 2001 zahrnovala položka kombinace vlastníků spoluvlastnictví vlastníků bytů (jednotek), a to v případech všech bytů převedených do vlastnictví i pouze jejich části. </w:t>
      </w:r>
    </w:p>
    <w:p w:rsidR="00D079AA" w:rsidRDefault="00D079AA" w:rsidP="00D079AA">
      <w:pPr>
        <w:pStyle w:val="Rbntext"/>
      </w:pPr>
      <w:r>
        <w:t xml:space="preserve">V roce 2011 se </w:t>
      </w:r>
      <w:r>
        <w:rPr>
          <w:b/>
          <w:bCs/>
        </w:rPr>
        <w:t>spoluvlastnictví vlastníků jednotek</w:t>
      </w:r>
      <w:r>
        <w:t xml:space="preserve"> zjišťovalo samostatně, a to v případě, kdy bylo spoluvlastnictví stoprocentní. </w:t>
      </w:r>
    </w:p>
    <w:p w:rsidR="00D079AA" w:rsidRDefault="00D079AA" w:rsidP="00D079AA">
      <w:pPr>
        <w:pStyle w:val="Rbntext"/>
      </w:pPr>
      <w:r>
        <w:t xml:space="preserve">Položka </w:t>
      </w:r>
      <w:r>
        <w:rPr>
          <w:b/>
          <w:bCs/>
        </w:rPr>
        <w:t>kámen, cihly, tvárnice vč. kombinací</w:t>
      </w:r>
      <w:r>
        <w:t xml:space="preserve"> v rámci materiálu nosných zdí domu je srovnatelná s agregací položek „kámen“, „kámen a cihly“ a „cihly, tvárnice, cihlové bloky“, které byly při sčítání v roce 2001 zjišťovány samostatně.</w:t>
      </w:r>
    </w:p>
    <w:p w:rsidR="00D079AA" w:rsidRDefault="00D079AA" w:rsidP="00D079AA">
      <w:pPr>
        <w:pStyle w:val="Rbntext"/>
      </w:pPr>
      <w:r>
        <w:t xml:space="preserve">V tématu </w:t>
      </w:r>
      <w:r>
        <w:rPr>
          <w:b/>
          <w:bCs/>
        </w:rPr>
        <w:t>ústřední topení a druh paliva</w:t>
      </w:r>
      <w:r>
        <w:t xml:space="preserve"> nejsou samostatné údaje o domech s dálkovým topením a blokovou kotelnou, ani používaný druh paliva u kotelny mimo dům; všechny tyto kategorie jsou shrnuty v jediné položce „ kotelna mimo dům“.</w:t>
      </w:r>
    </w:p>
    <w:p w:rsidR="00D079AA" w:rsidRDefault="00D079AA" w:rsidP="00D079AA">
      <w:pPr>
        <w:pStyle w:val="Rbntext"/>
      </w:pPr>
      <w:r>
        <w:rPr>
          <w:b/>
          <w:bCs/>
        </w:rPr>
        <w:t>Právní důvod užívání bytu</w:t>
      </w:r>
      <w:r>
        <w:t xml:space="preserve"> není ve všech položkách srovnatelný. Byt družstevní zahrnuje všechny případy družstevních bytů (viz též vlastník domu). Při sčítání v roce 2001 byly samostatně zjišťovány právní důvody užívání „byt člena stavebního bytového družstva“ a „byt člena družstva nájemců založeného v průběhu privatizace“. Byty lidových bytových družstev (LBD) v roce 2011 sečtené rovněž jako byty družstevní byly v roce 2001 (i v předchozích sčítáních) sčítány jako byty nájemní.</w:t>
      </w:r>
    </w:p>
    <w:p w:rsidR="00D079AA" w:rsidRDefault="00D079AA" w:rsidP="00D079AA">
      <w:pPr>
        <w:pStyle w:val="Muj-zakltext3"/>
        <w:spacing w:after="120"/>
      </w:pPr>
      <w:r>
        <w:lastRenderedPageBreak/>
        <w:t xml:space="preserve">Odlišné je vymezení </w:t>
      </w:r>
      <w:r w:rsidRPr="00426977">
        <w:rPr>
          <w:b/>
        </w:rPr>
        <w:t>obytné místnosti</w:t>
      </w:r>
      <w:r>
        <w:t>. Podle mezinárodních doporučení je ve sčítání 2011 do počtu obytných místností bytu zahrnuta i kuchyň, pokud splňuje velikostní parametry obytné místnosti, tj. pokud má plochu 8 m</w:t>
      </w:r>
      <w:r w:rsidRPr="00426977">
        <w:rPr>
          <w:vertAlign w:val="superscript"/>
        </w:rPr>
        <w:t>2</w:t>
      </w:r>
      <w:r>
        <w:t xml:space="preserve"> a větší. V roce 2001 byla kuchyň považována za obytnou místnost pouze v případech, kdy byla jedinou místností bytu (tzv. obytná kuchyň).</w:t>
      </w:r>
    </w:p>
    <w:p w:rsidR="00D079AA" w:rsidRDefault="00D079AA" w:rsidP="00D079AA">
      <w:pPr>
        <w:pStyle w:val="Rbntext"/>
      </w:pPr>
      <w:r>
        <w:t xml:space="preserve">Sčítání 2011 na rozdíl od roku 2001 zjišťovalo nejen počet, ale i celkovou </w:t>
      </w:r>
      <w:r w:rsidRPr="00C617A0">
        <w:rPr>
          <w:b/>
        </w:rPr>
        <w:t>plochu obytných místností</w:t>
      </w:r>
      <w:r>
        <w:t>, a to samostatně za místnosti s plochou 8 m</w:t>
      </w:r>
      <w:r>
        <w:rPr>
          <w:vertAlign w:val="superscript"/>
        </w:rPr>
        <w:t>2</w:t>
      </w:r>
      <w:r>
        <w:t xml:space="preserve"> a větší a samostatně za místnosti s plochou 4</w:t>
      </w:r>
      <w:r>
        <w:rPr>
          <w:rFonts w:cs="Arial"/>
        </w:rPr>
        <w:t>–</w:t>
      </w:r>
      <w:r>
        <w:t>7,9 m</w:t>
      </w:r>
      <w:r>
        <w:rPr>
          <w:vertAlign w:val="superscript"/>
        </w:rPr>
        <w:t>2</w:t>
      </w:r>
      <w:r>
        <w:t>.</w:t>
      </w:r>
    </w:p>
    <w:p w:rsidR="00D079AA" w:rsidRDefault="00D079AA" w:rsidP="00D079AA">
      <w:pPr>
        <w:pStyle w:val="Rbntext"/>
      </w:pPr>
      <w:r>
        <w:t xml:space="preserve">Rozdílná je proti sčítání 2001 definice </w:t>
      </w:r>
      <w:r>
        <w:rPr>
          <w:b/>
          <w:bCs/>
        </w:rPr>
        <w:t>obytné plochy bytu</w:t>
      </w:r>
      <w:r>
        <w:t>, která je součtem plochy všech obytných místností a kuchyně, pokud má plochu minimálně 8 m</w:t>
      </w:r>
      <w:r>
        <w:rPr>
          <w:vertAlign w:val="superscript"/>
        </w:rPr>
        <w:t>2</w:t>
      </w:r>
      <w:r>
        <w:t>. Ve sčítání 2001 se započítávala do obytné plochy bytu z kuchyně pouze plocha přesahující 12 m</w:t>
      </w:r>
      <w:r>
        <w:rPr>
          <w:vertAlign w:val="superscript"/>
        </w:rPr>
        <w:t>2</w:t>
      </w:r>
      <w:r>
        <w:t>.</w:t>
      </w:r>
    </w:p>
    <w:p w:rsidR="00D079AA" w:rsidRDefault="00D079AA" w:rsidP="00D079AA">
      <w:pPr>
        <w:pStyle w:val="Rbntext"/>
      </w:pPr>
      <w:r>
        <w:t xml:space="preserve">Rozdělení bytů na </w:t>
      </w:r>
      <w:r>
        <w:rPr>
          <w:b/>
          <w:bCs/>
        </w:rPr>
        <w:t>byty standardní a byty se sníženou kvalitou</w:t>
      </w:r>
      <w:r>
        <w:t xml:space="preserve"> nahrazuje bývalé čtyři kategorie bytu. Publikovány jsou detailnější údaje o standardních bytech podle způsobu vytápění a příslušenství, aby bylo možné porovnat údaje v detailu bývalých kategorií I. a II. Byty se sníženou kvalitou jsou srovnatelné pouze s agregací bývalých kategorií bytu III. a IV.</w:t>
      </w:r>
    </w:p>
    <w:p w:rsidR="00D079AA" w:rsidRDefault="00D079AA" w:rsidP="00D079AA">
      <w:pPr>
        <w:pStyle w:val="Rbntext"/>
      </w:pPr>
      <w:r>
        <w:t xml:space="preserve">V hospodařících domácnostech – úplných </w:t>
      </w:r>
      <w:proofErr w:type="gramStart"/>
      <w:r>
        <w:t>rodinách</w:t>
      </w:r>
      <w:proofErr w:type="gramEnd"/>
      <w:r>
        <w:t xml:space="preserve"> – jsou zahrnuty i páry stejného pohlaví, a to jak registrovaná, tak faktická partnerství. V roce 2001 registrovaná partnerství neexistovala a faktická partnerství, pokud byla na formuláři deklarována, byla zahrnuta do nerodinných domácností.</w:t>
      </w:r>
    </w:p>
    <w:p w:rsidR="006822DA" w:rsidRDefault="006822DA"/>
    <w:sectPr w:rsidR="006822DA" w:rsidSect="00A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F26"/>
    <w:multiLevelType w:val="hybridMultilevel"/>
    <w:tmpl w:val="356A8CB6"/>
    <w:lvl w:ilvl="0" w:tplc="7FE03366">
      <w:start w:val="1"/>
      <w:numFmt w:val="bullet"/>
      <w:lvlText w:val="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>
    <w:nsid w:val="41551BA9"/>
    <w:multiLevelType w:val="hybridMultilevel"/>
    <w:tmpl w:val="91807064"/>
    <w:lvl w:ilvl="0" w:tplc="7FE033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E08F8"/>
    <w:multiLevelType w:val="hybridMultilevel"/>
    <w:tmpl w:val="341688E8"/>
    <w:lvl w:ilvl="0" w:tplc="04050003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066"/>
    <w:rsid w:val="00045FE4"/>
    <w:rsid w:val="00074DFB"/>
    <w:rsid w:val="000F0873"/>
    <w:rsid w:val="000F4C35"/>
    <w:rsid w:val="0010690E"/>
    <w:rsid w:val="00124F40"/>
    <w:rsid w:val="0013265B"/>
    <w:rsid w:val="00151ED8"/>
    <w:rsid w:val="001665CE"/>
    <w:rsid w:val="00187C37"/>
    <w:rsid w:val="001C5A35"/>
    <w:rsid w:val="001F11EA"/>
    <w:rsid w:val="00212C3D"/>
    <w:rsid w:val="00253567"/>
    <w:rsid w:val="00276FCA"/>
    <w:rsid w:val="00287F83"/>
    <w:rsid w:val="00337E3F"/>
    <w:rsid w:val="00354819"/>
    <w:rsid w:val="0035603E"/>
    <w:rsid w:val="003F311E"/>
    <w:rsid w:val="0042268C"/>
    <w:rsid w:val="00435FDD"/>
    <w:rsid w:val="00473257"/>
    <w:rsid w:val="00556F2F"/>
    <w:rsid w:val="00574546"/>
    <w:rsid w:val="00580CCD"/>
    <w:rsid w:val="005968DA"/>
    <w:rsid w:val="005E6408"/>
    <w:rsid w:val="005E71E0"/>
    <w:rsid w:val="00616B82"/>
    <w:rsid w:val="0065730C"/>
    <w:rsid w:val="00675F03"/>
    <w:rsid w:val="006822DA"/>
    <w:rsid w:val="006A1056"/>
    <w:rsid w:val="006B73C8"/>
    <w:rsid w:val="006C6146"/>
    <w:rsid w:val="00701066"/>
    <w:rsid w:val="00766ECC"/>
    <w:rsid w:val="007864D9"/>
    <w:rsid w:val="007965B4"/>
    <w:rsid w:val="007A7939"/>
    <w:rsid w:val="007B53A1"/>
    <w:rsid w:val="007C4CB5"/>
    <w:rsid w:val="007F01DC"/>
    <w:rsid w:val="008141B0"/>
    <w:rsid w:val="00816529"/>
    <w:rsid w:val="0086024D"/>
    <w:rsid w:val="008725A7"/>
    <w:rsid w:val="00894DE8"/>
    <w:rsid w:val="008A0EFA"/>
    <w:rsid w:val="008F4FBA"/>
    <w:rsid w:val="00994B54"/>
    <w:rsid w:val="00A409EA"/>
    <w:rsid w:val="00A4627A"/>
    <w:rsid w:val="00A63D4A"/>
    <w:rsid w:val="00A848BD"/>
    <w:rsid w:val="00A91B0D"/>
    <w:rsid w:val="00AC5F80"/>
    <w:rsid w:val="00B03FF1"/>
    <w:rsid w:val="00B324F3"/>
    <w:rsid w:val="00B5636A"/>
    <w:rsid w:val="00B845DB"/>
    <w:rsid w:val="00BA2E02"/>
    <w:rsid w:val="00BE219C"/>
    <w:rsid w:val="00C07809"/>
    <w:rsid w:val="00C22F86"/>
    <w:rsid w:val="00C43B30"/>
    <w:rsid w:val="00C643E8"/>
    <w:rsid w:val="00C7522D"/>
    <w:rsid w:val="00C95549"/>
    <w:rsid w:val="00CA49C6"/>
    <w:rsid w:val="00CC6FF6"/>
    <w:rsid w:val="00D079AA"/>
    <w:rsid w:val="00D36190"/>
    <w:rsid w:val="00D54A0F"/>
    <w:rsid w:val="00D96037"/>
    <w:rsid w:val="00E006EF"/>
    <w:rsid w:val="00E1057C"/>
    <w:rsid w:val="00E55E1C"/>
    <w:rsid w:val="00EB11F5"/>
    <w:rsid w:val="00F21A43"/>
    <w:rsid w:val="00F31A4F"/>
    <w:rsid w:val="00F46358"/>
    <w:rsid w:val="00F64CC0"/>
    <w:rsid w:val="00FA430F"/>
    <w:rsid w:val="00F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30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70106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nadpis">
    <w:name w:val="R nadpis"/>
    <w:basedOn w:val="Rbntext"/>
    <w:next w:val="Rbntext"/>
    <w:rsid w:val="00701066"/>
    <w:pPr>
      <w:jc w:val="center"/>
    </w:pPr>
    <w:rPr>
      <w:b/>
      <w:caps/>
      <w:sz w:val="24"/>
    </w:rPr>
  </w:style>
  <w:style w:type="paragraph" w:customStyle="1" w:styleId="Style8">
    <w:name w:val="Style8"/>
    <w:basedOn w:val="Normln"/>
    <w:rsid w:val="006822DA"/>
    <w:pPr>
      <w:widowControl w:val="0"/>
      <w:autoSpaceDE w:val="0"/>
      <w:autoSpaceDN w:val="0"/>
      <w:adjustRightInd w:val="0"/>
      <w:spacing w:after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822DA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822DA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Muj-zakltext3">
    <w:name w:val="Muj-zakl.text3"/>
    <w:basedOn w:val="Normln"/>
    <w:rsid w:val="00D079AA"/>
    <w:pPr>
      <w:keepNext/>
      <w:spacing w:after="0"/>
    </w:pPr>
    <w:rPr>
      <w:rFonts w:cs="Arial"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21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A4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A4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A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A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A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A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4130</Words>
  <Characters>24368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radolfova</dc:creator>
  <cp:keywords/>
  <dc:description/>
  <cp:lastModifiedBy>System Service</cp:lastModifiedBy>
  <cp:revision>3</cp:revision>
  <dcterms:created xsi:type="dcterms:W3CDTF">2013-11-01T08:05:00Z</dcterms:created>
  <dcterms:modified xsi:type="dcterms:W3CDTF">2013-11-01T08:07:00Z</dcterms:modified>
</cp:coreProperties>
</file>