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C" w:rsidRPr="00C24253" w:rsidRDefault="00EE2C7C" w:rsidP="00867DBD">
      <w:pPr>
        <w:pStyle w:val="Dilonadpis1"/>
      </w:pPr>
      <w:bookmarkStart w:id="0" w:name="_Toc371588175"/>
      <w:r w:rsidRPr="00C24253">
        <w:t>DOMÁCNOSTI</w:t>
      </w:r>
      <w:bookmarkEnd w:id="0"/>
    </w:p>
    <w:p w:rsidR="00EE2C7C" w:rsidRPr="00C24253" w:rsidRDefault="00EE2C7C" w:rsidP="00AE61F3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Sčítání lidu, domů a bytů 2011 umožnilo vzhledem k odlišné organizaci, sběru a automatickému zpracování dat kvantifikovat pouze dva druhy domácností – </w:t>
      </w:r>
      <w:r w:rsidRPr="00C24253">
        <w:rPr>
          <w:rFonts w:cs="Arial"/>
          <w:b/>
          <w:sz w:val="20"/>
          <w:szCs w:val="20"/>
        </w:rPr>
        <w:t>bytové a hospodařící</w:t>
      </w:r>
      <w:r w:rsidRPr="00C24253">
        <w:rPr>
          <w:rFonts w:cs="Arial"/>
          <w:sz w:val="20"/>
          <w:szCs w:val="20"/>
        </w:rPr>
        <w:t>. Ve sčítáních v období 1961–2001 byly jako základní jednotka domácností zpracovávány také cenzové domácnosti, které byly konstruovány podle vzájemných příbuzenských a jiných vztahů jednotlivých osob a od roku 1970 také podle prohlášení sčítaných osob o společném či odděleném hospodaření. V roce 2011 byla základní jednotkou domácnost hospodařící, konstruovaná na základě deklarace o vztazích mezi společně bydlícími a hospodařícími os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bami. Informační ztráta je celkově nevýznamná, jelikož již v roce 2001 bylo téměř 99 % hospodařících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mácností tvořeno jednou cenzovou domácností. Navíc podle dlouhodobého vývoje je možné předpokládat, že tento podíl se bude nadále zvyšovat. Při přepočtu na strukturu předchozího sčítání bylo v roce 2011 více než 98 % hospodařících domácností tvořeno jednou cenzovou domácností, pouze necelé 2 % hospodařících domácností byla tvořena dvěma a více cenzovými domácnostmi (tj. 2 a více rodinami). Bytové domácnosti jsou totožné s počtem bytů a jejich složení a hlavní charakteristiky jsou definovány souborem osob v bytě obvykle bydlících.</w:t>
      </w:r>
    </w:p>
    <w:p w:rsidR="00EE2C7C" w:rsidRPr="00C24253" w:rsidRDefault="00EE2C7C" w:rsidP="00291788">
      <w:pPr>
        <w:autoSpaceDE w:val="0"/>
        <w:autoSpaceDN w:val="0"/>
        <w:adjustRightInd w:val="0"/>
        <w:spacing w:after="120"/>
        <w:ind w:left="284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Hospodařící domácnosti v letech 1970–2011</w:t>
      </w:r>
    </w:p>
    <w:tbl>
      <w:tblPr>
        <w:tblW w:w="929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8"/>
        <w:gridCol w:w="907"/>
        <w:gridCol w:w="567"/>
        <w:gridCol w:w="907"/>
        <w:gridCol w:w="567"/>
        <w:gridCol w:w="907"/>
        <w:gridCol w:w="567"/>
        <w:gridCol w:w="907"/>
        <w:gridCol w:w="567"/>
        <w:gridCol w:w="907"/>
        <w:gridCol w:w="567"/>
      </w:tblGrid>
      <w:tr w:rsidR="00336431" w:rsidRPr="00C24253" w:rsidTr="009B3110">
        <w:trPr>
          <w:trHeight w:val="30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431" w:rsidRPr="00C24253" w:rsidRDefault="00336431" w:rsidP="00291788">
            <w:pPr>
              <w:jc w:val="left"/>
              <w:rPr>
                <w:rFonts w:cs="Arial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Typy domácností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2011*</w:t>
            </w:r>
          </w:p>
        </w:tc>
      </w:tr>
      <w:tr w:rsidR="00336431" w:rsidRPr="00C24253" w:rsidTr="009B3110">
        <w:trPr>
          <w:trHeight w:val="300"/>
          <w:jc w:val="center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431" w:rsidRPr="00C24253" w:rsidRDefault="00336431" w:rsidP="0029178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31" w:rsidRPr="00C24253" w:rsidRDefault="00336431" w:rsidP="0029178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291788" w:rsidRPr="00C24253" w:rsidTr="0038146A">
        <w:trPr>
          <w:trHeight w:val="51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Hospodařící domá</w:t>
            </w:r>
            <w:r w:rsidRPr="00C24253">
              <w:rPr>
                <w:rFonts w:cs="Arial"/>
                <w:b/>
                <w:sz w:val="16"/>
                <w:szCs w:val="16"/>
              </w:rPr>
              <w:t>c</w:t>
            </w:r>
            <w:r w:rsidRPr="00C24253">
              <w:rPr>
                <w:rFonts w:cs="Arial"/>
                <w:b/>
                <w:sz w:val="16"/>
                <w:szCs w:val="16"/>
              </w:rPr>
              <w:t>nosti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3 365 407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3 790 977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3 983 858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4 216 085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4 375 122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291788" w:rsidRPr="00C24253" w:rsidTr="0038146A">
        <w:trPr>
          <w:trHeight w:val="17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91788" w:rsidRPr="00C24253" w:rsidTr="00291788">
        <w:trPr>
          <w:trHeight w:val="30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D7A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cenzová domácnost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3 234 669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3 711 618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3 918 293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4 162 795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291788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4 305 428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291788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98.4</w:t>
            </w:r>
          </w:p>
        </w:tc>
      </w:tr>
      <w:tr w:rsidR="00291788" w:rsidRPr="00C24253" w:rsidTr="00291788">
        <w:trPr>
          <w:trHeight w:val="300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D7A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cenzové domácnosti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127 471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76 805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63 492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52 008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69 041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</w:tr>
      <w:tr w:rsidR="00291788" w:rsidRPr="00C24253" w:rsidTr="0038146A">
        <w:trPr>
          <w:trHeight w:val="454"/>
          <w:jc w:val="center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D7A4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a více cenzových domácností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264" w:rsidRPr="00C24253" w:rsidRDefault="00633264" w:rsidP="0029178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0,0</w:t>
            </w:r>
          </w:p>
        </w:tc>
      </w:tr>
    </w:tbl>
    <w:p w:rsidR="00633264" w:rsidRPr="00C24253" w:rsidRDefault="00336431" w:rsidP="000C6E81">
      <w:pPr>
        <w:autoSpaceDE w:val="0"/>
        <w:autoSpaceDN w:val="0"/>
        <w:adjustRightInd w:val="0"/>
        <w:spacing w:before="60" w:after="360"/>
        <w:ind w:left="284"/>
        <w:rPr>
          <w:rFonts w:cs="Arial"/>
          <w:sz w:val="16"/>
          <w:szCs w:val="16"/>
        </w:rPr>
      </w:pPr>
      <w:r w:rsidRPr="00C24253">
        <w:rPr>
          <w:rFonts w:cs="Arial"/>
          <w:iCs/>
          <w:sz w:val="16"/>
          <w:szCs w:val="16"/>
        </w:rPr>
        <w:t xml:space="preserve">* </w:t>
      </w:r>
      <w:r w:rsidR="00291788" w:rsidRPr="00C24253">
        <w:rPr>
          <w:rFonts w:cs="Arial"/>
          <w:iCs/>
          <w:sz w:val="16"/>
          <w:szCs w:val="16"/>
        </w:rPr>
        <w:t>Jako hospodařící domácnost (HD) tvořená 1 cenzovou domácností je považována HD tvořená domácnost</w:t>
      </w:r>
      <w:r w:rsidR="004039E2">
        <w:rPr>
          <w:rFonts w:cs="Arial"/>
          <w:iCs/>
          <w:sz w:val="16"/>
          <w:szCs w:val="16"/>
        </w:rPr>
        <w:t>í</w:t>
      </w:r>
      <w:r w:rsidR="00291788" w:rsidRPr="00C24253">
        <w:rPr>
          <w:rFonts w:cs="Arial"/>
          <w:iCs/>
          <w:sz w:val="16"/>
          <w:szCs w:val="16"/>
        </w:rPr>
        <w:t xml:space="preserve"> jednotlivce, vícečle</w:t>
      </w:r>
      <w:r w:rsidR="00291788" w:rsidRPr="00C24253">
        <w:rPr>
          <w:rFonts w:cs="Arial"/>
          <w:iCs/>
          <w:sz w:val="16"/>
          <w:szCs w:val="16"/>
        </w:rPr>
        <w:t>n</w:t>
      </w:r>
      <w:r w:rsidR="00291788" w:rsidRPr="00C24253">
        <w:rPr>
          <w:rFonts w:cs="Arial"/>
          <w:iCs/>
          <w:sz w:val="16"/>
          <w:szCs w:val="16"/>
        </w:rPr>
        <w:t>nou nerodinnou domácnosti nebo jednou rodinou; jako hospodařící domácnost tvořená 2 a více cenzovými domácnostmi je pov</w:t>
      </w:r>
      <w:r w:rsidR="00291788" w:rsidRPr="00C24253">
        <w:rPr>
          <w:rFonts w:cs="Arial"/>
          <w:iCs/>
          <w:sz w:val="16"/>
          <w:szCs w:val="16"/>
        </w:rPr>
        <w:t>a</w:t>
      </w:r>
      <w:r w:rsidR="00291788" w:rsidRPr="00C24253">
        <w:rPr>
          <w:rFonts w:cs="Arial"/>
          <w:iCs/>
          <w:sz w:val="16"/>
          <w:szCs w:val="16"/>
        </w:rPr>
        <w:t>žována HD tvořená 2 a více rodinami</w:t>
      </w:r>
    </w:p>
    <w:p w:rsidR="000C6E81" w:rsidRPr="00C24253" w:rsidRDefault="00EE2C7C" w:rsidP="000C6E8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Základním rozdílem v metodice odvozování domácností je zařazení osob do jedné hospodařící domácnosti na základě </w:t>
      </w:r>
      <w:r w:rsidRPr="00C24253">
        <w:rPr>
          <w:rFonts w:cs="Arial"/>
          <w:b/>
          <w:sz w:val="20"/>
          <w:szCs w:val="20"/>
        </w:rPr>
        <w:t>společného místa obvyklého pobytu</w:t>
      </w:r>
      <w:r w:rsidRPr="00C24253">
        <w:rPr>
          <w:rFonts w:cs="Arial"/>
          <w:sz w:val="20"/>
          <w:szCs w:val="20"/>
        </w:rPr>
        <w:t xml:space="preserve">. </w:t>
      </w:r>
      <w:r w:rsidR="00A6034C"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0" type="#_x0000_t75" style="position:absolute;left:0;text-align:left;margin-left:6.75pt;margin-top:484.9pt;width:275.75pt;height:261.8pt;z-index:1;mso-wrap-distance-left:0;mso-wrap-distance-right:17pt;mso-position-horizontal-relative:text;mso-position-vertical-relative:page">
            <v:imagedata r:id="rId8" o:title=""/>
            <w10:wrap type="square" anchory="page"/>
          </v:shape>
        </w:pict>
      </w:r>
      <w:r w:rsidRPr="00C24253">
        <w:rPr>
          <w:rFonts w:cs="Arial"/>
          <w:sz w:val="20"/>
          <w:szCs w:val="20"/>
        </w:rPr>
        <w:t>Takový přístup, pramenící z mezinárodních doporučení, může do určité, avšak zanedbatelné míry komplikovat srovnatelnost výsledků s minulými cenzy</w:t>
      </w:r>
      <w:r w:rsidR="004B70F4">
        <w:rPr>
          <w:rFonts w:cs="Arial"/>
          <w:sz w:val="20"/>
          <w:szCs w:val="20"/>
        </w:rPr>
        <w:t>. P</w:t>
      </w:r>
      <w:r w:rsidRPr="00C24253">
        <w:rPr>
          <w:rFonts w:cs="Arial"/>
          <w:sz w:val="20"/>
          <w:szCs w:val="20"/>
        </w:rPr>
        <w:t>řesto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skytuje důležitou výhodu - pomáhá odh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lit spolehlivější počty domácností jedno</w:t>
      </w:r>
      <w:r w:rsidRPr="00C24253">
        <w:rPr>
          <w:rFonts w:cs="Arial"/>
          <w:sz w:val="20"/>
          <w:szCs w:val="20"/>
        </w:rPr>
        <w:t>t</w:t>
      </w:r>
      <w:r w:rsidRPr="00C24253">
        <w:rPr>
          <w:rFonts w:cs="Arial"/>
          <w:sz w:val="20"/>
          <w:szCs w:val="20"/>
        </w:rPr>
        <w:t xml:space="preserve">livců nebo </w:t>
      </w:r>
      <w:proofErr w:type="spellStart"/>
      <w:r w:rsidRPr="00C24253">
        <w:rPr>
          <w:rFonts w:cs="Arial"/>
          <w:sz w:val="20"/>
          <w:szCs w:val="20"/>
        </w:rPr>
        <w:t>nesezdaných</w:t>
      </w:r>
      <w:proofErr w:type="spellEnd"/>
      <w:r w:rsidRPr="00C24253">
        <w:rPr>
          <w:rFonts w:cs="Arial"/>
          <w:sz w:val="20"/>
          <w:szCs w:val="20"/>
        </w:rPr>
        <w:t xml:space="preserve"> soužití osob, které mají odlišné trvalé bydliště, ale fakticky spolu žijí a hospodaří v jedné domácnosti.</w:t>
      </w:r>
      <w:r w:rsidR="007D243B" w:rsidRPr="00C24253">
        <w:rPr>
          <w:rFonts w:cs="Arial"/>
          <w:sz w:val="20"/>
          <w:szCs w:val="20"/>
        </w:rPr>
        <w:t xml:space="preserve"> </w:t>
      </w:r>
    </w:p>
    <w:p w:rsidR="000C6E81" w:rsidRPr="00C24253" w:rsidRDefault="00EE2C7C" w:rsidP="000C6E8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Další</w:t>
      </w:r>
      <w:r w:rsidR="00F31BF5" w:rsidRPr="00C24253">
        <w:rPr>
          <w:rFonts w:cs="Arial"/>
          <w:sz w:val="20"/>
          <w:szCs w:val="20"/>
        </w:rPr>
        <w:t>m novým prvkem bylo zjišťování</w:t>
      </w:r>
      <w:r w:rsidRPr="00C24253">
        <w:rPr>
          <w:rFonts w:cs="Arial"/>
          <w:sz w:val="20"/>
          <w:szCs w:val="20"/>
        </w:rPr>
        <w:t xml:space="preserve"> </w:t>
      </w:r>
      <w:r w:rsidR="00F31BF5" w:rsidRPr="00C24253">
        <w:rPr>
          <w:rFonts w:cs="Arial"/>
          <w:b/>
          <w:sz w:val="20"/>
          <w:szCs w:val="20"/>
        </w:rPr>
        <w:t>registrovaného</w:t>
      </w:r>
      <w:r w:rsidRPr="00C24253">
        <w:rPr>
          <w:rFonts w:cs="Arial"/>
          <w:b/>
          <w:sz w:val="20"/>
          <w:szCs w:val="20"/>
        </w:rPr>
        <w:t xml:space="preserve"> partnerství</w:t>
      </w:r>
      <w:r w:rsidRPr="00C24253">
        <w:rPr>
          <w:rFonts w:cs="Arial"/>
          <w:sz w:val="20"/>
          <w:szCs w:val="20"/>
        </w:rPr>
        <w:t xml:space="preserve"> a tzv. </w:t>
      </w:r>
      <w:r w:rsidRPr="00C24253">
        <w:rPr>
          <w:rFonts w:cs="Arial"/>
          <w:b/>
          <w:sz w:val="20"/>
          <w:szCs w:val="20"/>
        </w:rPr>
        <w:t>fa</w:t>
      </w:r>
      <w:r w:rsidRPr="00C24253">
        <w:rPr>
          <w:rFonts w:cs="Arial"/>
          <w:b/>
          <w:sz w:val="20"/>
          <w:szCs w:val="20"/>
        </w:rPr>
        <w:t>k</w:t>
      </w:r>
      <w:r w:rsidRPr="00C24253">
        <w:rPr>
          <w:rFonts w:cs="Arial"/>
          <w:b/>
          <w:sz w:val="20"/>
          <w:szCs w:val="20"/>
        </w:rPr>
        <w:t>tick</w:t>
      </w:r>
      <w:r w:rsidR="00F31BF5" w:rsidRPr="00C24253">
        <w:rPr>
          <w:rFonts w:cs="Arial"/>
          <w:b/>
          <w:sz w:val="20"/>
          <w:szCs w:val="20"/>
        </w:rPr>
        <w:t>ých</w:t>
      </w:r>
      <w:r w:rsidRPr="00C24253">
        <w:rPr>
          <w:rFonts w:cs="Arial"/>
          <w:b/>
          <w:sz w:val="20"/>
          <w:szCs w:val="20"/>
        </w:rPr>
        <w:t xml:space="preserve"> partnerství</w:t>
      </w:r>
      <w:r w:rsidRPr="00C24253">
        <w:rPr>
          <w:rFonts w:cs="Arial"/>
          <w:sz w:val="20"/>
          <w:szCs w:val="20"/>
        </w:rPr>
        <w:t xml:space="preserve"> osob stejného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hlaví, které byly v návaznosti na legisl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tivní změny zpracovávány jako domá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 xml:space="preserve">nost vůbec poprvé. </w:t>
      </w:r>
    </w:p>
    <w:p w:rsidR="00EE2C7C" w:rsidRPr="00C24253" w:rsidRDefault="00EE2C7C" w:rsidP="000C6E8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Osoba v čele hospodařící domácnosti</w:t>
      </w:r>
      <w:r w:rsidRPr="00C24253">
        <w:rPr>
          <w:rFonts w:cs="Arial"/>
          <w:sz w:val="20"/>
          <w:szCs w:val="20"/>
        </w:rPr>
        <w:t xml:space="preserve"> a její </w:t>
      </w:r>
      <w:r w:rsidR="00231F90">
        <w:rPr>
          <w:rFonts w:cs="Arial"/>
          <w:sz w:val="20"/>
          <w:szCs w:val="20"/>
        </w:rPr>
        <w:t>charakteristiky byly odvozené u </w:t>
      </w:r>
      <w:r w:rsidRPr="00C24253">
        <w:rPr>
          <w:rFonts w:cs="Arial"/>
          <w:sz w:val="20"/>
          <w:szCs w:val="20"/>
        </w:rPr>
        <w:t xml:space="preserve">hospodařících domácností tvořených jednou rodinou a přirozeně u domácností jednotlivců. V úplných rodinách – </w:t>
      </w:r>
      <w:proofErr w:type="gramStart"/>
      <w:r w:rsidRPr="00C24253">
        <w:rPr>
          <w:rFonts w:cs="Arial"/>
          <w:sz w:val="20"/>
          <w:szCs w:val="20"/>
        </w:rPr>
        <w:t>párech</w:t>
      </w:r>
      <w:proofErr w:type="gramEnd"/>
      <w:r w:rsidRPr="00C24253">
        <w:rPr>
          <w:rFonts w:cs="Arial"/>
          <w:sz w:val="20"/>
          <w:szCs w:val="20"/>
        </w:rPr>
        <w:t xml:space="preserve"> odlišného pohlaví byl jako osoba v čele určen muž, v párech stejného pohlaví starší osoba a v neúplných rodinách je osobou v čele vždy rodič.</w:t>
      </w:r>
    </w:p>
    <w:p w:rsidR="00EE2C7C" w:rsidRPr="00C24253" w:rsidRDefault="00EE2C7C" w:rsidP="00771B7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Zjišťovány byly hospodařící domácnosti žijící v bytech, mimo byty a nově byly zpracovávány údaje za </w:t>
      </w:r>
      <w:r w:rsidRPr="00C24253">
        <w:rPr>
          <w:rFonts w:cs="Arial"/>
          <w:b/>
          <w:sz w:val="20"/>
          <w:szCs w:val="20"/>
        </w:rPr>
        <w:t>rodinné domácnosti bydlící v zařízeních</w:t>
      </w:r>
      <w:r w:rsidRPr="00C24253">
        <w:rPr>
          <w:rFonts w:cs="Arial"/>
          <w:sz w:val="20"/>
          <w:szCs w:val="20"/>
        </w:rPr>
        <w:t xml:space="preserve">. Jednotlivé osoby žijící v zařízení a ani bezdomovci domácnost stejně jako v předchozích sčítáních netvořily. Snahou bylo pouze zjistit počty osob </w:t>
      </w:r>
      <w:r w:rsidRPr="00C24253">
        <w:rPr>
          <w:rFonts w:cs="Arial"/>
          <w:sz w:val="20"/>
          <w:szCs w:val="20"/>
        </w:rPr>
        <w:lastRenderedPageBreak/>
        <w:t>s tímto statusem. K 26.</w:t>
      </w:r>
      <w:r w:rsidR="00F31BF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F31BF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2011 žilo podle výsledků Sčítání lidu celkem 186 049 jednotlivých osob v zařízeních (muži nejčastěji ve věku 20</w:t>
      </w:r>
      <w:r w:rsidR="00F31BF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–</w:t>
      </w:r>
      <w:r w:rsidR="00F31BF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39 let, výrazná skupina žen ve věkové skupině 80–89 let) a 11 496 bezdomovců.</w:t>
      </w:r>
    </w:p>
    <w:p w:rsidR="00F31BF5" w:rsidRPr="00C24253" w:rsidRDefault="00F31BF5" w:rsidP="000C6E81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Nejvýraznější nárůst počtu domácností byl zaznamenán mezi roky 1970 a 1980, kdy počet bytových i ho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 xml:space="preserve">podařících domácností narostl o 13 %. V celkovém přírůstku bytových domácností připadaly dvě </w:t>
      </w:r>
      <w:r w:rsidR="004039E2">
        <w:rPr>
          <w:rFonts w:cs="Arial"/>
          <w:sz w:val="20"/>
          <w:szCs w:val="20"/>
        </w:rPr>
        <w:t>pětiny</w:t>
      </w:r>
      <w:r w:rsidRPr="00C24253">
        <w:rPr>
          <w:rFonts w:cs="Arial"/>
          <w:sz w:val="20"/>
          <w:szCs w:val="20"/>
        </w:rPr>
        <w:t xml:space="preserve"> na </w:t>
      </w:r>
      <w:r w:rsidR="00815638">
        <w:rPr>
          <w:rFonts w:cs="Arial"/>
          <w:sz w:val="20"/>
          <w:szCs w:val="20"/>
        </w:rPr>
        <w:t>první sledované desetiletí (</w:t>
      </w:r>
      <w:r w:rsidRPr="00C24253">
        <w:rPr>
          <w:rFonts w:cs="Arial"/>
          <w:sz w:val="20"/>
          <w:szCs w:val="20"/>
        </w:rPr>
        <w:t>mezi roky 1970 a 1980</w:t>
      </w:r>
      <w:r w:rsidR="00815638">
        <w:rPr>
          <w:rFonts w:cs="Arial"/>
          <w:sz w:val="20"/>
          <w:szCs w:val="20"/>
        </w:rPr>
        <w:t>)</w:t>
      </w:r>
      <w:r w:rsidRPr="00C24253">
        <w:rPr>
          <w:rFonts w:cs="Arial"/>
          <w:sz w:val="20"/>
          <w:szCs w:val="20"/>
        </w:rPr>
        <w:t xml:space="preserve"> a </w:t>
      </w:r>
      <w:r w:rsidR="00815638">
        <w:rPr>
          <w:rFonts w:cs="Arial"/>
          <w:sz w:val="20"/>
          <w:szCs w:val="20"/>
        </w:rPr>
        <w:t>tři pětiny</w:t>
      </w:r>
      <w:r w:rsidRPr="00C24253">
        <w:rPr>
          <w:rFonts w:cs="Arial"/>
          <w:sz w:val="20"/>
          <w:szCs w:val="20"/>
        </w:rPr>
        <w:t xml:space="preserve"> přírůstku na období po roce 1980. Obdobný trend vývoje vykázaly i počty hospodařících domácností, které se sbližují s počty bytových domácností.</w:t>
      </w:r>
    </w:p>
    <w:p w:rsidR="00EE2C7C" w:rsidRPr="00C24253" w:rsidRDefault="00EE2C7C" w:rsidP="00867DBD">
      <w:pPr>
        <w:numPr>
          <w:ilvl w:val="1"/>
          <w:numId w:val="46"/>
        </w:numPr>
        <w:spacing w:before="360" w:after="240"/>
        <w:ind w:left="567" w:hanging="567"/>
        <w:rPr>
          <w:rFonts w:cs="Arial"/>
          <w:b/>
          <w:sz w:val="28"/>
          <w:szCs w:val="28"/>
        </w:rPr>
      </w:pPr>
      <w:r w:rsidRPr="00C24253">
        <w:rPr>
          <w:rFonts w:cs="Arial"/>
          <w:b/>
          <w:sz w:val="28"/>
          <w:szCs w:val="28"/>
        </w:rPr>
        <w:t>Bytové domácnosti</w:t>
      </w:r>
    </w:p>
    <w:p w:rsidR="00EE2C7C" w:rsidRPr="00C24253" w:rsidRDefault="00EE2C7C" w:rsidP="00771B7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K 26.</w:t>
      </w:r>
      <w:r w:rsidR="00F31BF5" w:rsidRPr="00C24253">
        <w:rPr>
          <w:rFonts w:cs="Arial"/>
          <w:b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3.</w:t>
      </w:r>
      <w:r w:rsidR="00F31BF5" w:rsidRPr="00C24253">
        <w:rPr>
          <w:rFonts w:cs="Arial"/>
          <w:b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2011 bylo v České republice 4 104 635 bytových domácností</w:t>
      </w:r>
      <w:r w:rsidRPr="00C24253">
        <w:rPr>
          <w:rFonts w:cs="Arial"/>
          <w:sz w:val="20"/>
          <w:szCs w:val="20"/>
        </w:rPr>
        <w:t>, oproti roku 1961 jejich počet vzrostl o 43 %. Více než 95 % bytových domácností tvořily případy samos</w:t>
      </w:r>
      <w:r w:rsidR="00231F90">
        <w:rPr>
          <w:rFonts w:cs="Arial"/>
          <w:sz w:val="20"/>
          <w:szCs w:val="20"/>
        </w:rPr>
        <w:t>tatně bydlících domácností, tj. </w:t>
      </w:r>
      <w:r w:rsidRPr="00C24253">
        <w:rPr>
          <w:rFonts w:cs="Arial"/>
          <w:sz w:val="20"/>
          <w:szCs w:val="20"/>
        </w:rPr>
        <w:t xml:space="preserve">případy, kdy bytová domácnosti = hospodařící domácnost. Pouze </w:t>
      </w:r>
      <w:proofErr w:type="gramStart"/>
      <w:r w:rsidRPr="00C24253">
        <w:rPr>
          <w:rFonts w:cs="Arial"/>
          <w:sz w:val="20"/>
          <w:szCs w:val="20"/>
        </w:rPr>
        <w:t>ve 190</w:t>
      </w:r>
      <w:proofErr w:type="gramEnd"/>
      <w:r w:rsidRPr="00C24253">
        <w:rPr>
          <w:rFonts w:cs="Arial"/>
          <w:sz w:val="20"/>
          <w:szCs w:val="20"/>
        </w:rPr>
        <w:t xml:space="preserve"> tisících bytových domácností žije více než jedna hospodařící domácnost.</w:t>
      </w:r>
    </w:p>
    <w:p w:rsidR="00EE2C7C" w:rsidRPr="00C24253" w:rsidRDefault="00EE2C7C" w:rsidP="00771B7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Soužití s jinou hospodařící domácností je logicky častější v rodinných domech, které svým charakterem v řadě případů </w:t>
      </w:r>
      <w:proofErr w:type="spellStart"/>
      <w:r w:rsidRPr="00C24253">
        <w:rPr>
          <w:rFonts w:cs="Arial"/>
          <w:sz w:val="20"/>
          <w:szCs w:val="20"/>
        </w:rPr>
        <w:t>vícegenerační</w:t>
      </w:r>
      <w:proofErr w:type="spellEnd"/>
      <w:r w:rsidRPr="00C24253">
        <w:rPr>
          <w:rFonts w:cs="Arial"/>
          <w:sz w:val="20"/>
          <w:szCs w:val="20"/>
        </w:rPr>
        <w:t xml:space="preserve"> bydlení umožňují. Rozdíly v úrovni spolubydlení domácností v jednotlivých typech domů resp. bytů podle právního důvodu užívání však nejsou výrazné. V roce 2011 byl podíl sp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lubydlících hospodařících domácností v bytech v rodinných domech 7 %, v bytových domech v nájemních bytech 3 %, v bytech v osobním vlastnictví necelá 3 % a v družstevních bytech 2 %. Oproti roku 2001 se podíl spolubydlících hospodařících domácnosti snížil průměrně o 5 procentních bodů.</w:t>
      </w:r>
    </w:p>
    <w:p w:rsidR="00EE2C7C" w:rsidRPr="00C24253" w:rsidRDefault="00EE2C7C" w:rsidP="00F31BF5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Průměrná velikost bytové domácnosti v roce 1961 činila 3,31 osoby, v ro</w:t>
      </w:r>
      <w:r w:rsidR="00231F90">
        <w:rPr>
          <w:rFonts w:cs="Arial"/>
          <w:sz w:val="20"/>
          <w:szCs w:val="20"/>
        </w:rPr>
        <w:t>ce 1991 hodnota klesala na 2,76 </w:t>
      </w:r>
      <w:r w:rsidRPr="00C24253">
        <w:rPr>
          <w:rFonts w:cs="Arial"/>
          <w:sz w:val="20"/>
          <w:szCs w:val="20"/>
        </w:rPr>
        <w:t>osoby a v roce 2011 v bytě průměrně žilo již pouze 2,47 osoby. Snižující se průměrný počet osob žij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cích v bytě souvisí se změnami ve struktuře bytových domácností podle počtu členů.</w:t>
      </w:r>
    </w:p>
    <w:p w:rsidR="00EE2C7C" w:rsidRPr="00C24253" w:rsidRDefault="00EE2C7C" w:rsidP="00E116A6">
      <w:pPr>
        <w:autoSpaceDE w:val="0"/>
        <w:autoSpaceDN w:val="0"/>
        <w:adjustRightInd w:val="0"/>
        <w:spacing w:after="120"/>
        <w:ind w:left="1698" w:hanging="564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 xml:space="preserve">Složení bytových domácností podle počtu členů v letech 1961–2011 </w:t>
      </w:r>
    </w:p>
    <w:tbl>
      <w:tblPr>
        <w:tblW w:w="735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3"/>
        <w:gridCol w:w="1304"/>
        <w:gridCol w:w="850"/>
        <w:gridCol w:w="850"/>
        <w:gridCol w:w="850"/>
        <w:gridCol w:w="850"/>
        <w:gridCol w:w="850"/>
        <w:gridCol w:w="850"/>
      </w:tblGrid>
      <w:tr w:rsidR="0043393C" w:rsidRPr="00C24253" w:rsidTr="00E116A6">
        <w:trPr>
          <w:trHeight w:val="283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2B61C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Bytové domá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nosti celkem 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podle počtu členů bytové domácnosti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členů</w:t>
            </w:r>
          </w:p>
        </w:tc>
      </w:tr>
      <w:tr w:rsidR="0043393C" w:rsidRPr="00C24253" w:rsidTr="002B61CE">
        <w:trPr>
          <w:trHeight w:val="340"/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5+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2 869 370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3,31</w:t>
            </w: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3 088 841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3,15</w:t>
            </w: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3 494 846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2,92</w:t>
            </w: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3 705 681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2,76</w:t>
            </w: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2,64</w:t>
            </w:r>
          </w:p>
        </w:tc>
      </w:tr>
      <w:tr w:rsidR="0043393C" w:rsidRPr="00C24253" w:rsidTr="00E116A6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93C" w:rsidRPr="00C24253" w:rsidRDefault="0043393C" w:rsidP="0043393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2,47</w:t>
            </w:r>
          </w:p>
        </w:tc>
      </w:tr>
    </w:tbl>
    <w:p w:rsidR="00EE2C7C" w:rsidRPr="00C24253" w:rsidRDefault="00EE2C7C" w:rsidP="009B3110">
      <w:pPr>
        <w:autoSpaceDE w:val="0"/>
        <w:autoSpaceDN w:val="0"/>
        <w:adjustRightInd w:val="0"/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roce 1961 představovaly jednočlenné bytové domácnosti pouze necelých 14 % všech bytových domá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>ností a zastoupení vícečetných bytových domácností bylo rovnoměrně rozloženo. Během následujícího půl století se struktura výrazně měnila. Zvyšovalo se zastoupení méně početných bytových domácností a na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pak podíl domácností s více osobami klesal. K nejvýznamnější změně došlo ve skupině jednočlenných byt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vých domácností, jejichž absolutní počet se zvýšil více než třikrát, relativní zastoupení vzrostlo více než dv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krát, a to na téměř 30 % z celkového počtu bytových domácností v roce 2011. Podíl pěti a více členných bytových domácností se absolutně snížil téměř na polovinu. Celkem žilo v roce 2011 v České republice po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 xml:space="preserve">ze </w:t>
      </w:r>
      <w:r w:rsidRPr="00C24253">
        <w:rPr>
          <w:rFonts w:cs="Arial"/>
          <w:b/>
          <w:sz w:val="20"/>
          <w:szCs w:val="20"/>
        </w:rPr>
        <w:t>312 tisíc bytových domácností s pěti a více osobami</w:t>
      </w:r>
      <w:r w:rsidRPr="00C24253">
        <w:rPr>
          <w:rFonts w:cs="Arial"/>
          <w:sz w:val="20"/>
          <w:szCs w:val="20"/>
        </w:rPr>
        <w:t xml:space="preserve">. Další neméně význačný posun nastal u dvoučlenných bytových domácností, jejichž počet se zvýšil o 84 % na téměř 1 211 tisíc. </w:t>
      </w:r>
    </w:p>
    <w:p w:rsidR="00EE2C7C" w:rsidRPr="00C24253" w:rsidRDefault="00EE2C7C" w:rsidP="00771B7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Přestože mezi roky 2001 a 2011 došlo k důležité změně v metodice a osoby byly zařazovány do bytů a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mácností podle obvyklého pobytu nikoli podle trvalého pobytu, nejsou v časových řadách patrné žádné větší diference. Zaznamenáno bylo pouze zintenzivnění dlouhodobých trendů ve vývoji složení domácností.</w:t>
      </w:r>
    </w:p>
    <w:p w:rsidR="00EE2C7C" w:rsidRPr="00C24253" w:rsidRDefault="00EE2C7C" w:rsidP="00771B70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Do roku 2001 byly součástí zjišťovaných charakteristik o úrovni bydlení domácností také kvalitativní ukazat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le o vybavenosti vybranými předměty dlouhodobé spotřeby a o možnosti rekreace domácnosti. Při sčítání 2001 byly zjišťovány údaje o počtu osobních automobilů, telefon, osobní počítač a rekreační možnosti, v roce 2011 byl zjišťován pouze údaj o vybavenosti osobním počítačem a internetovém připojení. Za posle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>ní desetiletí vybavenost osobním počítačem enormně vzrostla z necelých 7 % bytových domácností vlastn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cích počítač s internetem na více než 60 % bytových domácností se zjištěnou odpovědí na vybavenost poč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 xml:space="preserve">tačem. Bez osobního počítače v roce 2011 </w:t>
      </w:r>
      <w:r w:rsidR="00A508DC">
        <w:rPr>
          <w:rFonts w:cs="Arial"/>
          <w:sz w:val="20"/>
          <w:szCs w:val="20"/>
        </w:rPr>
        <w:t xml:space="preserve">bylo </w:t>
      </w:r>
      <w:r w:rsidRPr="00C24253">
        <w:rPr>
          <w:rFonts w:cs="Arial"/>
          <w:sz w:val="20"/>
          <w:szCs w:val="20"/>
        </w:rPr>
        <w:t>35 % bytových domácností.</w:t>
      </w:r>
    </w:p>
    <w:p w:rsidR="00EE2C7C" w:rsidRPr="00C24253" w:rsidRDefault="00A508DC" w:rsidP="00867DBD">
      <w:pPr>
        <w:pStyle w:val="Nadpis3"/>
      </w:pPr>
      <w:r>
        <w:br w:type="page"/>
      </w:r>
      <w:bookmarkStart w:id="1" w:name="_Toc371588176"/>
      <w:r w:rsidR="00EE2C7C" w:rsidRPr="00C24253">
        <w:lastRenderedPageBreak/>
        <w:t>Hospodařící domácnosti</w:t>
      </w:r>
      <w:bookmarkEnd w:id="1"/>
    </w:p>
    <w:p w:rsidR="00EE2C7C" w:rsidRPr="00C24253" w:rsidRDefault="00EE2C7C" w:rsidP="00DB694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K 26.</w:t>
      </w:r>
      <w:r w:rsidR="00F31BF5" w:rsidRPr="00C24253">
        <w:rPr>
          <w:rFonts w:cs="Arial"/>
          <w:b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3.</w:t>
      </w:r>
      <w:r w:rsidR="00F31BF5" w:rsidRPr="00C24253">
        <w:rPr>
          <w:rFonts w:cs="Arial"/>
          <w:b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2011 bylo v České republice sečteno 4 375 122 hospodařících domácností</w:t>
      </w:r>
      <w:r w:rsidRPr="00C24253">
        <w:rPr>
          <w:rFonts w:cs="Arial"/>
          <w:sz w:val="20"/>
          <w:szCs w:val="20"/>
        </w:rPr>
        <w:t>. Počet hospodař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cích domácností dlouhodobě roste, každých deset let průměrně o 7 %, oproti roku 1970 se jejich počet zvýšil o více než 1 milión v absolutním vyjádření. Nejvýraznější nárůst (absolutní i relativní) zaznamenaly domá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>nosti jednotlivců a neúplné rodiny.</w:t>
      </w:r>
    </w:p>
    <w:p w:rsidR="00EE2C7C" w:rsidRPr="00C24253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"/>
          <w:szCs w:val="2"/>
        </w:rPr>
      </w:pPr>
    </w:p>
    <w:p w:rsidR="00EE2C7C" w:rsidRPr="00C24253" w:rsidRDefault="00EE2C7C" w:rsidP="00DB6941">
      <w:pPr>
        <w:autoSpaceDE w:val="0"/>
        <w:autoSpaceDN w:val="0"/>
        <w:adjustRightInd w:val="0"/>
        <w:spacing w:after="120"/>
        <w:ind w:left="567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Hospodařící domácnosti v letech 1970–2011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11"/>
        <w:gridCol w:w="964"/>
        <w:gridCol w:w="964"/>
        <w:gridCol w:w="964"/>
        <w:gridCol w:w="964"/>
        <w:gridCol w:w="964"/>
        <w:gridCol w:w="907"/>
        <w:gridCol w:w="907"/>
      </w:tblGrid>
      <w:tr w:rsidR="00DB6941" w:rsidRPr="00C24253" w:rsidTr="002B61CE">
        <w:trPr>
          <w:trHeight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Typy domácností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Index 2011/1970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941" w:rsidRPr="00C24253" w:rsidRDefault="00DB6941" w:rsidP="00DB69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Index 2011/2001</w:t>
            </w:r>
          </w:p>
        </w:tc>
      </w:tr>
      <w:tr w:rsidR="00DB6941" w:rsidRPr="00C24253" w:rsidTr="00DB6941">
        <w:trPr>
          <w:trHeight w:val="51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Hospodařící domácnosti celkem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3 365 407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3 790 977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3 983 858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4 216 085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4 375 122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104</w:t>
            </w:r>
          </w:p>
        </w:tc>
      </w:tr>
      <w:tr w:rsidR="00DB6941" w:rsidRPr="00C24253" w:rsidTr="00DB6941">
        <w:trPr>
          <w:trHeight w:val="227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righ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DB6941" w:rsidRPr="00C24253" w:rsidTr="00DB6941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tvořené 1 rodinou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2 526 778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2 760 247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2 856 608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2 803 340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2 667 867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</w:t>
            </w:r>
          </w:p>
        </w:tc>
      </w:tr>
      <w:tr w:rsidR="00DB6941" w:rsidRPr="00C24253" w:rsidTr="002B61CE">
        <w:trPr>
          <w:trHeight w:val="227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2B61CE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DB6941" w:rsidRPr="00C24253" w:rsidTr="00DB6941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2B61C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úplná rodina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2 263 480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2 459 004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2 440 492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2 260 497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2 097 031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</w:t>
            </w:r>
          </w:p>
        </w:tc>
      </w:tr>
      <w:tr w:rsidR="00DB6941" w:rsidRPr="00C24253" w:rsidTr="00DB6941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2B61CE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neúplná rodina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263 298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301 243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416 116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542 843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570 836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105</w:t>
            </w:r>
          </w:p>
        </w:tc>
      </w:tr>
      <w:tr w:rsidR="00DB6941" w:rsidRPr="00C24253" w:rsidTr="00DB6941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tvořené 2 a více rodinami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130 738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79 359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63 492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53 290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69 694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131</w:t>
            </w:r>
          </w:p>
        </w:tc>
      </w:tr>
      <w:tr w:rsidR="00DB6941" w:rsidRPr="00C24253" w:rsidTr="00DB6941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domácnosti jednotlivců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668 859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897 447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1 047 221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1 276 176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1 422 147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41" w:rsidRPr="00C24253" w:rsidRDefault="00DB6941" w:rsidP="00DB6941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111</w:t>
            </w:r>
          </w:p>
        </w:tc>
      </w:tr>
    </w:tbl>
    <w:p w:rsidR="005C26B7" w:rsidRPr="00C24253" w:rsidRDefault="00EE2C7C" w:rsidP="00F9587B">
      <w:pPr>
        <w:autoSpaceDE w:val="0"/>
        <w:autoSpaceDN w:val="0"/>
        <w:adjustRightInd w:val="0"/>
        <w:spacing w:before="24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Při celkovém růstu počtu hospodařících domácností během posledních čtyřiceti let o 30 % se počet hosp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dařících domácností tvořených 1 neúplnou rodinou i počet domácností jednotlivců více než zdvojnásobil. Počty hospodařících domácností tvořených 1 úplnou rodinou se během první</w:t>
      </w:r>
      <w:r w:rsidR="00231F90">
        <w:rPr>
          <w:rFonts w:cs="Arial"/>
          <w:sz w:val="20"/>
          <w:szCs w:val="20"/>
        </w:rPr>
        <w:t>ho desetiletí zvyšovaly, od 80. </w:t>
      </w:r>
      <w:r w:rsidRPr="00C24253">
        <w:rPr>
          <w:rFonts w:cs="Arial"/>
          <w:sz w:val="20"/>
          <w:szCs w:val="20"/>
        </w:rPr>
        <w:t xml:space="preserve">let však dochází k jejich trvalému snižování (o 15 % ve srovnání s rokem 1980). </w:t>
      </w:r>
    </w:p>
    <w:p w:rsidR="00EE2C7C" w:rsidRPr="00C24253" w:rsidRDefault="00EE2C7C" w:rsidP="00F9587B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Vícečlenné nerodinné domácnosti mají okrajový význam a kolísání jejich počtu a následné zvýšení od roku 2001 je způsobeno především metodickými změnami a automatickým zpracování dat. Počty vícečlenných nerodinných domácností je proto možné považovat za nadhodnocené.</w:t>
      </w:r>
      <w:r w:rsidR="00467420" w:rsidRPr="00C24253">
        <w:rPr>
          <w:rFonts w:cs="Arial"/>
          <w:sz w:val="20"/>
          <w:szCs w:val="20"/>
        </w:rPr>
        <w:t xml:space="preserve"> Popsané trendy ovlivnily i strukturu hospodařících domácností.</w:t>
      </w:r>
    </w:p>
    <w:p w:rsidR="00467420" w:rsidRPr="00C24253" w:rsidRDefault="00A6034C" w:rsidP="00F31BF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311" type="#_x0000_t75" style="position:absolute;left:0;text-align:left;margin-left:0;margin-top:444.75pt;width:252.75pt;height:303.75pt;z-index:2;mso-wrap-distance-left:0;mso-wrap-distance-right:17pt;mso-position-vertical-relative:page">
            <v:imagedata r:id="rId9" o:title=""/>
            <w10:wrap type="square" anchory="page"/>
          </v:shape>
        </w:pict>
      </w:r>
      <w:r w:rsidR="00EE2C7C" w:rsidRPr="00C24253">
        <w:rPr>
          <w:rFonts w:cs="Arial"/>
          <w:sz w:val="20"/>
          <w:szCs w:val="20"/>
        </w:rPr>
        <w:t>Zatímco h</w:t>
      </w:r>
      <w:r w:rsidR="00231F90">
        <w:rPr>
          <w:rFonts w:cs="Arial"/>
          <w:sz w:val="20"/>
          <w:szCs w:val="20"/>
        </w:rPr>
        <w:t>ospodařící domácnosti tvořené 1 </w:t>
      </w:r>
      <w:r w:rsidR="00EE2C7C" w:rsidRPr="00C24253">
        <w:rPr>
          <w:rFonts w:cs="Arial"/>
          <w:sz w:val="20"/>
          <w:szCs w:val="20"/>
        </w:rPr>
        <w:t>úplnou rodinou představovaly ještě v roce 1970 dvě třetiny všech hospodařících domá</w:t>
      </w:r>
      <w:r w:rsidR="00EE2C7C" w:rsidRPr="00C24253">
        <w:rPr>
          <w:rFonts w:cs="Arial"/>
          <w:sz w:val="20"/>
          <w:szCs w:val="20"/>
        </w:rPr>
        <w:t>c</w:t>
      </w:r>
      <w:r w:rsidR="00EE2C7C" w:rsidRPr="00C24253">
        <w:rPr>
          <w:rFonts w:cs="Arial"/>
          <w:sz w:val="20"/>
          <w:szCs w:val="20"/>
        </w:rPr>
        <w:t xml:space="preserve">ností, v roce 2011 tvořily již pouze necelou polovinu. </w:t>
      </w:r>
    </w:p>
    <w:p w:rsidR="00EE2C7C" w:rsidRPr="00C24253" w:rsidRDefault="00EE2C7C" w:rsidP="00F31BF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Snížení jejich zastoupení bylo způsobeno př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devším výrazným absolutním nárůstem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mácností jednotlivců, které sice zůstávají až druhou dominantní složkou hospodařících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mácností, svůj podíl však zvýšily na třetinu všech hospodařících domácností v roce 2011. </w:t>
      </w:r>
    </w:p>
    <w:p w:rsidR="00467420" w:rsidRPr="00C24253" w:rsidRDefault="00EE2C7C" w:rsidP="00CE0785">
      <w:pPr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Průměrná velikost hospodařící domácnosti se dlouhodobě snižuje. V roce 1970 žilo v</w:t>
      </w:r>
      <w:r w:rsidR="0013222D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hosp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dařící domácnosti průměrně 2,89 osoby, v roce 2011 to bylo již jen 2,34 osoby. </w:t>
      </w:r>
    </w:p>
    <w:p w:rsidR="00EE2C7C" w:rsidRPr="00C24253" w:rsidRDefault="00EE2C7C" w:rsidP="00CE0785">
      <w:pPr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Tento stav je důsledkem zvyšujícího se počtu domácností </w:t>
      </w:r>
      <w:r w:rsidR="00231F90">
        <w:rPr>
          <w:rFonts w:cs="Arial"/>
          <w:sz w:val="20"/>
          <w:szCs w:val="20"/>
        </w:rPr>
        <w:t>jednotlivců a neúplných rodin a </w:t>
      </w:r>
      <w:r w:rsidRPr="00C24253">
        <w:rPr>
          <w:rFonts w:cs="Arial"/>
          <w:sz w:val="20"/>
          <w:szCs w:val="20"/>
        </w:rPr>
        <w:t>snižujícího se počtu úplných rodin s více dětmi související s poklesem úrovně porodnosti a dlouhodobě vy</w:t>
      </w:r>
      <w:r w:rsidR="00231F90">
        <w:rPr>
          <w:rFonts w:cs="Arial"/>
          <w:sz w:val="20"/>
          <w:szCs w:val="20"/>
        </w:rPr>
        <w:t>sokou úrovní rozvodovosti – tj. </w:t>
      </w:r>
      <w:r w:rsidRPr="00C24253">
        <w:rPr>
          <w:rFonts w:cs="Arial"/>
          <w:sz w:val="20"/>
          <w:szCs w:val="20"/>
        </w:rPr>
        <w:t>častým rozpadem úplných rodin na neúplné rodiny a domácnosti jednotlivce.</w:t>
      </w:r>
    </w:p>
    <w:p w:rsidR="00467420" w:rsidRPr="00C24253" w:rsidRDefault="00EE2C7C" w:rsidP="00CE0785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Snižující se průměrná velikost hospodařící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mácnosti je zřetelná i ze změn struktury hosp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dařících domácností podle počtu členů. </w:t>
      </w:r>
    </w:p>
    <w:p w:rsidR="00052BEF" w:rsidRPr="00C24253" w:rsidRDefault="00EE2C7C" w:rsidP="00052BEF">
      <w:pPr>
        <w:autoSpaceDE w:val="0"/>
        <w:autoSpaceDN w:val="0"/>
        <w:adjustRightInd w:val="0"/>
        <w:spacing w:after="120"/>
        <w:jc w:val="left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>Zatímco v roce 1970 bylo nejvyšší zastoupení hospodařících domácností se 2–3 členy, o deset let později byly nejvíce zastoupené 1–2 členné hospodařící domácnosti, jejichž podíl se neustále zvyšoval, a v roce 2011 jednočlenné domácnosti tvořily již třetinu všech hospodařících domácností. Zastoupení vícečlenných domácností se od roku 1970 trvale snižuje, v případě domácností se 4 a více členy až o 13 procentních b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dů.</w:t>
      </w:r>
      <w:r w:rsidR="00052BEF" w:rsidRPr="00C24253">
        <w:rPr>
          <w:rFonts w:cs="Arial"/>
          <w:b/>
          <w:sz w:val="20"/>
          <w:szCs w:val="20"/>
        </w:rPr>
        <w:t xml:space="preserve"> </w:t>
      </w:r>
    </w:p>
    <w:p w:rsidR="00052BEF" w:rsidRPr="00C24253" w:rsidRDefault="00052BEF" w:rsidP="00C052E4">
      <w:pPr>
        <w:autoSpaceDE w:val="0"/>
        <w:autoSpaceDN w:val="0"/>
        <w:adjustRightInd w:val="0"/>
        <w:spacing w:after="120"/>
        <w:ind w:left="1698" w:hanging="282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 xml:space="preserve">Složení hospodařících domácností podle počtu členů v letech 1970–2011 </w:t>
      </w:r>
    </w:p>
    <w:tbl>
      <w:tblPr>
        <w:tblW w:w="702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680"/>
        <w:gridCol w:w="680"/>
        <w:gridCol w:w="680"/>
        <w:gridCol w:w="680"/>
        <w:gridCol w:w="680"/>
        <w:gridCol w:w="680"/>
        <w:gridCol w:w="680"/>
      </w:tblGrid>
      <w:tr w:rsidR="00C052E4" w:rsidRPr="00C24253" w:rsidTr="00C052E4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</w:t>
            </w:r>
          </w:p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sčítání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osob</w:t>
            </w:r>
          </w:p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domácnosti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podle počtu členů (v %)</w:t>
            </w:r>
          </w:p>
        </w:tc>
      </w:tr>
      <w:tr w:rsidR="00C052E4" w:rsidRPr="00C24253" w:rsidTr="00C052E4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E4" w:rsidRPr="00C24253" w:rsidRDefault="00C052E4" w:rsidP="00052BEF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7+</w:t>
            </w:r>
          </w:p>
        </w:tc>
      </w:tr>
      <w:tr w:rsidR="00C052E4" w:rsidRPr="00C24253" w:rsidTr="00C052E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</w:tr>
      <w:tr w:rsidR="00C052E4" w:rsidRPr="00C24253" w:rsidTr="00C052E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</w:tr>
      <w:tr w:rsidR="00C052E4" w:rsidRPr="00C24253" w:rsidTr="00C052E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</w:tr>
      <w:tr w:rsidR="00C052E4" w:rsidRPr="00C24253" w:rsidTr="00C052E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</w:tr>
      <w:tr w:rsidR="00C052E4" w:rsidRPr="00C24253" w:rsidTr="00C052E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C052E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2E4" w:rsidRPr="00C24253" w:rsidRDefault="00C052E4" w:rsidP="00052BEF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</w:t>
            </w:r>
          </w:p>
        </w:tc>
      </w:tr>
    </w:tbl>
    <w:p w:rsidR="00EE2C7C" w:rsidRPr="00C24253" w:rsidRDefault="00EE2C7C" w:rsidP="00867DBD">
      <w:pPr>
        <w:pStyle w:val="Nadpis3"/>
      </w:pPr>
      <w:bookmarkStart w:id="2" w:name="_Toc371588177"/>
      <w:r w:rsidRPr="00C24253">
        <w:t>Rodinné domácnosti</w:t>
      </w:r>
      <w:bookmarkEnd w:id="2"/>
    </w:p>
    <w:p w:rsidR="00FC1412" w:rsidRDefault="00EE2C7C" w:rsidP="00CE078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Více než 80 % osob s obvyklým pobytem na území České republiky žije v rodinných hospodařících domá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 xml:space="preserve">nostech, přitom téměř dvě třetiny osob v úplných rodinách. </w:t>
      </w:r>
    </w:p>
    <w:p w:rsidR="00EE2C7C" w:rsidRPr="00C24253" w:rsidRDefault="00EE2C7C" w:rsidP="00CE078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Základním trendem ve vývoji rodinných hospodařících domácností je trv</w:t>
      </w:r>
      <w:r w:rsidR="00231F90">
        <w:rPr>
          <w:rFonts w:cs="Arial"/>
          <w:sz w:val="20"/>
          <w:szCs w:val="20"/>
        </w:rPr>
        <w:t>alý pozvolný pokles, započatý v </w:t>
      </w:r>
      <w:r w:rsidRPr="00C24253">
        <w:rPr>
          <w:rFonts w:cs="Arial"/>
          <w:sz w:val="20"/>
          <w:szCs w:val="20"/>
        </w:rPr>
        <w:t>devadesátých letech dvacátého století, způsobený především snižováním absolutního počtu i podílu ho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>podařících domácností tvořených 1 úplnou rodinou. V důsledku dlouhodobě vysoké rozvodovosti se souča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>ně zvyšovalo i zastoupení hospodařících domácností tvořených 1 neúplnou rodinou. V roce 2011 je téměř každou osmou hospodařící domácností neúplná rodina.</w:t>
      </w:r>
    </w:p>
    <w:p w:rsidR="00EE2C7C" w:rsidRDefault="00EE2C7C" w:rsidP="00FC1412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Metodické změny a zejména automatický způsob zpracování ve sčítání 2011 umožňuje pouze omezené srovnání delších časových řad v detailnějším pohledu. Přesto, jelikož v posledních desetiletích docházelo ke sbližování počtu cenzových a hospodařících domácností a v roce 2011 bylo pouze 1,6 % hospodařících domácností tvořeno 2 a více cenzovými domácnosti, lze předpokládat, že časové řady kopírují skutečné trendy a rozdíly jsou minimální.</w:t>
      </w:r>
    </w:p>
    <w:p w:rsidR="002D7A4E" w:rsidRDefault="00A6034C" w:rsidP="002D7A4E">
      <w:pPr>
        <w:autoSpaceDE w:val="0"/>
        <w:autoSpaceDN w:val="0"/>
        <w:adjustRightInd w:val="0"/>
        <w:spacing w:after="24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PD\\Domá07_graf.xlsx!List1![Domá07_graf.xlsx]List1 Graf 2"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867DBD" w:rsidRPr="00A6034C">
        <w:rPr>
          <w:rFonts w:cs="Arial"/>
          <w:sz w:val="20"/>
          <w:szCs w:val="20"/>
        </w:rPr>
        <w:object w:dxaOrig="6090" w:dyaOrig="2715">
          <v:shape id="_x0000_i1025" type="#_x0000_t75" style="width:321pt;height:143.25pt">
            <v:imagedata r:id="rId10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EE2C7C" w:rsidRPr="00C24253" w:rsidRDefault="00272452" w:rsidP="00E77900">
      <w:pPr>
        <w:autoSpaceDE w:val="0"/>
        <w:autoSpaceDN w:val="0"/>
        <w:adjustRightInd w:val="0"/>
        <w:spacing w:before="120" w:after="360"/>
        <w:jc w:val="center"/>
        <w:rPr>
          <w:rFonts w:cs="Arial"/>
          <w:sz w:val="16"/>
          <w:szCs w:val="16"/>
        </w:rPr>
      </w:pPr>
      <w:r w:rsidRPr="00C24253">
        <w:rPr>
          <w:rFonts w:cs="Arial"/>
          <w:sz w:val="16"/>
          <w:szCs w:val="16"/>
        </w:rPr>
        <w:t>P</w:t>
      </w:r>
      <w:r w:rsidR="00EE2C7C" w:rsidRPr="00C24253">
        <w:rPr>
          <w:rFonts w:cs="Arial"/>
          <w:sz w:val="16"/>
          <w:szCs w:val="16"/>
        </w:rPr>
        <w:t>ozn. V roce 2011 odhad počtu úplných a neúplných rodin, v letech 1970–2011 počet cenzových domácností</w:t>
      </w:r>
    </w:p>
    <w:p w:rsidR="00EE2C7C" w:rsidRPr="00C24253" w:rsidRDefault="00EE2C7C" w:rsidP="00CE078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Počet </w:t>
      </w:r>
      <w:r w:rsidRPr="00C24253">
        <w:rPr>
          <w:rFonts w:cs="Arial"/>
          <w:b/>
          <w:sz w:val="20"/>
          <w:szCs w:val="20"/>
        </w:rPr>
        <w:t>hospodařících domácností tvořených 1 úplnou rodinou</w:t>
      </w:r>
      <w:r w:rsidRPr="00C24253">
        <w:rPr>
          <w:rFonts w:cs="Arial"/>
          <w:sz w:val="20"/>
          <w:szCs w:val="20"/>
        </w:rPr>
        <w:t xml:space="preserve"> dosáhl svého početního maxima v roce 1980, od té doby zaznamenává trvalý pokles</w:t>
      </w:r>
      <w:r w:rsidR="00A420B8" w:rsidRPr="00C24253">
        <w:rPr>
          <w:rFonts w:cs="Arial"/>
          <w:sz w:val="20"/>
          <w:szCs w:val="20"/>
        </w:rPr>
        <w:t>. K</w:t>
      </w:r>
      <w:r w:rsidR="007475DB" w:rsidRPr="00C24253">
        <w:rPr>
          <w:rFonts w:cs="Arial"/>
          <w:sz w:val="20"/>
          <w:szCs w:val="20"/>
        </w:rPr>
        <w:t xml:space="preserve"> 2</w:t>
      </w:r>
      <w:r w:rsidRPr="00C24253">
        <w:rPr>
          <w:rFonts w:cs="Arial"/>
          <w:sz w:val="20"/>
          <w:szCs w:val="20"/>
        </w:rPr>
        <w:t>6. 3</w:t>
      </w:r>
      <w:r w:rsidR="00A420B8" w:rsidRPr="00C24253">
        <w:rPr>
          <w:rFonts w:cs="Arial"/>
          <w:sz w:val="20"/>
          <w:szCs w:val="20"/>
        </w:rPr>
        <w:t>.</w:t>
      </w:r>
      <w:r w:rsidRPr="00C24253">
        <w:rPr>
          <w:rFonts w:cs="Arial"/>
          <w:sz w:val="20"/>
          <w:szCs w:val="20"/>
        </w:rPr>
        <w:t xml:space="preserve"> 2011 bylo sečteno v České republice 2 097 031 ho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>podařících domácností s 1 úplnou rodinou. Stejný trend vykazují i celkové počty úplných rodin, jen absolutní i relativní úbytek je od roku 1970 o něco výraznější (z důvodu vyššího podílu vícečetných cenzových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mácností v jedné hospodařící domácnosti v roce 1970). Při aplikaci metodiky cenzových domácností lze počet úplných rodin v roce 2011 odhadnout na 2 195 tisíc.</w:t>
      </w:r>
    </w:p>
    <w:p w:rsidR="00EE2C7C" w:rsidRPr="00C24253" w:rsidRDefault="00EE2C7C" w:rsidP="00CE0785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Průměrně žilo v roce 2011 v hospodařící domácnosti tvořené 1 úplnou rodinou 3,05 osoby, tj. o 0,3 osoby méně než v roce 1970. Stejně tak i změny struktury hospodařících domácností tvořených 1 úplnou rodinou dokumentují přechod od vícečlenných úplných rodin k rodinám s méně členy. Ve 39 % domácností s 1 úp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 xml:space="preserve">nou rodinou žijí pouze 2 osoby, tj. pár bez dětí a bez dalších osob, více jak v polovině úplných rodin spolu </w:t>
      </w:r>
      <w:r w:rsidRPr="00C24253">
        <w:rPr>
          <w:rFonts w:cs="Arial"/>
          <w:sz w:val="20"/>
          <w:szCs w:val="20"/>
        </w:rPr>
        <w:lastRenderedPageBreak/>
        <w:t>žijí a hospodaří 3–4 osoby. Nejvýraznější relativní pokles vykázaly úplné rodiny se 6 a více členy, počet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mácností tohoto typu se snížil od roku 1970 o 61 %. </w:t>
      </w:r>
    </w:p>
    <w:p w:rsidR="00EE2C7C" w:rsidRPr="00C24253" w:rsidRDefault="00EE2C7C" w:rsidP="00221438">
      <w:pPr>
        <w:autoSpaceDE w:val="0"/>
        <w:autoSpaceDN w:val="0"/>
        <w:adjustRightInd w:val="0"/>
        <w:spacing w:after="120"/>
        <w:ind w:left="708" w:hanging="141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 xml:space="preserve">Hospodařící domácnosti tvořené 1 úplnou rodinou podle počtu členů v letech 1970–2011 </w:t>
      </w:r>
    </w:p>
    <w:tbl>
      <w:tblPr>
        <w:tblW w:w="844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7"/>
        <w:gridCol w:w="1077"/>
        <w:gridCol w:w="1077"/>
        <w:gridCol w:w="1077"/>
        <w:gridCol w:w="1077"/>
        <w:gridCol w:w="1077"/>
        <w:gridCol w:w="1077"/>
        <w:gridCol w:w="1077"/>
      </w:tblGrid>
      <w:tr w:rsidR="00221438" w:rsidRPr="00C24253" w:rsidTr="00221438">
        <w:trPr>
          <w:trHeight w:val="45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Rok </w:t>
            </w:r>
          </w:p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sčítání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HD tvořené 1 úplnou rodinou celkem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podle počtu členů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členů HD celkem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členů</w:t>
            </w:r>
          </w:p>
        </w:tc>
      </w:tr>
      <w:tr w:rsidR="00221438" w:rsidRPr="00C24253" w:rsidTr="00221438">
        <w:trPr>
          <w:trHeight w:val="454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38" w:rsidRPr="00C24253" w:rsidRDefault="00221438" w:rsidP="0022143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38" w:rsidRPr="00C24253" w:rsidRDefault="00221438" w:rsidP="0022143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a více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38" w:rsidRPr="00C24253" w:rsidRDefault="00221438" w:rsidP="0022143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38" w:rsidRPr="00C24253" w:rsidRDefault="00221438" w:rsidP="00221438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21438" w:rsidRPr="00C24253" w:rsidTr="00221438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2 263 480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642 016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653 996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643 145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324 323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7 583 399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3,35</w:t>
            </w:r>
          </w:p>
        </w:tc>
      </w:tr>
      <w:tr w:rsidR="00221438" w:rsidRPr="00C24253" w:rsidTr="00221438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2 459 004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757 461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607 072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802 060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292 411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8 091 246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3,29</w:t>
            </w:r>
          </w:p>
        </w:tc>
      </w:tr>
      <w:tr w:rsidR="00221438" w:rsidRPr="00C24253" w:rsidTr="00221438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2 440 492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793 797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611 756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787 721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247 218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7 866 289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3,22</w:t>
            </w:r>
          </w:p>
        </w:tc>
      </w:tr>
      <w:tr w:rsidR="00221438" w:rsidRPr="00C24253" w:rsidTr="00221438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2 260 497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779 548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618 047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686 701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176 201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7 082 279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3,13</w:t>
            </w:r>
          </w:p>
        </w:tc>
      </w:tr>
      <w:tr w:rsidR="00221438" w:rsidRPr="00C24253" w:rsidTr="00221438">
        <w:trPr>
          <w:trHeight w:val="28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2 097 031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824 401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553 236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556 715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162 679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6 402 362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438" w:rsidRPr="00C24253" w:rsidRDefault="00221438" w:rsidP="0022143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3,05</w:t>
            </w:r>
          </w:p>
        </w:tc>
      </w:tr>
    </w:tbl>
    <w:p w:rsidR="00EE2C7C" w:rsidRDefault="00EE2C7C" w:rsidP="00EE01D8">
      <w:pPr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Vedle počtu členů se snižoval také počet dětí v rodině. Zatímco ještě v roce 1991 bylo 56 % úplných rodin se závislými dětmi, nejčastěji se 2 závislými dětmi, o dvacet let později se projevilo v utváření rodin snižování úrovně porodnosti a pouze ve 41 % domácností tvořených 1 úplnou rodinou žily závislé děti, nejčastěji po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 xml:space="preserve">ze 1 závislé dítě. </w:t>
      </w:r>
    </w:p>
    <w:p w:rsidR="002D7A4E" w:rsidRDefault="00A6034C" w:rsidP="002D7A4E">
      <w:pPr>
        <w:autoSpaceDE w:val="0"/>
        <w:autoSpaceDN w:val="0"/>
        <w:adjustRightInd w:val="0"/>
        <w:spacing w:before="24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PD\\Domá09_graf.xlsx!List1![Domá09_graf.xlsx]List1 Chart 1"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867DBD" w:rsidRPr="00A6034C">
        <w:rPr>
          <w:rFonts w:cs="Arial"/>
          <w:sz w:val="20"/>
          <w:szCs w:val="20"/>
        </w:rPr>
        <w:object w:dxaOrig="7380" w:dyaOrig="3900">
          <v:shape id="_x0000_i1026" type="#_x0000_t75" style="width:369pt;height:195pt">
            <v:imagedata r:id="rId11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EE2C7C" w:rsidRPr="00C24253" w:rsidRDefault="00EE2C7C" w:rsidP="00F9587B">
      <w:pPr>
        <w:autoSpaceDE w:val="0"/>
        <w:autoSpaceDN w:val="0"/>
        <w:adjustRightInd w:val="0"/>
        <w:spacing w:after="240"/>
        <w:jc w:val="center"/>
        <w:rPr>
          <w:rFonts w:cs="Arial"/>
          <w:sz w:val="16"/>
          <w:szCs w:val="16"/>
        </w:rPr>
      </w:pPr>
      <w:r w:rsidRPr="00C24253">
        <w:rPr>
          <w:rFonts w:cs="Arial"/>
          <w:sz w:val="16"/>
          <w:szCs w:val="16"/>
        </w:rPr>
        <w:t>Pozn. v roce 2011 počet HD tvořených 1 úplnou rodinou, v ostatních letech počet CD</w:t>
      </w:r>
    </w:p>
    <w:p w:rsidR="00EE2C7C" w:rsidRPr="00C24253" w:rsidRDefault="00EE2C7C" w:rsidP="00F9587B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hospodařících domácnostech tvořených úplnou rodinou žilo</w:t>
      </w:r>
      <w:r w:rsidR="00F81D2E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k 26.</w:t>
      </w:r>
      <w:r w:rsidR="00F81D2E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F81D2E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 xml:space="preserve">2011 celkem 1 390 tisíc závislých dětí. Průměrně žilo v domácnosti s 1 úplnou rodinou 0,66 závislého dítěte, maximální hodnota činila v roce 1980 v úplných rodinách 1,04 závislého dítěte. </w:t>
      </w:r>
    </w:p>
    <w:p w:rsidR="00EE2C7C" w:rsidRPr="00C24253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Úplné rodiny představují jak </w:t>
      </w:r>
      <w:proofErr w:type="spellStart"/>
      <w:r w:rsidRPr="00C24253">
        <w:rPr>
          <w:rFonts w:cs="Arial"/>
          <w:sz w:val="20"/>
          <w:szCs w:val="20"/>
        </w:rPr>
        <w:t>sezdané</w:t>
      </w:r>
      <w:proofErr w:type="spellEnd"/>
      <w:r w:rsidRPr="00C24253">
        <w:rPr>
          <w:rFonts w:cs="Arial"/>
          <w:sz w:val="20"/>
          <w:szCs w:val="20"/>
        </w:rPr>
        <w:t xml:space="preserve">, tak </w:t>
      </w:r>
      <w:proofErr w:type="spellStart"/>
      <w:r w:rsidRPr="00C24253">
        <w:rPr>
          <w:rFonts w:cs="Arial"/>
          <w:sz w:val="20"/>
          <w:szCs w:val="20"/>
        </w:rPr>
        <w:t>nesezdané</w:t>
      </w:r>
      <w:proofErr w:type="spellEnd"/>
      <w:r w:rsidRPr="00C24253">
        <w:rPr>
          <w:rFonts w:cs="Arial"/>
          <w:sz w:val="20"/>
          <w:szCs w:val="20"/>
        </w:rPr>
        <w:t xml:space="preserve"> páry s dětmi nebo bez dětí. Nově se v roce 2011 zji</w:t>
      </w:r>
      <w:r w:rsidRPr="00C24253">
        <w:rPr>
          <w:rFonts w:cs="Arial"/>
          <w:sz w:val="20"/>
          <w:szCs w:val="20"/>
        </w:rPr>
        <w:t>š</w:t>
      </w:r>
      <w:r w:rsidRPr="00C24253">
        <w:rPr>
          <w:rFonts w:cs="Arial"/>
          <w:sz w:val="20"/>
          <w:szCs w:val="20"/>
        </w:rPr>
        <w:t xml:space="preserve">ťovaly v závislosti na legislativních změnách také páry stejného pohlaví – </w:t>
      </w:r>
      <w:r w:rsidRPr="00C24253">
        <w:rPr>
          <w:rFonts w:cs="Arial"/>
          <w:b/>
          <w:sz w:val="20"/>
          <w:szCs w:val="20"/>
        </w:rPr>
        <w:t>registrovaná partnerství</w:t>
      </w:r>
      <w:r w:rsidR="00231F90">
        <w:rPr>
          <w:rFonts w:cs="Arial"/>
          <w:sz w:val="20"/>
          <w:szCs w:val="20"/>
        </w:rPr>
        <w:t xml:space="preserve"> a </w:t>
      </w:r>
      <w:r w:rsidRPr="00C24253">
        <w:rPr>
          <w:rFonts w:cs="Arial"/>
          <w:sz w:val="20"/>
          <w:szCs w:val="20"/>
        </w:rPr>
        <w:t>tzv.</w:t>
      </w:r>
      <w:r w:rsidR="00231F90">
        <w:rPr>
          <w:rFonts w:cs="Arial"/>
          <w:sz w:val="20"/>
          <w:szCs w:val="20"/>
        </w:rPr>
        <w:t> </w:t>
      </w:r>
      <w:r w:rsidRPr="00C24253">
        <w:rPr>
          <w:rFonts w:cs="Arial"/>
          <w:b/>
          <w:sz w:val="20"/>
          <w:szCs w:val="20"/>
        </w:rPr>
        <w:t>faktická partnerství</w:t>
      </w:r>
      <w:r w:rsidRPr="00C24253">
        <w:rPr>
          <w:rFonts w:cs="Arial"/>
          <w:sz w:val="20"/>
          <w:szCs w:val="20"/>
        </w:rPr>
        <w:t xml:space="preserve"> (</w:t>
      </w:r>
      <w:proofErr w:type="spellStart"/>
      <w:r w:rsidRPr="00C24253">
        <w:rPr>
          <w:rFonts w:cs="Arial"/>
          <w:sz w:val="20"/>
          <w:szCs w:val="20"/>
        </w:rPr>
        <w:t>nesezdané</w:t>
      </w:r>
      <w:proofErr w:type="spellEnd"/>
      <w:r w:rsidRPr="00C24253">
        <w:rPr>
          <w:rFonts w:cs="Arial"/>
          <w:sz w:val="20"/>
          <w:szCs w:val="20"/>
        </w:rPr>
        <w:t xml:space="preserve"> páry osob stejného pohlaví). K 26.</w:t>
      </w:r>
      <w:r w:rsidR="00CE078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CE0785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2011 bylo sečteno 632 hosp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dařících domácností tvořených 1 registrovaným partnerstvím a 4</w:t>
      </w:r>
      <w:r w:rsidRPr="00C24253">
        <w:rPr>
          <w:rFonts w:cs="Arial"/>
          <w:spacing w:val="-40"/>
          <w:sz w:val="20"/>
          <w:szCs w:val="20"/>
        </w:rPr>
        <w:t> </w:t>
      </w:r>
      <w:r w:rsidRPr="00C24253">
        <w:rPr>
          <w:rFonts w:cs="Arial"/>
          <w:sz w:val="20"/>
          <w:szCs w:val="20"/>
        </w:rPr>
        <w:t>056 hospo</w:t>
      </w:r>
      <w:r w:rsidR="00231F90">
        <w:rPr>
          <w:rFonts w:cs="Arial"/>
          <w:sz w:val="20"/>
          <w:szCs w:val="20"/>
        </w:rPr>
        <w:t>dařících domácností tvořených 1 </w:t>
      </w:r>
      <w:r w:rsidRPr="00C24253">
        <w:rPr>
          <w:rFonts w:cs="Arial"/>
          <w:sz w:val="20"/>
          <w:szCs w:val="20"/>
        </w:rPr>
        <w:t>faktickým partnerstvím. Ve většině těchto domácností žije pouze pár bez dět</w:t>
      </w:r>
      <w:r w:rsidR="00231F90">
        <w:rPr>
          <w:rFonts w:cs="Arial"/>
          <w:sz w:val="20"/>
          <w:szCs w:val="20"/>
        </w:rPr>
        <w:t>í, příp. bez závislých dětí (73 </w:t>
      </w:r>
      <w:r w:rsidRPr="00C24253">
        <w:rPr>
          <w:rFonts w:cs="Arial"/>
          <w:sz w:val="20"/>
          <w:szCs w:val="20"/>
        </w:rPr>
        <w:t xml:space="preserve">% faktických a 93 % registrovaných partnerství je bez dětí). Téměř polovina osob žijících v registrovaném partnerství je ve věku 30–39 let, věková struktura osob ve </w:t>
      </w:r>
      <w:proofErr w:type="gramStart"/>
      <w:r w:rsidRPr="00C24253">
        <w:rPr>
          <w:rFonts w:cs="Arial"/>
          <w:sz w:val="20"/>
          <w:szCs w:val="20"/>
        </w:rPr>
        <w:t>faktických</w:t>
      </w:r>
      <w:proofErr w:type="gramEnd"/>
      <w:r w:rsidRPr="00C24253">
        <w:rPr>
          <w:rFonts w:cs="Arial"/>
          <w:sz w:val="20"/>
          <w:szCs w:val="20"/>
        </w:rPr>
        <w:t xml:space="preserve"> partnerství je rovn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měrnější, s vrcholem mezi 25. a 39. rokem života. V obou typech domácností je častější soužití dvou mužů než dvou žen, přičemž s dětmi žijí častěji ženy.  </w:t>
      </w:r>
    </w:p>
    <w:p w:rsidR="00EE2C7C" w:rsidRPr="00C24253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souvislosti se 2. demografickým přechodem, který je v České republice sledován od počátku devades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tých let minulého století, je zaznamenáván také velmi dynamický nárůst počtu </w:t>
      </w:r>
      <w:proofErr w:type="spellStart"/>
      <w:r w:rsidRPr="00C24253">
        <w:rPr>
          <w:rFonts w:cs="Arial"/>
          <w:b/>
          <w:sz w:val="20"/>
          <w:szCs w:val="20"/>
        </w:rPr>
        <w:t>nesezdaných</w:t>
      </w:r>
      <w:proofErr w:type="spellEnd"/>
      <w:r w:rsidRPr="00C24253">
        <w:rPr>
          <w:rFonts w:cs="Arial"/>
          <w:b/>
          <w:sz w:val="20"/>
          <w:szCs w:val="20"/>
        </w:rPr>
        <w:t xml:space="preserve"> soužití</w:t>
      </w:r>
      <w:r w:rsidRPr="00C24253">
        <w:rPr>
          <w:rFonts w:cs="Arial"/>
          <w:sz w:val="20"/>
          <w:szCs w:val="20"/>
        </w:rPr>
        <w:t>. Za poslední dvě desetiletí došlo k prudkému, téměř trojnásobnému nárůstu d</w:t>
      </w:r>
      <w:r w:rsidR="00231F90">
        <w:rPr>
          <w:rFonts w:cs="Arial"/>
          <w:sz w:val="20"/>
          <w:szCs w:val="20"/>
        </w:rPr>
        <w:t>e facto svazků na více než 238 </w:t>
      </w:r>
      <w:r w:rsidRPr="00C24253">
        <w:rPr>
          <w:rFonts w:cs="Arial"/>
          <w:sz w:val="20"/>
          <w:szCs w:val="20"/>
        </w:rPr>
        <w:t xml:space="preserve">tisíc hospodařících domácností tvořených </w:t>
      </w:r>
      <w:proofErr w:type="spellStart"/>
      <w:r w:rsidRPr="00C24253">
        <w:rPr>
          <w:rFonts w:cs="Arial"/>
          <w:sz w:val="20"/>
          <w:szCs w:val="20"/>
        </w:rPr>
        <w:t>nesezdaným</w:t>
      </w:r>
      <w:proofErr w:type="spellEnd"/>
      <w:r w:rsidRPr="00C24253">
        <w:rPr>
          <w:rFonts w:cs="Arial"/>
          <w:sz w:val="20"/>
          <w:szCs w:val="20"/>
        </w:rPr>
        <w:t xml:space="preserve"> soužitím tj. soužitím druha a družky, popř. dvou partnerů stejného pohlaví. Na výrazném zvýšení absolutního počtu de fac</w:t>
      </w:r>
      <w:r w:rsidR="00231F90">
        <w:rPr>
          <w:rFonts w:cs="Arial"/>
          <w:sz w:val="20"/>
          <w:szCs w:val="20"/>
        </w:rPr>
        <w:t>to svazků mezi sčítáními 2001 a </w:t>
      </w:r>
      <w:r w:rsidRPr="00C24253">
        <w:rPr>
          <w:rFonts w:cs="Arial"/>
          <w:sz w:val="20"/>
          <w:szCs w:val="20"/>
        </w:rPr>
        <w:t>2011 se částečně podílela i změna metodiky zařazování osob do hospodařících domácností. Počet fakti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>kých soužití byl v minulosti z důvodu konceptu trvalého bydliště částečně podhodnocen - pokud měli partneři odlišné trvalé bydliště, nebyli v minulosti zařazeni do stejné domácnosti. V roce 2011 je zařazování do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mácností již založeno na místě obvyklého bydliště, proto je možné počty </w:t>
      </w:r>
      <w:proofErr w:type="spellStart"/>
      <w:r w:rsidRPr="00C24253">
        <w:rPr>
          <w:rFonts w:cs="Arial"/>
          <w:sz w:val="20"/>
          <w:szCs w:val="20"/>
        </w:rPr>
        <w:t>nesezdaných</w:t>
      </w:r>
      <w:proofErr w:type="spellEnd"/>
      <w:r w:rsidRPr="00C24253">
        <w:rPr>
          <w:rFonts w:cs="Arial"/>
          <w:sz w:val="20"/>
          <w:szCs w:val="20"/>
        </w:rPr>
        <w:t xml:space="preserve"> soužití považovat za bližší realitě než tomu bylo před deseti lety.</w:t>
      </w:r>
    </w:p>
    <w:p w:rsidR="00A508DC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proofErr w:type="spellStart"/>
      <w:r w:rsidRPr="00C24253">
        <w:rPr>
          <w:rFonts w:cs="Arial"/>
          <w:sz w:val="20"/>
          <w:szCs w:val="20"/>
        </w:rPr>
        <w:lastRenderedPageBreak/>
        <w:t>Nesezdaná</w:t>
      </w:r>
      <w:proofErr w:type="spellEnd"/>
      <w:r w:rsidRPr="00C24253">
        <w:rPr>
          <w:rFonts w:cs="Arial"/>
          <w:sz w:val="20"/>
          <w:szCs w:val="20"/>
        </w:rPr>
        <w:t xml:space="preserve"> soužití zaznamenala od roku 1991 rovněž velmi výrazné strukturní změny. Zatímco na počátku devadesátých let ve faktickém manželství žili z více než 50 % rozvedené ženy a muži, během dvaceti let významně vzrostl podíl svobodných osob a v roce 2011 nejčastější </w:t>
      </w:r>
      <w:proofErr w:type="spellStart"/>
      <w:r w:rsidRPr="00C24253">
        <w:rPr>
          <w:rFonts w:cs="Arial"/>
          <w:sz w:val="20"/>
          <w:szCs w:val="20"/>
        </w:rPr>
        <w:t>nesezdané</w:t>
      </w:r>
      <w:proofErr w:type="spellEnd"/>
      <w:r w:rsidRPr="00C24253">
        <w:rPr>
          <w:rFonts w:cs="Arial"/>
          <w:sz w:val="20"/>
          <w:szCs w:val="20"/>
        </w:rPr>
        <w:t xml:space="preserve"> soužití představuje neformá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>ní svazek svobodných partnerů ve věku 25–39 let.</w:t>
      </w:r>
      <w:r w:rsidR="00A508DC">
        <w:rPr>
          <w:rFonts w:cs="Arial"/>
          <w:sz w:val="20"/>
          <w:szCs w:val="20"/>
        </w:rPr>
        <w:t xml:space="preserve"> </w:t>
      </w:r>
    </w:p>
    <w:p w:rsidR="00EE2C7C" w:rsidRPr="00C24253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Většina hospodařících domácností s 1 úplnou rodinou (90 %) je tvořena pouze rodinným jádrem (párem s nebo bez dětí) bez dalších osob. Pokud s rodinou žila další osoba, jednalo se nejčastěji o příbuznou os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bu.</w:t>
      </w:r>
    </w:p>
    <w:p w:rsidR="00EE2C7C" w:rsidRPr="00C24253" w:rsidRDefault="00EE2C7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 xml:space="preserve">Neúplné rodiny </w:t>
      </w:r>
      <w:r w:rsidRPr="00C24253">
        <w:rPr>
          <w:rFonts w:cs="Arial"/>
          <w:sz w:val="20"/>
          <w:szCs w:val="20"/>
        </w:rPr>
        <w:t>patří k typu domácností s dlouhodobým trendem růstu. Jejich počet se od roku 1970 zdvo</w:t>
      </w:r>
      <w:r w:rsidRPr="00C24253">
        <w:rPr>
          <w:rFonts w:cs="Arial"/>
          <w:sz w:val="20"/>
          <w:szCs w:val="20"/>
        </w:rPr>
        <w:t>j</w:t>
      </w:r>
      <w:r w:rsidRPr="00C24253">
        <w:rPr>
          <w:rFonts w:cs="Arial"/>
          <w:sz w:val="20"/>
          <w:szCs w:val="20"/>
        </w:rPr>
        <w:t>násobil, nejvýraznější nárůst byl zaznamenán mezi roky 1980 a 1991. K 26.</w:t>
      </w:r>
      <w:r w:rsidR="00272452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272452" w:rsidRPr="00C24253">
        <w:rPr>
          <w:rFonts w:cs="Arial"/>
          <w:sz w:val="20"/>
          <w:szCs w:val="20"/>
        </w:rPr>
        <w:t xml:space="preserve"> </w:t>
      </w:r>
      <w:r w:rsidR="00231F90">
        <w:rPr>
          <w:rFonts w:cs="Arial"/>
          <w:sz w:val="20"/>
          <w:szCs w:val="20"/>
        </w:rPr>
        <w:t>2011 bylo sečteno 570 836 </w:t>
      </w:r>
      <w:r w:rsidRPr="00C24253">
        <w:rPr>
          <w:rFonts w:cs="Arial"/>
          <w:sz w:val="20"/>
          <w:szCs w:val="20"/>
        </w:rPr>
        <w:t>hospodařících domácností tvořenou 1 neúplnou rodinou, přičemž v tomto typu domácnosti žilo téměř 1,5 miliónu osob.</w:t>
      </w:r>
      <w:r w:rsidR="00272452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Celkem žilo v roce 2011 v hospodařících domácn</w:t>
      </w:r>
      <w:r w:rsidR="00231F90">
        <w:rPr>
          <w:rFonts w:cs="Arial"/>
          <w:sz w:val="20"/>
          <w:szCs w:val="20"/>
        </w:rPr>
        <w:t>ostech s 1 neúplnou rodinou 405 </w:t>
      </w:r>
      <w:r w:rsidRPr="00C24253">
        <w:rPr>
          <w:rFonts w:cs="Arial"/>
          <w:sz w:val="20"/>
          <w:szCs w:val="20"/>
        </w:rPr>
        <w:t>tisíc závislých dětí, z nichž 84 % žilo s matkou a 16 % s otcem. Na jednu takovou domácnost připadlo průměrně 0,71 závislého dítěte. Snižování počtu závislých dětí je patrné i ze změn struktury neúplných rodin podle počtu závislých dětí. Zatímco před deseti lety bylo 40 % neúplných rodin bez závislých dětí, v roce 2011 již téměř v polovině případů žily v domácnosti pouze děti, které nebyly závislé.</w:t>
      </w:r>
    </w:p>
    <w:p w:rsidR="00EE2C7C" w:rsidRPr="00C24253" w:rsidRDefault="00A6034C" w:rsidP="00CE3C2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760" type="#_x0000_t75" style="position:absolute;left:0;text-align:left;margin-left:0;margin-top:1.95pt;width:262.55pt;height:262.55pt;z-index:4;mso-wrap-distance-left:0;mso-wrap-distance-right:17pt" wrapcoords="-61 62 -61 21477 21600 21477 21600 62 -61 62">
            <v:imagedata r:id="rId12" o:title=""/>
            <w10:wrap type="square" side="right"/>
          </v:shape>
        </w:pict>
      </w:r>
      <w:r w:rsidR="00EE2C7C" w:rsidRPr="00C24253">
        <w:rPr>
          <w:rFonts w:cs="Arial"/>
          <w:sz w:val="20"/>
          <w:szCs w:val="20"/>
        </w:rPr>
        <w:t>Hospodařící domácnosti s 1 neúplnou rod</w:t>
      </w:r>
      <w:r w:rsidR="00EE2C7C" w:rsidRPr="00C24253">
        <w:rPr>
          <w:rFonts w:cs="Arial"/>
          <w:sz w:val="20"/>
          <w:szCs w:val="20"/>
        </w:rPr>
        <w:t>i</w:t>
      </w:r>
      <w:r w:rsidR="00EE2C7C" w:rsidRPr="00C24253">
        <w:rPr>
          <w:rFonts w:cs="Arial"/>
          <w:sz w:val="20"/>
          <w:szCs w:val="20"/>
        </w:rPr>
        <w:t xml:space="preserve">nou v čele se ženou byly v roce 2011 </w:t>
      </w:r>
      <w:r w:rsidR="00A508DC">
        <w:rPr>
          <w:rFonts w:cs="Arial"/>
          <w:sz w:val="20"/>
          <w:szCs w:val="20"/>
        </w:rPr>
        <w:t xml:space="preserve">více </w:t>
      </w:r>
      <w:r w:rsidR="00A508DC" w:rsidRPr="008B499B">
        <w:rPr>
          <w:rFonts w:cs="Arial"/>
          <w:sz w:val="20"/>
          <w:szCs w:val="20"/>
        </w:rPr>
        <w:t>než 4krát</w:t>
      </w:r>
      <w:r w:rsidR="00EE2C7C" w:rsidRPr="008B499B">
        <w:rPr>
          <w:rFonts w:cs="Arial"/>
          <w:sz w:val="20"/>
          <w:szCs w:val="20"/>
        </w:rPr>
        <w:t xml:space="preserve"> častější než neúplné rodiny v čele s mužem. Snížení převahy žen je patrné jak při porovnání indexu s rokem 2001, kdy ženy převažovaly nad muži dokonce 5,5krát, tak v rozdílném vývoji počtu neúplných rodin</w:t>
      </w:r>
      <w:r w:rsidR="00231F90">
        <w:rPr>
          <w:rFonts w:cs="Arial"/>
          <w:sz w:val="20"/>
          <w:szCs w:val="20"/>
        </w:rPr>
        <w:t xml:space="preserve"> u </w:t>
      </w:r>
      <w:r w:rsidR="00EE2C7C" w:rsidRPr="00C24253">
        <w:rPr>
          <w:rFonts w:cs="Arial"/>
          <w:sz w:val="20"/>
          <w:szCs w:val="20"/>
        </w:rPr>
        <w:t>osamělých žen a mužů. Zatímco počet osamělých žen s dětmi v posledních letech stagnoval, počet osamělých mužů s dětmi vzrostl od roku 2001 o více než jednu pětinu (především počet osamělých otců s 1 závi</w:t>
      </w:r>
      <w:r w:rsidR="00EE2C7C" w:rsidRPr="00C24253">
        <w:rPr>
          <w:rFonts w:cs="Arial"/>
          <w:sz w:val="20"/>
          <w:szCs w:val="20"/>
        </w:rPr>
        <w:t>s</w:t>
      </w:r>
      <w:r w:rsidR="00EE2C7C" w:rsidRPr="00C24253">
        <w:rPr>
          <w:rFonts w:cs="Arial"/>
          <w:sz w:val="20"/>
          <w:szCs w:val="20"/>
        </w:rPr>
        <w:t>lým dít</w:t>
      </w:r>
      <w:r w:rsidR="00EE2C7C" w:rsidRPr="00C24253">
        <w:rPr>
          <w:rFonts w:cs="Arial"/>
          <w:sz w:val="20"/>
          <w:szCs w:val="20"/>
        </w:rPr>
        <w:t>ě</w:t>
      </w:r>
      <w:r w:rsidR="00EE2C7C" w:rsidRPr="00C24253">
        <w:rPr>
          <w:rFonts w:cs="Arial"/>
          <w:sz w:val="20"/>
          <w:szCs w:val="20"/>
        </w:rPr>
        <w:t xml:space="preserve">tem). </w:t>
      </w:r>
    </w:p>
    <w:p w:rsidR="00483515" w:rsidRPr="00C24253" w:rsidRDefault="00EE2C7C" w:rsidP="00F81D2E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Pouze v 17 % domácností tvořených osam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lou matkou s dětmi žijí dvě a více závislých dětí, v necelé polovině (46 %) případů se jedná o rodiny bez závislých dětí. V případě osamělých otců žijí v rodině dvě a více závi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 xml:space="preserve">lých dětí pouze v 11 %. </w:t>
      </w:r>
      <w:r w:rsidR="003231B1" w:rsidRPr="00C24253">
        <w:rPr>
          <w:rFonts w:cs="Arial"/>
          <w:sz w:val="20"/>
          <w:szCs w:val="20"/>
        </w:rPr>
        <w:t>Nejčastěji byla v roce 2011 v čele domácnosti tvořené 1 neúplnou rodinou se závislými dětmi osoba v čele ro</w:t>
      </w:r>
      <w:r w:rsidR="003231B1" w:rsidRPr="00C24253">
        <w:rPr>
          <w:rFonts w:cs="Arial"/>
          <w:sz w:val="20"/>
          <w:szCs w:val="20"/>
        </w:rPr>
        <w:t>z</w:t>
      </w:r>
      <w:r w:rsidR="003231B1" w:rsidRPr="00C24253">
        <w:rPr>
          <w:rFonts w:cs="Arial"/>
          <w:sz w:val="20"/>
          <w:szCs w:val="20"/>
        </w:rPr>
        <w:t>vedená (47 % všech domácností tvořených neúplnou rodinou se závislými dětmi).</w:t>
      </w:r>
      <w:r w:rsidR="00272452" w:rsidRPr="00C24253">
        <w:rPr>
          <w:rFonts w:cs="Arial"/>
          <w:sz w:val="20"/>
          <w:szCs w:val="20"/>
        </w:rPr>
        <w:t xml:space="preserve"> </w:t>
      </w:r>
    </w:p>
    <w:p w:rsidR="00EE2C7C" w:rsidRPr="00C24253" w:rsidRDefault="00483515" w:rsidP="0048351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</w:t>
      </w:r>
      <w:r w:rsidR="00F81D2E" w:rsidRPr="00C24253">
        <w:rPr>
          <w:rFonts w:cs="Arial"/>
          <w:sz w:val="20"/>
          <w:szCs w:val="20"/>
        </w:rPr>
        <w:t>ruhou výraznou skupinu osob v čele představovaly osoby svobodné, především svobodné matky.</w:t>
      </w:r>
      <w:r w:rsidRPr="00C24253">
        <w:rPr>
          <w:rFonts w:cs="Arial"/>
          <w:sz w:val="20"/>
          <w:szCs w:val="20"/>
        </w:rPr>
        <w:t xml:space="preserve"> </w:t>
      </w:r>
      <w:r w:rsidR="00EE2C7C" w:rsidRPr="00C24253">
        <w:rPr>
          <w:rFonts w:cs="Arial"/>
          <w:sz w:val="20"/>
          <w:szCs w:val="20"/>
        </w:rPr>
        <w:t>Ty tvořily více než pětinu neúplných rodin se závislými dětmi. Více než 71 % z nich bylo ve věku 25–39 let.</w:t>
      </w:r>
    </w:p>
    <w:p w:rsidR="00EE2C7C" w:rsidRPr="00C24253" w:rsidRDefault="00EE2C7C" w:rsidP="00CE0785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 roce 2001 byly ovšem druhou nejčetnější skupinou osob v čele </w:t>
      </w:r>
      <w:r w:rsidR="00A508DC">
        <w:rPr>
          <w:rFonts w:cs="Arial"/>
          <w:sz w:val="20"/>
          <w:szCs w:val="20"/>
        </w:rPr>
        <w:t xml:space="preserve">neúplné rodiny </w:t>
      </w:r>
      <w:r w:rsidRPr="00C24253">
        <w:rPr>
          <w:rFonts w:cs="Arial"/>
          <w:sz w:val="20"/>
          <w:szCs w:val="20"/>
        </w:rPr>
        <w:t>osoby vdané a ženaté, které byly do určité míry uměle vytvářeny z úplných rodin žijících fakticky společně, přičemž partneři měli různé místo úředního trvalého pobytu. Zpracováním dat podle trvalého pobytu byly takové rodiny rozděleny na dvě domácnosti (např. neúplnou rodinu a jednotlivce), v roce 2011 mohly být tyto domácnosti podchyceny a odvozeny jako úplné rodiny.</w:t>
      </w:r>
    </w:p>
    <w:p w:rsidR="00EE2C7C" w:rsidRPr="00C24253" w:rsidRDefault="00EE2C7C" w:rsidP="00272452">
      <w:pPr>
        <w:autoSpaceDE w:val="0"/>
        <w:autoSpaceDN w:val="0"/>
        <w:adjustRightInd w:val="0"/>
        <w:spacing w:after="48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 celkového počtu hospodařících domácností tvořených 1 neúplnou rodinou se závislými dětmi bylo 14 % domácností s osobou v čele ekonomicky neaktivní a dalších téměř 10 % s osobou v čele nezaměstnanou.</w:t>
      </w:r>
    </w:p>
    <w:p w:rsidR="00EE2C7C" w:rsidRPr="00C24253" w:rsidRDefault="00EE2C7C" w:rsidP="00867DBD">
      <w:pPr>
        <w:pStyle w:val="Nadpis3"/>
      </w:pPr>
      <w:bookmarkStart w:id="3" w:name="_Toc371588178"/>
      <w:r w:rsidRPr="00C24253">
        <w:t>Nerodinné domácnosti</w:t>
      </w:r>
      <w:bookmarkEnd w:id="3"/>
    </w:p>
    <w:p w:rsidR="00EE2C7C" w:rsidRPr="00C24253" w:rsidRDefault="00EE2C7C" w:rsidP="00272452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roce 2011 bylo zjištěno 1 637 561 nerodinných hospodařících domácnosti, v tom 1 422 147 domácností jednotlivců a 215 414 vícečlenných nerodinných domácností.</w:t>
      </w:r>
      <w:r w:rsidR="00335B71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Domácnosti jednotlivců</w:t>
      </w:r>
      <w:r w:rsidRPr="00C24253">
        <w:rPr>
          <w:rFonts w:cs="Arial"/>
          <w:sz w:val="20"/>
          <w:szCs w:val="20"/>
        </w:rPr>
        <w:t xml:space="preserve"> patří vedle neúp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 xml:space="preserve">ných rodin k nejdynamičtěji rostoucím skupinám domácností. </w:t>
      </w:r>
      <w:r w:rsidR="00335B71" w:rsidRPr="00C24253">
        <w:rPr>
          <w:rFonts w:cs="Arial"/>
          <w:sz w:val="20"/>
          <w:szCs w:val="20"/>
        </w:rPr>
        <w:t xml:space="preserve">Za posledních deset let </w:t>
      </w:r>
      <w:r w:rsidR="00A508DC">
        <w:rPr>
          <w:rFonts w:cs="Arial"/>
          <w:sz w:val="20"/>
          <w:szCs w:val="20"/>
        </w:rPr>
        <w:t xml:space="preserve">jejich počet </w:t>
      </w:r>
      <w:r w:rsidR="00335B71" w:rsidRPr="00C24253">
        <w:rPr>
          <w:rFonts w:cs="Arial"/>
          <w:sz w:val="20"/>
          <w:szCs w:val="20"/>
        </w:rPr>
        <w:t>vzrostl o 11 %</w:t>
      </w:r>
      <w:r w:rsidR="00A508DC">
        <w:rPr>
          <w:rFonts w:cs="Arial"/>
          <w:sz w:val="20"/>
          <w:szCs w:val="20"/>
        </w:rPr>
        <w:t xml:space="preserve">, proti roku </w:t>
      </w:r>
      <w:r w:rsidRPr="00C24253">
        <w:rPr>
          <w:rFonts w:cs="Arial"/>
          <w:sz w:val="20"/>
          <w:szCs w:val="20"/>
        </w:rPr>
        <w:t xml:space="preserve">1970 </w:t>
      </w:r>
      <w:r w:rsidR="00A508DC">
        <w:rPr>
          <w:rFonts w:cs="Arial"/>
          <w:sz w:val="20"/>
          <w:szCs w:val="20"/>
        </w:rPr>
        <w:t>se dokonce v</w:t>
      </w:r>
      <w:r w:rsidRPr="00C24253">
        <w:rPr>
          <w:rFonts w:cs="Arial"/>
          <w:sz w:val="20"/>
          <w:szCs w:val="20"/>
        </w:rPr>
        <w:t>íce než zdvoj</w:t>
      </w:r>
      <w:r w:rsidR="00A508DC">
        <w:rPr>
          <w:rFonts w:cs="Arial"/>
          <w:sz w:val="20"/>
          <w:szCs w:val="20"/>
        </w:rPr>
        <w:t>násobil.</w:t>
      </w:r>
      <w:r w:rsidRPr="00C24253">
        <w:rPr>
          <w:rFonts w:cs="Arial"/>
          <w:sz w:val="20"/>
          <w:szCs w:val="20"/>
        </w:rPr>
        <w:t xml:space="preserve"> Celkový absolutní přírůstek od roku 1970 činil 753 tisíc.</w:t>
      </w:r>
    </w:p>
    <w:p w:rsidR="00EE2C7C" w:rsidRPr="00C24253" w:rsidRDefault="00EE2C7C" w:rsidP="00272452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>V celkovém počtu domácností jednotlivců převažují dlouhodobě ženy, přičemž se však podíly mužů a žen vzájemně neustále sbližují. Zatímco v roce 1970 byl poměr mužů a žen v domácnostech jednotlivců 31:69, v roce 2011 již 45:55.</w:t>
      </w:r>
    </w:p>
    <w:p w:rsidR="00EE01D8" w:rsidRDefault="00A6034C" w:rsidP="00272452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544" type="#_x0000_t75" style="position:absolute;left:0;text-align:left;margin-left:-3.75pt;margin-top:10.65pt;width:266.3pt;height:250.55pt;z-index:3;mso-wrap-distance-left:0;mso-wrap-distance-top:5.65pt;mso-wrap-distance-right:11.35pt;mso-wrap-distance-bottom:5.65pt" o:allowoverlap="f">
            <v:imagedata r:id="rId13" o:title=""/>
            <w10:wrap type="square"/>
          </v:shape>
        </w:pict>
      </w:r>
    </w:p>
    <w:p w:rsidR="00EE01D8" w:rsidRPr="00231F90" w:rsidRDefault="00EE01D8" w:rsidP="00272452">
      <w:pPr>
        <w:autoSpaceDE w:val="0"/>
        <w:autoSpaceDN w:val="0"/>
        <w:adjustRightInd w:val="0"/>
        <w:spacing w:after="120"/>
        <w:rPr>
          <w:rFonts w:cs="Arial"/>
          <w:sz w:val="12"/>
          <w:szCs w:val="20"/>
        </w:rPr>
      </w:pPr>
    </w:p>
    <w:p w:rsidR="00C2237E" w:rsidRPr="00C24253" w:rsidRDefault="00EE2C7C" w:rsidP="00272452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Struktura domácností jednotlivců podle rodi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ného stavu je výrazně odlišná u mužů a žen. Jednotlivci mu</w:t>
      </w:r>
      <w:r w:rsidR="00231F90">
        <w:rPr>
          <w:rFonts w:cs="Arial"/>
          <w:sz w:val="20"/>
          <w:szCs w:val="20"/>
        </w:rPr>
        <w:t>ži jsou nejčastěji svobodní (43 </w:t>
      </w:r>
      <w:r w:rsidRPr="00C24253">
        <w:rPr>
          <w:rFonts w:cs="Arial"/>
          <w:sz w:val="20"/>
          <w:szCs w:val="20"/>
        </w:rPr>
        <w:t>%) a rozvedení (30 %). Ženy jsou naopak téměř v polov</w:t>
      </w:r>
      <w:r w:rsidR="00231F90">
        <w:rPr>
          <w:rFonts w:cs="Arial"/>
          <w:sz w:val="20"/>
          <w:szCs w:val="20"/>
        </w:rPr>
        <w:t>ině případů ovdovělé (46 %), 24 </w:t>
      </w:r>
      <w:r w:rsidRPr="00C24253">
        <w:rPr>
          <w:rFonts w:cs="Arial"/>
          <w:sz w:val="20"/>
          <w:szCs w:val="20"/>
        </w:rPr>
        <w:t xml:space="preserve">% jich je rozvedených a 22 % svobodných. S tím koresponduje i věková struktura. </w:t>
      </w:r>
    </w:p>
    <w:p w:rsidR="00335B71" w:rsidRPr="00C24253" w:rsidRDefault="00EE2C7C" w:rsidP="00A508DC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Domácnosti jednotlivců žen jsou mnohem častěji zastoupeny ve věkových skupinách ve věku 60 a více let (více než 28 % je v nejvyšší věkové skupině 75 a více let)</w:t>
      </w:r>
      <w:r w:rsidR="00335B71" w:rsidRPr="00C24253">
        <w:rPr>
          <w:rFonts w:cs="Arial"/>
          <w:sz w:val="20"/>
          <w:szCs w:val="20"/>
        </w:rPr>
        <w:t>.</w:t>
      </w:r>
    </w:p>
    <w:p w:rsidR="00EE2C7C" w:rsidRPr="00C24253" w:rsidRDefault="00335B71" w:rsidP="00F9587B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</w:t>
      </w:r>
      <w:r w:rsidR="00EE2C7C" w:rsidRPr="00C24253">
        <w:rPr>
          <w:rFonts w:cs="Arial"/>
          <w:sz w:val="20"/>
          <w:szCs w:val="20"/>
        </w:rPr>
        <w:t>aproti tomu domácnosti jednotlivců mužů jsou rovnoměrněji rozloženy s největší intenz</w:t>
      </w:r>
      <w:r w:rsidR="00EE2C7C" w:rsidRPr="00C24253">
        <w:rPr>
          <w:rFonts w:cs="Arial"/>
          <w:sz w:val="20"/>
          <w:szCs w:val="20"/>
        </w:rPr>
        <w:t>i</w:t>
      </w:r>
      <w:r w:rsidR="00EE2C7C" w:rsidRPr="00C24253">
        <w:rPr>
          <w:rFonts w:cs="Arial"/>
          <w:sz w:val="20"/>
          <w:szCs w:val="20"/>
        </w:rPr>
        <w:t xml:space="preserve">tou ve věkových skupinách 25–39 let. </w:t>
      </w:r>
    </w:p>
    <w:p w:rsidR="00EE01D8" w:rsidRDefault="00EE2C7C" w:rsidP="001A031F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Samostatnou skupinou zařazovanou od roku 2001 mezi vícečlenné nerodinné domácnosti byly domácnosti prarodiče / </w:t>
      </w:r>
      <w:r w:rsidRPr="00C24253">
        <w:rPr>
          <w:rFonts w:cs="Arial"/>
          <w:b/>
          <w:sz w:val="20"/>
          <w:szCs w:val="20"/>
        </w:rPr>
        <w:t>prarodičů s vnoučaty</w:t>
      </w:r>
      <w:r w:rsidRPr="00C24253">
        <w:rPr>
          <w:rFonts w:cs="Arial"/>
          <w:sz w:val="20"/>
          <w:szCs w:val="20"/>
        </w:rPr>
        <w:t xml:space="preserve">. </w:t>
      </w:r>
    </w:p>
    <w:p w:rsidR="00231F90" w:rsidRPr="00231F90" w:rsidRDefault="00231F90" w:rsidP="001A031F">
      <w:pPr>
        <w:autoSpaceDE w:val="0"/>
        <w:autoSpaceDN w:val="0"/>
        <w:adjustRightInd w:val="0"/>
        <w:spacing w:after="120"/>
        <w:rPr>
          <w:rFonts w:cs="Arial"/>
          <w:sz w:val="16"/>
          <w:szCs w:val="20"/>
        </w:rPr>
      </w:pPr>
    </w:p>
    <w:p w:rsidR="001A031F" w:rsidRPr="00C24253" w:rsidRDefault="00EE2C7C" w:rsidP="001A031F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Celkem bylo takových domácností zjištěno</w:t>
      </w:r>
      <w:r w:rsidR="00C2237E" w:rsidRPr="00C24253">
        <w:rPr>
          <w:rFonts w:cs="Arial"/>
          <w:sz w:val="20"/>
          <w:szCs w:val="20"/>
        </w:rPr>
        <w:t xml:space="preserve"> 18 </w:t>
      </w:r>
      <w:r w:rsidRPr="00C24253">
        <w:rPr>
          <w:rFonts w:cs="Arial"/>
          <w:sz w:val="20"/>
          <w:szCs w:val="20"/>
        </w:rPr>
        <w:t xml:space="preserve">394, ve kterých žilo 45 tisíc </w:t>
      </w:r>
      <w:r w:rsidR="00231F90">
        <w:rPr>
          <w:rFonts w:cs="Arial"/>
          <w:sz w:val="20"/>
          <w:szCs w:val="20"/>
        </w:rPr>
        <w:t>osob. Z téměř 80 % se jednalo o </w:t>
      </w:r>
      <w:r w:rsidRPr="00C24253">
        <w:rPr>
          <w:rFonts w:cs="Arial"/>
          <w:sz w:val="20"/>
          <w:szCs w:val="20"/>
        </w:rPr>
        <w:t>ženu s vnoučaty, pouze 6 798 domácností bylo s alespoň jedním závislým vnoučetem.</w:t>
      </w:r>
    </w:p>
    <w:p w:rsidR="00C0635E" w:rsidRPr="006C5955" w:rsidRDefault="00EE2C7C" w:rsidP="00867DBD">
      <w:pPr>
        <w:pStyle w:val="Nadpis3"/>
      </w:pPr>
      <w:bookmarkStart w:id="4" w:name="_Toc371588179"/>
      <w:r w:rsidRPr="006C5955">
        <w:t>Domácnosti seniorů</w:t>
      </w:r>
      <w:bookmarkEnd w:id="4"/>
    </w:p>
    <w:p w:rsidR="00F324A6" w:rsidRPr="00C24253" w:rsidRDefault="00EE2C7C" w:rsidP="00F324A6">
      <w:pPr>
        <w:autoSpaceDE w:val="0"/>
        <w:autoSpaceDN w:val="0"/>
        <w:adjustRightInd w:val="0"/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t>Za domácnosti seniorů se považují všechny hospodařící domácnosti tvořené jednou rodinou, jednotlivcem nebo domácnosti prarodičů s vnoučaty, ve kterých je osoba v čele ve věku 65 a více let. V roce 2011 bylo v České republice 1</w:t>
      </w:r>
      <w:r w:rsidR="00C95B83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 xml:space="preserve">069 505 domácností seniorů (24 % celkového počtu hospodařících domácností), ve kterých žilo celkem </w:t>
      </w:r>
      <w:r w:rsidRPr="00C24253">
        <w:rPr>
          <w:rFonts w:cs="Arial"/>
          <w:bCs/>
          <w:sz w:val="20"/>
          <w:szCs w:val="20"/>
        </w:rPr>
        <w:t>1</w:t>
      </w:r>
      <w:r w:rsidR="00C95B83" w:rsidRPr="00C24253">
        <w:rPr>
          <w:rFonts w:cs="Arial"/>
          <w:bCs/>
          <w:sz w:val="20"/>
          <w:szCs w:val="20"/>
        </w:rPr>
        <w:t xml:space="preserve"> </w:t>
      </w:r>
      <w:r w:rsidRPr="00C24253">
        <w:rPr>
          <w:rFonts w:cs="Arial"/>
          <w:bCs/>
          <w:sz w:val="20"/>
          <w:szCs w:val="20"/>
        </w:rPr>
        <w:t>762 993 osob.</w:t>
      </w:r>
      <w:r w:rsidRPr="00C24253">
        <w:rPr>
          <w:rFonts w:cs="Arial"/>
          <w:sz w:val="20"/>
          <w:szCs w:val="20"/>
        </w:rPr>
        <w:t xml:space="preserve"> </w:t>
      </w:r>
      <w:r w:rsidR="002003C2" w:rsidRPr="00C24253">
        <w:rPr>
          <w:rFonts w:cs="Arial"/>
          <w:sz w:val="20"/>
          <w:szCs w:val="20"/>
        </w:rPr>
        <w:t xml:space="preserve">Více než třetina </w:t>
      </w:r>
      <w:r w:rsidR="002003C2" w:rsidRPr="00C24253">
        <w:rPr>
          <w:rFonts w:cs="Arial"/>
          <w:b/>
          <w:sz w:val="20"/>
          <w:szCs w:val="20"/>
        </w:rPr>
        <w:t>domácností jednotlivců</w:t>
      </w:r>
      <w:r w:rsidR="002003C2" w:rsidRPr="00C24253">
        <w:rPr>
          <w:rFonts w:cs="Arial"/>
          <w:sz w:val="20"/>
          <w:szCs w:val="20"/>
        </w:rPr>
        <w:t xml:space="preserve"> jsou osoby ve věku 65 a více let.</w:t>
      </w:r>
    </w:p>
    <w:tbl>
      <w:tblPr>
        <w:tblpPr w:rightFromText="340" w:topFromText="113" w:bottomFromText="284" w:vertAnchor="page" w:horzAnchor="margin" w:tblpY="11795"/>
        <w:tblOverlap w:val="never"/>
        <w:tblW w:w="50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4"/>
        <w:gridCol w:w="907"/>
        <w:gridCol w:w="907"/>
        <w:gridCol w:w="907"/>
      </w:tblGrid>
      <w:tr w:rsidR="00F324A6" w:rsidRPr="00C24253" w:rsidTr="00EE01D8">
        <w:trPr>
          <w:trHeight w:val="283"/>
        </w:trPr>
        <w:tc>
          <w:tcPr>
            <w:tcW w:w="504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Domácnosti seniorů v letech 2001 a 2011</w:t>
            </w:r>
          </w:p>
        </w:tc>
      </w:tr>
      <w:tr w:rsidR="00F324A6" w:rsidRPr="00C24253" w:rsidTr="00EE01D8">
        <w:trPr>
          <w:trHeight w:val="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Typ hospodařící domácnosti </w:t>
            </w:r>
          </w:p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seniorů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A6" w:rsidRPr="00C24253" w:rsidRDefault="00F324A6" w:rsidP="00EE01D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A6" w:rsidRPr="00C24253" w:rsidRDefault="00F324A6" w:rsidP="00EE01D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Index 2011/2001</w:t>
            </w:r>
          </w:p>
        </w:tc>
      </w:tr>
      <w:tr w:rsidR="00F324A6" w:rsidRPr="00C24253" w:rsidTr="00EE01D8">
        <w:trPr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úplná rodina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391 878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448 405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114</w:t>
            </w:r>
          </w:p>
        </w:tc>
      </w:tr>
      <w:tr w:rsidR="00F324A6" w:rsidRPr="00C24253" w:rsidTr="00EE01D8">
        <w:trPr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neúplná rodina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75 242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95 986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128</w:t>
            </w:r>
          </w:p>
        </w:tc>
      </w:tr>
      <w:tr w:rsidR="00F324A6" w:rsidRPr="00C24253" w:rsidTr="00EE01D8">
        <w:trPr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domácnost jednotlivce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481 446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511 509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106</w:t>
            </w:r>
          </w:p>
        </w:tc>
      </w:tr>
      <w:tr w:rsidR="00F324A6" w:rsidRPr="00C24253" w:rsidTr="00EE01D8">
        <w:trPr>
          <w:trHeight w:val="3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4A6" w:rsidRPr="00C24253" w:rsidRDefault="00F324A6" w:rsidP="00EE01D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prarodiče s vnoučaty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30 763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13 605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4A6" w:rsidRPr="00C24253" w:rsidRDefault="00F324A6" w:rsidP="00EE01D8">
            <w:pPr>
              <w:ind w:firstLineChars="100" w:firstLine="160"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</w:t>
            </w:r>
          </w:p>
        </w:tc>
      </w:tr>
    </w:tbl>
    <w:p w:rsidR="00FC4488" w:rsidRPr="00C24253" w:rsidRDefault="00EE2C7C" w:rsidP="00335B7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Domácností jednotlivců se</w:t>
      </w:r>
      <w:r w:rsidR="002003C2" w:rsidRPr="00C24253">
        <w:rPr>
          <w:rFonts w:cs="Arial"/>
          <w:b/>
          <w:sz w:val="20"/>
          <w:szCs w:val="20"/>
        </w:rPr>
        <w:t>niorů</w:t>
      </w:r>
      <w:r w:rsidR="002003C2" w:rsidRPr="00C24253">
        <w:rPr>
          <w:rFonts w:cs="Arial"/>
          <w:sz w:val="20"/>
          <w:szCs w:val="20"/>
        </w:rPr>
        <w:t xml:space="preserve"> žilo v roce 2011 na území </w:t>
      </w:r>
      <w:r w:rsidRPr="00C24253">
        <w:rPr>
          <w:rFonts w:cs="Arial"/>
          <w:sz w:val="20"/>
          <w:szCs w:val="20"/>
        </w:rPr>
        <w:t>Č</w:t>
      </w:r>
      <w:r w:rsidR="002003C2" w:rsidRPr="00C24253">
        <w:rPr>
          <w:rFonts w:cs="Arial"/>
          <w:sz w:val="20"/>
          <w:szCs w:val="20"/>
        </w:rPr>
        <w:t>R</w:t>
      </w:r>
      <w:r w:rsidRPr="00C24253">
        <w:rPr>
          <w:rFonts w:cs="Arial"/>
          <w:sz w:val="20"/>
          <w:szCs w:val="20"/>
        </w:rPr>
        <w:t xml:space="preserve"> více než půl milionu a v naprosté většině případů se jednalo o domácnosti nepracujících důchodců, především ovdovělých žen. Většina domácností jednotlivce staršího 65 let vznikla rozpadem úplné, resp. neúplné rodiny (tj. úmrtím partnera, resp. odch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dem dětí a založením jejich vlastní domácnosti), proto také úroveň a způsob bydlení je velmi často pouze zachováním vzoru dosavadního způsobu bydlení předchozího typu domácnosti. </w:t>
      </w:r>
    </w:p>
    <w:p w:rsidR="00EE2C7C" w:rsidRPr="00C24253" w:rsidRDefault="00EE2C7C" w:rsidP="001E67E6">
      <w:pPr>
        <w:autoSpaceDE w:val="0"/>
        <w:autoSpaceDN w:val="0"/>
        <w:adjustRightInd w:val="0"/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sz w:val="20"/>
          <w:szCs w:val="20"/>
        </w:rPr>
        <w:t>Téměř dvě třetiny jednotlivců seniorů obývá minimálně 3 pokojový byt (včetně kuchyně) a průměrná obytná plocha bytu na jednotlivce ve věku 65 let a více činí 49,3 m</w:t>
      </w:r>
      <w:r w:rsidRPr="00C24253">
        <w:rPr>
          <w:rFonts w:cs="Arial"/>
          <w:sz w:val="20"/>
          <w:szCs w:val="20"/>
          <w:vertAlign w:val="superscript"/>
        </w:rPr>
        <w:t>2</w:t>
      </w:r>
      <w:r w:rsidRPr="00C24253">
        <w:rPr>
          <w:rFonts w:cs="Arial"/>
          <w:sz w:val="20"/>
          <w:szCs w:val="20"/>
        </w:rPr>
        <w:t>.</w:t>
      </w:r>
    </w:p>
    <w:p w:rsidR="00EE01D8" w:rsidRPr="00A508DC" w:rsidRDefault="00EE2C7C" w:rsidP="00335B71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Druhou významnou skupinou domácností seni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rů převažující spíše v mladších věkových skup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 xml:space="preserve">nách seniorů jsou </w:t>
      </w:r>
      <w:r w:rsidRPr="00C24253">
        <w:rPr>
          <w:rFonts w:cs="Arial"/>
          <w:b/>
          <w:sz w:val="20"/>
          <w:szCs w:val="20"/>
        </w:rPr>
        <w:t xml:space="preserve">úplné rodiny seniorů, </w:t>
      </w:r>
      <w:r w:rsidRPr="00C24253">
        <w:rPr>
          <w:rFonts w:cs="Arial"/>
          <w:sz w:val="20"/>
          <w:szCs w:val="20"/>
        </w:rPr>
        <w:t>kt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rých bylo v roce 2011 zjištěno </w:t>
      </w:r>
      <w:r w:rsidR="00A508DC" w:rsidRPr="00A508DC">
        <w:rPr>
          <w:rFonts w:cs="Arial"/>
          <w:sz w:val="20"/>
          <w:szCs w:val="20"/>
        </w:rPr>
        <w:t>448 405</w:t>
      </w:r>
      <w:r w:rsidRPr="00A508DC">
        <w:rPr>
          <w:rFonts w:cs="Arial"/>
          <w:sz w:val="20"/>
          <w:szCs w:val="20"/>
        </w:rPr>
        <w:t xml:space="preserve">. </w:t>
      </w:r>
    </w:p>
    <w:p w:rsidR="00EE2C7C" w:rsidRPr="00C24253" w:rsidRDefault="00EE2C7C" w:rsidP="00335B71">
      <w:pPr>
        <w:autoSpaceDE w:val="0"/>
        <w:autoSpaceDN w:val="0"/>
        <w:adjustRightInd w:val="0"/>
        <w:spacing w:after="120"/>
        <w:rPr>
          <w:rFonts w:cs="Arial"/>
          <w:b/>
        </w:rPr>
      </w:pPr>
      <w:r w:rsidRPr="00C24253">
        <w:rPr>
          <w:rFonts w:cs="Arial"/>
          <w:sz w:val="20"/>
          <w:szCs w:val="20"/>
        </w:rPr>
        <w:t>Úplné rodiny s o</w:t>
      </w:r>
      <w:r w:rsidR="00231F90">
        <w:rPr>
          <w:rFonts w:cs="Arial"/>
          <w:sz w:val="20"/>
          <w:szCs w:val="20"/>
        </w:rPr>
        <w:t>sobou v čele seniorem jsou z 80 </w:t>
      </w:r>
      <w:r w:rsidRPr="00C24253">
        <w:rPr>
          <w:rFonts w:cs="Arial"/>
          <w:sz w:val="20"/>
          <w:szCs w:val="20"/>
        </w:rPr>
        <w:t xml:space="preserve">% tvořené manželským párem, se kterými zpravidla nežije žádná další osoba. </w:t>
      </w:r>
      <w:r w:rsidR="00C95B83" w:rsidRPr="00C24253">
        <w:rPr>
          <w:rFonts w:cs="Arial"/>
          <w:sz w:val="20"/>
          <w:szCs w:val="20"/>
        </w:rPr>
        <w:t>V</w:t>
      </w:r>
      <w:r w:rsidRPr="00C24253">
        <w:rPr>
          <w:rFonts w:cs="Arial"/>
          <w:sz w:val="20"/>
          <w:szCs w:val="20"/>
        </w:rPr>
        <w:t>ětšinu těchto rodin představují domácnosti, kde obě osoby jsou důchodci. Více než v 80 % případů se jedná o nepracující důchodce, pouze v minimu případů (1,5 %) jsou oba ekonomicky aktivní.</w:t>
      </w:r>
      <w:r w:rsidR="002B5506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Za posle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>ních deset let počet hospodařících domácností seniorů vzrostl o 9 %, přičemž nejvýraznější nárůst je patrný u rodinných domácností seniorů, absolutní pokles byl zaznamenán pouze u prarodičů s vnoučaty.</w:t>
      </w:r>
    </w:p>
    <w:p w:rsidR="00EE2C7C" w:rsidRPr="00C24253" w:rsidRDefault="00EE01D8" w:rsidP="00867DBD">
      <w:pPr>
        <w:pStyle w:val="Nadpis3"/>
      </w:pPr>
      <w:r>
        <w:br w:type="page"/>
      </w:r>
      <w:bookmarkStart w:id="5" w:name="_Toc371588180"/>
      <w:r w:rsidR="00EE2C7C" w:rsidRPr="00C24253">
        <w:lastRenderedPageBreak/>
        <w:t>Způsob a úroveň bydlení hospodařících domácností</w:t>
      </w:r>
      <w:bookmarkEnd w:id="5"/>
    </w:p>
    <w:p w:rsidR="008E119F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Ve sčítání 2011 byly kvantifikovány hospodařící domácnosti žijící v bytech, mimo byty a nově byly zjišťovány rodinné domácnosti bydlící v zařízeních. Téměř všechny </w:t>
      </w:r>
      <w:r w:rsidRPr="00C24253">
        <w:rPr>
          <w:rFonts w:cs="Arial"/>
          <w:b/>
          <w:sz w:val="20"/>
          <w:szCs w:val="20"/>
        </w:rPr>
        <w:t>hospodařící domácnosti (99 %) bydlí</w:t>
      </w:r>
      <w:r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v bytech</w:t>
      </w:r>
      <w:r w:rsidRPr="00C24253">
        <w:rPr>
          <w:rFonts w:cs="Arial"/>
          <w:sz w:val="20"/>
          <w:szCs w:val="20"/>
        </w:rPr>
        <w:t>. Jedna hospodařící domácnost v bytě má průměrně 2,35 členů a celkově tak žije téměř 10 145 tisíc obyvatel. Bydlení ve vlastním domě nebo v bytě v osobním vlastnictví využívají nejčastěji úplné rodiny, bydlí tak dvě třetiny hospodařících domácností tvořených 1 úplnou rodinou. Naopak neúplné rodiny a domácnosti jedno</w:t>
      </w:r>
      <w:r w:rsidRPr="00C24253">
        <w:rPr>
          <w:rFonts w:cs="Arial"/>
          <w:sz w:val="20"/>
          <w:szCs w:val="20"/>
        </w:rPr>
        <w:t>t</w:t>
      </w:r>
      <w:r w:rsidRPr="00C24253">
        <w:rPr>
          <w:rFonts w:cs="Arial"/>
          <w:sz w:val="20"/>
          <w:szCs w:val="20"/>
        </w:rPr>
        <w:t>livců žijí ve vlastním domě nebo bytě pouze v necelé polovině případů a z téměř 30 % žijí v nájemních b</w:t>
      </w:r>
      <w:r w:rsidRPr="00C24253">
        <w:rPr>
          <w:rFonts w:cs="Arial"/>
          <w:sz w:val="20"/>
          <w:szCs w:val="20"/>
        </w:rPr>
        <w:t>y</w:t>
      </w:r>
      <w:r w:rsidRPr="00C24253">
        <w:rPr>
          <w:rFonts w:cs="Arial"/>
          <w:sz w:val="20"/>
          <w:szCs w:val="20"/>
        </w:rPr>
        <w:t xml:space="preserve">tech. </w:t>
      </w:r>
    </w:p>
    <w:p w:rsidR="00EE2C7C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Charakter bydlení je přirozeně závislý </w:t>
      </w:r>
      <w:r w:rsidR="008E119F" w:rsidRPr="00C24253">
        <w:rPr>
          <w:rFonts w:cs="Arial"/>
          <w:sz w:val="20"/>
          <w:szCs w:val="20"/>
        </w:rPr>
        <w:t xml:space="preserve">i </w:t>
      </w:r>
      <w:r w:rsidRPr="00C24253">
        <w:rPr>
          <w:rFonts w:cs="Arial"/>
          <w:sz w:val="20"/>
          <w:szCs w:val="20"/>
        </w:rPr>
        <w:t>na věku osoby v čele hospodařící domácnosti. Zatímco domácnosti s osobou v čele mladšího věku bydlí spíše v nájemních bytech, se zvyšujícím se věkem osoby v čele je stále častější bydlení ve vlastním domě, příp. v bytě v osobním vlastnictví. V bytových nebo rodinných domech postavených, popř. rekonstruovaných v posledních 20 letech žije pětina hospodařících domácností, nejča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>těji úplné rodiny nebo jednotlivci.</w:t>
      </w:r>
    </w:p>
    <w:p w:rsidR="00EE2C7C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Úplné rodiny žijí zpravidla ve větších bytech než rodiny neúplné, byty s menším počtem místností jsou ob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vány většinou jednotlivci. Přesto, v bytech s 1–2 místnostmi (včetně kuchyně větší než 8m</w:t>
      </w:r>
      <w:r w:rsidRPr="00C24253">
        <w:rPr>
          <w:rFonts w:cs="Arial"/>
          <w:sz w:val="20"/>
          <w:szCs w:val="20"/>
          <w:vertAlign w:val="superscript"/>
          <w:lang w:val="en-US"/>
        </w:rPr>
        <w:t>2</w:t>
      </w:r>
      <w:r w:rsidRPr="00C24253">
        <w:rPr>
          <w:rFonts w:cs="Arial"/>
          <w:sz w:val="20"/>
          <w:szCs w:val="20"/>
        </w:rPr>
        <w:t>) žije pouze 37 % domácností jednotlivců. Ostatní jednotlivci bydlí v bytech se 3 a více obytnými místnostmi. Zpravidla se je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 xml:space="preserve">ná o starší osoby, které bydlí v bytech, které sloužily pro bydlení celých rodin, ale jednotlivec v nich zůstal sám jako poslední člen původně rodinné domácnosti. </w:t>
      </w:r>
    </w:p>
    <w:p w:rsidR="00EE2C7C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K 26.</w:t>
      </w:r>
      <w:r w:rsidR="008E119F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3.</w:t>
      </w:r>
      <w:r w:rsidR="008E119F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 xml:space="preserve">2011 bylo sečteno na území České republiky </w:t>
      </w:r>
      <w:r w:rsidRPr="00C24253">
        <w:rPr>
          <w:rFonts w:cs="Arial"/>
          <w:b/>
          <w:sz w:val="20"/>
          <w:szCs w:val="20"/>
        </w:rPr>
        <w:t>51 tisíc</w:t>
      </w:r>
      <w:r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hospodařících domácností</w:t>
      </w:r>
      <w:r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mimo byty</w:t>
      </w:r>
      <w:r w:rsidRPr="00C24253">
        <w:rPr>
          <w:rFonts w:cs="Arial"/>
          <w:sz w:val="20"/>
          <w:szCs w:val="20"/>
        </w:rPr>
        <w:t>, od roku 2001 se jednalo o nárůst absolutního počtu domácností s tímto způsobem bydlení o 45 %. Důvodem byl především nový způsob metodiky zařazování osob do domácností na základě obvyklého pobytu. Téměř dvě třetiny hospodařících domácností (62 %) bydlících mimo byty byly sečteny v nouzovém obydlí</w:t>
      </w:r>
      <w:r w:rsidRPr="00C24253">
        <w:rPr>
          <w:rStyle w:val="Znakapoznpodarou"/>
          <w:rFonts w:cs="Arial"/>
          <w:sz w:val="20"/>
          <w:szCs w:val="20"/>
        </w:rPr>
        <w:footnoteReference w:id="1"/>
      </w:r>
      <w:r w:rsidRPr="00C24253">
        <w:rPr>
          <w:rFonts w:cs="Arial"/>
          <w:sz w:val="20"/>
          <w:szCs w:val="20"/>
        </w:rPr>
        <w:t xml:space="preserve">, 37 % v rekreační chatě nebo chalupě. </w:t>
      </w:r>
    </w:p>
    <w:p w:rsidR="00EE2C7C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Struktura domácností žijících mimo byty byla obdobná jako v roce 2001. Nejvýznamněji byly zastoupeny domácnosti jednotlivců (64 %), druhou nejpočetnější skupinou byly však oproti minulému sčítání hospodařící domácnosti tvořené 1 úplnou rodinou (19 %), častěji bez závislých dětí. Domácnosti tvořené 1 neúplnou rodinou byly zastoupeny v 7 % případů. Průměrně žilo v jedné domácnosti mimo bytový fond 1,67 osoby.</w:t>
      </w:r>
    </w:p>
    <w:p w:rsidR="00EE2C7C" w:rsidRPr="00C24253" w:rsidRDefault="00EE2C7C" w:rsidP="00F75869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Rodinných hospodařících domácností žijících v zařízeních</w:t>
      </w:r>
      <w:r w:rsidRPr="00C24253">
        <w:rPr>
          <w:rFonts w:cs="Arial"/>
          <w:sz w:val="20"/>
          <w:szCs w:val="20"/>
        </w:rPr>
        <w:t xml:space="preserve"> bylo v roce 2011 zjištěno 3 010. Více než polovina těchto domácností byly úplné rodiny (58 %), nejčastěji manželské páry ve věku 75–89 let. Třetinu domácností žijících v zařízení představovaly osamělé matky se závislými dět</w:t>
      </w:r>
      <w:r w:rsidR="00231F90">
        <w:rPr>
          <w:rFonts w:cs="Arial"/>
          <w:sz w:val="20"/>
          <w:szCs w:val="20"/>
        </w:rPr>
        <w:t>mi, kdy žena byla ve věku</w:t>
      </w:r>
      <w:r w:rsidR="00231F90" w:rsidRPr="00231F90">
        <w:rPr>
          <w:rFonts w:cs="Arial"/>
          <w:spacing w:val="140"/>
          <w:sz w:val="20"/>
          <w:szCs w:val="20"/>
        </w:rPr>
        <w:t xml:space="preserve"> </w:t>
      </w:r>
      <w:r w:rsidR="00231F90">
        <w:rPr>
          <w:rFonts w:cs="Arial"/>
          <w:spacing w:val="140"/>
          <w:sz w:val="20"/>
          <w:szCs w:val="20"/>
        </w:rPr>
        <w:t xml:space="preserve"> </w:t>
      </w:r>
      <w:r w:rsidR="00231F90">
        <w:rPr>
          <w:rFonts w:cs="Arial"/>
          <w:sz w:val="20"/>
          <w:szCs w:val="20"/>
        </w:rPr>
        <w:t>25-39 </w:t>
      </w:r>
      <w:r w:rsidRPr="00C24253">
        <w:rPr>
          <w:rFonts w:cs="Arial"/>
          <w:sz w:val="20"/>
          <w:szCs w:val="20"/>
        </w:rPr>
        <w:t>let.</w:t>
      </w:r>
    </w:p>
    <w:p w:rsidR="00EE2C7C" w:rsidRPr="006C5955" w:rsidRDefault="00EE2C7C" w:rsidP="00867DBD">
      <w:pPr>
        <w:pStyle w:val="Nadpis3"/>
      </w:pPr>
      <w:bookmarkStart w:id="6" w:name="_Toc371588181"/>
      <w:r w:rsidRPr="006C5955">
        <w:t>Územní rozdíly ve struktuře hospodařících domácností</w:t>
      </w:r>
      <w:bookmarkEnd w:id="6"/>
    </w:p>
    <w:p w:rsidR="00EE2C7C" w:rsidRPr="00C24253" w:rsidRDefault="00EE2C7C" w:rsidP="00C0635E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 hlediska jednotlivých regionů byly zjištěny rozdíly jak ve velikosti hospodařících domácností, tak v jejich struktuře. Směrem od západu na východ České republiky se zvyšuje zastoupení rodinných domácností, zejména úplných rodin, a ubývá podílu domácností jednotlivců. Výjimkou jsou velká města, která mají svá specifika.</w:t>
      </w:r>
    </w:p>
    <w:p w:rsidR="00FC4488" w:rsidRPr="00C24253" w:rsidRDefault="00FC4488" w:rsidP="00FC448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Nejvyšší zastoupení rodinných domácností bylo k 26. 3. 2011 v kraji Vysočina, Zlínském a Pardubickém </w:t>
      </w:r>
      <w:proofErr w:type="gramStart"/>
      <w:r w:rsidRPr="00C24253">
        <w:rPr>
          <w:rFonts w:cs="Arial"/>
          <w:sz w:val="20"/>
          <w:szCs w:val="20"/>
        </w:rPr>
        <w:t>kraji</w:t>
      </w:r>
      <w:proofErr w:type="gramEnd"/>
      <w:r w:rsidRPr="00C24253">
        <w:rPr>
          <w:rFonts w:cs="Arial"/>
          <w:sz w:val="20"/>
          <w:szCs w:val="20"/>
        </w:rPr>
        <w:t xml:space="preserve">, kde podíl rodinných domácností představoval více než dvě třetiny všech hospodařících domácností. Nejnižší podíl byl v Praze, kde rodinné domácnosti tvořily pouze </w:t>
      </w:r>
      <w:r w:rsidR="00A508DC">
        <w:rPr>
          <w:rFonts w:cs="Arial"/>
          <w:sz w:val="20"/>
          <w:szCs w:val="20"/>
        </w:rPr>
        <w:t>zhruba</w:t>
      </w:r>
      <w:r w:rsidRPr="00C24253">
        <w:rPr>
          <w:rFonts w:cs="Arial"/>
          <w:sz w:val="20"/>
          <w:szCs w:val="20"/>
        </w:rPr>
        <w:t xml:space="preserve"> polovinu (53 %) všech hospodař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cích domácností. Nízký podíl byl také zaznamenán v Karlovarském (59 %) a Ústeckém kraji (60 %).</w:t>
      </w:r>
    </w:p>
    <w:p w:rsidR="00FC4488" w:rsidRPr="00C24253" w:rsidRDefault="00FC4488" w:rsidP="00FC448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Kraj Vysočina a Zlínský kraj (následovány Pardubickým a Olomouckým krajem) se projevily jako regiony s nejvíce tradičním rodinným chováním. Byly zde zjištěny nejvyšší podíly úplných rodin, domácností se 2</w:t>
      </w:r>
      <w:r w:rsidR="00231F90">
        <w:rPr>
          <w:rFonts w:cs="Arial"/>
          <w:sz w:val="20"/>
          <w:szCs w:val="20"/>
        </w:rPr>
        <w:t> a </w:t>
      </w:r>
      <w:r w:rsidRPr="00C24253">
        <w:rPr>
          <w:rFonts w:cs="Arial"/>
          <w:sz w:val="20"/>
          <w:szCs w:val="20"/>
        </w:rPr>
        <w:t xml:space="preserve">více rodinami, nejnižší podíly neúplných rodin, domácností jednotlivců a faktických manželství. </w:t>
      </w:r>
    </w:p>
    <w:p w:rsidR="00FC4488" w:rsidRPr="00C24253" w:rsidRDefault="00FC4488" w:rsidP="00D93D1C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Jako protipól se projevily kraje Karlovarský, Ústecký a Praha, které se již dlouhodobě vyznačují opačnými charakteristikami. Hodnoty nejbližší celorepublikovému průměru dosahovaly kraje Liberecký, Jihočeský, Plzeňský a Moravskoslezský. </w:t>
      </w:r>
    </w:p>
    <w:p w:rsidR="00F2160F" w:rsidRPr="00C24253" w:rsidRDefault="00EE01D8" w:rsidP="00F2160F">
      <w:pPr>
        <w:autoSpaceDE w:val="0"/>
        <w:autoSpaceDN w:val="0"/>
        <w:adjustRightInd w:val="0"/>
        <w:spacing w:after="120"/>
        <w:ind w:left="708" w:hanging="28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F2160F" w:rsidRPr="00C24253">
        <w:rPr>
          <w:rFonts w:cs="Arial"/>
          <w:b/>
          <w:sz w:val="20"/>
          <w:szCs w:val="20"/>
        </w:rPr>
        <w:lastRenderedPageBreak/>
        <w:t xml:space="preserve">Složení hospodařících domácností v krajích k 26. 3. 2011 </w:t>
      </w:r>
      <w:r w:rsidR="00B925A6" w:rsidRPr="00C24253">
        <w:rPr>
          <w:rFonts w:cs="Arial"/>
          <w:b/>
          <w:sz w:val="20"/>
          <w:szCs w:val="20"/>
        </w:rPr>
        <w:t>v %</w:t>
      </w:r>
    </w:p>
    <w:tbl>
      <w:tblPr>
        <w:tblW w:w="87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71"/>
        <w:gridCol w:w="850"/>
        <w:gridCol w:w="850"/>
        <w:gridCol w:w="850"/>
        <w:gridCol w:w="850"/>
        <w:gridCol w:w="850"/>
        <w:gridCol w:w="850"/>
        <w:gridCol w:w="850"/>
        <w:gridCol w:w="964"/>
      </w:tblGrid>
      <w:tr w:rsidR="002C7E55" w:rsidRPr="00C24253" w:rsidTr="002C7E55">
        <w:trPr>
          <w:trHeight w:val="283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Podíly z celkového počtu hospodařících domácností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faktických manželství z počtu HD tvořených 1 úplnou rodinou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tvořené </w:t>
            </w:r>
          </w:p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rodinou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tvořené </w:t>
            </w:r>
          </w:p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a více rodinami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domá</w:t>
            </w:r>
            <w:r w:rsidRPr="00C24253">
              <w:rPr>
                <w:rFonts w:cs="Arial"/>
                <w:sz w:val="16"/>
                <w:szCs w:val="16"/>
              </w:rPr>
              <w:t>c</w:t>
            </w:r>
            <w:r w:rsidRPr="00C24253">
              <w:rPr>
                <w:rFonts w:cs="Arial"/>
                <w:sz w:val="16"/>
                <w:szCs w:val="16"/>
              </w:rPr>
              <w:t>nosti jednotli</w:t>
            </w:r>
            <w:r w:rsidRPr="00C24253">
              <w:rPr>
                <w:rFonts w:cs="Arial"/>
                <w:sz w:val="16"/>
                <w:szCs w:val="16"/>
              </w:rPr>
              <w:t>v</w:t>
            </w:r>
            <w:r w:rsidRPr="00C24253">
              <w:rPr>
                <w:rFonts w:cs="Arial"/>
                <w:sz w:val="16"/>
                <w:szCs w:val="16"/>
              </w:rPr>
              <w:t>ců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C7E55" w:rsidRPr="00C24253" w:rsidTr="00D93D1C">
        <w:trPr>
          <w:trHeight w:val="283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rodiny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neúplné rodiny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C7E55" w:rsidRPr="00C24253" w:rsidTr="00D93D1C">
        <w:trPr>
          <w:trHeight w:val="624"/>
          <w:jc w:val="center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bez závislých dětí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830717" w:rsidP="002C7E5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24253">
              <w:rPr>
                <w:rFonts w:cs="Arial"/>
                <w:sz w:val="16"/>
                <w:szCs w:val="16"/>
              </w:rPr>
              <w:t>se</w:t>
            </w:r>
            <w:proofErr w:type="gramEnd"/>
          </w:p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závislými dětmi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bez závislých dětí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5" w:rsidRPr="00C24253" w:rsidRDefault="00830717" w:rsidP="002C7E5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24253">
              <w:rPr>
                <w:rFonts w:cs="Arial"/>
                <w:sz w:val="16"/>
                <w:szCs w:val="16"/>
              </w:rPr>
              <w:t>se</w:t>
            </w:r>
            <w:proofErr w:type="gramEnd"/>
          </w:p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závislými dětmi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5" w:rsidRPr="00C24253" w:rsidRDefault="002C7E55" w:rsidP="002C7E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55" w:rsidRPr="00C24253" w:rsidRDefault="002C7E55" w:rsidP="00F2160F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C7E55" w:rsidRPr="00C24253" w:rsidTr="002C7E55">
        <w:trPr>
          <w:trHeight w:val="397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ČR celkem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28,3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32,5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8,8</w:t>
            </w:r>
          </w:p>
        </w:tc>
      </w:tr>
      <w:tr w:rsidR="002C7E55" w:rsidRPr="00C24253" w:rsidTr="002C7E55">
        <w:trPr>
          <w:trHeight w:val="227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Hlavní město Praha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10,7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10,9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10,8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8,5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 Vysočina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7,8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 kraj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</w:tr>
      <w:tr w:rsidR="002C7E55" w:rsidRPr="00C24253" w:rsidTr="002C7E55">
        <w:trPr>
          <w:trHeight w:val="283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60F" w:rsidRPr="00C24253" w:rsidRDefault="00F2160F" w:rsidP="002C7E5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60F" w:rsidRPr="00C24253" w:rsidRDefault="00F2160F" w:rsidP="002C7E55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</w:tr>
    </w:tbl>
    <w:p w:rsidR="00F2160F" w:rsidRPr="00C24253" w:rsidRDefault="00F2160F" w:rsidP="008E119F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E56695" w:rsidRPr="00C24253" w:rsidRDefault="00E56695" w:rsidP="00CC3FC4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Podíly hospodařících domácností tvořených 1 rodinou se závislými dětmi v rámci rodinných domácností byly v celorepublikovém průměru vyrovnané. Celkově mírně převažovaly domácno</w:t>
      </w:r>
      <w:r w:rsidR="00231F90">
        <w:rPr>
          <w:rFonts w:cs="Arial"/>
          <w:sz w:val="20"/>
          <w:szCs w:val="20"/>
        </w:rPr>
        <w:t>sti bez závislých dětí (57 %) a </w:t>
      </w:r>
      <w:r w:rsidRPr="00C24253">
        <w:rPr>
          <w:rFonts w:cs="Arial"/>
          <w:sz w:val="20"/>
          <w:szCs w:val="20"/>
        </w:rPr>
        <w:t>téměř všechny kraje se v zastoupení domácností bez závislých dětí výrazně nelišily. Nejvyšší podíl byl zjištěn v Praze (58 %), nejnižší ve Středočeském kraji (55 %). Důvodem je samozřejmě intenzivní bytová výstavba v zázemí Prahy, která má za následek stěhování mladých rodin se závislými dětmi.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2721"/>
        <w:gridCol w:w="964"/>
        <w:gridCol w:w="964"/>
        <w:gridCol w:w="964"/>
        <w:gridCol w:w="964"/>
        <w:gridCol w:w="964"/>
        <w:gridCol w:w="964"/>
      </w:tblGrid>
      <w:tr w:rsidR="00401A37" w:rsidRPr="00C24253" w:rsidTr="00CC3FC4">
        <w:trPr>
          <w:trHeight w:val="300"/>
          <w:jc w:val="center"/>
        </w:trPr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B925A6">
            <w:pPr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Složení hospodařících domácností podle velikostních skupin obcí k 26. 3. 2011 v %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Typ hospodařící domácnosti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Velikostní skupina obce</w:t>
            </w:r>
          </w:p>
        </w:tc>
      </w:tr>
      <w:tr w:rsidR="00401A37" w:rsidRPr="00C24253" w:rsidTr="002C18C5">
        <w:trPr>
          <w:trHeight w:val="454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 499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500 - 1999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2000 - 9999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10000 - 49000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50000 -99999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170D1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100000 a více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Hospodařící domácnosti celkem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1"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401A37" w:rsidRPr="00C24253" w:rsidTr="00CC3FC4">
        <w:trPr>
          <w:trHeight w:val="227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tvořené 1 rodinou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53,7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200" w:firstLine="3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rodiny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40,4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200" w:firstLine="3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neúplné rodiny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13,4</w:t>
            </w:r>
          </w:p>
        </w:tc>
      </w:tr>
      <w:tr w:rsidR="00401A37" w:rsidRPr="00C24253" w:rsidTr="00CC3FC4">
        <w:trPr>
          <w:trHeight w:val="30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domácnosti jednotlivců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A37" w:rsidRPr="00C24253" w:rsidRDefault="00401A37" w:rsidP="00401A37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38,0</w:t>
            </w:r>
          </w:p>
        </w:tc>
      </w:tr>
    </w:tbl>
    <w:p w:rsidR="00401A37" w:rsidRPr="00C24253" w:rsidRDefault="00401A37" w:rsidP="00CE3C28">
      <w:pPr>
        <w:autoSpaceDE w:val="0"/>
        <w:autoSpaceDN w:val="0"/>
        <w:adjustRightInd w:val="0"/>
        <w:spacing w:after="120"/>
        <w:rPr>
          <w:rFonts w:cs="Arial"/>
          <w:b/>
          <w:sz w:val="16"/>
          <w:szCs w:val="16"/>
        </w:rPr>
      </w:pPr>
    </w:p>
    <w:p w:rsidR="008E119F" w:rsidRPr="00C24253" w:rsidRDefault="00EE2C7C" w:rsidP="00FC448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Rozdíly v</w:t>
      </w:r>
      <w:r w:rsidR="00A508DC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 struktuře hospodařících domácností byly zjištěny i v rámci velikostních skupin obcí. V nejmenších obcích do 2000 obyvatel je jednoznačná převaha hospodařících domácností</w:t>
      </w:r>
      <w:r w:rsidR="00231F90">
        <w:rPr>
          <w:rFonts w:cs="Arial"/>
          <w:sz w:val="20"/>
          <w:szCs w:val="20"/>
        </w:rPr>
        <w:t xml:space="preserve"> tvořených 1 úplnou rodinou (55 </w:t>
      </w:r>
      <w:r w:rsidRPr="00C24253">
        <w:rPr>
          <w:rFonts w:cs="Arial"/>
          <w:sz w:val="20"/>
          <w:szCs w:val="20"/>
        </w:rPr>
        <w:t>% všech hospodařících domácností), v obcích s velikostí 10000–49999 obyvatel úplné rodiny netvoří již ani polovinu všech domácností a se zvyšující se velikostí podíl dále klesá.</w:t>
      </w:r>
      <w:r w:rsidR="00231F90">
        <w:rPr>
          <w:rFonts w:cs="Arial"/>
          <w:sz w:val="20"/>
          <w:szCs w:val="20"/>
        </w:rPr>
        <w:t xml:space="preserve"> Naopak podíl neúplných rodin a </w:t>
      </w:r>
      <w:r w:rsidRPr="00C24253">
        <w:rPr>
          <w:rFonts w:cs="Arial"/>
          <w:sz w:val="20"/>
          <w:szCs w:val="20"/>
        </w:rPr>
        <w:t>domácností jednotlivců se s rostoucí velikostí obce zvyšuje. V obcích nad 20 000 obyvatel domácnost jednotlivců představují třetinu všech hospodařících domácností a v Praze dokonce 39 %. Stejně tak i podíl faktických manželství ze všech hospodařících domácností tvořených 1 rodinou vykazuje jasnou závislost na velikostní skupině obce. Zatímco v nejmenších obcích představují pouze 7 %, v největších městech mají více než 10% podíl.</w:t>
      </w:r>
    </w:p>
    <w:p w:rsidR="00766F29" w:rsidRPr="00867DBD" w:rsidRDefault="00EE2C7C" w:rsidP="00867DBD">
      <w:pPr>
        <w:autoSpaceDE w:val="0"/>
        <w:autoSpaceDN w:val="0"/>
        <w:adjustRightInd w:val="0"/>
        <w:spacing w:after="120"/>
        <w:rPr>
          <w:rFonts w:ascii="Tahoma" w:hAnsi="Tahoma" w:cs="Tahoma"/>
          <w:b/>
        </w:rPr>
      </w:pPr>
      <w:r w:rsidRPr="00C24253">
        <w:rPr>
          <w:rFonts w:cs="Arial"/>
          <w:sz w:val="20"/>
          <w:szCs w:val="20"/>
        </w:rPr>
        <w:t xml:space="preserve">Velikost obce má vliv i na průměrný počet členů nebo na počet závislých dětí v hospodařící domácnosti. S rostoucí velikostí obce se snižuje jak průměrný počet osob žijící spolu v jedné domácnosti, tak </w:t>
      </w:r>
      <w:r w:rsidR="006948CC">
        <w:rPr>
          <w:rFonts w:cs="Arial"/>
          <w:sz w:val="20"/>
          <w:szCs w:val="20"/>
        </w:rPr>
        <w:t xml:space="preserve">i </w:t>
      </w:r>
      <w:r w:rsidRPr="00C24253">
        <w:rPr>
          <w:rFonts w:cs="Arial"/>
          <w:sz w:val="20"/>
          <w:szCs w:val="20"/>
        </w:rPr>
        <w:t>podíl rodin s vyšším počtem závislých dětí.</w:t>
      </w:r>
    </w:p>
    <w:sectPr w:rsidR="00766F29" w:rsidRPr="00867DBD" w:rsidSect="00FC6FDC">
      <w:footerReference w:type="even" r:id="rId14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3E" w:rsidRDefault="00053B3E">
      <w:r>
        <w:separator/>
      </w:r>
    </w:p>
    <w:p w:rsidR="00053B3E" w:rsidRDefault="00053B3E"/>
  </w:endnote>
  <w:endnote w:type="continuationSeparator" w:id="0">
    <w:p w:rsidR="00053B3E" w:rsidRDefault="00053B3E">
      <w:r>
        <w:continuationSeparator/>
      </w:r>
    </w:p>
    <w:p w:rsidR="00053B3E" w:rsidRDefault="00053B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A603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3E" w:rsidRDefault="00053B3E">
      <w:r>
        <w:separator/>
      </w:r>
    </w:p>
    <w:p w:rsidR="00053B3E" w:rsidRDefault="00053B3E"/>
  </w:footnote>
  <w:footnote w:type="continuationSeparator" w:id="0">
    <w:p w:rsidR="00053B3E" w:rsidRDefault="00053B3E">
      <w:r>
        <w:continuationSeparator/>
      </w:r>
    </w:p>
    <w:p w:rsidR="00053B3E" w:rsidRDefault="00053B3E"/>
  </w:footnote>
  <w:footnote w:id="1">
    <w:p w:rsidR="00D055C3" w:rsidRDefault="00D055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1E06">
        <w:rPr>
          <w:rFonts w:cs="Arial"/>
          <w:sz w:val="16"/>
        </w:rPr>
        <w:t>Nouzová obydlí</w:t>
      </w:r>
      <w:r>
        <w:rPr>
          <w:rFonts w:cs="Arial"/>
          <w:sz w:val="16"/>
        </w:rPr>
        <w:t xml:space="preserve"> </w:t>
      </w:r>
      <w:r w:rsidRPr="00821E06">
        <w:rPr>
          <w:rFonts w:cs="Arial"/>
          <w:sz w:val="16"/>
        </w:rPr>
        <w:t xml:space="preserve">často </w:t>
      </w:r>
      <w:proofErr w:type="gramStart"/>
      <w:r w:rsidRPr="00821E06">
        <w:rPr>
          <w:rFonts w:cs="Arial"/>
          <w:sz w:val="16"/>
        </w:rPr>
        <w:t>představova</w:t>
      </w:r>
      <w:r>
        <w:rPr>
          <w:rFonts w:cs="Arial"/>
          <w:sz w:val="16"/>
        </w:rPr>
        <w:t>ly</w:t>
      </w:r>
      <w:r w:rsidRPr="00821E06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 dosud</w:t>
      </w:r>
      <w:proofErr w:type="gramEnd"/>
      <w:r>
        <w:rPr>
          <w:rFonts w:cs="Arial"/>
          <w:sz w:val="16"/>
        </w:rPr>
        <w:t xml:space="preserve"> </w:t>
      </w:r>
      <w:r w:rsidRPr="00821E06">
        <w:rPr>
          <w:rFonts w:cs="Arial"/>
          <w:sz w:val="16"/>
        </w:rPr>
        <w:t>nezkolaudované domy v rozhodném okamžiku sčítání apod.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B215CB"/>
    <w:multiLevelType w:val="multilevel"/>
    <w:tmpl w:val="664835B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E1A6B"/>
    <w:multiLevelType w:val="multilevel"/>
    <w:tmpl w:val="2C401CCC"/>
    <w:numStyleLink w:val="Styl8"/>
  </w:abstractNum>
  <w:abstractNum w:abstractNumId="4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3455ED"/>
    <w:multiLevelType w:val="multilevel"/>
    <w:tmpl w:val="086C7E0A"/>
    <w:lvl w:ilvl="0">
      <w:start w:val="13"/>
      <w:numFmt w:val="decimal"/>
      <w:pStyle w:val="Dilonadpis1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30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14"/>
  </w:num>
  <w:num w:numId="4">
    <w:abstractNumId w:val="17"/>
  </w:num>
  <w:num w:numId="5">
    <w:abstractNumId w:val="18"/>
  </w:num>
  <w:num w:numId="6">
    <w:abstractNumId w:val="10"/>
  </w:num>
  <w:num w:numId="7">
    <w:abstractNumId w:val="33"/>
  </w:num>
  <w:num w:numId="8">
    <w:abstractNumId w:val="6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30"/>
  </w:num>
  <w:num w:numId="18">
    <w:abstractNumId w:val="34"/>
  </w:num>
  <w:num w:numId="19">
    <w:abstractNumId w:val="36"/>
  </w:num>
  <w:num w:numId="20">
    <w:abstractNumId w:val="0"/>
  </w:num>
  <w:num w:numId="21">
    <w:abstractNumId w:val="29"/>
  </w:num>
  <w:num w:numId="22">
    <w:abstractNumId w:val="4"/>
  </w:num>
  <w:num w:numId="23">
    <w:abstractNumId w:val="25"/>
  </w:num>
  <w:num w:numId="24">
    <w:abstractNumId w:val="28"/>
  </w:num>
  <w:num w:numId="25">
    <w:abstractNumId w:val="11"/>
  </w:num>
  <w:num w:numId="26">
    <w:abstractNumId w:val="32"/>
  </w:num>
  <w:num w:numId="27">
    <w:abstractNumId w:val="16"/>
  </w:num>
  <w:num w:numId="28">
    <w:abstractNumId w:val="24"/>
  </w:num>
  <w:num w:numId="29">
    <w:abstractNumId w:val="22"/>
  </w:num>
  <w:num w:numId="30">
    <w:abstractNumId w:val="13"/>
  </w:num>
  <w:num w:numId="31">
    <w:abstractNumId w:val="5"/>
  </w:num>
  <w:num w:numId="32">
    <w:abstractNumId w:val="26"/>
  </w:num>
  <w:num w:numId="33">
    <w:abstractNumId w:val="32"/>
    <w:lvlOverride w:ilvl="0">
      <w:startOverride w:val="3"/>
    </w:lvlOverride>
    <w:lvlOverride w:ilvl="1">
      <w:startOverride w:val="1"/>
    </w:lvlOverride>
  </w:num>
  <w:num w:numId="34">
    <w:abstractNumId w:val="32"/>
    <w:lvlOverride w:ilvl="0">
      <w:startOverride w:val="4"/>
    </w:lvlOverride>
    <w:lvlOverride w:ilvl="1">
      <w:startOverride w:val="1"/>
    </w:lvlOverride>
  </w:num>
  <w:num w:numId="35">
    <w:abstractNumId w:val="32"/>
    <w:lvlOverride w:ilvl="0">
      <w:startOverride w:val="5"/>
    </w:lvlOverride>
    <w:lvlOverride w:ilvl="1">
      <w:startOverride w:val="1"/>
    </w:lvlOverride>
  </w:num>
  <w:num w:numId="36">
    <w:abstractNumId w:val="32"/>
    <w:lvlOverride w:ilvl="0">
      <w:startOverride w:val="6"/>
    </w:lvlOverride>
    <w:lvlOverride w:ilvl="1">
      <w:startOverride w:val="1"/>
    </w:lvlOverride>
  </w:num>
  <w:num w:numId="37">
    <w:abstractNumId w:val="32"/>
    <w:lvlOverride w:ilvl="0">
      <w:startOverride w:val="9"/>
    </w:lvlOverride>
    <w:lvlOverride w:ilvl="1">
      <w:startOverride w:val="1"/>
    </w:lvlOverride>
  </w:num>
  <w:num w:numId="38">
    <w:abstractNumId w:val="32"/>
    <w:lvlOverride w:ilvl="0">
      <w:startOverride w:val="13"/>
    </w:lvlOverride>
    <w:lvlOverride w:ilvl="1">
      <w:startOverride w:val="1"/>
    </w:lvlOverride>
  </w:num>
  <w:num w:numId="39">
    <w:abstractNumId w:val="32"/>
    <w:lvlOverride w:ilvl="0">
      <w:startOverride w:val="15"/>
    </w:lvlOverride>
    <w:lvlOverride w:ilvl="1">
      <w:startOverride w:val="1"/>
    </w:lvlOverride>
  </w:num>
  <w:num w:numId="40">
    <w:abstractNumId w:val="23"/>
  </w:num>
  <w:num w:numId="41">
    <w:abstractNumId w:val="31"/>
  </w:num>
  <w:num w:numId="42">
    <w:abstractNumId w:val="7"/>
  </w:num>
  <w:num w:numId="43">
    <w:abstractNumId w:val="32"/>
    <w:lvlOverride w:ilvl="0">
      <w:startOverride w:val="1"/>
    </w:lvlOverride>
    <w:lvlOverride w:ilvl="1">
      <w:startOverride w:val="1"/>
    </w:lvlOverride>
  </w:num>
  <w:num w:numId="44">
    <w:abstractNumId w:val="32"/>
    <w:lvlOverride w:ilvl="0">
      <w:startOverride w:val="10"/>
    </w:lvlOverride>
    <w:lvlOverride w:ilvl="1">
      <w:startOverride w:val="1"/>
    </w:lvlOverride>
  </w:num>
  <w:num w:numId="45">
    <w:abstractNumId w:val="32"/>
    <w:lvlOverride w:ilvl="0">
      <w:startOverride w:val="11"/>
    </w:lvlOverride>
    <w:lvlOverride w:ilvl="1">
      <w:startOverride w:val="1"/>
    </w:lvlOverride>
  </w:num>
  <w:num w:numId="46">
    <w:abstractNumId w:val="27"/>
  </w:num>
  <w:num w:numId="47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3B3E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67DBD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34C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867DBD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867DBD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867DBD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4BDF-63DE-4E3B-A8C0-E331A8E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4504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31017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3</cp:revision>
  <cp:lastPrinted>2013-11-12T07:39:00Z</cp:lastPrinted>
  <dcterms:created xsi:type="dcterms:W3CDTF">2013-11-14T09:30:00Z</dcterms:created>
  <dcterms:modified xsi:type="dcterms:W3CDTF">2013-11-14T09:30:00Z</dcterms:modified>
</cp:coreProperties>
</file>