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12" w:rsidRPr="00FC1412" w:rsidRDefault="00C029E2" w:rsidP="00EF1092">
      <w:pPr>
        <w:pStyle w:val="Dilonadpis1"/>
      </w:pPr>
      <w:bookmarkStart w:id="0" w:name="_Toc371588174"/>
      <w:r w:rsidRPr="00FC1412">
        <w:t>VYJÍŽĎKA A DOJÍŽĎKA DO ZAMĚSTNÁNÍ A DO ŠKOL</w:t>
      </w:r>
      <w:bookmarkEnd w:id="0"/>
    </w:p>
    <w:p w:rsidR="006F32E5" w:rsidRPr="00FC1412" w:rsidRDefault="00FC1412" w:rsidP="00AE66C3">
      <w:pPr>
        <w:spacing w:after="360"/>
        <w:rPr>
          <w:rFonts w:cs="Arial"/>
          <w:b/>
          <w:sz w:val="28"/>
          <w:szCs w:val="28"/>
        </w:rPr>
      </w:pPr>
      <w:r w:rsidRPr="00FC1412">
        <w:rPr>
          <w:rFonts w:cs="Arial"/>
          <w:b/>
          <w:sz w:val="28"/>
          <w:szCs w:val="28"/>
        </w:rPr>
        <w:t xml:space="preserve">12.1. </w:t>
      </w:r>
      <w:r w:rsidR="006F32E5" w:rsidRPr="00FC1412">
        <w:rPr>
          <w:rFonts w:cs="Arial"/>
          <w:b/>
          <w:sz w:val="28"/>
          <w:szCs w:val="28"/>
        </w:rPr>
        <w:t>Metodika a obsah zjišťování vyjížďky a dojížďky</w:t>
      </w:r>
    </w:p>
    <w:p w:rsidR="006F32E5" w:rsidRPr="006F32E5" w:rsidRDefault="006F32E5" w:rsidP="00C961EE">
      <w:pPr>
        <w:spacing w:after="120"/>
        <w:rPr>
          <w:rFonts w:cs="Arial"/>
          <w:sz w:val="20"/>
          <w:szCs w:val="20"/>
        </w:rPr>
      </w:pPr>
      <w:r w:rsidRPr="006F32E5">
        <w:rPr>
          <w:rFonts w:cs="Arial"/>
          <w:sz w:val="20"/>
          <w:szCs w:val="20"/>
        </w:rPr>
        <w:t>Zjišťování vyjížďky a dojížďky za prací a do škol je tradiční součástí obsahu sčítání lidu, domů a bytů. V</w:t>
      </w:r>
      <w:r w:rsidRPr="006F32E5">
        <w:rPr>
          <w:rFonts w:cs="Arial"/>
          <w:sz w:val="20"/>
          <w:szCs w:val="20"/>
        </w:rPr>
        <w:t>y</w:t>
      </w:r>
      <w:r w:rsidRPr="006F32E5">
        <w:rPr>
          <w:rFonts w:cs="Arial"/>
          <w:sz w:val="20"/>
          <w:szCs w:val="20"/>
        </w:rPr>
        <w:t>jížďka do zaměstnání nebo školy je definována jako případ, kdy adresa obvyklého bydliště a adresa prac</w:t>
      </w:r>
      <w:r w:rsidRPr="006F32E5">
        <w:rPr>
          <w:rFonts w:cs="Arial"/>
          <w:sz w:val="20"/>
          <w:szCs w:val="20"/>
        </w:rPr>
        <w:t>o</w:t>
      </w:r>
      <w:r w:rsidRPr="006F32E5">
        <w:rPr>
          <w:rFonts w:cs="Arial"/>
          <w:sz w:val="20"/>
          <w:szCs w:val="20"/>
        </w:rPr>
        <w:t xml:space="preserve">viště nebo školy, kterou sčítaná osoba navštěvuje, nejsou totožné (na úrovni adresy domu). </w:t>
      </w:r>
    </w:p>
    <w:p w:rsidR="00AE66C3" w:rsidRDefault="006F32E5" w:rsidP="00C961EE">
      <w:pPr>
        <w:spacing w:after="120"/>
        <w:rPr>
          <w:rFonts w:cs="Arial"/>
          <w:sz w:val="20"/>
          <w:szCs w:val="20"/>
        </w:rPr>
      </w:pPr>
      <w:r w:rsidRPr="006F32E5">
        <w:rPr>
          <w:rFonts w:cs="Arial"/>
          <w:sz w:val="20"/>
          <w:szCs w:val="20"/>
        </w:rPr>
        <w:t>Zatímco vyjížďka je v celkovém objemu (nikoli ale ve směrových proudech) poměrně snadno zjistitelná, d</w:t>
      </w:r>
      <w:r w:rsidRPr="006F32E5">
        <w:rPr>
          <w:rFonts w:cs="Arial"/>
          <w:sz w:val="20"/>
          <w:szCs w:val="20"/>
        </w:rPr>
        <w:t>o</w:t>
      </w:r>
      <w:r w:rsidRPr="006F32E5">
        <w:rPr>
          <w:rFonts w:cs="Arial"/>
          <w:sz w:val="20"/>
          <w:szCs w:val="20"/>
        </w:rPr>
        <w:t>jížďka byla zjišťována nejprve pouze za vybraná města (tzv. centra dojížďky), především z důvodu omez</w:t>
      </w:r>
      <w:r w:rsidRPr="006F32E5">
        <w:rPr>
          <w:rFonts w:cs="Arial"/>
          <w:sz w:val="20"/>
          <w:szCs w:val="20"/>
        </w:rPr>
        <w:t>e</w:t>
      </w:r>
      <w:r w:rsidRPr="006F32E5">
        <w:rPr>
          <w:rFonts w:cs="Arial"/>
          <w:sz w:val="20"/>
          <w:szCs w:val="20"/>
        </w:rPr>
        <w:t xml:space="preserve">ných technických možností zpracování údajů a nutnosti manuálního kódování cílů dojížďky. </w:t>
      </w:r>
    </w:p>
    <w:p w:rsidR="006F32E5" w:rsidRDefault="006F32E5" w:rsidP="00C961EE">
      <w:pPr>
        <w:spacing w:after="120"/>
        <w:rPr>
          <w:rFonts w:cs="Arial"/>
          <w:sz w:val="20"/>
          <w:szCs w:val="20"/>
        </w:rPr>
      </w:pPr>
      <w:r w:rsidRPr="006F32E5">
        <w:rPr>
          <w:rFonts w:cs="Arial"/>
          <w:sz w:val="20"/>
          <w:szCs w:val="20"/>
        </w:rPr>
        <w:t>Obec pracoviště byla zjišťována i dříve, např. již v roce 1950, ale žádné údaje o dojížďce z tohoto sčítání nebyly v pramenných dílech zveřejněny</w:t>
      </w:r>
      <w:r w:rsidRPr="00C15FD5">
        <w:rPr>
          <w:rFonts w:cs="Arial"/>
          <w:sz w:val="20"/>
          <w:szCs w:val="20"/>
        </w:rPr>
        <w:t xml:space="preserve">. Od r. 1961 byly zpracovávány bilance vyjížďky a dojížďky </w:t>
      </w:r>
      <w:r>
        <w:rPr>
          <w:rFonts w:cs="Arial"/>
          <w:sz w:val="20"/>
          <w:szCs w:val="20"/>
        </w:rPr>
        <w:t>do z</w:t>
      </w:r>
      <w:r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městnání </w:t>
      </w:r>
      <w:r w:rsidRPr="00C15FD5">
        <w:rPr>
          <w:rFonts w:cs="Arial"/>
          <w:sz w:val="20"/>
          <w:szCs w:val="20"/>
        </w:rPr>
        <w:t xml:space="preserve">za územní jednotky (okresy, kraje) a vybraná města. </w:t>
      </w:r>
      <w:r>
        <w:rPr>
          <w:rFonts w:cs="Arial"/>
          <w:sz w:val="20"/>
          <w:szCs w:val="20"/>
        </w:rPr>
        <w:t xml:space="preserve">Výsledky sčítání 1970 poprvé obsahují údaje o vyjížďce do škol. </w:t>
      </w:r>
      <w:r w:rsidRPr="00C15FD5">
        <w:rPr>
          <w:rFonts w:cs="Arial"/>
          <w:sz w:val="20"/>
          <w:szCs w:val="20"/>
        </w:rPr>
        <w:t xml:space="preserve">Od roku 1980 se zpracovávají vyjížďkové a </w:t>
      </w:r>
      <w:proofErr w:type="spellStart"/>
      <w:r w:rsidRPr="00C15FD5">
        <w:rPr>
          <w:rFonts w:cs="Arial"/>
          <w:sz w:val="20"/>
          <w:szCs w:val="20"/>
        </w:rPr>
        <w:t>dojížďkové</w:t>
      </w:r>
      <w:proofErr w:type="spellEnd"/>
      <w:r w:rsidRPr="00C15FD5">
        <w:rPr>
          <w:rFonts w:cs="Arial"/>
          <w:sz w:val="20"/>
          <w:szCs w:val="20"/>
        </w:rPr>
        <w:t xml:space="preserve"> proudy na úrovni všech obcí</w:t>
      </w:r>
      <w:r>
        <w:rPr>
          <w:rFonts w:cs="Arial"/>
          <w:sz w:val="20"/>
          <w:szCs w:val="20"/>
        </w:rPr>
        <w:t>.</w:t>
      </w:r>
      <w:r w:rsidRPr="00C15FD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231F90">
        <w:rPr>
          <w:rFonts w:cs="Arial"/>
          <w:sz w:val="20"/>
          <w:szCs w:val="20"/>
        </w:rPr>
        <w:t> </w:t>
      </w:r>
      <w:r w:rsidRPr="00C15FD5">
        <w:rPr>
          <w:rFonts w:cs="Arial"/>
          <w:sz w:val="20"/>
          <w:szCs w:val="20"/>
        </w:rPr>
        <w:t xml:space="preserve">Prahy a </w:t>
      </w:r>
      <w:r>
        <w:rPr>
          <w:rFonts w:cs="Arial"/>
          <w:sz w:val="20"/>
          <w:szCs w:val="20"/>
        </w:rPr>
        <w:t xml:space="preserve">některých velkých měst </w:t>
      </w:r>
      <w:r w:rsidRPr="00C15FD5">
        <w:rPr>
          <w:rFonts w:cs="Arial"/>
          <w:sz w:val="20"/>
          <w:szCs w:val="20"/>
        </w:rPr>
        <w:t>se tak dě</w:t>
      </w:r>
      <w:r>
        <w:rPr>
          <w:rFonts w:cs="Arial"/>
          <w:sz w:val="20"/>
          <w:szCs w:val="20"/>
        </w:rPr>
        <w:t>lo</w:t>
      </w:r>
      <w:r w:rsidRPr="00C15FD5">
        <w:rPr>
          <w:rFonts w:cs="Arial"/>
          <w:sz w:val="20"/>
          <w:szCs w:val="20"/>
        </w:rPr>
        <w:t xml:space="preserve"> na úrovni základních sídelních jednotek (urbanistických obv</w:t>
      </w:r>
      <w:r w:rsidRPr="00C15FD5">
        <w:rPr>
          <w:rFonts w:cs="Arial"/>
          <w:sz w:val="20"/>
          <w:szCs w:val="20"/>
        </w:rPr>
        <w:t>o</w:t>
      </w:r>
      <w:r w:rsidRPr="00C15FD5">
        <w:rPr>
          <w:rFonts w:cs="Arial"/>
          <w:sz w:val="20"/>
          <w:szCs w:val="20"/>
        </w:rPr>
        <w:t>dů), popřípadě jejich dílů</w:t>
      </w:r>
      <w:r>
        <w:rPr>
          <w:rFonts w:cs="Arial"/>
          <w:sz w:val="20"/>
          <w:szCs w:val="20"/>
        </w:rPr>
        <w:t xml:space="preserve">, výsledky však nebyly součástí standardních výstupů sčítání. </w:t>
      </w:r>
    </w:p>
    <w:p w:rsidR="006F32E5" w:rsidRPr="00131275" w:rsidRDefault="006F32E5" w:rsidP="00C961EE">
      <w:p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Při sčítání 2011 byly ve zpracování výsledků definovány všechny proudy dojížďky mezi jednotlivými ZSJ/díly ZSJ, tj. v plném rozsahu možných vzájemných kombinací, pokud byla adresa pracoviště nebo školy zjištěna v dostatečném detailu, aby bylo možné kód ZSJ/díl doplnit. Bylo to </w:t>
      </w:r>
      <w:r w:rsidRPr="00311485">
        <w:rPr>
          <w:rFonts w:cs="Arial"/>
          <w:sz w:val="20"/>
          <w:szCs w:val="20"/>
        </w:rPr>
        <w:t>cca 23 000</w:t>
      </w:r>
      <w:r>
        <w:rPr>
          <w:rFonts w:cs="Arial"/>
          <w:sz w:val="20"/>
          <w:szCs w:val="20"/>
        </w:rPr>
        <w:t xml:space="preserve"> výchozích a cílových úze</w:t>
      </w:r>
      <w:r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 xml:space="preserve">ních jednotek. Zpracování vyjížďkových a </w:t>
      </w:r>
      <w:proofErr w:type="spellStart"/>
      <w:r>
        <w:rPr>
          <w:rFonts w:cs="Arial"/>
          <w:sz w:val="20"/>
          <w:szCs w:val="20"/>
        </w:rPr>
        <w:t>dojížďkových</w:t>
      </w:r>
      <w:proofErr w:type="spellEnd"/>
      <w:r>
        <w:rPr>
          <w:rFonts w:cs="Arial"/>
          <w:sz w:val="20"/>
          <w:szCs w:val="20"/>
        </w:rPr>
        <w:t xml:space="preserve"> proudů (a jejich sumarizace) jako svébytných entit sčítání patří k nejnáročnějším dílčím úlohám zpracování výsledků každého sčítání.</w:t>
      </w:r>
      <w:r w:rsidRPr="00131275">
        <w:rPr>
          <w:rFonts w:cs="Arial"/>
          <w:sz w:val="20"/>
          <w:szCs w:val="20"/>
        </w:rPr>
        <w:t xml:space="preserve"> </w:t>
      </w:r>
    </w:p>
    <w:p w:rsidR="00C961EE" w:rsidRDefault="006F32E5" w:rsidP="00C961EE">
      <w:p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Všechny adresy bydliště a pracoviště resp. navštěvované školy byly ve zpracování sčítání 2011 kódovány automatizovaně a pouze nepřesně deklarované adresy byly </w:t>
      </w:r>
      <w:proofErr w:type="spellStart"/>
      <w:r>
        <w:rPr>
          <w:rFonts w:cs="Arial"/>
          <w:sz w:val="20"/>
          <w:szCs w:val="20"/>
        </w:rPr>
        <w:t>dokódovány</w:t>
      </w:r>
      <w:proofErr w:type="spellEnd"/>
      <w:r>
        <w:rPr>
          <w:rFonts w:cs="Arial"/>
          <w:sz w:val="20"/>
          <w:szCs w:val="20"/>
        </w:rPr>
        <w:t xml:space="preserve"> manuálně podle územních číseln</w:t>
      </w:r>
      <w:r>
        <w:rPr>
          <w:rFonts w:cs="Arial"/>
          <w:sz w:val="20"/>
          <w:szCs w:val="20"/>
        </w:rPr>
        <w:t>í</w:t>
      </w:r>
      <w:r>
        <w:rPr>
          <w:rFonts w:cs="Arial"/>
          <w:sz w:val="20"/>
          <w:szCs w:val="20"/>
        </w:rPr>
        <w:t xml:space="preserve">ků. Adresa pracoviště nebo školy byla kódována v případě neúplných zápisů i částečně (např. pouze obec, nebo jen okres). </w:t>
      </w:r>
    </w:p>
    <w:p w:rsidR="006F32E5" w:rsidRDefault="006F32E5" w:rsidP="00C961EE">
      <w:p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Samostatnou kategorií je vyjížďka osob, které nemají stálé místo pracoviště a nelze je tedy započítat do žádného směrového proudu. Tyto osoby měly v roce 2011 poprvé možnost tuto skutečnost uvést jako s</w:t>
      </w:r>
      <w:r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mostatnou </w:t>
      </w:r>
      <w:r w:rsidR="000A27C7">
        <w:rPr>
          <w:rFonts w:cs="Arial"/>
          <w:sz w:val="20"/>
          <w:szCs w:val="20"/>
        </w:rPr>
        <w:t>odpověď</w:t>
      </w:r>
      <w:r>
        <w:rPr>
          <w:rFonts w:cs="Arial"/>
          <w:sz w:val="20"/>
          <w:szCs w:val="20"/>
        </w:rPr>
        <w:t xml:space="preserve"> na sčítacím formuláři. V předchozích sčítáních vyplňovaly konkrétní adresu pracoviště podle stavu k rozhodnému okamžiku a byly tedy zahrnuty do konkrétních </w:t>
      </w:r>
      <w:proofErr w:type="spellStart"/>
      <w:r>
        <w:rPr>
          <w:rFonts w:cs="Arial"/>
          <w:sz w:val="20"/>
          <w:szCs w:val="20"/>
        </w:rPr>
        <w:t>dojížďkových</w:t>
      </w:r>
      <w:proofErr w:type="spellEnd"/>
      <w:r>
        <w:rPr>
          <w:rFonts w:cs="Arial"/>
          <w:sz w:val="20"/>
          <w:szCs w:val="20"/>
        </w:rPr>
        <w:t xml:space="preserve"> proudů. Rovněž byla zpracována vyjížďka do zaměstnání a do škol s cílem mimo území České republiky.</w:t>
      </w:r>
    </w:p>
    <w:p w:rsidR="006F32E5" w:rsidRDefault="006F32E5" w:rsidP="00AE66C3">
      <w:p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Vyjížďka a dojížďka a její podrobnější charakteristiky byly zjištěny zpracováním odpovědí na tyto otázky Sčítacího listu osoby </w:t>
      </w:r>
      <w:r w:rsidRPr="00C64E1A">
        <w:rPr>
          <w:rFonts w:cs="Arial"/>
          <w:sz w:val="20"/>
          <w:szCs w:val="20"/>
        </w:rPr>
        <w:t xml:space="preserve">(viz vzory sčítacích formulářů </w:t>
      </w:r>
      <w:r w:rsidRPr="00131275">
        <w:rPr>
          <w:rFonts w:cs="Arial"/>
          <w:sz w:val="20"/>
          <w:szCs w:val="20"/>
        </w:rPr>
        <w:t>v příloze)</w:t>
      </w:r>
      <w:r>
        <w:rPr>
          <w:rFonts w:cs="Arial"/>
          <w:sz w:val="20"/>
          <w:szCs w:val="20"/>
        </w:rPr>
        <w:t>:</w:t>
      </w:r>
    </w:p>
    <w:p w:rsidR="006F32E5" w:rsidRDefault="006F32E5" w:rsidP="00631791">
      <w:pPr>
        <w:pStyle w:val="odrkyzlevaodsazeno0"/>
        <w:numPr>
          <w:ilvl w:val="0"/>
          <w:numId w:val="0"/>
        </w:numPr>
        <w:ind w:left="584"/>
      </w:pPr>
      <w:r>
        <w:t xml:space="preserve">21. Místo pracoviště nebo školy </w:t>
      </w:r>
    </w:p>
    <w:p w:rsidR="006F32E5" w:rsidRDefault="006F32E5" w:rsidP="00631791">
      <w:pPr>
        <w:pStyle w:val="odrkyzlevaodsazeno0"/>
        <w:numPr>
          <w:ilvl w:val="0"/>
          <w:numId w:val="0"/>
        </w:numPr>
        <w:ind w:left="584"/>
      </w:pPr>
      <w:r>
        <w:t>22. Dopravní prostředek</w:t>
      </w:r>
    </w:p>
    <w:p w:rsidR="006F32E5" w:rsidRDefault="006F32E5" w:rsidP="00631791">
      <w:pPr>
        <w:pStyle w:val="odrkyzlevaodsazeno0"/>
        <w:numPr>
          <w:ilvl w:val="0"/>
          <w:numId w:val="0"/>
        </w:numPr>
        <w:ind w:left="584"/>
      </w:pPr>
      <w:r>
        <w:t>23. Doba trvání dojížďky/docházky</w:t>
      </w:r>
    </w:p>
    <w:p w:rsidR="006F32E5" w:rsidRDefault="006F32E5" w:rsidP="00631791">
      <w:pPr>
        <w:pStyle w:val="odrkyzlevaodsazeno0"/>
        <w:numPr>
          <w:ilvl w:val="0"/>
          <w:numId w:val="0"/>
        </w:numPr>
        <w:spacing w:after="240"/>
        <w:ind w:left="584"/>
      </w:pPr>
      <w:r>
        <w:t>24. Frekvence dojížďky do místa pracoviště nebo školy</w:t>
      </w:r>
      <w:r w:rsidR="00AE66C3">
        <w:t>.</w:t>
      </w:r>
    </w:p>
    <w:p w:rsidR="006F32E5" w:rsidRDefault="006F32E5" w:rsidP="00AE66C3">
      <w:p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Významným rysem zjišťování vyjížďky ve sčítání 2011 byl </w:t>
      </w:r>
      <w:r w:rsidRPr="008C62BD">
        <w:rPr>
          <w:rFonts w:cs="Arial"/>
          <w:sz w:val="20"/>
          <w:szCs w:val="20"/>
        </w:rPr>
        <w:t>vysoký podíl nezjištěných údajů.</w:t>
      </w:r>
      <w:r>
        <w:rPr>
          <w:rFonts w:cs="Arial"/>
          <w:sz w:val="20"/>
          <w:szCs w:val="20"/>
        </w:rPr>
        <w:t xml:space="preserve"> Prvním zkresl</w:t>
      </w:r>
      <w:r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ním bylo již samotné podstatné zvýšení počtu a podílu osob s nezjištěným údajem</w:t>
      </w:r>
      <w:r w:rsidR="00AE66C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 ekonomické aktivitě. Jejich počet se oproti sčítání 2001 zvýšil z 82 na 571 tis. (z 0,8</w:t>
      </w:r>
      <w:r w:rsidR="009B47A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% na 5,5 % úhrnu obyvatelstva), tedy zhruba sedmkrát. Ještě větší únik údajů byl v samotném zjišťování vyjížďky a dojížďky. Při sčítání 2011 neuvedlo žádný údaj o vyjížďce 2,1 mil. osob, tj. 34,3 % z těch, kteří měli údaje vyplnit. </w:t>
      </w:r>
    </w:p>
    <w:p w:rsidR="00AE66C3" w:rsidRDefault="00AE66C3" w:rsidP="00AE66C3">
      <w:p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Vysoký podíl nezjištěných údajů de facto znemožňuje časové srovnání intenzity vyjížďky a dojížďky a ovli</w:t>
      </w:r>
      <w:r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ňuje i její bilanci podle územních jednotek různých stupňů. Rovněž mohutnost směrových proudů je z tohoto důvodu poněkud podhodnocena (ale územně velmi diferencovaně). </w:t>
      </w:r>
    </w:p>
    <w:p w:rsidR="00AE66C3" w:rsidRDefault="00AE66C3" w:rsidP="00AE66C3">
      <w:p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Srovnání s výsledky sčítání 2001 je dále omezeno metodickou změnou, když do počtu vyjíždějících nebyly v r. 2011 zahrnuty osoby bez stálého pracoviště (celkem 233 tis.). Jinak by bylo na úrovni obcí srovnání dobře možné, protože počet obcí se mezi sčítáními 2001 a 2011 změnil jen nepatrně. </w:t>
      </w:r>
    </w:p>
    <w:p w:rsidR="00AE66C3" w:rsidRDefault="00AE66C3" w:rsidP="00AE66C3">
      <w:pPr>
        <w:spacing w:after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Přes popsané obtíže interpretace výsledků jsou údaje o vyjížďce/dojížďce důležitým a ve značné míře využ</w:t>
      </w:r>
      <w:r>
        <w:rPr>
          <w:rFonts w:cs="Arial"/>
          <w:sz w:val="20"/>
          <w:szCs w:val="20"/>
        </w:rPr>
        <w:t>i</w:t>
      </w:r>
      <w:r>
        <w:rPr>
          <w:rFonts w:cs="Arial"/>
          <w:sz w:val="20"/>
          <w:szCs w:val="20"/>
        </w:rPr>
        <w:t>telným zdrojem údajů pro analýzu prostorových vztahů mezi sídly v České republice</w:t>
      </w:r>
    </w:p>
    <w:p w:rsidR="006F32E5" w:rsidRPr="00AE66C3" w:rsidRDefault="00CD26A3" w:rsidP="006F32E5">
      <w:pPr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br w:type="page"/>
      </w:r>
    </w:p>
    <w:tbl>
      <w:tblPr>
        <w:tblW w:w="6747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39"/>
        <w:gridCol w:w="1304"/>
        <w:gridCol w:w="1304"/>
      </w:tblGrid>
      <w:tr w:rsidR="00CC17F6" w:rsidRPr="00AE66C3" w:rsidTr="00CC17F6">
        <w:trPr>
          <w:trHeight w:val="340"/>
          <w:jc w:val="center"/>
        </w:trPr>
        <w:tc>
          <w:tcPr>
            <w:tcW w:w="674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F6" w:rsidRPr="00CC17F6" w:rsidRDefault="00CC17F6" w:rsidP="00CC17F6">
            <w:pPr>
              <w:spacing w:after="120"/>
              <w:rPr>
                <w:rFonts w:cs="Arial"/>
                <w:sz w:val="16"/>
                <w:szCs w:val="16"/>
              </w:rPr>
            </w:pPr>
            <w:r w:rsidRPr="00CC17F6">
              <w:rPr>
                <w:rFonts w:cs="Arial"/>
                <w:b/>
                <w:bCs/>
                <w:color w:val="000000"/>
                <w:sz w:val="20"/>
                <w:szCs w:val="20"/>
              </w:rPr>
              <w:t>Srovnání základních údajů za dojížďku ve sčítání 2001 a 2011</w:t>
            </w:r>
          </w:p>
        </w:tc>
      </w:tr>
      <w:tr w:rsidR="00AE66C3" w:rsidRPr="00AE66C3" w:rsidTr="005B1745">
        <w:trPr>
          <w:trHeight w:val="397"/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6C3" w:rsidRPr="00C961EE" w:rsidRDefault="00AE66C3" w:rsidP="00CD26A3">
            <w:pPr>
              <w:jc w:val="left"/>
              <w:rPr>
                <w:rFonts w:cs="Arial"/>
                <w:sz w:val="16"/>
                <w:szCs w:val="16"/>
              </w:rPr>
            </w:pPr>
            <w:r w:rsidRPr="00C961EE">
              <w:rPr>
                <w:rFonts w:cs="Arial"/>
                <w:sz w:val="16"/>
                <w:szCs w:val="16"/>
              </w:rPr>
              <w:t>Ukazatel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3" w:rsidRPr="00C961EE" w:rsidRDefault="00AE66C3" w:rsidP="00CD26A3">
            <w:pPr>
              <w:jc w:val="center"/>
              <w:rPr>
                <w:rFonts w:cs="Arial"/>
                <w:sz w:val="16"/>
                <w:szCs w:val="16"/>
              </w:rPr>
            </w:pPr>
            <w:r w:rsidRPr="00C961EE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3" w:rsidRPr="00C961EE" w:rsidRDefault="00AE66C3" w:rsidP="00CD26A3">
            <w:pPr>
              <w:jc w:val="center"/>
              <w:rPr>
                <w:rFonts w:cs="Arial"/>
                <w:sz w:val="16"/>
                <w:szCs w:val="16"/>
              </w:rPr>
            </w:pPr>
            <w:r w:rsidRPr="00C961EE">
              <w:rPr>
                <w:rFonts w:cs="Arial"/>
                <w:sz w:val="16"/>
                <w:szCs w:val="16"/>
              </w:rPr>
              <w:t>2011</w:t>
            </w:r>
          </w:p>
        </w:tc>
      </w:tr>
      <w:tr w:rsidR="00AE66C3" w:rsidRPr="00AE66C3" w:rsidTr="005B1745">
        <w:trPr>
          <w:trHeight w:val="397"/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6C3" w:rsidRPr="00C961EE" w:rsidRDefault="00AE66C3" w:rsidP="00CD26A3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961EE">
              <w:rPr>
                <w:rFonts w:cs="Arial"/>
                <w:b/>
                <w:sz w:val="16"/>
                <w:szCs w:val="16"/>
              </w:rPr>
              <w:t>Obyvatelstvo úhrnem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3" w:rsidRPr="00C961EE" w:rsidRDefault="00AE66C3" w:rsidP="00CD26A3">
            <w:pPr>
              <w:ind w:firstLineChars="100" w:firstLine="161"/>
              <w:jc w:val="right"/>
              <w:rPr>
                <w:rFonts w:cs="Arial"/>
                <w:b/>
                <w:sz w:val="16"/>
                <w:szCs w:val="16"/>
              </w:rPr>
            </w:pPr>
            <w:r w:rsidRPr="00C961EE">
              <w:rPr>
                <w:rFonts w:cs="Arial"/>
                <w:b/>
                <w:sz w:val="16"/>
                <w:szCs w:val="16"/>
              </w:rPr>
              <w:t>10 230 060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3" w:rsidRPr="00C961EE" w:rsidRDefault="00AE66C3" w:rsidP="00CD26A3">
            <w:pPr>
              <w:ind w:firstLineChars="100" w:firstLine="161"/>
              <w:jc w:val="right"/>
              <w:rPr>
                <w:rFonts w:cs="Arial"/>
                <w:b/>
                <w:sz w:val="16"/>
                <w:szCs w:val="16"/>
              </w:rPr>
            </w:pPr>
            <w:r w:rsidRPr="00C961EE">
              <w:rPr>
                <w:rFonts w:cs="Arial"/>
                <w:b/>
                <w:sz w:val="16"/>
                <w:szCs w:val="16"/>
              </w:rPr>
              <w:t>10 436 560</w:t>
            </w:r>
          </w:p>
        </w:tc>
      </w:tr>
      <w:tr w:rsidR="00AE66C3" w:rsidRPr="00AE66C3" w:rsidTr="005B1745">
        <w:trPr>
          <w:trHeight w:val="283"/>
          <w:jc w:val="center"/>
        </w:trPr>
        <w:tc>
          <w:tcPr>
            <w:tcW w:w="4139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6C3" w:rsidRPr="00C961EE" w:rsidRDefault="00AE66C3" w:rsidP="00CD26A3">
            <w:pPr>
              <w:jc w:val="left"/>
              <w:rPr>
                <w:rFonts w:cs="Arial"/>
                <w:sz w:val="16"/>
                <w:szCs w:val="16"/>
              </w:rPr>
            </w:pPr>
            <w:r w:rsidRPr="00C961EE">
              <w:rPr>
                <w:rFonts w:cs="Arial"/>
                <w:sz w:val="16"/>
                <w:szCs w:val="16"/>
              </w:rPr>
              <w:t>Ekonomicky aktivní celkem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3" w:rsidRPr="00C961EE" w:rsidRDefault="00AE66C3" w:rsidP="00CD26A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961EE">
              <w:rPr>
                <w:rFonts w:cs="Arial"/>
                <w:sz w:val="16"/>
                <w:szCs w:val="16"/>
              </w:rPr>
              <w:t>5 253 400</w:t>
            </w: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3" w:rsidRPr="00C961EE" w:rsidRDefault="00AE66C3" w:rsidP="00CD26A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961EE">
              <w:rPr>
                <w:rFonts w:cs="Arial"/>
                <w:sz w:val="16"/>
                <w:szCs w:val="16"/>
              </w:rPr>
              <w:t>5 080 573</w:t>
            </w:r>
          </w:p>
        </w:tc>
      </w:tr>
      <w:tr w:rsidR="00AE66C3" w:rsidRPr="00AE66C3" w:rsidTr="00CD26A3">
        <w:trPr>
          <w:trHeight w:val="283"/>
          <w:jc w:val="center"/>
        </w:trPr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6C3" w:rsidRPr="00C961EE" w:rsidRDefault="00AE66C3" w:rsidP="00CD26A3">
            <w:pPr>
              <w:jc w:val="left"/>
              <w:rPr>
                <w:rFonts w:cs="Arial"/>
                <w:sz w:val="16"/>
                <w:szCs w:val="16"/>
              </w:rPr>
            </w:pPr>
            <w:r w:rsidRPr="00C961EE">
              <w:rPr>
                <w:rFonts w:cs="Arial"/>
                <w:sz w:val="16"/>
                <w:szCs w:val="16"/>
              </w:rPr>
              <w:t>Počet obyvatel s nezjištěnou ekon</w:t>
            </w:r>
            <w:r w:rsidR="00CD26A3">
              <w:rPr>
                <w:rFonts w:cs="Arial"/>
                <w:sz w:val="16"/>
                <w:szCs w:val="16"/>
              </w:rPr>
              <w:t>omicky</w:t>
            </w:r>
            <w:r w:rsidRPr="00C961EE">
              <w:rPr>
                <w:rFonts w:cs="Arial"/>
                <w:sz w:val="16"/>
                <w:szCs w:val="16"/>
              </w:rPr>
              <w:t xml:space="preserve"> aktivitou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3" w:rsidRPr="00C961EE" w:rsidRDefault="00AE66C3" w:rsidP="00CD26A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961EE">
              <w:rPr>
                <w:rFonts w:cs="Arial"/>
                <w:sz w:val="16"/>
                <w:szCs w:val="16"/>
              </w:rPr>
              <w:t>82 195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3" w:rsidRPr="00C961EE" w:rsidRDefault="00AE66C3" w:rsidP="00CD26A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961EE">
              <w:rPr>
                <w:rFonts w:cs="Arial"/>
                <w:sz w:val="16"/>
                <w:szCs w:val="16"/>
              </w:rPr>
              <w:t>571 064</w:t>
            </w:r>
          </w:p>
        </w:tc>
      </w:tr>
      <w:tr w:rsidR="00AE66C3" w:rsidRPr="00AE66C3" w:rsidTr="00CD26A3">
        <w:trPr>
          <w:trHeight w:val="283"/>
          <w:jc w:val="center"/>
        </w:trPr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6C3" w:rsidRPr="00C961EE" w:rsidRDefault="00AE66C3" w:rsidP="00CD26A3">
            <w:pPr>
              <w:jc w:val="left"/>
              <w:rPr>
                <w:rFonts w:cs="Arial"/>
                <w:sz w:val="16"/>
                <w:szCs w:val="16"/>
              </w:rPr>
            </w:pPr>
            <w:r w:rsidRPr="00C961EE">
              <w:rPr>
                <w:rFonts w:cs="Arial"/>
                <w:sz w:val="16"/>
                <w:szCs w:val="16"/>
              </w:rPr>
              <w:t>Zaměstnaní celkem (bez prac</w:t>
            </w:r>
            <w:r w:rsidR="00CD26A3">
              <w:rPr>
                <w:rFonts w:cs="Arial"/>
                <w:sz w:val="16"/>
                <w:szCs w:val="16"/>
              </w:rPr>
              <w:t>ujících</w:t>
            </w:r>
            <w:r w:rsidRPr="00C961EE">
              <w:rPr>
                <w:rFonts w:cs="Arial"/>
                <w:sz w:val="16"/>
                <w:szCs w:val="16"/>
              </w:rPr>
              <w:t xml:space="preserve"> studentů a učňů)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3" w:rsidRPr="00C961EE" w:rsidRDefault="00AE66C3" w:rsidP="00CD26A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961EE">
              <w:rPr>
                <w:rFonts w:cs="Arial"/>
                <w:sz w:val="16"/>
                <w:szCs w:val="16"/>
              </w:rPr>
              <w:t>4 734 758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3" w:rsidRPr="00C961EE" w:rsidRDefault="00AE66C3" w:rsidP="00CD26A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961EE">
              <w:rPr>
                <w:rFonts w:cs="Arial"/>
                <w:sz w:val="16"/>
                <w:szCs w:val="16"/>
              </w:rPr>
              <w:t>4 580 714</w:t>
            </w:r>
          </w:p>
        </w:tc>
      </w:tr>
      <w:tr w:rsidR="005B1745" w:rsidRPr="00AE66C3" w:rsidTr="005B1745">
        <w:trPr>
          <w:trHeight w:val="227"/>
          <w:jc w:val="center"/>
        </w:trPr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745" w:rsidRPr="00C961EE" w:rsidRDefault="005B1745" w:rsidP="00CD26A3">
            <w:pPr>
              <w:jc w:val="left"/>
              <w:rPr>
                <w:rFonts w:cs="Arial"/>
                <w:sz w:val="16"/>
                <w:szCs w:val="16"/>
              </w:rPr>
            </w:pPr>
            <w:r w:rsidRPr="00C961EE">
              <w:rPr>
                <w:rFonts w:cs="Arial"/>
                <w:sz w:val="16"/>
                <w:szCs w:val="16"/>
              </w:rPr>
              <w:t>z toho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45" w:rsidRPr="00C961EE" w:rsidRDefault="005B1745" w:rsidP="00CD26A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45" w:rsidRPr="00C961EE" w:rsidRDefault="005B1745" w:rsidP="00CD26A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E66C3" w:rsidRPr="00AE66C3" w:rsidTr="00CD26A3">
        <w:trPr>
          <w:trHeight w:val="283"/>
          <w:jc w:val="center"/>
        </w:trPr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6C3" w:rsidRPr="00C961EE" w:rsidRDefault="00AE66C3" w:rsidP="005B1745">
            <w:pPr>
              <w:ind w:left="170"/>
              <w:jc w:val="left"/>
              <w:rPr>
                <w:rFonts w:cs="Arial"/>
                <w:sz w:val="16"/>
                <w:szCs w:val="16"/>
              </w:rPr>
            </w:pPr>
            <w:r w:rsidRPr="00C961EE">
              <w:rPr>
                <w:rFonts w:cs="Arial"/>
                <w:sz w:val="16"/>
                <w:szCs w:val="16"/>
              </w:rPr>
              <w:t>vyjíždějící</w:t>
            </w:r>
            <w:r w:rsidRPr="00CD26A3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3" w:rsidRPr="00C961EE" w:rsidRDefault="00AE66C3" w:rsidP="00CD26A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961EE">
              <w:rPr>
                <w:rFonts w:cs="Arial"/>
                <w:sz w:val="16"/>
                <w:szCs w:val="16"/>
              </w:rPr>
              <w:t>4 166 778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C3" w:rsidRPr="00C961EE" w:rsidRDefault="00AE66C3" w:rsidP="00CD26A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961EE">
              <w:rPr>
                <w:rFonts w:cs="Arial"/>
                <w:sz w:val="16"/>
                <w:szCs w:val="16"/>
              </w:rPr>
              <w:t>2 062 124</w:t>
            </w:r>
          </w:p>
        </w:tc>
      </w:tr>
      <w:tr w:rsidR="00AE66C3" w:rsidRPr="00AE66C3" w:rsidTr="00CD26A3">
        <w:trPr>
          <w:trHeight w:val="283"/>
          <w:jc w:val="center"/>
        </w:trPr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6C3" w:rsidRPr="00C961EE" w:rsidRDefault="00AE66C3" w:rsidP="005B1745">
            <w:pPr>
              <w:ind w:left="170"/>
              <w:jc w:val="left"/>
              <w:rPr>
                <w:rFonts w:cs="Arial"/>
                <w:sz w:val="16"/>
                <w:szCs w:val="16"/>
              </w:rPr>
            </w:pPr>
            <w:r w:rsidRPr="00C961EE">
              <w:rPr>
                <w:rFonts w:cs="Arial"/>
                <w:sz w:val="16"/>
                <w:szCs w:val="16"/>
              </w:rPr>
              <w:t>uvnitř obce bydliště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3" w:rsidRPr="00C961EE" w:rsidRDefault="00AE66C3" w:rsidP="00CD26A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961EE">
              <w:rPr>
                <w:rFonts w:cs="Arial"/>
                <w:sz w:val="16"/>
                <w:szCs w:val="16"/>
              </w:rPr>
              <w:t>2 415 128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3" w:rsidRPr="00C961EE" w:rsidRDefault="00AE66C3" w:rsidP="00CD26A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961EE">
              <w:rPr>
                <w:rFonts w:cs="Arial"/>
                <w:sz w:val="16"/>
                <w:szCs w:val="16"/>
              </w:rPr>
              <w:t>924 948</w:t>
            </w:r>
          </w:p>
        </w:tc>
      </w:tr>
      <w:tr w:rsidR="00AE66C3" w:rsidRPr="00AE66C3" w:rsidTr="00CD26A3">
        <w:trPr>
          <w:trHeight w:val="283"/>
          <w:jc w:val="center"/>
        </w:trPr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6C3" w:rsidRPr="00C961EE" w:rsidRDefault="00AE66C3" w:rsidP="005B1745">
            <w:pPr>
              <w:ind w:left="170"/>
              <w:jc w:val="left"/>
              <w:rPr>
                <w:rFonts w:cs="Arial"/>
                <w:sz w:val="16"/>
                <w:szCs w:val="16"/>
              </w:rPr>
            </w:pPr>
            <w:r w:rsidRPr="00C961EE">
              <w:rPr>
                <w:rFonts w:cs="Arial"/>
                <w:sz w:val="16"/>
                <w:szCs w:val="16"/>
              </w:rPr>
              <w:t>do jiné obce v ČR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3" w:rsidRPr="00C961EE" w:rsidRDefault="00AE66C3" w:rsidP="00CD26A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961EE">
              <w:rPr>
                <w:rFonts w:cs="Arial"/>
                <w:sz w:val="16"/>
                <w:szCs w:val="16"/>
              </w:rPr>
              <w:t>1 726 877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3" w:rsidRPr="00C961EE" w:rsidRDefault="00AE66C3" w:rsidP="00CD26A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961EE">
              <w:rPr>
                <w:rFonts w:cs="Arial"/>
                <w:sz w:val="16"/>
                <w:szCs w:val="16"/>
              </w:rPr>
              <w:t>1 099 928</w:t>
            </w:r>
          </w:p>
        </w:tc>
      </w:tr>
      <w:tr w:rsidR="00AE66C3" w:rsidRPr="00AE66C3" w:rsidTr="00CD26A3">
        <w:trPr>
          <w:trHeight w:val="283"/>
          <w:jc w:val="center"/>
        </w:trPr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6C3" w:rsidRPr="00C961EE" w:rsidRDefault="00AE66C3" w:rsidP="005B1745">
            <w:pPr>
              <w:ind w:left="170"/>
              <w:jc w:val="left"/>
              <w:rPr>
                <w:rFonts w:cs="Arial"/>
                <w:sz w:val="16"/>
                <w:szCs w:val="16"/>
              </w:rPr>
            </w:pPr>
            <w:r w:rsidRPr="00C961EE">
              <w:rPr>
                <w:rFonts w:cs="Arial"/>
                <w:sz w:val="16"/>
                <w:szCs w:val="16"/>
              </w:rPr>
              <w:t>do zahraničí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3" w:rsidRPr="00C961EE" w:rsidRDefault="00AE66C3" w:rsidP="00CD26A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961EE">
              <w:rPr>
                <w:rFonts w:cs="Arial"/>
                <w:sz w:val="16"/>
                <w:szCs w:val="16"/>
              </w:rPr>
              <w:t>24 773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3" w:rsidRPr="00C961EE" w:rsidRDefault="00AE66C3" w:rsidP="00CD26A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961EE">
              <w:rPr>
                <w:rFonts w:cs="Arial"/>
                <w:sz w:val="16"/>
                <w:szCs w:val="16"/>
              </w:rPr>
              <w:t>37 248</w:t>
            </w:r>
          </w:p>
        </w:tc>
      </w:tr>
      <w:tr w:rsidR="00AE66C3" w:rsidRPr="00AE66C3" w:rsidTr="005B1745">
        <w:trPr>
          <w:trHeight w:val="283"/>
          <w:jc w:val="center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6C3" w:rsidRPr="00C961EE" w:rsidRDefault="00AE66C3" w:rsidP="00CD26A3">
            <w:pPr>
              <w:jc w:val="left"/>
              <w:rPr>
                <w:rFonts w:cs="Arial"/>
                <w:sz w:val="16"/>
                <w:szCs w:val="16"/>
              </w:rPr>
            </w:pPr>
            <w:r w:rsidRPr="00C961EE">
              <w:rPr>
                <w:rFonts w:cs="Arial"/>
                <w:sz w:val="16"/>
                <w:szCs w:val="16"/>
              </w:rPr>
              <w:t>Údaj o vyjížďce nezjištěn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3" w:rsidRPr="00C961EE" w:rsidRDefault="00AE66C3" w:rsidP="00CD26A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961EE">
              <w:rPr>
                <w:rFonts w:cs="Arial"/>
                <w:sz w:val="16"/>
                <w:szCs w:val="16"/>
              </w:rPr>
              <w:t>539 458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3" w:rsidRPr="00C961EE" w:rsidRDefault="00AE66C3" w:rsidP="00CD26A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961EE">
              <w:rPr>
                <w:rFonts w:cs="Arial"/>
                <w:sz w:val="16"/>
                <w:szCs w:val="16"/>
              </w:rPr>
              <w:t>1 526 938</w:t>
            </w:r>
          </w:p>
        </w:tc>
      </w:tr>
      <w:tr w:rsidR="00AE66C3" w:rsidRPr="00AE66C3" w:rsidTr="005B1745">
        <w:trPr>
          <w:trHeight w:val="283"/>
          <w:jc w:val="center"/>
        </w:trPr>
        <w:tc>
          <w:tcPr>
            <w:tcW w:w="4139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6C3" w:rsidRPr="00C961EE" w:rsidRDefault="00AE66C3" w:rsidP="00CD26A3">
            <w:pPr>
              <w:jc w:val="left"/>
              <w:rPr>
                <w:rFonts w:cs="Arial"/>
                <w:sz w:val="16"/>
                <w:szCs w:val="16"/>
              </w:rPr>
            </w:pPr>
            <w:r w:rsidRPr="00C961EE">
              <w:rPr>
                <w:rFonts w:cs="Arial"/>
                <w:sz w:val="16"/>
                <w:szCs w:val="16"/>
              </w:rPr>
              <w:t>Žáci, učni a studenti vč. pracujících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3" w:rsidRPr="00C961EE" w:rsidRDefault="00AE66C3" w:rsidP="00CD26A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961EE">
              <w:rPr>
                <w:rFonts w:cs="Arial"/>
                <w:sz w:val="16"/>
                <w:szCs w:val="16"/>
              </w:rPr>
              <w:t>1 801 767</w:t>
            </w: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3" w:rsidRPr="00C961EE" w:rsidRDefault="00AE66C3" w:rsidP="00CD26A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961EE">
              <w:rPr>
                <w:rFonts w:cs="Arial"/>
                <w:sz w:val="16"/>
                <w:szCs w:val="16"/>
              </w:rPr>
              <w:t>1 525 390</w:t>
            </w:r>
          </w:p>
        </w:tc>
      </w:tr>
      <w:tr w:rsidR="005B1745" w:rsidRPr="00AE66C3" w:rsidTr="005B1745">
        <w:trPr>
          <w:trHeight w:val="227"/>
          <w:jc w:val="center"/>
        </w:trPr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745" w:rsidRPr="00C961EE" w:rsidRDefault="005B1745" w:rsidP="00CD26A3">
            <w:pPr>
              <w:jc w:val="left"/>
              <w:rPr>
                <w:rFonts w:cs="Arial"/>
                <w:sz w:val="16"/>
                <w:szCs w:val="16"/>
              </w:rPr>
            </w:pPr>
            <w:r w:rsidRPr="00C961EE">
              <w:rPr>
                <w:rFonts w:cs="Arial"/>
                <w:sz w:val="16"/>
                <w:szCs w:val="16"/>
              </w:rPr>
              <w:t>z toho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45" w:rsidRPr="00C961EE" w:rsidRDefault="005B1745" w:rsidP="00CD26A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45" w:rsidRPr="00C961EE" w:rsidRDefault="005B1745" w:rsidP="00CD26A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E66C3" w:rsidRPr="00AE66C3" w:rsidTr="00CD26A3">
        <w:trPr>
          <w:trHeight w:val="283"/>
          <w:jc w:val="center"/>
        </w:trPr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6C3" w:rsidRPr="00C961EE" w:rsidRDefault="00AE66C3" w:rsidP="005B1745">
            <w:pPr>
              <w:ind w:left="170"/>
              <w:jc w:val="left"/>
              <w:rPr>
                <w:rFonts w:cs="Arial"/>
                <w:sz w:val="16"/>
                <w:szCs w:val="16"/>
              </w:rPr>
            </w:pPr>
            <w:r w:rsidRPr="00C961EE">
              <w:rPr>
                <w:rFonts w:cs="Arial"/>
                <w:sz w:val="16"/>
                <w:szCs w:val="16"/>
              </w:rPr>
              <w:t>vyjíždějící</w:t>
            </w:r>
            <w:r w:rsidRPr="00CD26A3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3" w:rsidRPr="00C961EE" w:rsidRDefault="00AE66C3" w:rsidP="00CD26A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961EE">
              <w:rPr>
                <w:rFonts w:cs="Arial"/>
                <w:sz w:val="16"/>
                <w:szCs w:val="16"/>
              </w:rPr>
              <w:t>1 718 359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C3" w:rsidRPr="00C961EE" w:rsidRDefault="00AE66C3" w:rsidP="00CD26A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961EE">
              <w:rPr>
                <w:rFonts w:cs="Arial"/>
                <w:sz w:val="16"/>
                <w:szCs w:val="16"/>
              </w:rPr>
              <w:t>783 952</w:t>
            </w:r>
          </w:p>
        </w:tc>
      </w:tr>
      <w:tr w:rsidR="00AE66C3" w:rsidRPr="00AE66C3" w:rsidTr="00CD26A3">
        <w:trPr>
          <w:trHeight w:val="283"/>
          <w:jc w:val="center"/>
        </w:trPr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6C3" w:rsidRPr="00C961EE" w:rsidRDefault="00AE66C3" w:rsidP="005B1745">
            <w:pPr>
              <w:ind w:left="170"/>
              <w:jc w:val="left"/>
              <w:rPr>
                <w:rFonts w:cs="Arial"/>
                <w:sz w:val="16"/>
                <w:szCs w:val="16"/>
              </w:rPr>
            </w:pPr>
            <w:r w:rsidRPr="00C961EE">
              <w:rPr>
                <w:rFonts w:cs="Arial"/>
                <w:sz w:val="16"/>
                <w:szCs w:val="16"/>
              </w:rPr>
              <w:t>uvnitř obce bydliště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3" w:rsidRPr="00C961EE" w:rsidRDefault="00AE66C3" w:rsidP="00CD26A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961EE">
              <w:rPr>
                <w:rFonts w:cs="Arial"/>
                <w:sz w:val="16"/>
                <w:szCs w:val="16"/>
              </w:rPr>
              <w:t>1 097 511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3" w:rsidRPr="00C961EE" w:rsidRDefault="00AE66C3" w:rsidP="00CD26A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961EE">
              <w:rPr>
                <w:rFonts w:cs="Arial"/>
                <w:sz w:val="16"/>
                <w:szCs w:val="16"/>
              </w:rPr>
              <w:t>354 218</w:t>
            </w:r>
          </w:p>
        </w:tc>
      </w:tr>
      <w:tr w:rsidR="00AE66C3" w:rsidRPr="00AE66C3" w:rsidTr="00CD26A3">
        <w:trPr>
          <w:trHeight w:val="283"/>
          <w:jc w:val="center"/>
        </w:trPr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6C3" w:rsidRPr="00C961EE" w:rsidRDefault="00AE66C3" w:rsidP="005B1745">
            <w:pPr>
              <w:ind w:left="170"/>
              <w:jc w:val="left"/>
              <w:rPr>
                <w:rFonts w:cs="Arial"/>
                <w:sz w:val="16"/>
                <w:szCs w:val="16"/>
              </w:rPr>
            </w:pPr>
            <w:r w:rsidRPr="00C961EE">
              <w:rPr>
                <w:rFonts w:cs="Arial"/>
                <w:sz w:val="16"/>
                <w:szCs w:val="16"/>
              </w:rPr>
              <w:t>do jiné obce ČR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3" w:rsidRPr="00C961EE" w:rsidRDefault="00AE66C3" w:rsidP="00CD26A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961EE">
              <w:rPr>
                <w:rFonts w:cs="Arial"/>
                <w:sz w:val="16"/>
                <w:szCs w:val="16"/>
              </w:rPr>
              <w:t>612 898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C3" w:rsidRPr="00C961EE" w:rsidRDefault="00AE66C3" w:rsidP="00CD26A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961EE">
              <w:rPr>
                <w:rFonts w:cs="Arial"/>
                <w:sz w:val="16"/>
                <w:szCs w:val="16"/>
              </w:rPr>
              <w:t>421 683</w:t>
            </w:r>
          </w:p>
        </w:tc>
      </w:tr>
      <w:tr w:rsidR="00AE66C3" w:rsidRPr="00AE66C3" w:rsidTr="00CD26A3">
        <w:trPr>
          <w:trHeight w:val="283"/>
          <w:jc w:val="center"/>
        </w:trPr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6C3" w:rsidRPr="00C961EE" w:rsidRDefault="00AE66C3" w:rsidP="005B1745">
            <w:pPr>
              <w:ind w:left="170"/>
              <w:jc w:val="left"/>
              <w:rPr>
                <w:rFonts w:cs="Arial"/>
                <w:sz w:val="16"/>
                <w:szCs w:val="16"/>
              </w:rPr>
            </w:pPr>
            <w:r w:rsidRPr="00C961EE">
              <w:rPr>
                <w:rFonts w:cs="Arial"/>
                <w:sz w:val="16"/>
                <w:szCs w:val="16"/>
              </w:rPr>
              <w:t>do zahraničí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3" w:rsidRPr="00C961EE" w:rsidRDefault="00AE66C3" w:rsidP="00CD26A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961EE">
              <w:rPr>
                <w:rFonts w:cs="Arial"/>
                <w:sz w:val="16"/>
                <w:szCs w:val="16"/>
              </w:rPr>
              <w:t>7 950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3" w:rsidRPr="00C961EE" w:rsidRDefault="00AE66C3" w:rsidP="00CD26A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961EE">
              <w:rPr>
                <w:rFonts w:cs="Arial"/>
                <w:sz w:val="16"/>
                <w:szCs w:val="16"/>
              </w:rPr>
              <w:t>8 051</w:t>
            </w:r>
          </w:p>
        </w:tc>
      </w:tr>
      <w:tr w:rsidR="00AE66C3" w:rsidRPr="00AE66C3" w:rsidTr="00CD26A3">
        <w:trPr>
          <w:trHeight w:val="283"/>
          <w:jc w:val="center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6C3" w:rsidRPr="00C961EE" w:rsidRDefault="00AE66C3" w:rsidP="00CD26A3">
            <w:pPr>
              <w:jc w:val="left"/>
              <w:rPr>
                <w:rFonts w:cs="Arial"/>
                <w:sz w:val="16"/>
                <w:szCs w:val="16"/>
              </w:rPr>
            </w:pPr>
            <w:r w:rsidRPr="00C961EE">
              <w:rPr>
                <w:rFonts w:cs="Arial"/>
                <w:sz w:val="16"/>
                <w:szCs w:val="16"/>
              </w:rPr>
              <w:t>Údaj o vyjížďce nezjištěn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3" w:rsidRPr="00C961EE" w:rsidRDefault="00AE66C3" w:rsidP="00CD26A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961EE">
              <w:rPr>
                <w:rFonts w:cs="Arial"/>
                <w:sz w:val="16"/>
                <w:szCs w:val="16"/>
              </w:rPr>
              <w:t>26 757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3" w:rsidRPr="00C961EE" w:rsidRDefault="00AE66C3" w:rsidP="00CD26A3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961EE">
              <w:rPr>
                <w:rFonts w:cs="Arial"/>
                <w:sz w:val="16"/>
                <w:szCs w:val="16"/>
              </w:rPr>
              <w:t>539 458</w:t>
            </w:r>
          </w:p>
        </w:tc>
      </w:tr>
    </w:tbl>
    <w:p w:rsidR="006F32E5" w:rsidRDefault="006F32E5" w:rsidP="00143192">
      <w:pPr>
        <w:spacing w:before="36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 hlediska charakteru a interpretace výsledků je mezi pracovní dojížďkou a dojížďkou do škol významný rozdíl.</w:t>
      </w:r>
      <w:r w:rsidR="00AE31D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Pracovní dojížďka je především určena rozmístěním obvykle bydlícího obyvatelstva a rozmístěním pracovních příležitostí, je tedy velmi závislá na faktorech dynamicky se měnícího trhu práce a na dopravní dostupnosti pracovišť. Svoji roli pochopitelně hraje i odvětvová struktura pracovních příležitostí a kvalifikační požadavky. </w:t>
      </w:r>
    </w:p>
    <w:p w:rsidR="003F7FB1" w:rsidRDefault="006F32E5" w:rsidP="00CD26A3">
      <w:p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Školní dojížďka je zejména u základních, ale částečně i středních škol významně ovlivněna sítí školských zařízení, navíc také vzdáleností mezi bydlištěm a školou</w:t>
      </w:r>
      <w:r w:rsidR="00CD26A3">
        <w:rPr>
          <w:rFonts w:cs="Arial"/>
          <w:sz w:val="20"/>
          <w:szCs w:val="20"/>
        </w:rPr>
        <w:t>. Z</w:t>
      </w:r>
      <w:r>
        <w:rPr>
          <w:rFonts w:cs="Arial"/>
          <w:sz w:val="20"/>
          <w:szCs w:val="20"/>
        </w:rPr>
        <w:t>vláště u základních škol je z pochopitelných d</w:t>
      </w:r>
      <w:r>
        <w:rPr>
          <w:rFonts w:cs="Arial"/>
          <w:sz w:val="20"/>
          <w:szCs w:val="20"/>
        </w:rPr>
        <w:t>ů</w:t>
      </w:r>
      <w:r>
        <w:rPr>
          <w:rFonts w:cs="Arial"/>
          <w:sz w:val="20"/>
          <w:szCs w:val="20"/>
        </w:rPr>
        <w:t xml:space="preserve">vodů preferována minimalizace </w:t>
      </w:r>
      <w:proofErr w:type="spellStart"/>
      <w:r>
        <w:rPr>
          <w:rFonts w:cs="Arial"/>
          <w:sz w:val="20"/>
          <w:szCs w:val="20"/>
        </w:rPr>
        <w:t>dojížďkových</w:t>
      </w:r>
      <w:proofErr w:type="spellEnd"/>
      <w:r>
        <w:rPr>
          <w:rFonts w:cs="Arial"/>
          <w:sz w:val="20"/>
          <w:szCs w:val="20"/>
        </w:rPr>
        <w:t xml:space="preserve"> (nebo docházkových) vzdáleností resp. času stráveného na cestě. Školní dojížďka je totiž zjišťována i u žáků a studentů mladších 15 let, kdežto pracovní dojížďka pouze u zaměstnaných ekonomicky aktivních osob (není tedy zjišťována u nezaměstnaných</w:t>
      </w:r>
      <w:r w:rsidRPr="000A25F3">
        <w:rPr>
          <w:rFonts w:cs="Arial"/>
          <w:sz w:val="20"/>
          <w:szCs w:val="20"/>
        </w:rPr>
        <w:t>).</w:t>
      </w:r>
      <w:r w:rsidR="00231F90">
        <w:rPr>
          <w:rFonts w:cs="Arial"/>
          <w:sz w:val="20"/>
          <w:szCs w:val="20"/>
        </w:rPr>
        <w:t xml:space="preserve"> Pracující studenti a </w:t>
      </w:r>
      <w:r>
        <w:rPr>
          <w:rFonts w:cs="Arial"/>
          <w:sz w:val="20"/>
          <w:szCs w:val="20"/>
        </w:rPr>
        <w:t>učni, kteří z pohledu ekonomické aktivity patří mezi zaměstnané, vyplňovali údaje o dojížďce do školy (n</w:t>
      </w:r>
      <w:r>
        <w:rPr>
          <w:rFonts w:cs="Arial"/>
          <w:sz w:val="20"/>
          <w:szCs w:val="20"/>
        </w:rPr>
        <w:t>i</w:t>
      </w:r>
      <w:r>
        <w:rPr>
          <w:rFonts w:cs="Arial"/>
          <w:sz w:val="20"/>
          <w:szCs w:val="20"/>
        </w:rPr>
        <w:t>koliv do zaměstnání) a ve zpracování výstupů za dojížďku jsou tedy zařazeni v kategorii žáků a studentů. Centra dojížďky do vyšších a vysokých škol jsou určena lokalizací těchto vzdělávacích zařízení. Ta jsou obvykle vybavena i ubytovacími kapacitami, takže se významně uplatňuje dojížďka s delší než denní fre</w:t>
      </w:r>
      <w:r>
        <w:rPr>
          <w:rFonts w:cs="Arial"/>
          <w:sz w:val="20"/>
          <w:szCs w:val="20"/>
        </w:rPr>
        <w:t>k</w:t>
      </w:r>
      <w:r>
        <w:rPr>
          <w:rFonts w:cs="Arial"/>
          <w:sz w:val="20"/>
          <w:szCs w:val="20"/>
        </w:rPr>
        <w:t>vencí. Směrové proudy však jsou ovlivněny jak oborovým zaměřením škol, tak preferenčními faktory na str</w:t>
      </w:r>
      <w:r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ně studentů (např. renomé a tradice určitých škol). </w:t>
      </w:r>
    </w:p>
    <w:p w:rsidR="006F32E5" w:rsidRDefault="006F32E5" w:rsidP="003F7FB1">
      <w:pPr>
        <w:spacing w:after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Přes rozdílný charakter obou typů dojížďky má smysl hodnotit a bilancovat i souhrnnou dojížďku, zejména z hlediska dopravní zátěže jednotlivých směrových relací.</w:t>
      </w:r>
    </w:p>
    <w:p w:rsidR="006F32E5" w:rsidRPr="003501DE" w:rsidRDefault="00FC1412" w:rsidP="003F7FB1">
      <w:pPr>
        <w:spacing w:after="240"/>
        <w:rPr>
          <w:rFonts w:cs="Arial"/>
          <w:b/>
          <w:sz w:val="24"/>
        </w:rPr>
      </w:pPr>
      <w:r w:rsidRPr="00FC1412">
        <w:rPr>
          <w:rFonts w:cs="Arial"/>
          <w:b/>
          <w:sz w:val="28"/>
          <w:szCs w:val="28"/>
        </w:rPr>
        <w:t xml:space="preserve">12.2. </w:t>
      </w:r>
      <w:r w:rsidR="006F32E5" w:rsidRPr="00FC1412">
        <w:rPr>
          <w:rFonts w:cs="Arial"/>
          <w:b/>
          <w:sz w:val="28"/>
          <w:szCs w:val="28"/>
        </w:rPr>
        <w:t>Základní výsledky zpracování vyjížďky a dojížďky</w:t>
      </w:r>
      <w:r w:rsidR="006F32E5" w:rsidRPr="003501DE">
        <w:rPr>
          <w:rFonts w:cs="Arial"/>
          <w:b/>
          <w:sz w:val="24"/>
        </w:rPr>
        <w:t xml:space="preserve"> </w:t>
      </w:r>
    </w:p>
    <w:p w:rsidR="006F32E5" w:rsidRPr="00FC3B96" w:rsidRDefault="006F32E5" w:rsidP="003F7FB1">
      <w:p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Definice osoby vyjíždějící z místa (adresy) obvyklého bydliště byla splněna </w:t>
      </w:r>
      <w:r w:rsidRPr="00AC3CCC">
        <w:rPr>
          <w:rFonts w:cs="Arial"/>
          <w:sz w:val="20"/>
          <w:szCs w:val="20"/>
        </w:rPr>
        <w:t xml:space="preserve">u 2 </w:t>
      </w:r>
      <w:r>
        <w:rPr>
          <w:rFonts w:cs="Arial"/>
          <w:sz w:val="20"/>
          <w:szCs w:val="20"/>
        </w:rPr>
        <w:t>062</w:t>
      </w:r>
      <w:r w:rsidRPr="00AC3CCC">
        <w:rPr>
          <w:rFonts w:cs="Arial"/>
          <w:sz w:val="20"/>
          <w:szCs w:val="20"/>
        </w:rPr>
        <w:t xml:space="preserve"> tis.</w:t>
      </w:r>
      <w:r>
        <w:rPr>
          <w:rFonts w:cs="Arial"/>
          <w:sz w:val="20"/>
          <w:szCs w:val="20"/>
        </w:rPr>
        <w:t xml:space="preserve"> ekonomicky aktivních zaměstnaných osob a u </w:t>
      </w:r>
      <w:r w:rsidRPr="00AC3CCC">
        <w:rPr>
          <w:rFonts w:cs="Arial"/>
          <w:sz w:val="20"/>
          <w:szCs w:val="20"/>
        </w:rPr>
        <w:t>784 tis. žáků</w:t>
      </w:r>
      <w:r>
        <w:rPr>
          <w:rFonts w:cs="Arial"/>
          <w:sz w:val="20"/>
          <w:szCs w:val="20"/>
        </w:rPr>
        <w:t xml:space="preserve"> a studentů</w:t>
      </w:r>
      <w:r w:rsidRPr="00053759">
        <w:rPr>
          <w:rFonts w:cs="Arial"/>
          <w:sz w:val="20"/>
          <w:szCs w:val="20"/>
        </w:rPr>
        <w:t>. U 99 tis. vyjíždějících zam</w:t>
      </w:r>
      <w:r w:rsidR="00231F90">
        <w:rPr>
          <w:rFonts w:cs="Arial"/>
          <w:sz w:val="20"/>
          <w:szCs w:val="20"/>
        </w:rPr>
        <w:t>ěstnaných osob a 29 tis. žáků a </w:t>
      </w:r>
      <w:r w:rsidRPr="00053759">
        <w:rPr>
          <w:rFonts w:cs="Arial"/>
          <w:sz w:val="20"/>
          <w:szCs w:val="20"/>
        </w:rPr>
        <w:t>studentů nebyl</w:t>
      </w:r>
      <w:r>
        <w:rPr>
          <w:rFonts w:cs="Arial"/>
          <w:sz w:val="20"/>
          <w:szCs w:val="20"/>
        </w:rPr>
        <w:t>a</w:t>
      </w:r>
      <w:r w:rsidRPr="00053759">
        <w:rPr>
          <w:rFonts w:cs="Arial"/>
          <w:sz w:val="20"/>
          <w:szCs w:val="20"/>
        </w:rPr>
        <w:t xml:space="preserve"> cíl</w:t>
      </w:r>
      <w:r>
        <w:rPr>
          <w:rFonts w:cs="Arial"/>
          <w:sz w:val="20"/>
          <w:szCs w:val="20"/>
        </w:rPr>
        <w:t>ová obec</w:t>
      </w:r>
      <w:r w:rsidRPr="00053759">
        <w:rPr>
          <w:rFonts w:cs="Arial"/>
          <w:sz w:val="20"/>
          <w:szCs w:val="20"/>
        </w:rPr>
        <w:t xml:space="preserve"> vyjížďky zjištěn</w:t>
      </w:r>
      <w:r>
        <w:rPr>
          <w:rFonts w:cs="Arial"/>
          <w:sz w:val="20"/>
          <w:szCs w:val="20"/>
        </w:rPr>
        <w:t>a</w:t>
      </w:r>
      <w:r w:rsidRPr="00053759">
        <w:rPr>
          <w:rFonts w:cs="Arial"/>
          <w:sz w:val="20"/>
          <w:szCs w:val="20"/>
        </w:rPr>
        <w:t>.</w:t>
      </w:r>
      <w:r>
        <w:rPr>
          <w:rFonts w:cs="Arial"/>
          <w:b/>
          <w:bCs/>
          <w:sz w:val="20"/>
          <w:szCs w:val="20"/>
        </w:rPr>
        <w:t xml:space="preserve"> </w:t>
      </w:r>
      <w:r w:rsidRPr="008F65D7">
        <w:rPr>
          <w:rFonts w:cs="Arial"/>
          <w:bCs/>
          <w:sz w:val="20"/>
          <w:szCs w:val="20"/>
        </w:rPr>
        <w:t>D</w:t>
      </w:r>
      <w:r w:rsidRPr="00FC3B96">
        <w:rPr>
          <w:rFonts w:cs="Arial"/>
          <w:bCs/>
          <w:sz w:val="20"/>
          <w:szCs w:val="20"/>
        </w:rPr>
        <w:t xml:space="preserve">o výsledků za vyjížďku – </w:t>
      </w:r>
      <w:proofErr w:type="gramStart"/>
      <w:r w:rsidRPr="00FC3B96">
        <w:rPr>
          <w:rFonts w:cs="Arial"/>
          <w:bCs/>
          <w:sz w:val="20"/>
          <w:szCs w:val="20"/>
        </w:rPr>
        <w:t>dojížďku</w:t>
      </w:r>
      <w:proofErr w:type="gramEnd"/>
      <w:r w:rsidRPr="00FC3B96">
        <w:rPr>
          <w:rFonts w:cs="Arial"/>
          <w:bCs/>
          <w:sz w:val="20"/>
          <w:szCs w:val="20"/>
        </w:rPr>
        <w:t xml:space="preserve"> nejsou zahrnuty osoby pracující na adrese svého obvyklého bydliště </w:t>
      </w:r>
      <w:r>
        <w:rPr>
          <w:rFonts w:cs="Arial"/>
          <w:bCs/>
          <w:sz w:val="20"/>
          <w:szCs w:val="20"/>
        </w:rPr>
        <w:t xml:space="preserve">(581 tis.) </w:t>
      </w:r>
      <w:r w:rsidRPr="00FC3B96">
        <w:rPr>
          <w:rFonts w:cs="Arial"/>
          <w:bCs/>
          <w:sz w:val="20"/>
          <w:szCs w:val="20"/>
        </w:rPr>
        <w:t>– většinou drobní živnostníci a další osoby pracující na vlastní účet bez dalších zaměstnanců</w:t>
      </w:r>
      <w:r>
        <w:rPr>
          <w:rFonts w:cs="Arial"/>
          <w:bCs/>
          <w:sz w:val="20"/>
          <w:szCs w:val="20"/>
        </w:rPr>
        <w:t>.</w:t>
      </w:r>
    </w:p>
    <w:p w:rsidR="003F7FB1" w:rsidRDefault="006F32E5" w:rsidP="003F7FB1">
      <w:p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Vyjížďka a dojížďka je významně diferencována podle velikosti obce bydliště sčítané osoby.</w:t>
      </w:r>
      <w:r w:rsidR="003F7FB1" w:rsidRPr="003F7FB1">
        <w:rPr>
          <w:rFonts w:cs="Arial"/>
          <w:sz w:val="20"/>
          <w:szCs w:val="20"/>
        </w:rPr>
        <w:t xml:space="preserve"> </w:t>
      </w:r>
    </w:p>
    <w:p w:rsidR="003F7FB1" w:rsidRDefault="003F7FB1" w:rsidP="003F7FB1">
      <w:p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Největší podíl vyjížďky představuje jak u pracovní, tak u školní vyjížďky p</w:t>
      </w:r>
      <w:r w:rsidR="00231F90">
        <w:rPr>
          <w:rFonts w:cs="Arial"/>
          <w:sz w:val="20"/>
          <w:szCs w:val="20"/>
        </w:rPr>
        <w:t>ohyb v rámci obce (zhruba po 45 </w:t>
      </w:r>
      <w:r>
        <w:rPr>
          <w:rFonts w:cs="Arial"/>
          <w:sz w:val="20"/>
          <w:szCs w:val="20"/>
        </w:rPr>
        <w:t xml:space="preserve">%), těsně však koreluje s velikostí obce bydliště, a to výrazněji u vyjížďky do škol, protože v řadě menších obcí základní školy nejsou nebo zabezpečují jen první stupeň základního vzdělání. </w:t>
      </w:r>
    </w:p>
    <w:p w:rsidR="003F7FB1" w:rsidRDefault="003F7FB1" w:rsidP="003F7FB1">
      <w:p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Ze zjištěných údajů dále vyplývá, že největší podíl pracovní vyjížďky mezi obcemi se realizuje v rámci téhož okresu (52,4 %).</w:t>
      </w:r>
    </w:p>
    <w:tbl>
      <w:tblPr>
        <w:tblW w:w="7582" w:type="dxa"/>
        <w:jc w:val="center"/>
        <w:tblInd w:w="-2" w:type="dxa"/>
        <w:tblCellMar>
          <w:left w:w="0" w:type="dxa"/>
          <w:right w:w="0" w:type="dxa"/>
        </w:tblCellMar>
        <w:tblLook w:val="04A0"/>
      </w:tblPr>
      <w:tblGrid>
        <w:gridCol w:w="1361"/>
        <w:gridCol w:w="881"/>
        <w:gridCol w:w="880"/>
        <w:gridCol w:w="880"/>
        <w:gridCol w:w="880"/>
        <w:gridCol w:w="880"/>
        <w:gridCol w:w="880"/>
        <w:gridCol w:w="940"/>
      </w:tblGrid>
      <w:tr w:rsidR="003F7FB1" w:rsidTr="00C47F68">
        <w:trPr>
          <w:trHeight w:val="300"/>
          <w:jc w:val="center"/>
        </w:trPr>
        <w:tc>
          <w:tcPr>
            <w:tcW w:w="7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F7FB1" w:rsidRDefault="003F7FB1" w:rsidP="00C029E2">
            <w:pPr>
              <w:spacing w:after="1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br w:type="page"/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Vyjížďka do zaměstnání a do škol podle typu vyjížďky a velikostních skupin obcí </w:t>
            </w:r>
            <w:r w:rsidR="0091172B">
              <w:rPr>
                <w:rFonts w:cs="Arial"/>
                <w:b/>
                <w:bCs/>
                <w:sz w:val="20"/>
                <w:szCs w:val="20"/>
              </w:rPr>
              <w:t xml:space="preserve">k 26. 3. 2011 </w:t>
            </w:r>
            <w:r>
              <w:rPr>
                <w:rFonts w:cs="Arial"/>
                <w:b/>
                <w:bCs/>
                <w:sz w:val="20"/>
                <w:szCs w:val="20"/>
              </w:rPr>
              <w:t>v %</w:t>
            </w:r>
          </w:p>
        </w:tc>
      </w:tr>
      <w:tr w:rsidR="00C47F68" w:rsidTr="002B2B9F">
        <w:trPr>
          <w:trHeight w:val="283"/>
          <w:jc w:val="center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C029E2">
            <w:pPr>
              <w:ind w:left="57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Velikostní </w:t>
            </w:r>
          </w:p>
          <w:p w:rsidR="00C47F68" w:rsidRDefault="00C47F68" w:rsidP="00C029E2">
            <w:pPr>
              <w:ind w:left="57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skupina obce</w:t>
            </w: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Vyjížďka do zaměstnání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Vyjížďka do škol </w:t>
            </w:r>
          </w:p>
        </w:tc>
      </w:tr>
      <w:tr w:rsidR="00C47F68" w:rsidTr="00C47F68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47F68" w:rsidRDefault="00C47F68" w:rsidP="003F7FB1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 rámci obce</w:t>
            </w:r>
          </w:p>
        </w:tc>
        <w:tc>
          <w:tcPr>
            <w:tcW w:w="3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C47F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mimo obec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 rámci obce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mimo </w:t>
            </w:r>
          </w:p>
          <w:p w:rsidR="00C47F68" w:rsidRDefault="00C47F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obec</w:t>
            </w:r>
          </w:p>
        </w:tc>
      </w:tr>
      <w:tr w:rsidR="00C47F68" w:rsidTr="00C47F68">
        <w:trPr>
          <w:trHeight w:val="6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7F68" w:rsidRDefault="00C47F68" w:rsidP="003F7FB1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2B2B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do jiné </w:t>
            </w:r>
            <w:r>
              <w:rPr>
                <w:rFonts w:cs="Arial"/>
                <w:sz w:val="16"/>
                <w:szCs w:val="16"/>
              </w:rPr>
              <w:br/>
              <w:t xml:space="preserve">obce </w:t>
            </w:r>
            <w:r>
              <w:rPr>
                <w:rFonts w:cs="Arial"/>
                <w:sz w:val="16"/>
                <w:szCs w:val="16"/>
              </w:rPr>
              <w:br/>
              <w:t>okresu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47F68" w:rsidRDefault="00C47F68" w:rsidP="002B2B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do jiného </w:t>
            </w:r>
            <w:r>
              <w:rPr>
                <w:rFonts w:cs="Arial"/>
                <w:sz w:val="16"/>
                <w:szCs w:val="16"/>
              </w:rPr>
              <w:br/>
              <w:t xml:space="preserve">okresu </w:t>
            </w:r>
            <w:r>
              <w:rPr>
                <w:rFonts w:cs="Arial"/>
                <w:sz w:val="16"/>
                <w:szCs w:val="16"/>
              </w:rPr>
              <w:br/>
              <w:t>kraje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47F68" w:rsidRDefault="00C47F68" w:rsidP="002B2B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do jiného </w:t>
            </w:r>
            <w:r>
              <w:rPr>
                <w:rFonts w:cs="Arial"/>
                <w:sz w:val="16"/>
                <w:szCs w:val="16"/>
              </w:rPr>
              <w:br/>
              <w:t>kraje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47F68" w:rsidRDefault="00C47F68" w:rsidP="002B2B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do </w:t>
            </w:r>
            <w:r>
              <w:rPr>
                <w:rFonts w:cs="Arial"/>
                <w:sz w:val="16"/>
                <w:szCs w:val="16"/>
              </w:rPr>
              <w:br/>
              <w:t>zahraničí</w:t>
            </w: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47F68" w:rsidTr="00C47F68">
        <w:trPr>
          <w:trHeight w:val="34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Pr="003F7FB1" w:rsidRDefault="00C47F68" w:rsidP="003F7FB1">
            <w:pPr>
              <w:ind w:left="57"/>
              <w:rPr>
                <w:rFonts w:cs="Arial"/>
                <w:b/>
                <w:sz w:val="16"/>
                <w:szCs w:val="16"/>
              </w:rPr>
            </w:pPr>
            <w:r w:rsidRPr="003F7FB1">
              <w:rPr>
                <w:rFonts w:cs="Arial"/>
                <w:b/>
                <w:sz w:val="16"/>
                <w:szCs w:val="16"/>
              </w:rPr>
              <w:t xml:space="preserve">ČR celkem 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Pr="003F7FB1" w:rsidRDefault="00C47F68" w:rsidP="003F7FB1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3F7FB1">
              <w:rPr>
                <w:rFonts w:cs="Arial"/>
                <w:b/>
                <w:sz w:val="16"/>
                <w:szCs w:val="16"/>
              </w:rPr>
              <w:t>44,9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Pr="003F7FB1" w:rsidRDefault="00C47F68" w:rsidP="003F7FB1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3F7FB1">
              <w:rPr>
                <w:rFonts w:cs="Arial"/>
                <w:b/>
                <w:sz w:val="16"/>
                <w:szCs w:val="16"/>
              </w:rPr>
              <w:t>52,4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Pr="003F7FB1" w:rsidRDefault="00C47F68" w:rsidP="003F7FB1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3F7FB1">
              <w:rPr>
                <w:rFonts w:cs="Arial"/>
                <w:b/>
                <w:sz w:val="16"/>
                <w:szCs w:val="16"/>
              </w:rPr>
              <w:t>22,4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Pr="003F7FB1" w:rsidRDefault="00C47F68" w:rsidP="003F7FB1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3F7FB1">
              <w:rPr>
                <w:rFonts w:cs="Arial"/>
                <w:b/>
                <w:sz w:val="16"/>
                <w:szCs w:val="16"/>
              </w:rPr>
              <w:t>21,9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Pr="003F7FB1" w:rsidRDefault="00C47F68" w:rsidP="003F7FB1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3F7FB1">
              <w:rPr>
                <w:rFonts w:cs="Arial"/>
                <w:b/>
                <w:sz w:val="16"/>
                <w:szCs w:val="16"/>
              </w:rPr>
              <w:t>3,3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Pr="003F7FB1" w:rsidRDefault="00C47F68" w:rsidP="003F7FB1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3F7FB1">
              <w:rPr>
                <w:rFonts w:cs="Arial"/>
                <w:b/>
                <w:sz w:val="16"/>
                <w:szCs w:val="16"/>
              </w:rPr>
              <w:t>45,2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Pr="003F7FB1" w:rsidRDefault="00C47F68" w:rsidP="003F7FB1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3F7FB1">
              <w:rPr>
                <w:rFonts w:cs="Arial"/>
                <w:b/>
                <w:sz w:val="16"/>
                <w:szCs w:val="16"/>
              </w:rPr>
              <w:t>54,8</w:t>
            </w:r>
          </w:p>
        </w:tc>
      </w:tr>
      <w:tr w:rsidR="00C47F68" w:rsidTr="00C47F68">
        <w:trPr>
          <w:trHeight w:val="283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left="5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 199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99,8</w:t>
            </w:r>
          </w:p>
        </w:tc>
      </w:tr>
      <w:tr w:rsidR="00C47F68" w:rsidTr="00C47F68">
        <w:trPr>
          <w:trHeight w:val="283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left="5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200 - 499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97,8</w:t>
            </w:r>
          </w:p>
        </w:tc>
      </w:tr>
      <w:tr w:rsidR="00C47F68" w:rsidTr="00C47F68">
        <w:trPr>
          <w:trHeight w:val="283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left="5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500 - 999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90,0</w:t>
            </w:r>
          </w:p>
        </w:tc>
      </w:tr>
      <w:tr w:rsidR="00C47F68" w:rsidTr="00C47F68">
        <w:trPr>
          <w:trHeight w:val="283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left="5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1 000 - 1 999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79,6</w:t>
            </w:r>
          </w:p>
        </w:tc>
      </w:tr>
      <w:tr w:rsidR="00C47F68" w:rsidTr="00C47F68">
        <w:trPr>
          <w:trHeight w:val="283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left="5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2 000 - 4 999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21,1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71,4</w:t>
            </w:r>
          </w:p>
        </w:tc>
      </w:tr>
      <w:tr w:rsidR="00C47F68" w:rsidTr="00C47F68">
        <w:trPr>
          <w:trHeight w:val="283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left="5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5 000 - 9 999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34,1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60,8</w:t>
            </w:r>
          </w:p>
        </w:tc>
      </w:tr>
      <w:tr w:rsidR="00C47F68" w:rsidTr="00C47F68">
        <w:trPr>
          <w:trHeight w:val="283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left="5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10 000 - 19 999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46,4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50,6</w:t>
            </w:r>
          </w:p>
        </w:tc>
      </w:tr>
      <w:tr w:rsidR="00C47F68" w:rsidTr="00C47F68">
        <w:trPr>
          <w:trHeight w:val="283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left="5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20 000 - 49 999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21,2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44,2</w:t>
            </w:r>
          </w:p>
        </w:tc>
      </w:tr>
      <w:tr w:rsidR="00C47F68" w:rsidTr="00C47F68">
        <w:trPr>
          <w:trHeight w:val="283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left="5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50 000 - 99 999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32,2</w:t>
            </w:r>
          </w:p>
        </w:tc>
      </w:tr>
      <w:tr w:rsidR="00C47F68" w:rsidTr="00C47F68">
        <w:trPr>
          <w:trHeight w:val="283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left="5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100 000 a více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87,8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47,8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47F68" w:rsidRDefault="00C47F68" w:rsidP="003F7FB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9,6</w:t>
            </w:r>
          </w:p>
        </w:tc>
      </w:tr>
    </w:tbl>
    <w:p w:rsidR="006F32E5" w:rsidRPr="0037087B" w:rsidRDefault="006F32E5" w:rsidP="0037087B">
      <w:pPr>
        <w:spacing w:before="360" w:after="120"/>
        <w:rPr>
          <w:rFonts w:cs="Arial"/>
          <w:sz w:val="20"/>
          <w:szCs w:val="20"/>
        </w:rPr>
      </w:pPr>
      <w:r w:rsidRPr="0037087B">
        <w:rPr>
          <w:rFonts w:cs="Arial"/>
          <w:sz w:val="20"/>
          <w:szCs w:val="20"/>
        </w:rPr>
        <w:t xml:space="preserve">Zhruba 25 % z úhrnu vyjížďky za prací mimo obec bydliště představuje vyjížďka přes hranice kraje. Do této kategorie spadá i vyjížďka a dojížďka do hlavního města Prahy, jež má de facto statut kraje a soustřeďuje významnou část </w:t>
      </w:r>
      <w:proofErr w:type="spellStart"/>
      <w:r w:rsidRPr="0037087B">
        <w:rPr>
          <w:rFonts w:cs="Arial"/>
          <w:sz w:val="20"/>
          <w:szCs w:val="20"/>
        </w:rPr>
        <w:t>mezikrajského</w:t>
      </w:r>
      <w:proofErr w:type="spellEnd"/>
      <w:r w:rsidRPr="0037087B">
        <w:rPr>
          <w:rFonts w:cs="Arial"/>
          <w:sz w:val="20"/>
          <w:szCs w:val="20"/>
        </w:rPr>
        <w:t xml:space="preserve"> pohybu za prací (celkem 223 tis. osob, tj. podíl 57,1 %). </w:t>
      </w:r>
    </w:p>
    <w:p w:rsidR="006F32E5" w:rsidRPr="0037087B" w:rsidRDefault="006F32E5" w:rsidP="0037087B">
      <w:pPr>
        <w:spacing w:after="120"/>
        <w:rPr>
          <w:rFonts w:cs="Arial"/>
          <w:sz w:val="20"/>
          <w:szCs w:val="20"/>
        </w:rPr>
      </w:pPr>
      <w:r w:rsidRPr="0037087B">
        <w:rPr>
          <w:rFonts w:cs="Arial"/>
          <w:sz w:val="20"/>
          <w:szCs w:val="20"/>
        </w:rPr>
        <w:t>Do zahraničí vyjíždělo celkem 45 tis. osob, z toho 37 tis. za prací a 8 tis. do škol. Pracovní vyjížďka do z</w:t>
      </w:r>
      <w:r w:rsidRPr="0037087B">
        <w:rPr>
          <w:rFonts w:cs="Arial"/>
          <w:sz w:val="20"/>
          <w:szCs w:val="20"/>
        </w:rPr>
        <w:t>a</w:t>
      </w:r>
      <w:r w:rsidRPr="0037087B">
        <w:rPr>
          <w:rFonts w:cs="Arial"/>
          <w:sz w:val="20"/>
          <w:szCs w:val="20"/>
        </w:rPr>
        <w:t>hraničí se ve srovnání s rokem 2001 zvýšila o 12 tis. osob, počet vyjíždějících studentů se v podstatě n</w:t>
      </w:r>
      <w:r w:rsidRPr="0037087B">
        <w:rPr>
          <w:rFonts w:cs="Arial"/>
          <w:sz w:val="20"/>
          <w:szCs w:val="20"/>
        </w:rPr>
        <w:t>e</w:t>
      </w:r>
      <w:r w:rsidRPr="0037087B">
        <w:rPr>
          <w:rFonts w:cs="Arial"/>
          <w:sz w:val="20"/>
          <w:szCs w:val="20"/>
        </w:rPr>
        <w:t xml:space="preserve">změnil. V období od sčítání 2001 došlo ke vstupu České republiky do Evropské unie a v jejím rámci do </w:t>
      </w:r>
      <w:proofErr w:type="spellStart"/>
      <w:r w:rsidRPr="0037087B">
        <w:rPr>
          <w:rFonts w:cs="Arial"/>
          <w:sz w:val="20"/>
          <w:szCs w:val="20"/>
        </w:rPr>
        <w:t>Schengenského</w:t>
      </w:r>
      <w:proofErr w:type="spellEnd"/>
      <w:r w:rsidRPr="0037087B">
        <w:rPr>
          <w:rFonts w:cs="Arial"/>
          <w:sz w:val="20"/>
          <w:szCs w:val="20"/>
        </w:rPr>
        <w:t xml:space="preserve"> prostoru. Pokračoval rovněž pozitivní vývoj při odstraňování</w:t>
      </w:r>
      <w:r w:rsidR="00231F90">
        <w:rPr>
          <w:rFonts w:cs="Arial"/>
          <w:sz w:val="20"/>
          <w:szCs w:val="20"/>
        </w:rPr>
        <w:t xml:space="preserve"> různých omezení pro pracovní i </w:t>
      </w:r>
      <w:r w:rsidRPr="0037087B">
        <w:rPr>
          <w:rFonts w:cs="Arial"/>
          <w:sz w:val="20"/>
          <w:szCs w:val="20"/>
        </w:rPr>
        <w:t xml:space="preserve">studijní uplatnění občanů ČR v cizině obecně (i mimo EU). </w:t>
      </w:r>
    </w:p>
    <w:p w:rsidR="006F32E5" w:rsidRPr="0037087B" w:rsidRDefault="006F32E5" w:rsidP="0037087B">
      <w:pPr>
        <w:spacing w:after="120"/>
        <w:rPr>
          <w:rFonts w:cs="Arial"/>
          <w:sz w:val="20"/>
          <w:szCs w:val="20"/>
        </w:rPr>
      </w:pPr>
      <w:r w:rsidRPr="0037087B">
        <w:rPr>
          <w:rFonts w:cs="Arial"/>
          <w:sz w:val="20"/>
          <w:szCs w:val="20"/>
        </w:rPr>
        <w:t>Ve většině menších obcí silně převažuje vyjížďka do zaměstnání do pracovních center, i když to samozře</w:t>
      </w:r>
      <w:r w:rsidRPr="0037087B">
        <w:rPr>
          <w:rFonts w:cs="Arial"/>
          <w:sz w:val="20"/>
          <w:szCs w:val="20"/>
        </w:rPr>
        <w:t>j</w:t>
      </w:r>
      <w:r w:rsidRPr="0037087B">
        <w:rPr>
          <w:rFonts w:cs="Arial"/>
          <w:sz w:val="20"/>
          <w:szCs w:val="20"/>
        </w:rPr>
        <w:t xml:space="preserve">mě neplatí bez výjimky. Ještě i u velikostní skupiny obcí s 10 000 – 19 999 obyvateli převažují v celorepublikovém měřítku vyjíždějící za prací nad počtem osob zaměstnaných v obci svého bydliště. </w:t>
      </w:r>
    </w:p>
    <w:p w:rsidR="006F32E5" w:rsidRPr="0037087B" w:rsidRDefault="006F32E5" w:rsidP="00C47F68">
      <w:pPr>
        <w:spacing w:after="240"/>
        <w:rPr>
          <w:rFonts w:cs="Arial"/>
          <w:sz w:val="20"/>
          <w:szCs w:val="20"/>
        </w:rPr>
      </w:pPr>
      <w:r w:rsidRPr="0037087B">
        <w:rPr>
          <w:rFonts w:cs="Arial"/>
          <w:sz w:val="20"/>
          <w:szCs w:val="20"/>
        </w:rPr>
        <w:t>Vyjížďka do škol představuje zhruba čtvrtinu celkové vyjížďky, nejvyšší podíl má v malých obcích. V nejmenších obcích vyjíždí do škol mimo obec bydliště přes 90 % žáků a studentů.</w:t>
      </w:r>
    </w:p>
    <w:p w:rsidR="007668A7" w:rsidRDefault="006F32E5" w:rsidP="00C47F68">
      <w:pPr>
        <w:rPr>
          <w:rFonts w:cs="Arial"/>
          <w:sz w:val="20"/>
          <w:szCs w:val="20"/>
        </w:rPr>
      </w:pPr>
      <w:r w:rsidRPr="0037087B">
        <w:rPr>
          <w:rFonts w:cs="Arial"/>
          <w:sz w:val="20"/>
          <w:szCs w:val="20"/>
        </w:rPr>
        <w:t xml:space="preserve">. </w:t>
      </w:r>
      <w:r w:rsidR="00252843" w:rsidRPr="00E946DF">
        <w:rPr>
          <w:rFonts w:cs="Arial"/>
          <w:sz w:val="20"/>
          <w:szCs w:val="20"/>
        </w:rPr>
        <w:fldChar w:fldCharType="begin"/>
      </w:r>
      <w:r w:rsidR="00485FDE" w:rsidRPr="00E946DF">
        <w:rPr>
          <w:rFonts w:cs="Arial"/>
          <w:sz w:val="20"/>
          <w:szCs w:val="20"/>
        </w:rPr>
        <w:instrText xml:space="preserve"> LINK Excel.Sheet.8 "D:\\RŮŽKOVÁ\\ALLSČÍTÁNÍ LIDU - VŠE O sl\\PRAMENNÉ dílo\\A KOMPLETACE PD\\saldo doj podle krajů graf.xlsx!List1![saldo doj podle krajů graf.xlsx]List1 Graf 1" "" \a \p \* MERGEFORMAT </w:instrText>
      </w:r>
      <w:r w:rsidR="00252843" w:rsidRPr="00E946DF">
        <w:rPr>
          <w:rFonts w:cs="Arial"/>
          <w:sz w:val="20"/>
          <w:szCs w:val="20"/>
        </w:rPr>
        <w:fldChar w:fldCharType="separate"/>
      </w:r>
      <w:r w:rsidR="009B47A9" w:rsidRPr="00252843">
        <w:rPr>
          <w:rFonts w:cs="Arial"/>
          <w:sz w:val="20"/>
          <w:szCs w:val="20"/>
        </w:rPr>
        <w:object w:dxaOrig="8865" w:dyaOrig="4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25pt;height:227.25pt">
            <v:imagedata r:id="rId8" o:title=""/>
          </v:shape>
        </w:object>
      </w:r>
      <w:r w:rsidR="00252843" w:rsidRPr="00E946DF">
        <w:rPr>
          <w:rFonts w:cs="Arial"/>
          <w:sz w:val="20"/>
          <w:szCs w:val="20"/>
        </w:rPr>
        <w:fldChar w:fldCharType="end"/>
      </w:r>
    </w:p>
    <w:p w:rsidR="00C47F68" w:rsidRDefault="00C47F68" w:rsidP="0037087B">
      <w:pPr>
        <w:spacing w:after="120"/>
        <w:rPr>
          <w:rFonts w:cs="Arial"/>
          <w:sz w:val="20"/>
          <w:szCs w:val="20"/>
        </w:rPr>
      </w:pPr>
      <w:r w:rsidRPr="0037087B">
        <w:rPr>
          <w:rFonts w:cs="Arial"/>
          <w:sz w:val="20"/>
          <w:szCs w:val="20"/>
        </w:rPr>
        <w:t>Významnou vypovídací hodnotu mají údaje o bilanci pracovní dojížďky za územní jednotky různých stupňů. Ilustrují relace mezi rozmístěním obyvatelstva a pracovních příležitostí. Obdobné hodnocení dojížďky do škol je značně komplikovanější a přesahuje rámec této publikace</w:t>
      </w:r>
      <w:r>
        <w:rPr>
          <w:rFonts w:cs="Arial"/>
          <w:sz w:val="20"/>
          <w:szCs w:val="20"/>
        </w:rPr>
        <w:t>.</w:t>
      </w:r>
    </w:p>
    <w:p w:rsidR="006F32E5" w:rsidRDefault="006F32E5" w:rsidP="0037087B">
      <w:pPr>
        <w:spacing w:after="120"/>
        <w:rPr>
          <w:rFonts w:cs="Arial"/>
          <w:sz w:val="20"/>
          <w:szCs w:val="20"/>
        </w:rPr>
      </w:pPr>
      <w:r w:rsidRPr="0037087B">
        <w:rPr>
          <w:rFonts w:cs="Arial"/>
          <w:sz w:val="20"/>
          <w:szCs w:val="20"/>
        </w:rPr>
        <w:lastRenderedPageBreak/>
        <w:t>Bilance dojížďky za kraje uvádí tabulka 37 v příloze. Počet obsazených pracovním míst je definován jako počet zaměstnaných osob s obvyklým pobytem v dané územní jednotce, popř. městě, zvýšený o počet d</w:t>
      </w:r>
      <w:r w:rsidRPr="0037087B">
        <w:rPr>
          <w:rFonts w:cs="Arial"/>
          <w:sz w:val="20"/>
          <w:szCs w:val="20"/>
        </w:rPr>
        <w:t>o</w:t>
      </w:r>
      <w:r w:rsidRPr="0037087B">
        <w:rPr>
          <w:rFonts w:cs="Arial"/>
          <w:sz w:val="20"/>
          <w:szCs w:val="20"/>
        </w:rPr>
        <w:t>jíždějících a snížený o</w:t>
      </w:r>
      <w:r>
        <w:rPr>
          <w:rFonts w:cs="Arial"/>
          <w:sz w:val="20"/>
          <w:szCs w:val="20"/>
        </w:rPr>
        <w:t xml:space="preserve"> počet vyjíždějících přes hranice územní jednotky/města. Srovnatelné údaje dostan</w:t>
      </w:r>
      <w:r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me přepočtem obsazených pracovních příležitostí na 1000 zaměstnaných bydlících obyvatel. </w:t>
      </w:r>
    </w:p>
    <w:p w:rsidR="006F32E5" w:rsidRDefault="006F32E5" w:rsidP="00B546CF">
      <w:p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 krajské úrovni bylo sčítáním zjištěno, že všechny kraje mají záporné</w:t>
      </w:r>
      <w:r w:rsidR="00231F90">
        <w:rPr>
          <w:rFonts w:cs="Arial"/>
          <w:sz w:val="20"/>
          <w:szCs w:val="20"/>
        </w:rPr>
        <w:t xml:space="preserve"> saldo dojížďky do zaměstnání a </w:t>
      </w:r>
      <w:r>
        <w:rPr>
          <w:rFonts w:cs="Arial"/>
          <w:sz w:val="20"/>
          <w:szCs w:val="20"/>
        </w:rPr>
        <w:t>pouze Praha má saldo kladné. Měřeno relací na 1000 bydlících zaměstnaných osob je deficit dojížďky největší podle očekávání ve Středočeském kraji (hodnota indexu 868, významné ovlivnění vyjížďkou do Pr</w:t>
      </w:r>
      <w:r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>hy), ostatní kraje se pohybují v rozmezí hodnot 966 až 982 a Jihomoravský kraj má jen nepatrně zápornou bilanci (-2,2 tis. dojíždějících, tj. 996 obsazených pracovních míst na 1000 bydlících zaměstnaných osob). Praha dominuje jak nejvyšším kladným saldem dojížďky (118 tis. zaměstnaných), tak i počtem obsazených pracovních míst, jichž bylo 701 tis.</w:t>
      </w:r>
      <w:r w:rsidRPr="00EF0BB4">
        <w:rPr>
          <w:rFonts w:cs="Arial"/>
          <w:sz w:val="20"/>
          <w:szCs w:val="20"/>
        </w:rPr>
        <w:t xml:space="preserve"> </w:t>
      </w:r>
    </w:p>
    <w:p w:rsidR="006F32E5" w:rsidRDefault="006F32E5" w:rsidP="00B546CF">
      <w:pPr>
        <w:spacing w:after="120"/>
        <w:rPr>
          <w:rFonts w:cs="Arial"/>
          <w:sz w:val="20"/>
          <w:szCs w:val="20"/>
        </w:rPr>
      </w:pPr>
      <w:r w:rsidRPr="00F8078A">
        <w:rPr>
          <w:rFonts w:cs="Arial"/>
          <w:sz w:val="20"/>
          <w:szCs w:val="20"/>
        </w:rPr>
        <w:t xml:space="preserve">Nově byly ve sčítání 2011 zpracovány údaje o dojížďce i za územní obvody obcí s rozšířenou působností. Jde o „jemnější“ </w:t>
      </w:r>
      <w:r>
        <w:rPr>
          <w:rFonts w:cs="Arial"/>
          <w:sz w:val="20"/>
          <w:szCs w:val="20"/>
        </w:rPr>
        <w:t xml:space="preserve">územní </w:t>
      </w:r>
      <w:r w:rsidRPr="00F8078A">
        <w:rPr>
          <w:rFonts w:cs="Arial"/>
          <w:sz w:val="20"/>
          <w:szCs w:val="20"/>
        </w:rPr>
        <w:t xml:space="preserve">měřítko, než jsou okresy, ale </w:t>
      </w:r>
      <w:r>
        <w:rPr>
          <w:rFonts w:cs="Arial"/>
          <w:sz w:val="20"/>
          <w:szCs w:val="20"/>
        </w:rPr>
        <w:t xml:space="preserve">podstata diferenciace dojížďky a vyjížďky </w:t>
      </w:r>
      <w:r w:rsidRPr="00F8078A">
        <w:rPr>
          <w:rFonts w:cs="Arial"/>
          <w:sz w:val="20"/>
          <w:szCs w:val="20"/>
        </w:rPr>
        <w:t xml:space="preserve">je stejná: </w:t>
      </w:r>
      <w:r w:rsidR="00231F90">
        <w:rPr>
          <w:rFonts w:cs="Arial"/>
          <w:sz w:val="20"/>
          <w:szCs w:val="20"/>
        </w:rPr>
        <w:t>o </w:t>
      </w:r>
      <w:r>
        <w:rPr>
          <w:rFonts w:cs="Arial"/>
          <w:sz w:val="20"/>
          <w:szCs w:val="20"/>
        </w:rPr>
        <w:t xml:space="preserve">bilanci dojížďky do zaměstnání </w:t>
      </w:r>
      <w:r w:rsidRPr="00F8078A">
        <w:rPr>
          <w:rFonts w:cs="Arial"/>
          <w:sz w:val="20"/>
          <w:szCs w:val="20"/>
        </w:rPr>
        <w:t>rozhoduje exponovanost polohy územních obvodů ORP vůči nejsilnějším centrům dojížďky.</w:t>
      </w:r>
      <w:r>
        <w:rPr>
          <w:rFonts w:cs="Arial"/>
          <w:sz w:val="20"/>
          <w:szCs w:val="20"/>
        </w:rPr>
        <w:t xml:space="preserve"> Na úrovni SO ORP jsou pochopitelně rozdíly značně větší než na úrovni krajů nebo okr</w:t>
      </w:r>
      <w:r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sů. Počet obcí s rozšířenou působností je 205, z logických důvodů sem přiřazujeme i Prahu, jejíž administr</w:t>
      </w:r>
      <w:r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tivní postavení je ovšem odlišné. </w:t>
      </w:r>
    </w:p>
    <w:p w:rsidR="006F32E5" w:rsidRDefault="006F32E5" w:rsidP="00B546CF">
      <w:pPr>
        <w:spacing w:after="120"/>
        <w:rPr>
          <w:rFonts w:cs="Arial"/>
          <w:sz w:val="20"/>
          <w:szCs w:val="20"/>
          <w:highlight w:val="red"/>
        </w:rPr>
      </w:pPr>
      <w:r>
        <w:rPr>
          <w:rFonts w:cs="Arial"/>
          <w:sz w:val="20"/>
          <w:szCs w:val="20"/>
        </w:rPr>
        <w:t>Pouze 23 správních obvodů ORP vykazuje kladné saldo celkové dojížďky. Jsou to ta, jejichž centry jsou významné cíle pracovní i školské dojížďky (Praha, Brno, Ostrava, Plzeň a další krajská města, dále např</w:t>
      </w:r>
      <w:r>
        <w:rPr>
          <w:rFonts w:cs="Arial"/>
          <w:sz w:val="20"/>
          <w:szCs w:val="20"/>
        </w:rPr>
        <w:t>í</w:t>
      </w:r>
      <w:r>
        <w:rPr>
          <w:rFonts w:cs="Arial"/>
          <w:sz w:val="20"/>
          <w:szCs w:val="20"/>
        </w:rPr>
        <w:t xml:space="preserve">klad Karviná, Mladá Boleslav nebo Otrokovice). </w:t>
      </w:r>
    </w:p>
    <w:p w:rsidR="00530CBE" w:rsidRDefault="00530CBE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31"/>
        <w:gridCol w:w="977"/>
        <w:gridCol w:w="941"/>
        <w:gridCol w:w="941"/>
        <w:gridCol w:w="976"/>
        <w:gridCol w:w="977"/>
        <w:gridCol w:w="977"/>
        <w:gridCol w:w="977"/>
      </w:tblGrid>
      <w:tr w:rsidR="005027C5" w:rsidRPr="005027C5" w:rsidTr="005C4FF0">
        <w:trPr>
          <w:trHeight w:val="283"/>
          <w:jc w:val="center"/>
        </w:trPr>
        <w:tc>
          <w:tcPr>
            <w:tcW w:w="8897" w:type="dxa"/>
            <w:gridSpan w:val="8"/>
            <w:tcBorders>
              <w:bottom w:val="single" w:sz="6" w:space="0" w:color="auto"/>
            </w:tcBorders>
            <w:vAlign w:val="center"/>
          </w:tcPr>
          <w:p w:rsidR="005027C5" w:rsidRPr="005027C5" w:rsidRDefault="005027C5" w:rsidP="00530CBE">
            <w:pPr>
              <w:spacing w:after="12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br w:type="page"/>
              <w:t>Vyjížďka a dojížďka do zaměstnání a do škol podle správních obvodů ORP</w:t>
            </w:r>
          </w:p>
        </w:tc>
      </w:tr>
      <w:tr w:rsidR="005027C5" w:rsidRPr="005027C5" w:rsidTr="005C4FF0">
        <w:trPr>
          <w:trHeight w:val="302"/>
          <w:jc w:val="center"/>
        </w:trPr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5027C5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Správní obvod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5027C5">
              <w:rPr>
                <w:rFonts w:cs="Arial"/>
                <w:color w:val="000000"/>
                <w:sz w:val="16"/>
                <w:szCs w:val="16"/>
              </w:rPr>
              <w:t>obce s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  <w:r w:rsidRPr="005027C5">
              <w:rPr>
                <w:rFonts w:cs="Arial"/>
                <w:color w:val="000000"/>
                <w:sz w:val="16"/>
                <w:szCs w:val="16"/>
              </w:rPr>
              <w:t>rozšířenou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5027C5">
              <w:rPr>
                <w:rFonts w:cs="Arial"/>
                <w:color w:val="000000"/>
                <w:sz w:val="16"/>
                <w:szCs w:val="16"/>
              </w:rPr>
              <w:t>působností</w:t>
            </w:r>
          </w:p>
        </w:tc>
        <w:tc>
          <w:tcPr>
            <w:tcW w:w="2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27C5" w:rsidRPr="005027C5" w:rsidRDefault="005027C5" w:rsidP="005027C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Počet bydlících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27C5" w:rsidRPr="005027C5" w:rsidRDefault="005027C5" w:rsidP="005027C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Z úhrnu</w:t>
            </w:r>
          </w:p>
        </w:tc>
        <w:tc>
          <w:tcPr>
            <w:tcW w:w="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27C5" w:rsidRPr="005027C5" w:rsidRDefault="005027C5" w:rsidP="00AE31D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Saldo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5027C5">
              <w:rPr>
                <w:rFonts w:cs="Arial"/>
                <w:color w:val="000000"/>
                <w:sz w:val="16"/>
                <w:szCs w:val="16"/>
              </w:rPr>
              <w:t>vyjížďky</w:t>
            </w:r>
            <w:r w:rsidR="00AE31D0">
              <w:rPr>
                <w:rFonts w:cs="Arial"/>
                <w:color w:val="000000"/>
                <w:sz w:val="16"/>
                <w:szCs w:val="16"/>
              </w:rPr>
              <w:t xml:space="preserve"> a </w:t>
            </w:r>
            <w:r w:rsidRPr="005027C5">
              <w:rPr>
                <w:rFonts w:cs="Arial"/>
                <w:color w:val="000000"/>
                <w:sz w:val="16"/>
                <w:szCs w:val="16"/>
              </w:rPr>
              <w:t>dojížďky</w:t>
            </w:r>
          </w:p>
        </w:tc>
        <w:tc>
          <w:tcPr>
            <w:tcW w:w="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27C5" w:rsidRPr="005027C5" w:rsidRDefault="005027C5" w:rsidP="005027C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Počet vyjížděj</w:t>
            </w:r>
            <w:r w:rsidR="000277C5">
              <w:rPr>
                <w:rFonts w:cs="Arial"/>
                <w:color w:val="000000"/>
                <w:sz w:val="16"/>
                <w:szCs w:val="16"/>
              </w:rPr>
              <w:t>í</w:t>
            </w:r>
            <w:r w:rsidRPr="005027C5">
              <w:rPr>
                <w:rFonts w:cs="Arial"/>
                <w:color w:val="000000"/>
                <w:sz w:val="16"/>
                <w:szCs w:val="16"/>
              </w:rPr>
              <w:t>cích na 1000 bydl</w:t>
            </w:r>
            <w:r w:rsidRPr="005027C5">
              <w:rPr>
                <w:rFonts w:cs="Arial"/>
                <w:color w:val="000000"/>
                <w:sz w:val="16"/>
                <w:szCs w:val="16"/>
              </w:rPr>
              <w:t>í</w:t>
            </w:r>
            <w:r w:rsidRPr="005027C5">
              <w:rPr>
                <w:rFonts w:cs="Arial"/>
                <w:color w:val="000000"/>
                <w:sz w:val="16"/>
                <w:szCs w:val="16"/>
              </w:rPr>
              <w:t>cích</w:t>
            </w:r>
          </w:p>
        </w:tc>
      </w:tr>
      <w:tr w:rsidR="005027C5" w:rsidRPr="005027C5" w:rsidTr="005C4FF0">
        <w:trPr>
          <w:trHeight w:val="907"/>
          <w:jc w:val="center"/>
        </w:trPr>
        <w:tc>
          <w:tcPr>
            <w:tcW w:w="2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C5" w:rsidRPr="005027C5" w:rsidRDefault="005027C5" w:rsidP="005027C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27C5" w:rsidRPr="005027C5" w:rsidRDefault="005027C5" w:rsidP="005027C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ekonomi</w:t>
            </w:r>
            <w:r>
              <w:rPr>
                <w:rFonts w:cs="Arial"/>
                <w:color w:val="000000"/>
                <w:sz w:val="16"/>
                <w:szCs w:val="16"/>
              </w:rPr>
              <w:t>cky</w:t>
            </w:r>
            <w:r w:rsidRPr="005027C5">
              <w:rPr>
                <w:rFonts w:cs="Arial"/>
                <w:color w:val="000000"/>
                <w:sz w:val="16"/>
                <w:szCs w:val="16"/>
              </w:rPr>
              <w:t xml:space="preserve"> aktivních zaměstn</w:t>
            </w:r>
            <w:r w:rsidRPr="005027C5">
              <w:rPr>
                <w:rFonts w:cs="Arial"/>
                <w:color w:val="000000"/>
                <w:sz w:val="16"/>
                <w:szCs w:val="16"/>
              </w:rPr>
              <w:t>a</w:t>
            </w:r>
            <w:r w:rsidRPr="005027C5">
              <w:rPr>
                <w:rFonts w:cs="Arial"/>
                <w:color w:val="000000"/>
                <w:sz w:val="16"/>
                <w:szCs w:val="16"/>
              </w:rPr>
              <w:t>ných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27C5" w:rsidRDefault="005027C5" w:rsidP="005027C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žáků,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:rsidR="005027C5" w:rsidRDefault="005027C5" w:rsidP="005027C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studentů</w:t>
            </w:r>
          </w:p>
          <w:p w:rsidR="005027C5" w:rsidRPr="005027C5" w:rsidRDefault="005027C5" w:rsidP="005027C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a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5027C5">
              <w:rPr>
                <w:rFonts w:cs="Arial"/>
                <w:color w:val="000000"/>
                <w:sz w:val="16"/>
                <w:szCs w:val="16"/>
              </w:rPr>
              <w:t>učňů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27C5" w:rsidRPr="005027C5" w:rsidRDefault="005027C5" w:rsidP="005027C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27C5" w:rsidRDefault="005027C5" w:rsidP="005027C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 xml:space="preserve">vyjíždějící mimo </w:t>
            </w:r>
          </w:p>
          <w:p w:rsidR="005027C5" w:rsidRPr="005027C5" w:rsidRDefault="005027C5" w:rsidP="005027C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správní obvod ORP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27C5" w:rsidRDefault="005027C5" w:rsidP="005027C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 xml:space="preserve">dojíždějící </w:t>
            </w:r>
          </w:p>
          <w:p w:rsidR="005027C5" w:rsidRPr="005027C5" w:rsidRDefault="005C4FF0" w:rsidP="005C4FF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do </w:t>
            </w:r>
            <w:r w:rsidR="005027C5" w:rsidRPr="005027C5">
              <w:rPr>
                <w:rFonts w:cs="Arial"/>
                <w:color w:val="000000"/>
                <w:sz w:val="16"/>
                <w:szCs w:val="16"/>
              </w:rPr>
              <w:t>správn</w:t>
            </w:r>
            <w:r w:rsidR="005027C5" w:rsidRPr="005027C5">
              <w:rPr>
                <w:rFonts w:cs="Arial"/>
                <w:color w:val="000000"/>
                <w:sz w:val="16"/>
                <w:szCs w:val="16"/>
              </w:rPr>
              <w:t>í</w:t>
            </w:r>
            <w:r w:rsidR="005027C5" w:rsidRPr="005027C5">
              <w:rPr>
                <w:rFonts w:cs="Arial"/>
                <w:color w:val="000000"/>
                <w:sz w:val="16"/>
                <w:szCs w:val="16"/>
              </w:rPr>
              <w:t>ho obvodu ORP</w:t>
            </w:r>
          </w:p>
        </w:tc>
        <w:tc>
          <w:tcPr>
            <w:tcW w:w="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027C5" w:rsidRPr="005027C5" w:rsidRDefault="005027C5" w:rsidP="005027C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027C5" w:rsidRPr="005027C5" w:rsidRDefault="005027C5" w:rsidP="005027C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027C5" w:rsidRPr="005027C5" w:rsidTr="005C4FF0">
        <w:trPr>
          <w:trHeight w:val="340"/>
          <w:jc w:val="center"/>
        </w:trPr>
        <w:tc>
          <w:tcPr>
            <w:tcW w:w="8897" w:type="dxa"/>
            <w:gridSpan w:val="8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5027C5" w:rsidRPr="00530CBE" w:rsidRDefault="00AE31D0" w:rsidP="00AE31D0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n</w:t>
            </w:r>
            <w:r w:rsidR="005027C5" w:rsidRPr="00530CBE">
              <w:rPr>
                <w:rFonts w:cs="Arial"/>
                <w:b/>
                <w:color w:val="000000"/>
                <w:sz w:val="16"/>
                <w:szCs w:val="16"/>
              </w:rPr>
              <w:t>ejnižších hodnot vyjížďky na 1000 bydlících</w:t>
            </w:r>
          </w:p>
        </w:tc>
      </w:tr>
      <w:tr w:rsidR="005027C5" w:rsidRPr="005027C5" w:rsidTr="005C4FF0">
        <w:trPr>
          <w:trHeight w:val="283"/>
          <w:jc w:val="center"/>
        </w:trPr>
        <w:tc>
          <w:tcPr>
            <w:tcW w:w="2131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C4FF0" w:rsidRDefault="005027C5" w:rsidP="00AE31D0">
            <w:pPr>
              <w:autoSpaceDE w:val="0"/>
              <w:autoSpaceDN w:val="0"/>
              <w:adjustRightInd w:val="0"/>
              <w:ind w:left="127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Praha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600 730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147 461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748 191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29 227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199 360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170 133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39,1</w:t>
            </w:r>
          </w:p>
        </w:tc>
      </w:tr>
      <w:tr w:rsidR="005027C5" w:rsidRPr="005027C5" w:rsidTr="005C4FF0">
        <w:trPr>
          <w:trHeight w:val="283"/>
          <w:jc w:val="center"/>
        </w:trPr>
        <w:tc>
          <w:tcPr>
            <w:tcW w:w="21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C4FF0" w:rsidRDefault="00530CBE" w:rsidP="00AE31D0">
            <w:pPr>
              <w:autoSpaceDE w:val="0"/>
              <w:autoSpaceDN w:val="0"/>
              <w:adjustRightInd w:val="0"/>
              <w:ind w:left="127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B</w:t>
            </w:r>
            <w:r w:rsidR="005027C5" w:rsidRPr="005C4FF0">
              <w:rPr>
                <w:rFonts w:cs="Arial"/>
                <w:color w:val="000000"/>
                <w:sz w:val="16"/>
                <w:szCs w:val="16"/>
              </w:rPr>
              <w:t>rno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175 482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50 592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226 074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13 106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100 049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86 943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58,0</w:t>
            </w:r>
          </w:p>
        </w:tc>
      </w:tr>
      <w:tr w:rsidR="005027C5" w:rsidRPr="005027C5" w:rsidTr="005C4FF0">
        <w:trPr>
          <w:trHeight w:val="283"/>
          <w:jc w:val="center"/>
        </w:trPr>
        <w:tc>
          <w:tcPr>
            <w:tcW w:w="21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C4FF0" w:rsidRDefault="005027C5" w:rsidP="00AE31D0">
            <w:pPr>
              <w:autoSpaceDE w:val="0"/>
              <w:autoSpaceDN w:val="0"/>
              <w:adjustRightInd w:val="0"/>
              <w:ind w:left="127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Ostrava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136 935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44 719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181 654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12 824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241D60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46 107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241D60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33 283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70,6</w:t>
            </w:r>
          </w:p>
        </w:tc>
      </w:tr>
      <w:tr w:rsidR="005027C5" w:rsidRPr="005027C5" w:rsidTr="005C4FF0">
        <w:trPr>
          <w:trHeight w:val="283"/>
          <w:jc w:val="center"/>
        </w:trPr>
        <w:tc>
          <w:tcPr>
            <w:tcW w:w="2131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27C5" w:rsidRPr="005C4FF0" w:rsidRDefault="005027C5" w:rsidP="00AE31D0">
            <w:pPr>
              <w:autoSpaceDE w:val="0"/>
              <w:autoSpaceDN w:val="0"/>
              <w:adjustRightInd w:val="0"/>
              <w:ind w:left="127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Plzeň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86 278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22 671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108 949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7 881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27C5" w:rsidRPr="005027C5" w:rsidRDefault="00241D60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34 425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27C5" w:rsidRPr="005027C5" w:rsidRDefault="00241D60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26 544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72,3</w:t>
            </w:r>
          </w:p>
        </w:tc>
      </w:tr>
      <w:tr w:rsidR="005027C5" w:rsidRPr="005027C5" w:rsidTr="005C4FF0">
        <w:trPr>
          <w:trHeight w:val="283"/>
          <w:jc w:val="center"/>
        </w:trPr>
        <w:tc>
          <w:tcPr>
            <w:tcW w:w="21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AE31D0">
            <w:pPr>
              <w:autoSpaceDE w:val="0"/>
              <w:autoSpaceDN w:val="0"/>
              <w:adjustRightInd w:val="0"/>
              <w:ind w:left="127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České Budějovice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72 241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22 019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94 260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7 051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241D60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18 133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241D60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11 082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74,8</w:t>
            </w:r>
          </w:p>
        </w:tc>
      </w:tr>
      <w:tr w:rsidR="005027C5" w:rsidRPr="005027C5" w:rsidTr="005C4FF0">
        <w:trPr>
          <w:trHeight w:val="283"/>
          <w:jc w:val="center"/>
        </w:trPr>
        <w:tc>
          <w:tcPr>
            <w:tcW w:w="21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AE31D0">
            <w:pPr>
              <w:autoSpaceDE w:val="0"/>
              <w:autoSpaceDN w:val="0"/>
              <w:adjustRightInd w:val="0"/>
              <w:ind w:left="127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Liberec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62 455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19 122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81 577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6 310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241D60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11 899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241D60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5 589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77,4</w:t>
            </w:r>
          </w:p>
        </w:tc>
      </w:tr>
      <w:tr w:rsidR="005027C5" w:rsidRPr="005027C5" w:rsidTr="005C4FF0">
        <w:trPr>
          <w:trHeight w:val="283"/>
          <w:jc w:val="center"/>
        </w:trPr>
        <w:tc>
          <w:tcPr>
            <w:tcW w:w="21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AE31D0">
            <w:pPr>
              <w:autoSpaceDE w:val="0"/>
              <w:autoSpaceDN w:val="0"/>
              <w:adjustRightInd w:val="0"/>
              <w:ind w:left="127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Jihlava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44 468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13 997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58 465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4 574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241D60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8 777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241D60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4 203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78,2</w:t>
            </w:r>
          </w:p>
        </w:tc>
      </w:tr>
      <w:tr w:rsidR="005027C5" w:rsidRPr="005027C5" w:rsidTr="005C4FF0">
        <w:trPr>
          <w:trHeight w:val="283"/>
          <w:jc w:val="center"/>
        </w:trPr>
        <w:tc>
          <w:tcPr>
            <w:tcW w:w="21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AE31D0">
            <w:pPr>
              <w:autoSpaceDE w:val="0"/>
              <w:autoSpaceDN w:val="0"/>
              <w:adjustRightInd w:val="0"/>
              <w:ind w:left="127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Ústí nad Labem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47 936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16 451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64 387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5 086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241D60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10 951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241D60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5 865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79,0</w:t>
            </w:r>
          </w:p>
        </w:tc>
      </w:tr>
      <w:tr w:rsidR="005027C5" w:rsidRPr="005027C5" w:rsidTr="005C4FF0">
        <w:trPr>
          <w:trHeight w:val="283"/>
          <w:jc w:val="center"/>
        </w:trPr>
        <w:tc>
          <w:tcPr>
            <w:tcW w:w="21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AE31D0">
            <w:pPr>
              <w:autoSpaceDE w:val="0"/>
              <w:autoSpaceDN w:val="0"/>
              <w:adjustRightInd w:val="0"/>
              <w:ind w:left="127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Olomouc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73 946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23 402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97 348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8 667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241D60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24 088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241D60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15 421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89,0</w:t>
            </w:r>
          </w:p>
        </w:tc>
      </w:tr>
      <w:tr w:rsidR="005027C5" w:rsidRPr="005027C5" w:rsidTr="005C4FF0">
        <w:trPr>
          <w:trHeight w:val="283"/>
          <w:jc w:val="center"/>
        </w:trPr>
        <w:tc>
          <w:tcPr>
            <w:tcW w:w="2131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5027C5" w:rsidRPr="005027C5" w:rsidRDefault="000D11A9" w:rsidP="00AE31D0">
            <w:pPr>
              <w:autoSpaceDE w:val="0"/>
              <w:autoSpaceDN w:val="0"/>
              <w:adjustRightInd w:val="0"/>
              <w:ind w:left="127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Hradec Králové</w:t>
            </w:r>
          </w:p>
        </w:tc>
        <w:tc>
          <w:tcPr>
            <w:tcW w:w="977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5027C5" w:rsidRPr="005027C5" w:rsidRDefault="000D11A9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65 864</w:t>
            </w:r>
          </w:p>
        </w:tc>
        <w:tc>
          <w:tcPr>
            <w:tcW w:w="941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5027C5" w:rsidRPr="005027C5" w:rsidRDefault="000D11A9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20 346</w:t>
            </w:r>
          </w:p>
        </w:tc>
        <w:tc>
          <w:tcPr>
            <w:tcW w:w="941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5027C5" w:rsidRPr="005027C5" w:rsidRDefault="000D11A9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86 210</w:t>
            </w:r>
          </w:p>
        </w:tc>
        <w:tc>
          <w:tcPr>
            <w:tcW w:w="976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5027C5" w:rsidRPr="005027C5" w:rsidRDefault="000D11A9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8 440</w:t>
            </w:r>
          </w:p>
        </w:tc>
        <w:tc>
          <w:tcPr>
            <w:tcW w:w="977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5027C5" w:rsidRPr="005027C5" w:rsidRDefault="000D11A9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17 372</w:t>
            </w:r>
          </w:p>
        </w:tc>
        <w:tc>
          <w:tcPr>
            <w:tcW w:w="977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5027C5" w:rsidRPr="005027C5" w:rsidRDefault="000D11A9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8 932</w:t>
            </w:r>
          </w:p>
        </w:tc>
        <w:tc>
          <w:tcPr>
            <w:tcW w:w="977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5027C5" w:rsidRPr="005027C5" w:rsidRDefault="000D11A9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97,9</w:t>
            </w:r>
          </w:p>
        </w:tc>
      </w:tr>
      <w:tr w:rsidR="00530CBE" w:rsidRPr="005027C5" w:rsidTr="005C4FF0">
        <w:trPr>
          <w:trHeight w:val="340"/>
          <w:jc w:val="center"/>
        </w:trPr>
        <w:tc>
          <w:tcPr>
            <w:tcW w:w="8897" w:type="dxa"/>
            <w:gridSpan w:val="8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530CBE" w:rsidRPr="00530CBE" w:rsidRDefault="00AE31D0" w:rsidP="00AE31D0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n</w:t>
            </w:r>
            <w:r w:rsidR="00530CBE" w:rsidRPr="00530CBE">
              <w:rPr>
                <w:rFonts w:cs="Arial"/>
                <w:b/>
                <w:color w:val="000000"/>
                <w:sz w:val="16"/>
                <w:szCs w:val="16"/>
              </w:rPr>
              <w:t>ejvyšších hodnot vyjížďky na 1000 bydlících</w:t>
            </w:r>
          </w:p>
        </w:tc>
      </w:tr>
      <w:tr w:rsidR="005027C5" w:rsidRPr="005027C5" w:rsidTr="005C4FF0">
        <w:trPr>
          <w:trHeight w:val="283"/>
          <w:jc w:val="center"/>
        </w:trPr>
        <w:tc>
          <w:tcPr>
            <w:tcW w:w="2131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AE31D0">
            <w:pPr>
              <w:autoSpaceDE w:val="0"/>
              <w:autoSpaceDN w:val="0"/>
              <w:adjustRightInd w:val="0"/>
              <w:ind w:left="127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Slavkov u Brna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9 968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3 064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13 032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4 385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241D60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1 601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41D6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-</w:t>
            </w:r>
            <w:r w:rsidR="00241D60">
              <w:rPr>
                <w:rFonts w:cs="Arial"/>
                <w:color w:val="000000"/>
                <w:sz w:val="16"/>
                <w:szCs w:val="16"/>
              </w:rPr>
              <w:t>2 784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336,5</w:t>
            </w:r>
          </w:p>
        </w:tc>
      </w:tr>
      <w:tr w:rsidR="005027C5" w:rsidRPr="005027C5" w:rsidTr="005C4FF0">
        <w:trPr>
          <w:trHeight w:val="283"/>
          <w:jc w:val="center"/>
        </w:trPr>
        <w:tc>
          <w:tcPr>
            <w:tcW w:w="21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AE31D0">
            <w:pPr>
              <w:autoSpaceDE w:val="0"/>
              <w:autoSpaceDN w:val="0"/>
              <w:adjustRightInd w:val="0"/>
              <w:ind w:left="127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Nýřany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24 758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7 466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32 224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11 533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241D60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2 396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-</w:t>
            </w:r>
            <w:r w:rsidR="00241D60">
              <w:rPr>
                <w:rFonts w:cs="Arial"/>
                <w:color w:val="000000"/>
                <w:sz w:val="16"/>
                <w:szCs w:val="16"/>
              </w:rPr>
              <w:t>9 137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357,9</w:t>
            </w:r>
          </w:p>
        </w:tc>
      </w:tr>
      <w:tr w:rsidR="005027C5" w:rsidRPr="005027C5" w:rsidTr="005C4FF0">
        <w:trPr>
          <w:trHeight w:val="283"/>
          <w:jc w:val="center"/>
        </w:trPr>
        <w:tc>
          <w:tcPr>
            <w:tcW w:w="21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AE31D0">
            <w:pPr>
              <w:autoSpaceDE w:val="0"/>
              <w:autoSpaceDN w:val="0"/>
              <w:adjustRightInd w:val="0"/>
              <w:ind w:left="127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Jablunkov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9 559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3 732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13 291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4 841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241D60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-</w:t>
            </w:r>
            <w:r w:rsidR="00241D60">
              <w:rPr>
                <w:rFonts w:cs="Arial"/>
                <w:color w:val="000000"/>
                <w:sz w:val="16"/>
                <w:szCs w:val="16"/>
              </w:rPr>
              <w:t>4 435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364,2</w:t>
            </w:r>
          </w:p>
        </w:tc>
      </w:tr>
      <w:tr w:rsidR="005027C5" w:rsidRPr="005027C5" w:rsidTr="005C4FF0">
        <w:trPr>
          <w:trHeight w:val="283"/>
          <w:jc w:val="center"/>
        </w:trPr>
        <w:tc>
          <w:tcPr>
            <w:tcW w:w="21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AE31D0">
            <w:pPr>
              <w:autoSpaceDE w:val="0"/>
              <w:autoSpaceDN w:val="0"/>
              <w:adjustRightInd w:val="0"/>
              <w:ind w:left="127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Lysá nad Labem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10 929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3 194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14 123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5 228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241D60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1 103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-</w:t>
            </w:r>
            <w:r w:rsidR="00241D60">
              <w:rPr>
                <w:rFonts w:cs="Arial"/>
                <w:color w:val="000000"/>
                <w:sz w:val="16"/>
                <w:szCs w:val="16"/>
              </w:rPr>
              <w:t>4 125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370,2</w:t>
            </w:r>
          </w:p>
        </w:tc>
      </w:tr>
      <w:tr w:rsidR="005027C5" w:rsidRPr="005027C5" w:rsidTr="005C4FF0">
        <w:trPr>
          <w:trHeight w:val="283"/>
          <w:jc w:val="center"/>
        </w:trPr>
        <w:tc>
          <w:tcPr>
            <w:tcW w:w="21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AE31D0">
            <w:pPr>
              <w:autoSpaceDE w:val="0"/>
              <w:autoSpaceDN w:val="0"/>
              <w:adjustRightInd w:val="0"/>
              <w:ind w:left="127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Židlochovice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13 844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4 218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18 062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6 718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241D60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1 721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-</w:t>
            </w:r>
            <w:r w:rsidR="00241D60">
              <w:rPr>
                <w:rFonts w:cs="Arial"/>
                <w:color w:val="000000"/>
                <w:sz w:val="16"/>
                <w:szCs w:val="16"/>
              </w:rPr>
              <w:t>4 997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371,9</w:t>
            </w:r>
          </w:p>
        </w:tc>
      </w:tr>
      <w:tr w:rsidR="005027C5" w:rsidRPr="005027C5" w:rsidTr="005C4FF0">
        <w:trPr>
          <w:trHeight w:val="283"/>
          <w:jc w:val="center"/>
        </w:trPr>
        <w:tc>
          <w:tcPr>
            <w:tcW w:w="2131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27C5" w:rsidRPr="005027C5" w:rsidRDefault="005027C5" w:rsidP="00AE31D0">
            <w:pPr>
              <w:autoSpaceDE w:val="0"/>
              <w:autoSpaceDN w:val="0"/>
              <w:adjustRightInd w:val="0"/>
              <w:ind w:left="127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Blovice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5 156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1 622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6 778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2 567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27C5" w:rsidRPr="005027C5" w:rsidRDefault="00241D60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-</w:t>
            </w:r>
            <w:r w:rsidR="00241D60">
              <w:rPr>
                <w:rFonts w:cs="Arial"/>
                <w:color w:val="000000"/>
                <w:sz w:val="16"/>
                <w:szCs w:val="16"/>
              </w:rPr>
              <w:t>1 759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378,7</w:t>
            </w:r>
          </w:p>
        </w:tc>
      </w:tr>
      <w:tr w:rsidR="005027C5" w:rsidRPr="005027C5" w:rsidTr="005C4FF0">
        <w:trPr>
          <w:trHeight w:val="283"/>
          <w:jc w:val="center"/>
        </w:trPr>
        <w:tc>
          <w:tcPr>
            <w:tcW w:w="21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AE31D0">
            <w:pPr>
              <w:autoSpaceDE w:val="0"/>
              <w:autoSpaceDN w:val="0"/>
              <w:adjustRightInd w:val="0"/>
              <w:ind w:left="127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Brandýs n.L. - St.</w:t>
            </w:r>
            <w:r w:rsidR="00AE31D0">
              <w:rPr>
                <w:rFonts w:cs="Arial"/>
                <w:color w:val="000000"/>
                <w:sz w:val="16"/>
                <w:szCs w:val="16"/>
              </w:rPr>
              <w:t xml:space="preserve"> Bol.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46 388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13 031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59 419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23 380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241D60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9 764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-</w:t>
            </w:r>
            <w:r w:rsidR="00241D60">
              <w:rPr>
                <w:rFonts w:cs="Arial"/>
                <w:color w:val="000000"/>
                <w:sz w:val="16"/>
                <w:szCs w:val="16"/>
              </w:rPr>
              <w:t>13 616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393,5</w:t>
            </w:r>
          </w:p>
        </w:tc>
      </w:tr>
      <w:tr w:rsidR="005027C5" w:rsidRPr="005027C5" w:rsidTr="005C4FF0">
        <w:trPr>
          <w:trHeight w:val="283"/>
          <w:jc w:val="center"/>
        </w:trPr>
        <w:tc>
          <w:tcPr>
            <w:tcW w:w="21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AE31D0">
            <w:pPr>
              <w:autoSpaceDE w:val="0"/>
              <w:autoSpaceDN w:val="0"/>
              <w:adjustRightInd w:val="0"/>
              <w:ind w:left="127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Kuřim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10 255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3 264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13 519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5 533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241D60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3 709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-</w:t>
            </w:r>
            <w:r w:rsidR="00241D60">
              <w:rPr>
                <w:rFonts w:cs="Arial"/>
                <w:color w:val="000000"/>
                <w:sz w:val="16"/>
                <w:szCs w:val="16"/>
              </w:rPr>
              <w:t>1 824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409,3</w:t>
            </w:r>
          </w:p>
        </w:tc>
      </w:tr>
      <w:tr w:rsidR="005027C5" w:rsidRPr="005027C5" w:rsidTr="005C4FF0">
        <w:trPr>
          <w:trHeight w:val="283"/>
          <w:jc w:val="center"/>
        </w:trPr>
        <w:tc>
          <w:tcPr>
            <w:tcW w:w="21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AE31D0">
            <w:pPr>
              <w:autoSpaceDE w:val="0"/>
              <w:autoSpaceDN w:val="0"/>
              <w:adjustRightInd w:val="0"/>
              <w:ind w:left="127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Černošice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62 812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81 852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34 544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241D60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9 782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-</w:t>
            </w:r>
            <w:r w:rsidR="00241D60">
              <w:rPr>
                <w:rFonts w:cs="Arial"/>
                <w:color w:val="000000"/>
                <w:sz w:val="16"/>
                <w:szCs w:val="16"/>
              </w:rPr>
              <w:t>24 762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422,0</w:t>
            </w:r>
          </w:p>
        </w:tc>
      </w:tr>
      <w:tr w:rsidR="005027C5" w:rsidRPr="005027C5" w:rsidTr="005C4FF0">
        <w:trPr>
          <w:trHeight w:val="283"/>
          <w:jc w:val="center"/>
        </w:trPr>
        <w:tc>
          <w:tcPr>
            <w:tcW w:w="21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26395F" w:rsidP="00AE31D0">
            <w:pPr>
              <w:autoSpaceDE w:val="0"/>
              <w:autoSpaceDN w:val="0"/>
              <w:adjustRightInd w:val="0"/>
              <w:ind w:left="127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Šlapanice</w:t>
            </w: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28 720</w:t>
            </w:r>
          </w:p>
        </w:tc>
        <w:tc>
          <w:tcPr>
            <w:tcW w:w="9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9 157</w:t>
            </w:r>
          </w:p>
        </w:tc>
        <w:tc>
          <w:tcPr>
            <w:tcW w:w="9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37 877</w:t>
            </w:r>
          </w:p>
        </w:tc>
        <w:tc>
          <w:tcPr>
            <w:tcW w:w="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17 067</w:t>
            </w: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241D60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7 325</w:t>
            </w: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-</w:t>
            </w:r>
            <w:r w:rsidR="00241D60">
              <w:rPr>
                <w:rFonts w:cs="Arial"/>
                <w:color w:val="000000"/>
                <w:sz w:val="16"/>
                <w:szCs w:val="16"/>
              </w:rPr>
              <w:t>9 742</w:t>
            </w: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7C5" w:rsidRPr="005027C5" w:rsidRDefault="005027C5" w:rsidP="00263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027C5">
              <w:rPr>
                <w:rFonts w:cs="Arial"/>
                <w:color w:val="000000"/>
                <w:sz w:val="16"/>
                <w:szCs w:val="16"/>
              </w:rPr>
              <w:t>450,6</w:t>
            </w:r>
          </w:p>
        </w:tc>
      </w:tr>
    </w:tbl>
    <w:p w:rsidR="006F32E5" w:rsidRDefault="006F32E5" w:rsidP="0026395F">
      <w:pPr>
        <w:spacing w:before="360" w:after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Největší soustředění pracovišť představují velkoměsta a ostatní krajská města, k nimž se řadí i další silná centra pracovní dojížďky (např. Opava, Mladá Boleslav, Kladno nebo Most).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2494"/>
        <w:gridCol w:w="1304"/>
        <w:gridCol w:w="1206"/>
        <w:gridCol w:w="1150"/>
        <w:gridCol w:w="56"/>
      </w:tblGrid>
      <w:tr w:rsidR="005C4FF0" w:rsidRPr="00B546CF" w:rsidTr="003A3808">
        <w:trPr>
          <w:gridAfter w:val="1"/>
          <w:wAfter w:w="56" w:type="dxa"/>
          <w:trHeight w:val="257"/>
          <w:jc w:val="center"/>
        </w:trPr>
        <w:tc>
          <w:tcPr>
            <w:tcW w:w="6834" w:type="dxa"/>
            <w:gridSpan w:val="5"/>
            <w:tcBorders>
              <w:bottom w:val="single" w:sz="2" w:space="0" w:color="000000"/>
            </w:tcBorders>
            <w:vAlign w:val="center"/>
          </w:tcPr>
          <w:p w:rsidR="005C4FF0" w:rsidRPr="00797297" w:rsidRDefault="005C4FF0" w:rsidP="00CB509C">
            <w:pPr>
              <w:autoSpaceDE w:val="0"/>
              <w:autoSpaceDN w:val="0"/>
              <w:adjustRightInd w:val="0"/>
              <w:spacing w:after="120"/>
              <w:ind w:right="-351"/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797297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Města s nejvyšším počtem dojíždějících do zaměstnání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k 26. 3. 2011</w:t>
            </w:r>
          </w:p>
        </w:tc>
      </w:tr>
      <w:tr w:rsidR="005C4FF0" w:rsidRPr="005C4FF0" w:rsidTr="003A3808">
        <w:trPr>
          <w:trHeight w:val="340"/>
          <w:jc w:val="center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P</w:t>
            </w:r>
            <w:r w:rsidRPr="005C4FF0">
              <w:rPr>
                <w:rFonts w:cs="Arial"/>
                <w:color w:val="000000"/>
                <w:sz w:val="16"/>
                <w:szCs w:val="16"/>
              </w:rPr>
              <w:t>o</w:t>
            </w:r>
            <w:r w:rsidRPr="005C4FF0">
              <w:rPr>
                <w:rFonts w:cs="Arial"/>
                <w:color w:val="000000"/>
                <w:sz w:val="16"/>
                <w:szCs w:val="16"/>
              </w:rPr>
              <w:t>řadí</w:t>
            </w:r>
          </w:p>
        </w:tc>
        <w:tc>
          <w:tcPr>
            <w:tcW w:w="24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4FF0" w:rsidRPr="005C4FF0" w:rsidRDefault="005C4FF0" w:rsidP="003322CA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Město</w:t>
            </w:r>
          </w:p>
        </w:tc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Počet dojížd</w:t>
            </w:r>
            <w:r w:rsidRPr="005C4FF0">
              <w:rPr>
                <w:rFonts w:cs="Arial"/>
                <w:color w:val="000000"/>
                <w:sz w:val="16"/>
                <w:szCs w:val="16"/>
              </w:rPr>
              <w:t>ě</w:t>
            </w:r>
            <w:r w:rsidRPr="005C4FF0">
              <w:rPr>
                <w:rFonts w:cs="Arial"/>
                <w:color w:val="000000"/>
                <w:sz w:val="16"/>
                <w:szCs w:val="16"/>
              </w:rPr>
              <w:t>jících do zaměstnání</w:t>
            </w:r>
          </w:p>
        </w:tc>
        <w:tc>
          <w:tcPr>
            <w:tcW w:w="241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Obsazená pracovní místa</w:t>
            </w:r>
          </w:p>
        </w:tc>
      </w:tr>
      <w:tr w:rsidR="005C4FF0" w:rsidRPr="005C4FF0" w:rsidTr="003A3808">
        <w:trPr>
          <w:trHeight w:val="850"/>
          <w:jc w:val="center"/>
        </w:trPr>
        <w:tc>
          <w:tcPr>
            <w:tcW w:w="680" w:type="dxa"/>
            <w:vMerge/>
            <w:tcBorders>
              <w:left w:val="single" w:sz="2" w:space="0" w:color="000000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na 1 000 bydlících zaměstn</w:t>
            </w:r>
            <w:r w:rsidRPr="005C4FF0">
              <w:rPr>
                <w:rFonts w:cs="Arial"/>
                <w:color w:val="000000"/>
                <w:sz w:val="16"/>
                <w:szCs w:val="16"/>
              </w:rPr>
              <w:t>a</w:t>
            </w:r>
            <w:r w:rsidRPr="005C4FF0">
              <w:rPr>
                <w:rFonts w:cs="Arial"/>
                <w:color w:val="000000"/>
                <w:sz w:val="16"/>
                <w:szCs w:val="16"/>
              </w:rPr>
              <w:t>ných</w:t>
            </w:r>
          </w:p>
        </w:tc>
      </w:tr>
      <w:tr w:rsidR="005C4FF0" w:rsidRPr="005C4FF0" w:rsidTr="003A3808">
        <w:trPr>
          <w:trHeight w:val="283"/>
          <w:jc w:val="center"/>
        </w:trPr>
        <w:tc>
          <w:tcPr>
            <w:tcW w:w="68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Praha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142 617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700 900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1 203</w:t>
            </w:r>
          </w:p>
        </w:tc>
      </w:tr>
      <w:tr w:rsidR="005C4FF0" w:rsidRPr="005C4FF0" w:rsidTr="003A3808">
        <w:trPr>
          <w:trHeight w:val="283"/>
          <w:jc w:val="center"/>
        </w:trPr>
        <w:tc>
          <w:tcPr>
            <w:tcW w:w="680" w:type="dxa"/>
            <w:tcBorders>
              <w:left w:val="single" w:sz="2" w:space="0" w:color="000000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4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Brno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55 778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215 102</w:t>
            </w:r>
          </w:p>
        </w:tc>
        <w:tc>
          <w:tcPr>
            <w:tcW w:w="1206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1 259</w:t>
            </w:r>
          </w:p>
        </w:tc>
      </w:tr>
      <w:tr w:rsidR="005C4FF0" w:rsidRPr="005C4FF0" w:rsidTr="003A3808">
        <w:trPr>
          <w:trHeight w:val="283"/>
          <w:jc w:val="center"/>
        </w:trPr>
        <w:tc>
          <w:tcPr>
            <w:tcW w:w="680" w:type="dxa"/>
            <w:tcBorders>
              <w:left w:val="single" w:sz="2" w:space="0" w:color="000000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4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Ostrava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35 663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148 612</w:t>
            </w:r>
          </w:p>
        </w:tc>
        <w:tc>
          <w:tcPr>
            <w:tcW w:w="1206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1 225</w:t>
            </w:r>
          </w:p>
        </w:tc>
      </w:tr>
      <w:tr w:rsidR="005C4FF0" w:rsidRPr="005C4FF0" w:rsidTr="003A3808">
        <w:trPr>
          <w:trHeight w:val="283"/>
          <w:jc w:val="center"/>
        </w:trPr>
        <w:tc>
          <w:tcPr>
            <w:tcW w:w="680" w:type="dxa"/>
            <w:tcBorders>
              <w:left w:val="single" w:sz="2" w:space="0" w:color="000000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Plzeň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23 121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93 507</w:t>
            </w:r>
          </w:p>
        </w:tc>
        <w:tc>
          <w:tcPr>
            <w:tcW w:w="1206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1 222</w:t>
            </w:r>
          </w:p>
        </w:tc>
      </w:tr>
      <w:tr w:rsidR="005C4FF0" w:rsidRPr="005C4FF0" w:rsidTr="003A3808">
        <w:trPr>
          <w:trHeight w:val="283"/>
          <w:jc w:val="center"/>
        </w:trPr>
        <w:tc>
          <w:tcPr>
            <w:tcW w:w="680" w:type="dxa"/>
            <w:tcBorders>
              <w:left w:val="single" w:sz="2" w:space="0" w:color="000000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4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Olomouc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18 650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58 934</w:t>
            </w:r>
          </w:p>
        </w:tc>
        <w:tc>
          <w:tcPr>
            <w:tcW w:w="1206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1 290</w:t>
            </w:r>
          </w:p>
        </w:tc>
      </w:tr>
      <w:tr w:rsidR="005C4FF0" w:rsidRPr="005C4FF0" w:rsidTr="003A3808">
        <w:trPr>
          <w:trHeight w:val="283"/>
          <w:jc w:val="center"/>
        </w:trPr>
        <w:tc>
          <w:tcPr>
            <w:tcW w:w="680" w:type="dxa"/>
            <w:tcBorders>
              <w:left w:val="single" w:sz="2" w:space="0" w:color="000000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4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České Budějovice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18 021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56 949</w:t>
            </w:r>
          </w:p>
        </w:tc>
        <w:tc>
          <w:tcPr>
            <w:tcW w:w="1206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1 334</w:t>
            </w:r>
          </w:p>
        </w:tc>
      </w:tr>
      <w:tr w:rsidR="005C4FF0" w:rsidRPr="005C4FF0" w:rsidTr="003A3808">
        <w:trPr>
          <w:trHeight w:val="283"/>
          <w:jc w:val="center"/>
        </w:trPr>
        <w:tc>
          <w:tcPr>
            <w:tcW w:w="680" w:type="dxa"/>
            <w:tcBorders>
              <w:left w:val="single" w:sz="2" w:space="0" w:color="000000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4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Hradec Králové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14 509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52 529</w:t>
            </w:r>
          </w:p>
        </w:tc>
        <w:tc>
          <w:tcPr>
            <w:tcW w:w="1206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1 252</w:t>
            </w:r>
          </w:p>
        </w:tc>
      </w:tr>
      <w:tr w:rsidR="005C4FF0" w:rsidRPr="005C4FF0" w:rsidTr="003A3808">
        <w:trPr>
          <w:trHeight w:val="283"/>
          <w:jc w:val="center"/>
        </w:trPr>
        <w:tc>
          <w:tcPr>
            <w:tcW w:w="680" w:type="dxa"/>
            <w:tcBorders>
              <w:left w:val="single" w:sz="2" w:space="0" w:color="000000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4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Pardubice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12 799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49 434</w:t>
            </w:r>
          </w:p>
        </w:tc>
        <w:tc>
          <w:tcPr>
            <w:tcW w:w="1206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1 184</w:t>
            </w:r>
          </w:p>
        </w:tc>
      </w:tr>
      <w:tr w:rsidR="005C4FF0" w:rsidRPr="005C4FF0" w:rsidTr="003A3808">
        <w:trPr>
          <w:trHeight w:val="283"/>
          <w:jc w:val="center"/>
        </w:trPr>
        <w:tc>
          <w:tcPr>
            <w:tcW w:w="680" w:type="dxa"/>
            <w:tcBorders>
              <w:left w:val="single" w:sz="2" w:space="0" w:color="000000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4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Mladá Boleslav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11 879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29 928</w:t>
            </w:r>
          </w:p>
        </w:tc>
        <w:tc>
          <w:tcPr>
            <w:tcW w:w="1206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1 468</w:t>
            </w:r>
          </w:p>
        </w:tc>
      </w:tr>
      <w:tr w:rsidR="005C4FF0" w:rsidRPr="005C4FF0" w:rsidTr="003A3808">
        <w:trPr>
          <w:trHeight w:val="283"/>
          <w:jc w:val="center"/>
        </w:trPr>
        <w:tc>
          <w:tcPr>
            <w:tcW w:w="680" w:type="dxa"/>
            <w:tcBorders>
              <w:left w:val="single" w:sz="2" w:space="0" w:color="000000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4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Zlín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10 684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40 105</w:t>
            </w:r>
          </w:p>
        </w:tc>
        <w:tc>
          <w:tcPr>
            <w:tcW w:w="1206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1 182</w:t>
            </w:r>
          </w:p>
        </w:tc>
      </w:tr>
      <w:tr w:rsidR="005C4FF0" w:rsidRPr="005C4FF0" w:rsidTr="003A3808">
        <w:trPr>
          <w:trHeight w:val="283"/>
          <w:jc w:val="center"/>
        </w:trPr>
        <w:tc>
          <w:tcPr>
            <w:tcW w:w="680" w:type="dxa"/>
            <w:tcBorders>
              <w:left w:val="single" w:sz="2" w:space="0" w:color="000000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4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Jihlava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10 407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31 258</w:t>
            </w:r>
          </w:p>
        </w:tc>
        <w:tc>
          <w:tcPr>
            <w:tcW w:w="1206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1 385</w:t>
            </w:r>
          </w:p>
        </w:tc>
      </w:tr>
      <w:tr w:rsidR="005C4FF0" w:rsidRPr="005C4FF0" w:rsidTr="003A3808">
        <w:trPr>
          <w:trHeight w:val="283"/>
          <w:jc w:val="center"/>
        </w:trPr>
        <w:tc>
          <w:tcPr>
            <w:tcW w:w="680" w:type="dxa"/>
            <w:tcBorders>
              <w:left w:val="single" w:sz="2" w:space="0" w:color="000000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4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Liberec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8 689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49 587</w:t>
            </w:r>
          </w:p>
        </w:tc>
        <w:tc>
          <w:tcPr>
            <w:tcW w:w="1206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1 101</w:t>
            </w:r>
          </w:p>
        </w:tc>
      </w:tr>
      <w:tr w:rsidR="005C4FF0" w:rsidRPr="005C4FF0" w:rsidTr="003A3808">
        <w:trPr>
          <w:trHeight w:val="283"/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494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Ústí nad Labem</w:t>
            </w:r>
          </w:p>
        </w:tc>
        <w:tc>
          <w:tcPr>
            <w:tcW w:w="1304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7 554</w:t>
            </w:r>
          </w:p>
        </w:tc>
        <w:tc>
          <w:tcPr>
            <w:tcW w:w="1206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40 365</w:t>
            </w:r>
          </w:p>
        </w:tc>
        <w:tc>
          <w:tcPr>
            <w:tcW w:w="1206" w:type="dxa"/>
            <w:gridSpan w:val="2"/>
            <w:tcBorders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5C4FF0" w:rsidRPr="005C4FF0" w:rsidRDefault="005C4FF0" w:rsidP="005C4FF0">
            <w:pPr>
              <w:autoSpaceDE w:val="0"/>
              <w:autoSpaceDN w:val="0"/>
              <w:adjustRightInd w:val="0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4FF0">
              <w:rPr>
                <w:rFonts w:cs="Arial"/>
                <w:color w:val="000000"/>
                <w:sz w:val="16"/>
                <w:szCs w:val="16"/>
              </w:rPr>
              <w:t>1 093</w:t>
            </w:r>
          </w:p>
        </w:tc>
      </w:tr>
    </w:tbl>
    <w:p w:rsidR="006F32E5" w:rsidRDefault="006F32E5" w:rsidP="00143192">
      <w:pPr>
        <w:spacing w:before="360" w:after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 zpracování výsledků sčítání 2011 bylo identifikováno celkem 178 tis. n</w:t>
      </w:r>
      <w:r w:rsidRPr="00E40397">
        <w:rPr>
          <w:rFonts w:cs="Arial"/>
          <w:sz w:val="20"/>
          <w:szCs w:val="20"/>
        </w:rPr>
        <w:t>enulových meziobecních</w:t>
      </w:r>
      <w:r w:rsidRPr="00E27C9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vyjížďk</w:t>
      </w:r>
      <w:r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>vých proudů, tedy úplně stejný počet jako v roce 2001. Zhruba 111 tis. proudů představují pouze vyjíždějící do zaměstnání a 26 tis. proudů pak výhradně žáci, učni a studenti. Celkem 40 tis. proudů je s osobami d</w:t>
      </w:r>
      <w:r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jíždějícími jak do zaměstnání, tak do škol. Charakteristická je velikostní struktura těchto proudů podle typu vyjížďky.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730"/>
        <w:gridCol w:w="1004"/>
        <w:gridCol w:w="1003"/>
        <w:gridCol w:w="1003"/>
        <w:gridCol w:w="1003"/>
        <w:gridCol w:w="1003"/>
        <w:gridCol w:w="1004"/>
        <w:gridCol w:w="1003"/>
      </w:tblGrid>
      <w:tr w:rsidR="0005263E" w:rsidRPr="0005263E" w:rsidTr="0005263E">
        <w:trPr>
          <w:trHeight w:val="290"/>
          <w:jc w:val="center"/>
        </w:trPr>
        <w:tc>
          <w:tcPr>
            <w:tcW w:w="8753" w:type="dxa"/>
            <w:gridSpan w:val="8"/>
            <w:tcBorders>
              <w:bottom w:val="single" w:sz="6" w:space="0" w:color="auto"/>
            </w:tcBorders>
            <w:vAlign w:val="center"/>
          </w:tcPr>
          <w:p w:rsidR="0005263E" w:rsidRPr="0005263E" w:rsidRDefault="0005263E" w:rsidP="0005263E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bookmarkStart w:id="1" w:name="_MON_1441108192"/>
            <w:bookmarkStart w:id="2" w:name="_MON_1441109329"/>
            <w:bookmarkEnd w:id="1"/>
            <w:bookmarkEnd w:id="2"/>
            <w:r w:rsidRPr="0005263E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Velikostní skupiny proudů vyjížďky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k 26. 3. 2011</w:t>
            </w:r>
            <w:r w:rsidRPr="0005263E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5263E" w:rsidRPr="0005263E" w:rsidTr="00143192">
        <w:trPr>
          <w:trHeight w:val="340"/>
          <w:jc w:val="center"/>
        </w:trPr>
        <w:tc>
          <w:tcPr>
            <w:tcW w:w="1730" w:type="dxa"/>
            <w:vMerge w:val="restart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  <w:vAlign w:val="center"/>
          </w:tcPr>
          <w:p w:rsidR="0005263E" w:rsidRPr="0005263E" w:rsidRDefault="0005263E" w:rsidP="0005263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Kraj, okres vyjížďky</w:t>
            </w:r>
          </w:p>
        </w:tc>
        <w:tc>
          <w:tcPr>
            <w:tcW w:w="7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05263E" w:rsidRPr="0005263E" w:rsidRDefault="0005263E" w:rsidP="0014319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Velikostní skupina proudu vyjíždějících (počet osob)</w:t>
            </w:r>
          </w:p>
        </w:tc>
      </w:tr>
      <w:tr w:rsidR="0005263E" w:rsidRPr="0005263E" w:rsidTr="00143192">
        <w:trPr>
          <w:trHeight w:val="340"/>
          <w:jc w:val="center"/>
        </w:trPr>
        <w:tc>
          <w:tcPr>
            <w:tcW w:w="1730" w:type="dxa"/>
            <w:vMerge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5263E" w:rsidRPr="0005263E" w:rsidRDefault="0005263E" w:rsidP="0005263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63E" w:rsidRPr="0005263E" w:rsidRDefault="0005263E" w:rsidP="0014319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63E" w:rsidRPr="0005263E" w:rsidRDefault="0005263E" w:rsidP="0014319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1 - 9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63E" w:rsidRPr="0005263E" w:rsidRDefault="0005263E" w:rsidP="0014319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10 - 19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63E" w:rsidRPr="0005263E" w:rsidRDefault="0005263E" w:rsidP="0014319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20 - 49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63E" w:rsidRPr="0005263E" w:rsidRDefault="0005263E" w:rsidP="0014319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50 - 99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63E" w:rsidRPr="0005263E" w:rsidRDefault="0005263E" w:rsidP="0014319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100 - 499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05263E" w:rsidRPr="0005263E" w:rsidRDefault="0005263E" w:rsidP="0014319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500 a více</w:t>
            </w:r>
          </w:p>
        </w:tc>
      </w:tr>
      <w:tr w:rsidR="0005263E" w:rsidRPr="0005263E" w:rsidTr="003A3808">
        <w:trPr>
          <w:trHeight w:val="340"/>
          <w:jc w:val="center"/>
        </w:trPr>
        <w:tc>
          <w:tcPr>
            <w:tcW w:w="8753" w:type="dxa"/>
            <w:gridSpan w:val="8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263E" w:rsidRPr="0005263E" w:rsidRDefault="0005263E" w:rsidP="0005263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b/>
                <w:color w:val="000000"/>
                <w:sz w:val="16"/>
                <w:szCs w:val="16"/>
              </w:rPr>
              <w:t>1. Dojíždějící do zaměstnání a škol úhrnem</w:t>
            </w:r>
          </w:p>
        </w:tc>
      </w:tr>
      <w:tr w:rsidR="0005263E" w:rsidRPr="0005263E" w:rsidTr="0005263E">
        <w:trPr>
          <w:trHeight w:val="283"/>
          <w:jc w:val="center"/>
        </w:trPr>
        <w:tc>
          <w:tcPr>
            <w:tcW w:w="1730" w:type="dxa"/>
            <w:tcBorders>
              <w:top w:val="single" w:sz="2" w:space="0" w:color="000000"/>
              <w:left w:val="single" w:sz="2" w:space="0" w:color="000000"/>
              <w:right w:val="single" w:sz="6" w:space="0" w:color="auto"/>
            </w:tcBorders>
            <w:vAlign w:val="center"/>
          </w:tcPr>
          <w:p w:rsidR="0005263E" w:rsidRPr="0005263E" w:rsidRDefault="0005263E" w:rsidP="0005263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počet proudů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178 171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156 089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9 491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7 163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2 888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2 278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262</w:t>
            </w:r>
          </w:p>
        </w:tc>
      </w:tr>
      <w:tr w:rsidR="0005263E" w:rsidRPr="0005263E" w:rsidTr="0005263E">
        <w:trPr>
          <w:trHeight w:val="283"/>
          <w:jc w:val="center"/>
        </w:trPr>
        <w:tc>
          <w:tcPr>
            <w:tcW w:w="1730" w:type="dxa"/>
            <w:tcBorders>
              <w:left w:val="single" w:sz="2" w:space="0" w:color="000000"/>
              <w:right w:val="single" w:sz="6" w:space="0" w:color="auto"/>
            </w:tcBorders>
            <w:vAlign w:val="center"/>
          </w:tcPr>
          <w:p w:rsidR="0005263E" w:rsidRPr="0005263E" w:rsidRDefault="0005263E" w:rsidP="0005263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počet osob abs.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1 551 918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315 478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128 401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219 559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200 179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440 763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2" w:space="0" w:color="000000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247 538</w:t>
            </w:r>
          </w:p>
        </w:tc>
      </w:tr>
      <w:tr w:rsidR="0005263E" w:rsidRPr="0005263E" w:rsidTr="0005263E">
        <w:trPr>
          <w:trHeight w:val="283"/>
          <w:jc w:val="center"/>
        </w:trPr>
        <w:tc>
          <w:tcPr>
            <w:tcW w:w="1730" w:type="dxa"/>
            <w:tcBorders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05263E" w:rsidRPr="0005263E" w:rsidRDefault="0005263E" w:rsidP="0005263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počet osob v %</w:t>
            </w:r>
          </w:p>
        </w:tc>
        <w:tc>
          <w:tcPr>
            <w:tcW w:w="1004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03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1003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003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1003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1004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1003" w:type="dxa"/>
            <w:tcBorders>
              <w:left w:val="single" w:sz="6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16,0</w:t>
            </w:r>
          </w:p>
        </w:tc>
      </w:tr>
      <w:tr w:rsidR="0005263E" w:rsidRPr="0005263E" w:rsidTr="003A3808">
        <w:trPr>
          <w:trHeight w:val="340"/>
          <w:jc w:val="center"/>
        </w:trPr>
        <w:tc>
          <w:tcPr>
            <w:tcW w:w="87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263E" w:rsidRPr="0005263E" w:rsidRDefault="0005263E" w:rsidP="0005263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5263E">
              <w:rPr>
                <w:rFonts w:cs="Arial"/>
                <w:b/>
                <w:color w:val="000000"/>
                <w:sz w:val="16"/>
                <w:szCs w:val="16"/>
              </w:rPr>
              <w:t>2. Dojíždějící do zaměstnání</w:t>
            </w:r>
          </w:p>
        </w:tc>
      </w:tr>
      <w:tr w:rsidR="0005263E" w:rsidRPr="0005263E" w:rsidTr="0005263E">
        <w:trPr>
          <w:trHeight w:val="283"/>
          <w:jc w:val="center"/>
        </w:trPr>
        <w:tc>
          <w:tcPr>
            <w:tcW w:w="1730" w:type="dxa"/>
            <w:tcBorders>
              <w:top w:val="single" w:sz="2" w:space="0" w:color="000000"/>
              <w:left w:val="single" w:sz="2" w:space="0" w:color="000000"/>
              <w:right w:val="single" w:sz="6" w:space="0" w:color="auto"/>
            </w:tcBorders>
            <w:vAlign w:val="center"/>
          </w:tcPr>
          <w:p w:rsidR="0005263E" w:rsidRPr="0005263E" w:rsidRDefault="0005263E" w:rsidP="0005263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počet proudů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151 129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134 581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7 243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5 416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2 141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1 584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164</w:t>
            </w:r>
          </w:p>
        </w:tc>
      </w:tr>
      <w:tr w:rsidR="0005263E" w:rsidRPr="0005263E" w:rsidTr="0005263E">
        <w:trPr>
          <w:trHeight w:val="283"/>
          <w:jc w:val="center"/>
        </w:trPr>
        <w:tc>
          <w:tcPr>
            <w:tcW w:w="1730" w:type="dxa"/>
            <w:tcBorders>
              <w:left w:val="single" w:sz="2" w:space="0" w:color="000000"/>
              <w:right w:val="single" w:sz="6" w:space="0" w:color="auto"/>
            </w:tcBorders>
            <w:vAlign w:val="center"/>
          </w:tcPr>
          <w:p w:rsidR="0005263E" w:rsidRPr="0005263E" w:rsidRDefault="0005263E" w:rsidP="0005263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počet osob abs.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1 125 337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265 843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97 938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165 060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147 570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300 729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2" w:space="0" w:color="000000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148 197</w:t>
            </w:r>
          </w:p>
        </w:tc>
      </w:tr>
      <w:tr w:rsidR="0005263E" w:rsidRPr="0005263E" w:rsidTr="0005263E">
        <w:trPr>
          <w:trHeight w:val="283"/>
          <w:jc w:val="center"/>
        </w:trPr>
        <w:tc>
          <w:tcPr>
            <w:tcW w:w="1730" w:type="dxa"/>
            <w:tcBorders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05263E" w:rsidRPr="0005263E" w:rsidRDefault="0005263E" w:rsidP="0005263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počet osob v %</w:t>
            </w:r>
          </w:p>
        </w:tc>
        <w:tc>
          <w:tcPr>
            <w:tcW w:w="1004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03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1003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003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003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1004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1003" w:type="dxa"/>
            <w:tcBorders>
              <w:left w:val="single" w:sz="6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13,2</w:t>
            </w:r>
          </w:p>
        </w:tc>
      </w:tr>
      <w:tr w:rsidR="0005263E" w:rsidRPr="0005263E" w:rsidTr="003A3808">
        <w:trPr>
          <w:trHeight w:val="340"/>
          <w:jc w:val="center"/>
        </w:trPr>
        <w:tc>
          <w:tcPr>
            <w:tcW w:w="87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263E" w:rsidRPr="0005263E" w:rsidRDefault="0005263E" w:rsidP="0005263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5263E">
              <w:rPr>
                <w:rFonts w:cs="Arial"/>
                <w:b/>
                <w:color w:val="000000"/>
                <w:sz w:val="16"/>
                <w:szCs w:val="16"/>
              </w:rPr>
              <w:t>3. Dojíždějící do škol</w:t>
            </w:r>
          </w:p>
        </w:tc>
      </w:tr>
      <w:tr w:rsidR="0005263E" w:rsidRPr="0005263E" w:rsidTr="0005263E">
        <w:trPr>
          <w:trHeight w:val="283"/>
          <w:jc w:val="center"/>
        </w:trPr>
        <w:tc>
          <w:tcPr>
            <w:tcW w:w="1730" w:type="dxa"/>
            <w:tcBorders>
              <w:top w:val="single" w:sz="2" w:space="0" w:color="000000"/>
              <w:left w:val="single" w:sz="2" w:space="0" w:color="000000"/>
              <w:right w:val="single" w:sz="6" w:space="0" w:color="auto"/>
            </w:tcBorders>
            <w:vAlign w:val="center"/>
          </w:tcPr>
          <w:p w:rsidR="0005263E" w:rsidRPr="0005263E" w:rsidRDefault="0005263E" w:rsidP="0005263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počet proudů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66 192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57 162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4 779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2 957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839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</w:tr>
      <w:tr w:rsidR="0005263E" w:rsidRPr="0005263E" w:rsidTr="0005263E">
        <w:trPr>
          <w:trHeight w:val="283"/>
          <w:jc w:val="center"/>
        </w:trPr>
        <w:tc>
          <w:tcPr>
            <w:tcW w:w="1730" w:type="dxa"/>
            <w:tcBorders>
              <w:left w:val="single" w:sz="2" w:space="0" w:color="000000"/>
              <w:right w:val="single" w:sz="6" w:space="0" w:color="auto"/>
            </w:tcBorders>
            <w:vAlign w:val="center"/>
          </w:tcPr>
          <w:p w:rsidR="0005263E" w:rsidRPr="0005263E" w:rsidRDefault="0005263E" w:rsidP="0005263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počet osob abs.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426 581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127 150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64 626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88 458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56 420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79 299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2" w:space="0" w:color="000000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10 628</w:t>
            </w:r>
          </w:p>
        </w:tc>
      </w:tr>
      <w:tr w:rsidR="0005263E" w:rsidRPr="0005263E" w:rsidTr="0005263E">
        <w:trPr>
          <w:trHeight w:val="283"/>
          <w:jc w:val="center"/>
        </w:trPr>
        <w:tc>
          <w:tcPr>
            <w:tcW w:w="1730" w:type="dxa"/>
            <w:tcBorders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05263E" w:rsidRPr="0005263E" w:rsidRDefault="0005263E" w:rsidP="0005263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počet osob v %</w:t>
            </w:r>
          </w:p>
        </w:tc>
        <w:tc>
          <w:tcPr>
            <w:tcW w:w="1004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03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1003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1003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1003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1004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003" w:type="dxa"/>
            <w:tcBorders>
              <w:left w:val="single" w:sz="6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263E" w:rsidRPr="0005263E" w:rsidRDefault="0005263E" w:rsidP="00332D2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2,5</w:t>
            </w:r>
          </w:p>
        </w:tc>
      </w:tr>
      <w:tr w:rsidR="0005263E" w:rsidRPr="0005263E" w:rsidTr="0005263E">
        <w:trPr>
          <w:trHeight w:val="283"/>
          <w:jc w:val="center"/>
        </w:trPr>
        <w:tc>
          <w:tcPr>
            <w:tcW w:w="8753" w:type="dxa"/>
            <w:gridSpan w:val="8"/>
            <w:tcBorders>
              <w:top w:val="single" w:sz="2" w:space="0" w:color="000000"/>
            </w:tcBorders>
            <w:vAlign w:val="center"/>
          </w:tcPr>
          <w:p w:rsidR="0005263E" w:rsidRPr="0005263E" w:rsidRDefault="0005263E" w:rsidP="003A3808">
            <w:pPr>
              <w:autoSpaceDE w:val="0"/>
              <w:autoSpaceDN w:val="0"/>
              <w:adjustRightInd w:val="0"/>
              <w:spacing w:before="60" w:after="360"/>
              <w:rPr>
                <w:rFonts w:ascii="Calibri" w:hAnsi="Calibri" w:cs="Calibri"/>
                <w:color w:val="000000"/>
                <w:szCs w:val="22"/>
              </w:rPr>
            </w:pPr>
            <w:r w:rsidRPr="0005263E">
              <w:rPr>
                <w:rFonts w:cs="Arial"/>
                <w:color w:val="000000"/>
                <w:sz w:val="16"/>
                <w:szCs w:val="16"/>
              </w:rPr>
              <w:t>Poznámka: V tabulce jsou uvedeny počty osob se zjištěným cílem dojížďky</w:t>
            </w:r>
          </w:p>
        </w:tc>
      </w:tr>
    </w:tbl>
    <w:p w:rsidR="003A3808" w:rsidRDefault="006F32E5" w:rsidP="003A3808">
      <w:p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Údaje dokumentují odlišnost v charakteru pracovní a školní vyjížďky. U školní dojížďky převažují nejslabší proudy, což ukazuje na vysoký podíl vyjížďky z malých obcí. V pracovní vyjížďce dominují </w:t>
      </w:r>
      <w:r w:rsidR="00231F90">
        <w:rPr>
          <w:rFonts w:cs="Arial"/>
          <w:sz w:val="20"/>
          <w:szCs w:val="20"/>
        </w:rPr>
        <w:t>proudy se</w:t>
      </w:r>
      <w:r w:rsidR="00231F90" w:rsidRPr="00231F90">
        <w:rPr>
          <w:rFonts w:cs="Arial"/>
          <w:spacing w:val="140"/>
          <w:sz w:val="20"/>
          <w:szCs w:val="20"/>
        </w:rPr>
        <w:t xml:space="preserve"> </w:t>
      </w:r>
      <w:r w:rsidR="00231F90">
        <w:rPr>
          <w:rFonts w:cs="Arial"/>
          <w:spacing w:val="140"/>
          <w:sz w:val="20"/>
          <w:szCs w:val="20"/>
        </w:rPr>
        <w:t xml:space="preserve">  </w:t>
      </w:r>
      <w:r w:rsidR="00231F90">
        <w:rPr>
          <w:rFonts w:cs="Arial"/>
          <w:sz w:val="20"/>
          <w:szCs w:val="20"/>
        </w:rPr>
        <w:t>100 – </w:t>
      </w:r>
      <w:r>
        <w:rPr>
          <w:rFonts w:cs="Arial"/>
          <w:sz w:val="20"/>
          <w:szCs w:val="20"/>
        </w:rPr>
        <w:t xml:space="preserve">499 vyjíždějícími. </w:t>
      </w:r>
    </w:p>
    <w:p w:rsidR="003A3808" w:rsidRDefault="006F32E5" w:rsidP="003A3808">
      <w:p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Nejmohutnější proudy vyjížďky se od minulého sčítání příliš nezměnily, jejich </w:t>
      </w:r>
      <w:r w:rsidR="00231F90">
        <w:rPr>
          <w:rFonts w:cs="Arial"/>
          <w:sz w:val="20"/>
          <w:szCs w:val="20"/>
        </w:rPr>
        <w:t>síla však mohla být ovlivněna i </w:t>
      </w:r>
      <w:r>
        <w:rPr>
          <w:rFonts w:cs="Arial"/>
          <w:sz w:val="20"/>
          <w:szCs w:val="20"/>
        </w:rPr>
        <w:t>vysokou mírou nezjištěné vyjížďky, jak již bylo zmíněno. Proud Kladno - P</w:t>
      </w:r>
      <w:r w:rsidR="00231F90">
        <w:rPr>
          <w:rFonts w:cs="Arial"/>
          <w:sz w:val="20"/>
          <w:szCs w:val="20"/>
        </w:rPr>
        <w:t>raha měl v roce 2001 celkem 9,2 </w:t>
      </w:r>
      <w:r>
        <w:rPr>
          <w:rFonts w:cs="Arial"/>
          <w:sz w:val="20"/>
          <w:szCs w:val="20"/>
        </w:rPr>
        <w:t>tis. vyjíždějících, v roce 2011 jen 7,0 tis., v proudu Havířov – Ostrava poklesl počet vyjíždějících z</w:t>
      </w:r>
      <w:r w:rsidR="003A380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8,0 tis. na 6,3 tis. </w:t>
      </w:r>
    </w:p>
    <w:p w:rsidR="006F32E5" w:rsidRDefault="006F32E5" w:rsidP="003A3808">
      <w:pPr>
        <w:spacing w:after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Některé dojížďkové relace naopak významně posílily v regionech největších měst, kde především efekt su</w:t>
      </w:r>
      <w:r>
        <w:rPr>
          <w:rFonts w:cs="Arial"/>
          <w:sz w:val="20"/>
          <w:szCs w:val="20"/>
        </w:rPr>
        <w:t>b</w:t>
      </w:r>
      <w:r>
        <w:rPr>
          <w:rFonts w:cs="Arial"/>
          <w:sz w:val="20"/>
          <w:szCs w:val="20"/>
        </w:rPr>
        <w:t>urbanizace rozšířil nabídku pracovních míst mimo samotná regionální centra (např. Rudná, Modletice, Ovč</w:t>
      </w:r>
      <w:r>
        <w:rPr>
          <w:rFonts w:cs="Arial"/>
          <w:sz w:val="20"/>
          <w:szCs w:val="20"/>
        </w:rPr>
        <w:t>á</w:t>
      </w:r>
      <w:r>
        <w:rPr>
          <w:rFonts w:cs="Arial"/>
          <w:sz w:val="20"/>
          <w:szCs w:val="20"/>
        </w:rPr>
        <w:t>ry, Modřice nebo Nošovice), popřípadě došlo k pokračování výstavby velkých obytných souborů v zázemí měst.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2324"/>
        <w:gridCol w:w="1445"/>
        <w:gridCol w:w="1202"/>
        <w:gridCol w:w="1202"/>
        <w:gridCol w:w="1203"/>
        <w:gridCol w:w="24"/>
      </w:tblGrid>
      <w:tr w:rsidR="00AB2200" w:rsidRPr="00AB2200" w:rsidTr="001972BA">
        <w:trPr>
          <w:trHeight w:val="290"/>
          <w:jc w:val="center"/>
        </w:trPr>
        <w:tc>
          <w:tcPr>
            <w:tcW w:w="8137" w:type="dxa"/>
            <w:gridSpan w:val="7"/>
            <w:tcBorders>
              <w:bottom w:val="single" w:sz="6" w:space="0" w:color="auto"/>
            </w:tcBorders>
            <w:vAlign w:val="center"/>
          </w:tcPr>
          <w:p w:rsidR="00AB2200" w:rsidRPr="00AB2200" w:rsidRDefault="00AB2200" w:rsidP="003A3808">
            <w:pPr>
              <w:autoSpaceDE w:val="0"/>
              <w:autoSpaceDN w:val="0"/>
              <w:adjustRightInd w:val="0"/>
              <w:spacing w:after="12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b/>
                <w:bCs/>
                <w:color w:val="000000"/>
                <w:sz w:val="20"/>
                <w:szCs w:val="20"/>
              </w:rPr>
              <w:t>Proudy s více než 2000 vyjíždějícími osobami</w:t>
            </w:r>
            <w:r w:rsidR="003A380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k 26. 3. 2011</w:t>
            </w:r>
          </w:p>
        </w:tc>
      </w:tr>
      <w:tr w:rsidR="00AB2200" w:rsidRPr="00AB2200" w:rsidTr="003A3808">
        <w:trPr>
          <w:gridAfter w:val="1"/>
          <w:wAfter w:w="24" w:type="dxa"/>
          <w:trHeight w:val="283"/>
          <w:jc w:val="center"/>
        </w:trPr>
        <w:tc>
          <w:tcPr>
            <w:tcW w:w="737" w:type="dxa"/>
            <w:vMerge w:val="restart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Pořadí</w:t>
            </w:r>
          </w:p>
        </w:tc>
        <w:tc>
          <w:tcPr>
            <w:tcW w:w="23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Obec vyjížďky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Obec dojížďky</w:t>
            </w:r>
          </w:p>
        </w:tc>
        <w:tc>
          <w:tcPr>
            <w:tcW w:w="3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Vyjíždějící</w:t>
            </w:r>
          </w:p>
        </w:tc>
      </w:tr>
      <w:tr w:rsidR="00AB2200" w:rsidRPr="00AB2200" w:rsidTr="003A3808">
        <w:trPr>
          <w:gridAfter w:val="1"/>
          <w:wAfter w:w="24" w:type="dxa"/>
          <w:trHeight w:val="283"/>
          <w:jc w:val="center"/>
        </w:trPr>
        <w:tc>
          <w:tcPr>
            <w:tcW w:w="737" w:type="dxa"/>
            <w:vMerge/>
            <w:tcBorders>
              <w:left w:val="single" w:sz="2" w:space="0" w:color="000000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3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v tom</w:t>
            </w:r>
          </w:p>
        </w:tc>
      </w:tr>
      <w:tr w:rsidR="00AB2200" w:rsidRPr="00AB2200" w:rsidTr="003A3808">
        <w:trPr>
          <w:gridAfter w:val="1"/>
          <w:wAfter w:w="24" w:type="dxa"/>
          <w:trHeight w:val="510"/>
          <w:jc w:val="center"/>
        </w:trPr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324" w:type="dxa"/>
            <w:vMerge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3A3808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do</w:t>
            </w:r>
          </w:p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zaměstnání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A3808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do</w:t>
            </w:r>
          </w:p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škol a učení</w:t>
            </w:r>
          </w:p>
        </w:tc>
      </w:tr>
      <w:tr w:rsidR="00AB2200" w:rsidRPr="00AB2200" w:rsidTr="003A3808">
        <w:trPr>
          <w:gridAfter w:val="1"/>
          <w:wAfter w:w="24" w:type="dxa"/>
          <w:trHeight w:val="283"/>
          <w:jc w:val="center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Kladno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Praha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6 993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6 041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952</w:t>
            </w:r>
          </w:p>
        </w:tc>
      </w:tr>
      <w:tr w:rsidR="00AB2200" w:rsidRPr="00AB2200" w:rsidTr="003A3808">
        <w:trPr>
          <w:gridAfter w:val="1"/>
          <w:wAfter w:w="24" w:type="dxa"/>
          <w:trHeight w:val="283"/>
          <w:jc w:val="center"/>
        </w:trPr>
        <w:tc>
          <w:tcPr>
            <w:tcW w:w="737" w:type="dxa"/>
            <w:tcBorders>
              <w:left w:val="single" w:sz="2" w:space="0" w:color="000000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3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Havířov</w:t>
            </w:r>
          </w:p>
        </w:tc>
        <w:tc>
          <w:tcPr>
            <w:tcW w:w="144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Ostrava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6 318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5 396</w:t>
            </w:r>
          </w:p>
        </w:tc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922</w:t>
            </w:r>
          </w:p>
        </w:tc>
      </w:tr>
      <w:tr w:rsidR="00AB2200" w:rsidRPr="00AB2200" w:rsidTr="003A3808">
        <w:trPr>
          <w:gridAfter w:val="1"/>
          <w:wAfter w:w="24" w:type="dxa"/>
          <w:trHeight w:val="283"/>
          <w:jc w:val="center"/>
        </w:trPr>
        <w:tc>
          <w:tcPr>
            <w:tcW w:w="737" w:type="dxa"/>
            <w:tcBorders>
              <w:left w:val="single" w:sz="2" w:space="0" w:color="000000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3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Frýdek-Místek</w:t>
            </w:r>
          </w:p>
        </w:tc>
        <w:tc>
          <w:tcPr>
            <w:tcW w:w="144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Ostrava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2 737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2 102</w:t>
            </w:r>
          </w:p>
        </w:tc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635</w:t>
            </w:r>
          </w:p>
        </w:tc>
      </w:tr>
      <w:tr w:rsidR="00AB2200" w:rsidRPr="00AB2200" w:rsidTr="003A3808">
        <w:trPr>
          <w:gridAfter w:val="1"/>
          <w:wAfter w:w="24" w:type="dxa"/>
          <w:trHeight w:val="283"/>
          <w:jc w:val="center"/>
        </w:trPr>
        <w:tc>
          <w:tcPr>
            <w:tcW w:w="737" w:type="dxa"/>
            <w:tcBorders>
              <w:left w:val="single" w:sz="2" w:space="0" w:color="000000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3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Brandýs n. L.-St. Boleslav</w:t>
            </w:r>
          </w:p>
        </w:tc>
        <w:tc>
          <w:tcPr>
            <w:tcW w:w="144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Praha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2 417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1 912</w:t>
            </w:r>
          </w:p>
        </w:tc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505</w:t>
            </w:r>
          </w:p>
        </w:tc>
      </w:tr>
      <w:tr w:rsidR="00AB2200" w:rsidRPr="00AB2200" w:rsidTr="003A3808">
        <w:trPr>
          <w:gridAfter w:val="1"/>
          <w:wAfter w:w="24" w:type="dxa"/>
          <w:trHeight w:val="283"/>
          <w:jc w:val="center"/>
        </w:trPr>
        <w:tc>
          <w:tcPr>
            <w:tcW w:w="737" w:type="dxa"/>
            <w:tcBorders>
              <w:left w:val="single" w:sz="2" w:space="0" w:color="000000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3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Říčany</w:t>
            </w:r>
          </w:p>
        </w:tc>
        <w:tc>
          <w:tcPr>
            <w:tcW w:w="144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Praha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2 345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1 806</w:t>
            </w:r>
          </w:p>
        </w:tc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539</w:t>
            </w:r>
          </w:p>
        </w:tc>
      </w:tr>
      <w:tr w:rsidR="00AB2200" w:rsidRPr="00AB2200" w:rsidTr="003A3808">
        <w:trPr>
          <w:gridAfter w:val="1"/>
          <w:wAfter w:w="24" w:type="dxa"/>
          <w:trHeight w:val="283"/>
          <w:jc w:val="center"/>
        </w:trPr>
        <w:tc>
          <w:tcPr>
            <w:tcW w:w="737" w:type="dxa"/>
            <w:tcBorders>
              <w:left w:val="single" w:sz="2" w:space="0" w:color="000000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3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Kuřim</w:t>
            </w:r>
          </w:p>
        </w:tc>
        <w:tc>
          <w:tcPr>
            <w:tcW w:w="144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Brno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2 332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1 797</w:t>
            </w:r>
          </w:p>
        </w:tc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535</w:t>
            </w:r>
          </w:p>
        </w:tc>
      </w:tr>
      <w:tr w:rsidR="00AB2200" w:rsidRPr="00AB2200" w:rsidTr="003A3808">
        <w:trPr>
          <w:gridAfter w:val="1"/>
          <w:wAfter w:w="24" w:type="dxa"/>
          <w:trHeight w:val="283"/>
          <w:jc w:val="center"/>
        </w:trPr>
        <w:tc>
          <w:tcPr>
            <w:tcW w:w="737" w:type="dxa"/>
            <w:tcBorders>
              <w:left w:val="single" w:sz="2" w:space="0" w:color="000000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3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Jablonec nad Nisou</w:t>
            </w:r>
          </w:p>
        </w:tc>
        <w:tc>
          <w:tcPr>
            <w:tcW w:w="144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Liberec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2 327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1 653</w:t>
            </w:r>
          </w:p>
        </w:tc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674</w:t>
            </w:r>
          </w:p>
        </w:tc>
      </w:tr>
      <w:tr w:rsidR="00AB2200" w:rsidRPr="00AB2200" w:rsidTr="003A3808">
        <w:trPr>
          <w:gridAfter w:val="1"/>
          <w:wAfter w:w="24" w:type="dxa"/>
          <w:trHeight w:val="283"/>
          <w:jc w:val="center"/>
        </w:trPr>
        <w:tc>
          <w:tcPr>
            <w:tcW w:w="737" w:type="dxa"/>
            <w:tcBorders>
              <w:left w:val="single" w:sz="2" w:space="0" w:color="000000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3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Hostivice</w:t>
            </w:r>
          </w:p>
        </w:tc>
        <w:tc>
          <w:tcPr>
            <w:tcW w:w="144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Praha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2 146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1 604</w:t>
            </w:r>
          </w:p>
        </w:tc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542</w:t>
            </w:r>
          </w:p>
        </w:tc>
      </w:tr>
      <w:tr w:rsidR="00AB2200" w:rsidRPr="00AB2200" w:rsidTr="003A3808">
        <w:trPr>
          <w:gridAfter w:val="1"/>
          <w:wAfter w:w="24" w:type="dxa"/>
          <w:trHeight w:val="283"/>
          <w:jc w:val="center"/>
        </w:trPr>
        <w:tc>
          <w:tcPr>
            <w:tcW w:w="737" w:type="dxa"/>
            <w:tcBorders>
              <w:left w:val="single" w:sz="2" w:space="0" w:color="000000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3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Beroun</w:t>
            </w:r>
          </w:p>
        </w:tc>
        <w:tc>
          <w:tcPr>
            <w:tcW w:w="144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Praha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2 099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1 773</w:t>
            </w:r>
          </w:p>
        </w:tc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326</w:t>
            </w:r>
          </w:p>
        </w:tc>
      </w:tr>
      <w:tr w:rsidR="00AB2200" w:rsidRPr="00AB2200" w:rsidTr="003A3808">
        <w:trPr>
          <w:gridAfter w:val="1"/>
          <w:wAfter w:w="24" w:type="dxa"/>
          <w:trHeight w:val="283"/>
          <w:jc w:val="center"/>
        </w:trPr>
        <w:tc>
          <w:tcPr>
            <w:tcW w:w="737" w:type="dxa"/>
            <w:tcBorders>
              <w:left w:val="single" w:sz="2" w:space="0" w:color="000000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3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Jesenice</w:t>
            </w:r>
          </w:p>
        </w:tc>
        <w:tc>
          <w:tcPr>
            <w:tcW w:w="144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Praha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2 072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1 624</w:t>
            </w:r>
          </w:p>
        </w:tc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448</w:t>
            </w:r>
          </w:p>
        </w:tc>
      </w:tr>
      <w:tr w:rsidR="00AB2200" w:rsidRPr="00AB2200" w:rsidTr="003A3808">
        <w:trPr>
          <w:gridAfter w:val="1"/>
          <w:wAfter w:w="24" w:type="dxa"/>
          <w:trHeight w:val="283"/>
          <w:jc w:val="center"/>
        </w:trPr>
        <w:tc>
          <w:tcPr>
            <w:tcW w:w="737" w:type="dxa"/>
            <w:tcBorders>
              <w:left w:val="single" w:sz="2" w:space="0" w:color="000000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3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Neratovice</w:t>
            </w:r>
          </w:p>
        </w:tc>
        <w:tc>
          <w:tcPr>
            <w:tcW w:w="144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Praha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2 070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1 718</w:t>
            </w:r>
          </w:p>
        </w:tc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352</w:t>
            </w:r>
          </w:p>
        </w:tc>
      </w:tr>
      <w:tr w:rsidR="00AB2200" w:rsidRPr="00AB2200" w:rsidTr="003A3808">
        <w:trPr>
          <w:gridAfter w:val="1"/>
          <w:wAfter w:w="24" w:type="dxa"/>
          <w:trHeight w:val="283"/>
          <w:jc w:val="center"/>
        </w:trPr>
        <w:tc>
          <w:tcPr>
            <w:tcW w:w="737" w:type="dxa"/>
            <w:tcBorders>
              <w:left w:val="single" w:sz="2" w:space="0" w:color="000000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3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Jirkov</w:t>
            </w:r>
          </w:p>
        </w:tc>
        <w:tc>
          <w:tcPr>
            <w:tcW w:w="144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Chomutov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2 066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1 641</w:t>
            </w:r>
          </w:p>
        </w:tc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425</w:t>
            </w:r>
          </w:p>
        </w:tc>
      </w:tr>
      <w:tr w:rsidR="00AB2200" w:rsidRPr="00AB2200" w:rsidTr="003A3808">
        <w:trPr>
          <w:gridAfter w:val="1"/>
          <w:wAfter w:w="24" w:type="dxa"/>
          <w:trHeight w:val="283"/>
          <w:jc w:val="center"/>
        </w:trPr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324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Hlučín</w:t>
            </w:r>
          </w:p>
        </w:tc>
        <w:tc>
          <w:tcPr>
            <w:tcW w:w="1445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Ostrava</w:t>
            </w:r>
          </w:p>
        </w:tc>
        <w:tc>
          <w:tcPr>
            <w:tcW w:w="1202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2 025</w:t>
            </w:r>
          </w:p>
        </w:tc>
        <w:tc>
          <w:tcPr>
            <w:tcW w:w="1202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1 657</w:t>
            </w:r>
          </w:p>
        </w:tc>
        <w:tc>
          <w:tcPr>
            <w:tcW w:w="1203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AB2200" w:rsidRPr="00AB2200" w:rsidRDefault="00AB2200" w:rsidP="00AB22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B2200">
              <w:rPr>
                <w:rFonts w:cs="Arial"/>
                <w:color w:val="000000"/>
                <w:sz w:val="16"/>
                <w:szCs w:val="16"/>
              </w:rPr>
              <w:t>368</w:t>
            </w:r>
          </w:p>
        </w:tc>
      </w:tr>
    </w:tbl>
    <w:p w:rsidR="00A8520C" w:rsidRDefault="006F32E5" w:rsidP="00A8520C">
      <w:pPr>
        <w:spacing w:before="360" w:after="240"/>
        <w:rPr>
          <w:rFonts w:cs="Arial"/>
          <w:sz w:val="20"/>
          <w:szCs w:val="20"/>
        </w:rPr>
      </w:pPr>
      <w:r w:rsidRPr="00EC761E">
        <w:rPr>
          <w:rFonts w:cs="Arial"/>
          <w:sz w:val="20"/>
          <w:szCs w:val="20"/>
        </w:rPr>
        <w:t xml:space="preserve">Při sčítání </w:t>
      </w:r>
      <w:r>
        <w:rPr>
          <w:rFonts w:cs="Arial"/>
          <w:sz w:val="20"/>
          <w:szCs w:val="20"/>
        </w:rPr>
        <w:t xml:space="preserve">v roce </w:t>
      </w:r>
      <w:r w:rsidRPr="00EC761E">
        <w:rPr>
          <w:rFonts w:cs="Arial"/>
          <w:sz w:val="20"/>
          <w:szCs w:val="20"/>
        </w:rPr>
        <w:t>2011 byly již tradičně zjišťovány i další charakteristiky dojížďky do zaměstnání a do škol</w:t>
      </w:r>
      <w:r>
        <w:rPr>
          <w:rFonts w:cs="Arial"/>
          <w:sz w:val="20"/>
          <w:szCs w:val="20"/>
        </w:rPr>
        <w:t>, které ilustrují její diferenciaci podle pohlaví, věku, odvětví ekonomické činnosti, ale i užívaného dopravního prostředku a doby strávené na cestě.</w:t>
      </w:r>
      <w:r w:rsidR="00A8520C">
        <w:rPr>
          <w:rFonts w:cs="Arial"/>
          <w:sz w:val="20"/>
          <w:szCs w:val="20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766"/>
        <w:gridCol w:w="809"/>
        <w:gridCol w:w="809"/>
        <w:gridCol w:w="809"/>
        <w:gridCol w:w="809"/>
        <w:gridCol w:w="808"/>
        <w:gridCol w:w="809"/>
        <w:gridCol w:w="809"/>
        <w:gridCol w:w="809"/>
        <w:gridCol w:w="809"/>
      </w:tblGrid>
      <w:tr w:rsidR="00C04AF8" w:rsidRPr="00C04AF8" w:rsidTr="003A3808">
        <w:trPr>
          <w:trHeight w:val="283"/>
          <w:jc w:val="center"/>
        </w:trPr>
        <w:tc>
          <w:tcPr>
            <w:tcW w:w="9046" w:type="dxa"/>
            <w:gridSpan w:val="10"/>
            <w:tcBorders>
              <w:bottom w:val="single" w:sz="2" w:space="0" w:color="000000"/>
            </w:tcBorders>
            <w:vAlign w:val="center"/>
          </w:tcPr>
          <w:p w:rsidR="00C04AF8" w:rsidRPr="00C04AF8" w:rsidRDefault="00C04AF8" w:rsidP="00C04AF8">
            <w:pPr>
              <w:autoSpaceDE w:val="0"/>
              <w:autoSpaceDN w:val="0"/>
              <w:adjustRightInd w:val="0"/>
              <w:spacing w:after="12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04AF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Meziobecní vyjížďka do zaměstnání podle pohlaví, věku a typu vyjížďky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k 26. 3. 2011 </w:t>
            </w:r>
            <w:r w:rsidRPr="00C04AF8">
              <w:rPr>
                <w:rFonts w:cs="Arial"/>
                <w:b/>
                <w:bCs/>
                <w:color w:val="000000"/>
                <w:sz w:val="20"/>
                <w:szCs w:val="20"/>
              </w:rPr>
              <w:t>v %</w:t>
            </w:r>
          </w:p>
        </w:tc>
      </w:tr>
      <w:tr w:rsidR="00C04AF8" w:rsidRPr="00C04AF8" w:rsidTr="003A3808">
        <w:trPr>
          <w:trHeight w:val="340"/>
          <w:jc w:val="center"/>
        </w:trPr>
        <w:tc>
          <w:tcPr>
            <w:tcW w:w="17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auto"/>
            </w:tcBorders>
            <w:vAlign w:val="center"/>
          </w:tcPr>
          <w:p w:rsidR="00C04AF8" w:rsidRPr="00C04AF8" w:rsidRDefault="00C04AF8" w:rsidP="00C04AF8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Typ vyjížďky</w:t>
            </w:r>
          </w:p>
        </w:tc>
        <w:tc>
          <w:tcPr>
            <w:tcW w:w="2427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AF8" w:rsidRPr="00C04AF8" w:rsidRDefault="00C04AF8" w:rsidP="00C04AF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Vyjíždějící z obce bydliště</w:t>
            </w:r>
          </w:p>
        </w:tc>
        <w:tc>
          <w:tcPr>
            <w:tcW w:w="4853" w:type="dxa"/>
            <w:gridSpan w:val="6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C04AF8" w:rsidRPr="00C04AF8" w:rsidRDefault="00C04AF8" w:rsidP="00A8520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 xml:space="preserve">z úhrnu vyjíždějících </w:t>
            </w:r>
            <w:r w:rsidR="00A8520C">
              <w:rPr>
                <w:rFonts w:cs="Arial"/>
                <w:color w:val="000000"/>
                <w:sz w:val="16"/>
                <w:szCs w:val="16"/>
              </w:rPr>
              <w:t xml:space="preserve">do </w:t>
            </w:r>
            <w:r w:rsidRPr="00C04AF8">
              <w:rPr>
                <w:rFonts w:cs="Arial"/>
                <w:color w:val="000000"/>
                <w:sz w:val="16"/>
                <w:szCs w:val="16"/>
              </w:rPr>
              <w:t>zaměstn</w:t>
            </w:r>
            <w:r w:rsidR="00A8520C">
              <w:rPr>
                <w:rFonts w:cs="Arial"/>
                <w:color w:val="000000"/>
                <w:sz w:val="16"/>
                <w:szCs w:val="16"/>
              </w:rPr>
              <w:t>á</w:t>
            </w:r>
            <w:r w:rsidRPr="00C04AF8">
              <w:rPr>
                <w:rFonts w:cs="Arial"/>
                <w:color w:val="000000"/>
                <w:sz w:val="16"/>
                <w:szCs w:val="16"/>
              </w:rPr>
              <w:t>ní</w:t>
            </w:r>
            <w:r w:rsidR="00A8520C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C04AF8">
              <w:rPr>
                <w:rFonts w:cs="Arial"/>
                <w:color w:val="000000"/>
                <w:sz w:val="16"/>
                <w:szCs w:val="16"/>
              </w:rPr>
              <w:t>ve věku</w:t>
            </w:r>
          </w:p>
        </w:tc>
      </w:tr>
      <w:tr w:rsidR="00C04AF8" w:rsidRPr="00C04AF8" w:rsidTr="003A3808">
        <w:trPr>
          <w:trHeight w:val="340"/>
          <w:jc w:val="center"/>
        </w:trPr>
        <w:tc>
          <w:tcPr>
            <w:tcW w:w="1766" w:type="dxa"/>
            <w:vMerge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04AF8" w:rsidRPr="00C04AF8" w:rsidRDefault="00C04AF8" w:rsidP="00C04AF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AF8" w:rsidRPr="00C04AF8" w:rsidRDefault="00C04AF8" w:rsidP="00C04AF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úhrnem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AF8" w:rsidRPr="00C04AF8" w:rsidRDefault="00C04AF8" w:rsidP="00C04AF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muži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AF8" w:rsidRPr="00C04AF8" w:rsidRDefault="00C04AF8" w:rsidP="00C04AF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ženy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AF8" w:rsidRPr="00C04AF8" w:rsidRDefault="00C04AF8" w:rsidP="00C04AF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15 - 24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AF8" w:rsidRPr="00C04AF8" w:rsidRDefault="00C04AF8" w:rsidP="00C04AF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25 - 29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AF8" w:rsidRPr="00C04AF8" w:rsidRDefault="00C04AF8" w:rsidP="00C04AF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30 - 39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AF8" w:rsidRPr="00C04AF8" w:rsidRDefault="00C04AF8" w:rsidP="00C04AF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40 - 49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AF8" w:rsidRPr="00C04AF8" w:rsidRDefault="00C04AF8" w:rsidP="00C04AF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50 - 59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C04AF8" w:rsidRPr="00C04AF8" w:rsidRDefault="00C04AF8" w:rsidP="00C04AF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60 a více</w:t>
            </w:r>
          </w:p>
        </w:tc>
      </w:tr>
      <w:tr w:rsidR="00C04AF8" w:rsidRPr="00C04AF8" w:rsidTr="0076469C">
        <w:trPr>
          <w:trHeight w:val="340"/>
          <w:jc w:val="center"/>
        </w:trPr>
        <w:tc>
          <w:tcPr>
            <w:tcW w:w="1766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  <w:vAlign w:val="center"/>
          </w:tcPr>
          <w:p w:rsidR="00C04AF8" w:rsidRPr="00C04AF8" w:rsidRDefault="00C04AF8" w:rsidP="00C04AF8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b/>
                <w:color w:val="000000"/>
                <w:sz w:val="16"/>
                <w:szCs w:val="16"/>
              </w:rPr>
              <w:t>Vyjíždějící celkem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4AF8" w:rsidRPr="00C04AF8" w:rsidRDefault="00C04AF8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4AF8" w:rsidRPr="00C04AF8" w:rsidRDefault="00C04AF8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b/>
                <w:color w:val="000000"/>
                <w:sz w:val="16"/>
                <w:szCs w:val="16"/>
              </w:rPr>
              <w:t>56,4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4AF8" w:rsidRPr="00C04AF8" w:rsidRDefault="00C04AF8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b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4AF8" w:rsidRPr="00C04AF8" w:rsidRDefault="00C04AF8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b/>
                <w:color w:val="000000"/>
                <w:sz w:val="16"/>
                <w:szCs w:val="16"/>
              </w:rPr>
              <w:t>7,5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4AF8" w:rsidRPr="00C04AF8" w:rsidRDefault="00C04AF8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b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4AF8" w:rsidRPr="00C04AF8" w:rsidRDefault="00C04AF8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b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4AF8" w:rsidRPr="00C04AF8" w:rsidRDefault="00C04AF8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b/>
                <w:color w:val="000000"/>
                <w:sz w:val="16"/>
                <w:szCs w:val="16"/>
              </w:rPr>
              <w:t>24,7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4AF8" w:rsidRPr="00C04AF8" w:rsidRDefault="00C04AF8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b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vAlign w:val="center"/>
          </w:tcPr>
          <w:p w:rsidR="00C04AF8" w:rsidRPr="00C04AF8" w:rsidRDefault="00C04AF8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b/>
                <w:color w:val="000000"/>
                <w:sz w:val="16"/>
                <w:szCs w:val="16"/>
              </w:rPr>
              <w:t>3,4</w:t>
            </w:r>
          </w:p>
        </w:tc>
      </w:tr>
      <w:tr w:rsidR="00C04AF8" w:rsidRPr="00C04AF8" w:rsidTr="003A3808">
        <w:trPr>
          <w:trHeight w:val="340"/>
          <w:jc w:val="center"/>
        </w:trPr>
        <w:tc>
          <w:tcPr>
            <w:tcW w:w="90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AF8" w:rsidRPr="00C04AF8" w:rsidRDefault="00C04AF8" w:rsidP="00C04AF8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b/>
                <w:color w:val="000000"/>
                <w:sz w:val="16"/>
                <w:szCs w:val="16"/>
              </w:rPr>
              <w:t>Struktura podle pohlaví a věku</w:t>
            </w:r>
          </w:p>
        </w:tc>
      </w:tr>
      <w:tr w:rsidR="00A8520C" w:rsidRPr="00C04AF8" w:rsidTr="00143192">
        <w:trPr>
          <w:trHeight w:val="340"/>
          <w:jc w:val="center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ind w:left="113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8520C">
              <w:rPr>
                <w:rFonts w:cs="Arial"/>
                <w:color w:val="000000"/>
                <w:sz w:val="16"/>
                <w:szCs w:val="16"/>
              </w:rPr>
              <w:t>v rámci okresu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A8520C" w:rsidRDefault="00A8520C" w:rsidP="00A247B1">
            <w:pPr>
              <w:jc w:val="right"/>
              <w:rPr>
                <w:rFonts w:cs="Arial"/>
                <w:sz w:val="16"/>
                <w:szCs w:val="16"/>
              </w:rPr>
            </w:pPr>
            <w:r w:rsidRPr="00A8520C"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A8520C" w:rsidRDefault="00A8520C" w:rsidP="00A247B1">
            <w:pPr>
              <w:jc w:val="right"/>
              <w:rPr>
                <w:rFonts w:cs="Arial"/>
                <w:sz w:val="16"/>
                <w:szCs w:val="16"/>
              </w:rPr>
            </w:pPr>
            <w:r w:rsidRPr="00A8520C">
              <w:rPr>
                <w:rFonts w:cs="Arial"/>
                <w:sz w:val="16"/>
                <w:szCs w:val="16"/>
              </w:rPr>
              <w:t>52,9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A8520C" w:rsidRDefault="00A8520C" w:rsidP="00A247B1">
            <w:pPr>
              <w:jc w:val="right"/>
              <w:rPr>
                <w:rFonts w:cs="Arial"/>
                <w:sz w:val="16"/>
                <w:szCs w:val="16"/>
              </w:rPr>
            </w:pPr>
            <w:r w:rsidRPr="00A8520C">
              <w:rPr>
                <w:rFonts w:cs="Arial"/>
                <w:sz w:val="16"/>
                <w:szCs w:val="16"/>
              </w:rPr>
              <w:t>47,1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A8520C" w:rsidRDefault="00A8520C" w:rsidP="00A247B1">
            <w:pPr>
              <w:jc w:val="right"/>
              <w:rPr>
                <w:rFonts w:cs="Arial"/>
                <w:sz w:val="16"/>
                <w:szCs w:val="16"/>
              </w:rPr>
            </w:pPr>
            <w:r w:rsidRPr="00A8520C">
              <w:rPr>
                <w:rFonts w:cs="Arial"/>
                <w:sz w:val="16"/>
                <w:szCs w:val="16"/>
              </w:rPr>
              <w:t>7,2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A8520C" w:rsidRDefault="00A8520C" w:rsidP="00A247B1">
            <w:pPr>
              <w:jc w:val="right"/>
              <w:rPr>
                <w:rFonts w:cs="Arial"/>
                <w:sz w:val="16"/>
                <w:szCs w:val="16"/>
              </w:rPr>
            </w:pPr>
            <w:r w:rsidRPr="00A8520C">
              <w:rPr>
                <w:rFonts w:cs="Arial"/>
                <w:sz w:val="16"/>
                <w:szCs w:val="16"/>
              </w:rPr>
              <w:t>10,9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A8520C" w:rsidRDefault="00A8520C" w:rsidP="00A247B1">
            <w:pPr>
              <w:jc w:val="right"/>
              <w:rPr>
                <w:rFonts w:cs="Arial"/>
                <w:sz w:val="16"/>
                <w:szCs w:val="16"/>
              </w:rPr>
            </w:pPr>
            <w:r w:rsidRPr="00A8520C">
              <w:rPr>
                <w:rFonts w:cs="Arial"/>
                <w:sz w:val="16"/>
                <w:szCs w:val="16"/>
              </w:rPr>
              <w:t>31,2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A8520C" w:rsidRDefault="00A8520C" w:rsidP="00A247B1">
            <w:pPr>
              <w:jc w:val="right"/>
              <w:rPr>
                <w:rFonts w:cs="Arial"/>
                <w:sz w:val="16"/>
                <w:szCs w:val="16"/>
              </w:rPr>
            </w:pPr>
            <w:r w:rsidRPr="00A8520C">
              <w:rPr>
                <w:rFonts w:cs="Arial"/>
                <w:sz w:val="16"/>
                <w:szCs w:val="16"/>
              </w:rPr>
              <w:t>26,8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A8520C" w:rsidRDefault="00A8520C" w:rsidP="00A247B1">
            <w:pPr>
              <w:jc w:val="right"/>
              <w:rPr>
                <w:rFonts w:cs="Arial"/>
                <w:sz w:val="16"/>
                <w:szCs w:val="16"/>
              </w:rPr>
            </w:pPr>
            <w:r w:rsidRPr="00A8520C">
              <w:rPr>
                <w:rFonts w:cs="Arial"/>
                <w:sz w:val="16"/>
                <w:szCs w:val="16"/>
              </w:rPr>
              <w:t>20,5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  <w:vAlign w:val="center"/>
          </w:tcPr>
          <w:p w:rsidR="00A8520C" w:rsidRPr="00A8520C" w:rsidRDefault="00A8520C" w:rsidP="00A247B1">
            <w:pPr>
              <w:jc w:val="right"/>
              <w:rPr>
                <w:rFonts w:cs="Arial"/>
                <w:sz w:val="16"/>
                <w:szCs w:val="16"/>
              </w:rPr>
            </w:pPr>
            <w:r w:rsidRPr="00A8520C">
              <w:rPr>
                <w:rFonts w:cs="Arial"/>
                <w:sz w:val="16"/>
                <w:szCs w:val="16"/>
              </w:rPr>
              <w:t>3,4</w:t>
            </w:r>
          </w:p>
        </w:tc>
      </w:tr>
      <w:tr w:rsidR="00A8520C" w:rsidRPr="00C04AF8" w:rsidTr="00143192">
        <w:trPr>
          <w:trHeight w:val="340"/>
          <w:jc w:val="center"/>
        </w:trPr>
        <w:tc>
          <w:tcPr>
            <w:tcW w:w="1766" w:type="dxa"/>
            <w:tcBorders>
              <w:left w:val="single" w:sz="2" w:space="0" w:color="000000"/>
              <w:right w:val="single" w:sz="6" w:space="0" w:color="auto"/>
            </w:tcBorders>
            <w:vAlign w:val="center"/>
          </w:tcPr>
          <w:p w:rsidR="002A18C0" w:rsidRDefault="00A8520C" w:rsidP="002A18C0">
            <w:pPr>
              <w:autoSpaceDE w:val="0"/>
              <w:autoSpaceDN w:val="0"/>
              <w:adjustRightInd w:val="0"/>
              <w:ind w:left="113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do jiných okresů</w:t>
            </w:r>
          </w:p>
          <w:p w:rsidR="00A8520C" w:rsidRPr="00C04AF8" w:rsidRDefault="00A8520C" w:rsidP="002A18C0">
            <w:pPr>
              <w:autoSpaceDE w:val="0"/>
              <w:autoSpaceDN w:val="0"/>
              <w:adjustRightInd w:val="0"/>
              <w:ind w:left="113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kraje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59,4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40,6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33,0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2" w:space="0" w:color="000000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3,3</w:t>
            </w:r>
          </w:p>
        </w:tc>
      </w:tr>
      <w:tr w:rsidR="00A8520C" w:rsidRPr="00C04AF8" w:rsidTr="00143192">
        <w:trPr>
          <w:trHeight w:val="340"/>
          <w:jc w:val="center"/>
        </w:trPr>
        <w:tc>
          <w:tcPr>
            <w:tcW w:w="1766" w:type="dxa"/>
            <w:tcBorders>
              <w:left w:val="single" w:sz="2" w:space="0" w:color="000000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ind w:left="113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do jiných krajů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39,0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35,6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2" w:space="0" w:color="000000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3,7</w:t>
            </w:r>
          </w:p>
        </w:tc>
      </w:tr>
      <w:tr w:rsidR="00A8520C" w:rsidRPr="00C04AF8" w:rsidTr="00143192">
        <w:trPr>
          <w:trHeight w:val="340"/>
          <w:jc w:val="center"/>
        </w:trPr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ind w:left="113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mimo ČR</w:t>
            </w:r>
          </w:p>
        </w:tc>
        <w:tc>
          <w:tcPr>
            <w:tcW w:w="809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09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60,8</w:t>
            </w:r>
          </w:p>
        </w:tc>
        <w:tc>
          <w:tcPr>
            <w:tcW w:w="809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39,2</w:t>
            </w:r>
          </w:p>
        </w:tc>
        <w:tc>
          <w:tcPr>
            <w:tcW w:w="809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809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39,2</w:t>
            </w:r>
          </w:p>
        </w:tc>
        <w:tc>
          <w:tcPr>
            <w:tcW w:w="809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809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809" w:type="dxa"/>
            <w:tcBorders>
              <w:left w:val="single" w:sz="6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2,5</w:t>
            </w:r>
          </w:p>
        </w:tc>
      </w:tr>
      <w:tr w:rsidR="00A8520C" w:rsidRPr="00C04AF8" w:rsidTr="003A3808">
        <w:trPr>
          <w:trHeight w:val="340"/>
          <w:jc w:val="center"/>
        </w:trPr>
        <w:tc>
          <w:tcPr>
            <w:tcW w:w="90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04AF8">
              <w:rPr>
                <w:rFonts w:cs="Arial"/>
                <w:b/>
                <w:color w:val="000000"/>
                <w:sz w:val="16"/>
                <w:szCs w:val="16"/>
              </w:rPr>
              <w:t>Struktura podle typu vyjížďky</w:t>
            </w:r>
          </w:p>
        </w:tc>
      </w:tr>
      <w:tr w:rsidR="00A8520C" w:rsidRPr="00C04AF8" w:rsidTr="00143192">
        <w:trPr>
          <w:trHeight w:val="340"/>
          <w:jc w:val="center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ind w:left="113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v rámci okresu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52,4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56,7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50,7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49,9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56,7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59,6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52,5</w:t>
            </w:r>
          </w:p>
        </w:tc>
      </w:tr>
      <w:tr w:rsidR="00A8520C" w:rsidRPr="00C04AF8" w:rsidTr="00143192">
        <w:trPr>
          <w:trHeight w:val="340"/>
          <w:jc w:val="center"/>
        </w:trPr>
        <w:tc>
          <w:tcPr>
            <w:tcW w:w="1766" w:type="dxa"/>
            <w:tcBorders>
              <w:left w:val="single" w:sz="2" w:space="0" w:color="000000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ind w:left="113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do jiných okresů kr</w:t>
            </w:r>
            <w:r w:rsidRPr="00C04AF8">
              <w:rPr>
                <w:rFonts w:cs="Arial"/>
                <w:color w:val="000000"/>
                <w:sz w:val="16"/>
                <w:szCs w:val="16"/>
              </w:rPr>
              <w:t>a</w:t>
            </w:r>
            <w:r w:rsidRPr="00C04AF8">
              <w:rPr>
                <w:rFonts w:cs="Arial"/>
                <w:color w:val="000000"/>
                <w:sz w:val="16"/>
                <w:szCs w:val="16"/>
              </w:rPr>
              <w:t>je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21,3</w:t>
            </w:r>
          </w:p>
        </w:tc>
      </w:tr>
      <w:tr w:rsidR="00A8520C" w:rsidRPr="00C04AF8" w:rsidTr="00143192">
        <w:trPr>
          <w:trHeight w:val="340"/>
          <w:jc w:val="center"/>
        </w:trPr>
        <w:tc>
          <w:tcPr>
            <w:tcW w:w="1766" w:type="dxa"/>
            <w:tcBorders>
              <w:left w:val="single" w:sz="2" w:space="0" w:color="000000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ind w:left="113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do jiných krajů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28,1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23,8</w:t>
            </w:r>
          </w:p>
        </w:tc>
      </w:tr>
      <w:tr w:rsidR="00A8520C" w:rsidRPr="00C04AF8" w:rsidTr="00143192">
        <w:trPr>
          <w:trHeight w:val="340"/>
          <w:jc w:val="center"/>
        </w:trPr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ind w:left="113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mimo ČR</w:t>
            </w:r>
          </w:p>
        </w:tc>
        <w:tc>
          <w:tcPr>
            <w:tcW w:w="809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809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09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809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809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809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09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09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A8520C" w:rsidRPr="00C04AF8" w:rsidRDefault="00A8520C" w:rsidP="00C04AF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04AF8">
              <w:rPr>
                <w:rFonts w:cs="Arial"/>
                <w:color w:val="000000"/>
                <w:sz w:val="16"/>
                <w:szCs w:val="16"/>
              </w:rPr>
              <w:t>2,4</w:t>
            </w:r>
          </w:p>
        </w:tc>
      </w:tr>
    </w:tbl>
    <w:p w:rsidR="006F32E5" w:rsidRDefault="006F32E5" w:rsidP="00632E94">
      <w:pPr>
        <w:spacing w:before="240" w:after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 celkovém počtu vyjíždějících zaměstnaných osob převažovali tradičně muži</w:t>
      </w:r>
      <w:r w:rsidR="00231F90">
        <w:rPr>
          <w:rFonts w:cs="Arial"/>
          <w:sz w:val="20"/>
          <w:szCs w:val="20"/>
        </w:rPr>
        <w:t xml:space="preserve"> nad ženami (641 tis., tj. 56,4 </w:t>
      </w:r>
      <w:r>
        <w:rPr>
          <w:rFonts w:cs="Arial"/>
          <w:sz w:val="20"/>
          <w:szCs w:val="20"/>
        </w:rPr>
        <w:t xml:space="preserve">%, resp. 496 tis., tj. 43,6 %). Věkovou skupinou nejvyšší pracovní mobilitou </w:t>
      </w:r>
      <w:r w:rsidR="00231F90">
        <w:rPr>
          <w:rFonts w:cs="Arial"/>
          <w:sz w:val="20"/>
          <w:szCs w:val="20"/>
        </w:rPr>
        <w:t>byli zaměstnaní ve věku 35 – 39 </w:t>
      </w:r>
      <w:r>
        <w:rPr>
          <w:rFonts w:cs="Arial"/>
          <w:sz w:val="20"/>
          <w:szCs w:val="20"/>
        </w:rPr>
        <w:t>let, kteří tvořili zhruba třetinu všech vyjíždějících. Se zvyšujícím se věkem se podíl vyjíždějících sn</w:t>
      </w:r>
      <w:r>
        <w:rPr>
          <w:rFonts w:cs="Arial"/>
          <w:sz w:val="20"/>
          <w:szCs w:val="20"/>
        </w:rPr>
        <w:t>i</w:t>
      </w:r>
      <w:r>
        <w:rPr>
          <w:rFonts w:cs="Arial"/>
          <w:sz w:val="20"/>
          <w:szCs w:val="20"/>
        </w:rPr>
        <w:t>žoval s prudkým zlomem mezi skupinami 50 – 59 a 60 a více let – tato skupina zahrnuje rovněž naprostou většinu pracujících důchodců, jejichž mobilita je z pochopitelných důvodů mnohem nižší.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438"/>
        <w:gridCol w:w="766"/>
        <w:gridCol w:w="766"/>
        <w:gridCol w:w="765"/>
        <w:gridCol w:w="766"/>
        <w:gridCol w:w="765"/>
        <w:gridCol w:w="766"/>
        <w:gridCol w:w="766"/>
        <w:gridCol w:w="766"/>
        <w:gridCol w:w="766"/>
      </w:tblGrid>
      <w:tr w:rsidR="00F40531" w:rsidRPr="00F40531" w:rsidTr="0076469C">
        <w:trPr>
          <w:trHeight w:val="567"/>
          <w:jc w:val="center"/>
        </w:trPr>
        <w:tc>
          <w:tcPr>
            <w:tcW w:w="9330" w:type="dxa"/>
            <w:gridSpan w:val="10"/>
            <w:tcBorders>
              <w:bottom w:val="single" w:sz="4" w:space="0" w:color="auto"/>
            </w:tcBorders>
            <w:vAlign w:val="center"/>
          </w:tcPr>
          <w:p w:rsidR="00F40531" w:rsidRPr="00F40531" w:rsidRDefault="00F40531" w:rsidP="00400F7C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F40531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M</w:t>
            </w:r>
            <w:r w:rsidR="00400F7C">
              <w:rPr>
                <w:rFonts w:cs="Arial"/>
                <w:b/>
                <w:bCs/>
                <w:color w:val="000000"/>
                <w:sz w:val="20"/>
                <w:szCs w:val="20"/>
              </w:rPr>
              <w:t>ezi</w:t>
            </w:r>
            <w:r w:rsidRPr="00F40531">
              <w:rPr>
                <w:rFonts w:cs="Arial"/>
                <w:b/>
                <w:bCs/>
                <w:color w:val="000000"/>
                <w:sz w:val="20"/>
                <w:szCs w:val="20"/>
              </w:rPr>
              <w:t>obecní</w:t>
            </w:r>
            <w:proofErr w:type="spellEnd"/>
            <w:r w:rsidRPr="00F4053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vyjížďka do zaměstnání podle odvětví ekonomické činnosti</w:t>
            </w:r>
            <w:r w:rsidRPr="00F40531">
              <w:rPr>
                <w:rFonts w:cs="Arial"/>
                <w:b/>
                <w:bCs/>
                <w:sz w:val="20"/>
                <w:szCs w:val="20"/>
              </w:rPr>
              <w:t xml:space="preserve"> a frekvence vyjížďky k 26. 3. 2011 v %</w:t>
            </w:r>
          </w:p>
        </w:tc>
      </w:tr>
      <w:tr w:rsidR="00632E94" w:rsidRPr="00F40531" w:rsidTr="0076469C">
        <w:trPr>
          <w:trHeight w:val="283"/>
          <w:jc w:val="center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E94" w:rsidRPr="00F40531" w:rsidRDefault="00632E94" w:rsidP="00F40531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Typ vyjížďky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E94" w:rsidRPr="00F40531" w:rsidRDefault="00632E94" w:rsidP="00632E9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Vyjížd</w:t>
            </w:r>
            <w:r w:rsidRPr="00F40531">
              <w:rPr>
                <w:rFonts w:cs="Arial"/>
                <w:color w:val="000000"/>
                <w:sz w:val="16"/>
                <w:szCs w:val="16"/>
              </w:rPr>
              <w:t>ě</w:t>
            </w:r>
            <w:r w:rsidRPr="00F40531">
              <w:rPr>
                <w:rFonts w:cs="Arial"/>
                <w:color w:val="000000"/>
                <w:sz w:val="16"/>
                <w:szCs w:val="16"/>
              </w:rPr>
              <w:t>jící</w:t>
            </w:r>
            <w:r w:rsidRPr="00632E9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F40531">
              <w:rPr>
                <w:rFonts w:cs="Arial"/>
                <w:color w:val="000000"/>
                <w:sz w:val="16"/>
                <w:szCs w:val="16"/>
              </w:rPr>
              <w:t>do</w:t>
            </w:r>
            <w:r w:rsidRPr="00632E9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F40531">
              <w:rPr>
                <w:rFonts w:cs="Arial"/>
                <w:color w:val="000000"/>
                <w:sz w:val="16"/>
                <w:szCs w:val="16"/>
              </w:rPr>
              <w:t>zaměst-nání úhrnem</w:t>
            </w:r>
          </w:p>
        </w:tc>
        <w:tc>
          <w:tcPr>
            <w:tcW w:w="5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4" w:rsidRPr="00632E94" w:rsidRDefault="00632E94" w:rsidP="00632E9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z toho odvětví ekonomické činnosti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E94" w:rsidRPr="00F40531" w:rsidRDefault="00632E94" w:rsidP="00632E9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Z úhrnu vyjížd</w:t>
            </w:r>
            <w:r w:rsidRPr="00F40531">
              <w:rPr>
                <w:rFonts w:cs="Arial"/>
                <w:color w:val="000000"/>
                <w:sz w:val="16"/>
                <w:szCs w:val="16"/>
              </w:rPr>
              <w:t>ě</w:t>
            </w:r>
            <w:r w:rsidRPr="00F40531">
              <w:rPr>
                <w:rFonts w:cs="Arial"/>
                <w:color w:val="000000"/>
                <w:sz w:val="16"/>
                <w:szCs w:val="16"/>
              </w:rPr>
              <w:t>jíc</w:t>
            </w:r>
            <w:r w:rsidRPr="00632E94">
              <w:rPr>
                <w:rFonts w:cs="Arial"/>
                <w:color w:val="000000"/>
                <w:sz w:val="16"/>
                <w:szCs w:val="16"/>
              </w:rPr>
              <w:t xml:space="preserve">í </w:t>
            </w:r>
            <w:r w:rsidRPr="00F40531">
              <w:rPr>
                <w:rFonts w:cs="Arial"/>
                <w:color w:val="000000"/>
                <w:sz w:val="16"/>
                <w:szCs w:val="16"/>
              </w:rPr>
              <w:t>denně</w:t>
            </w:r>
          </w:p>
        </w:tc>
      </w:tr>
      <w:tr w:rsidR="00632E94" w:rsidRPr="00F40531" w:rsidTr="0076469C">
        <w:trPr>
          <w:trHeight w:val="835"/>
          <w:jc w:val="center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94" w:rsidRPr="00F40531" w:rsidRDefault="00632E94" w:rsidP="00F4053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94" w:rsidRPr="00F40531" w:rsidRDefault="00632E94" w:rsidP="00F4053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4" w:rsidRPr="00F40531" w:rsidRDefault="00632E94" w:rsidP="00632E9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země-dělství, lesnictví,</w:t>
            </w:r>
            <w:r w:rsidRPr="00632E9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F40531">
              <w:rPr>
                <w:rFonts w:cs="Arial"/>
                <w:color w:val="000000"/>
                <w:sz w:val="16"/>
                <w:szCs w:val="16"/>
              </w:rPr>
              <w:t>rybářství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4" w:rsidRPr="00F40531" w:rsidRDefault="00632E94" w:rsidP="00632E9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průmysl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4" w:rsidRPr="00F40531" w:rsidRDefault="00632E94" w:rsidP="00632E9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staveb-nictví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4" w:rsidRPr="00F40531" w:rsidRDefault="00632E94" w:rsidP="00632E9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obchod,</w:t>
            </w:r>
            <w:r w:rsidRPr="00632E9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F40531">
              <w:rPr>
                <w:rFonts w:cs="Arial"/>
                <w:color w:val="000000"/>
                <w:sz w:val="16"/>
                <w:szCs w:val="16"/>
              </w:rPr>
              <w:t>opr</w:t>
            </w:r>
            <w:r w:rsidRPr="00632E94">
              <w:rPr>
                <w:rFonts w:cs="Arial"/>
                <w:color w:val="000000"/>
                <w:sz w:val="16"/>
                <w:szCs w:val="16"/>
              </w:rPr>
              <w:t>a</w:t>
            </w:r>
            <w:r w:rsidRPr="00F40531">
              <w:rPr>
                <w:rFonts w:cs="Arial"/>
                <w:color w:val="000000"/>
                <w:sz w:val="16"/>
                <w:szCs w:val="16"/>
              </w:rPr>
              <w:t>vy motor. vozidel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4" w:rsidRPr="00F40531" w:rsidRDefault="00632E94" w:rsidP="00632E9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doprava</w:t>
            </w:r>
            <w:r w:rsidRPr="00632E9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F40531">
              <w:rPr>
                <w:rFonts w:cs="Arial"/>
                <w:color w:val="000000"/>
                <w:sz w:val="16"/>
                <w:szCs w:val="16"/>
              </w:rPr>
              <w:t>a skla-dování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4" w:rsidRPr="00F40531" w:rsidRDefault="00632E94" w:rsidP="00632E9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vzdělá-vání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4" w:rsidRPr="00F40531" w:rsidRDefault="00632E94" w:rsidP="00632E9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zdravo</w:t>
            </w:r>
            <w:r w:rsidRPr="00F40531">
              <w:rPr>
                <w:rFonts w:cs="Arial"/>
                <w:color w:val="000000"/>
                <w:sz w:val="16"/>
                <w:szCs w:val="16"/>
              </w:rPr>
              <w:t>t</w:t>
            </w:r>
            <w:r w:rsidRPr="00F40531">
              <w:rPr>
                <w:rFonts w:cs="Arial"/>
                <w:color w:val="000000"/>
                <w:sz w:val="16"/>
                <w:szCs w:val="16"/>
              </w:rPr>
              <w:t>ní a sociální péče</w:t>
            </w: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4" w:rsidRPr="00632E94" w:rsidRDefault="00632E94" w:rsidP="00632E9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40531" w:rsidRPr="00F40531" w:rsidTr="0076469C">
        <w:trPr>
          <w:trHeight w:val="358"/>
          <w:jc w:val="center"/>
        </w:trPr>
        <w:tc>
          <w:tcPr>
            <w:tcW w:w="24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b/>
                <w:color w:val="000000"/>
                <w:sz w:val="16"/>
                <w:szCs w:val="16"/>
              </w:rPr>
              <w:t>Vyjíždějící celkem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b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b/>
                <w:color w:val="000000"/>
                <w:sz w:val="16"/>
                <w:szCs w:val="16"/>
              </w:rPr>
              <w:t>33,1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b/>
                <w:color w:val="000000"/>
                <w:sz w:val="16"/>
                <w:szCs w:val="16"/>
              </w:rPr>
              <w:t>5,3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b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b/>
                <w:color w:val="000000"/>
                <w:sz w:val="16"/>
                <w:szCs w:val="16"/>
              </w:rPr>
              <w:t>7,0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b/>
                <w:color w:val="000000"/>
                <w:sz w:val="16"/>
                <w:szCs w:val="16"/>
              </w:rPr>
              <w:t>5,7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b/>
                <w:color w:val="000000"/>
                <w:sz w:val="16"/>
                <w:szCs w:val="16"/>
              </w:rPr>
              <w:t>7,3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b/>
                <w:color w:val="000000"/>
                <w:sz w:val="16"/>
                <w:szCs w:val="16"/>
              </w:rPr>
              <w:t>84,3</w:t>
            </w:r>
          </w:p>
        </w:tc>
      </w:tr>
      <w:tr w:rsidR="00632E94" w:rsidRPr="00F40531" w:rsidTr="0076469C">
        <w:trPr>
          <w:trHeight w:val="283"/>
          <w:jc w:val="center"/>
        </w:trPr>
        <w:tc>
          <w:tcPr>
            <w:tcW w:w="93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2E94" w:rsidRPr="00F40531" w:rsidRDefault="00632E94" w:rsidP="00632E94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b/>
                <w:color w:val="000000"/>
                <w:sz w:val="16"/>
                <w:szCs w:val="16"/>
              </w:rPr>
              <w:t xml:space="preserve">Struktura podle odvětví </w:t>
            </w:r>
          </w:p>
        </w:tc>
      </w:tr>
      <w:tr w:rsidR="00F40531" w:rsidRPr="00F40531" w:rsidTr="0076469C">
        <w:trPr>
          <w:trHeight w:val="257"/>
          <w:jc w:val="center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ind w:left="113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v rámci okresu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90,9</w:t>
            </w:r>
          </w:p>
        </w:tc>
      </w:tr>
      <w:tr w:rsidR="00F40531" w:rsidRPr="00F40531" w:rsidTr="0076469C">
        <w:trPr>
          <w:trHeight w:val="257"/>
          <w:jc w:val="center"/>
        </w:trPr>
        <w:tc>
          <w:tcPr>
            <w:tcW w:w="2438" w:type="dxa"/>
            <w:tcBorders>
              <w:left w:val="single" w:sz="2" w:space="0" w:color="000000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ind w:left="113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do jiných okresů kraje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33,0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2" w:space="0" w:color="000000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87,0</w:t>
            </w:r>
          </w:p>
        </w:tc>
      </w:tr>
      <w:tr w:rsidR="00F40531" w:rsidRPr="00F40531" w:rsidTr="0076469C">
        <w:trPr>
          <w:trHeight w:val="257"/>
          <w:jc w:val="center"/>
        </w:trPr>
        <w:tc>
          <w:tcPr>
            <w:tcW w:w="2438" w:type="dxa"/>
            <w:tcBorders>
              <w:left w:val="single" w:sz="2" w:space="0" w:color="000000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ind w:left="113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do jiných krajů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2" w:space="0" w:color="000000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72,1</w:t>
            </w:r>
          </w:p>
        </w:tc>
      </w:tr>
      <w:tr w:rsidR="00F40531" w:rsidRPr="00F40531" w:rsidTr="0076469C">
        <w:trPr>
          <w:trHeight w:val="257"/>
          <w:jc w:val="center"/>
        </w:trPr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ind w:left="113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mimo ČR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50,3</w:t>
            </w:r>
          </w:p>
        </w:tc>
      </w:tr>
      <w:tr w:rsidR="00632E94" w:rsidRPr="00F40531" w:rsidTr="0076469C">
        <w:trPr>
          <w:trHeight w:val="283"/>
          <w:jc w:val="center"/>
        </w:trPr>
        <w:tc>
          <w:tcPr>
            <w:tcW w:w="93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2E94" w:rsidRPr="00F40531" w:rsidRDefault="00632E94" w:rsidP="00632E94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b/>
                <w:color w:val="000000"/>
                <w:sz w:val="16"/>
                <w:szCs w:val="16"/>
              </w:rPr>
              <w:t>Struktura podle typu vyjížďky</w:t>
            </w:r>
          </w:p>
        </w:tc>
      </w:tr>
      <w:tr w:rsidR="00F40531" w:rsidRPr="00F40531" w:rsidTr="0076469C">
        <w:trPr>
          <w:trHeight w:val="257"/>
          <w:jc w:val="center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ind w:left="113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v rámci okresu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52,4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74,4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62,8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47,6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55,6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56,4</w:t>
            </w:r>
          </w:p>
        </w:tc>
      </w:tr>
      <w:tr w:rsidR="00F40531" w:rsidRPr="00F40531" w:rsidTr="0076469C">
        <w:trPr>
          <w:trHeight w:val="257"/>
          <w:jc w:val="center"/>
        </w:trPr>
        <w:tc>
          <w:tcPr>
            <w:tcW w:w="2438" w:type="dxa"/>
            <w:tcBorders>
              <w:left w:val="single" w:sz="2" w:space="0" w:color="000000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ind w:left="113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do jiných okresů kraje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2" w:space="0" w:color="000000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23,0</w:t>
            </w:r>
          </w:p>
        </w:tc>
      </w:tr>
      <w:tr w:rsidR="00F40531" w:rsidRPr="00F40531" w:rsidTr="0076469C">
        <w:trPr>
          <w:trHeight w:val="257"/>
          <w:jc w:val="center"/>
        </w:trPr>
        <w:tc>
          <w:tcPr>
            <w:tcW w:w="2438" w:type="dxa"/>
            <w:tcBorders>
              <w:left w:val="single" w:sz="2" w:space="0" w:color="000000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ind w:left="113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do jiných krajů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24,6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2" w:space="0" w:color="000000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18,6</w:t>
            </w:r>
          </w:p>
        </w:tc>
      </w:tr>
      <w:tr w:rsidR="00F40531" w:rsidRPr="00F40531" w:rsidTr="0076469C">
        <w:trPr>
          <w:trHeight w:val="257"/>
          <w:jc w:val="center"/>
        </w:trPr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ind w:left="113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mimo ČR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40531" w:rsidRPr="00F40531" w:rsidRDefault="00F40531" w:rsidP="00632E9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0531">
              <w:rPr>
                <w:rFonts w:cs="Arial"/>
                <w:color w:val="000000"/>
                <w:sz w:val="16"/>
                <w:szCs w:val="16"/>
              </w:rPr>
              <w:t>2,0</w:t>
            </w:r>
          </w:p>
        </w:tc>
      </w:tr>
    </w:tbl>
    <w:p w:rsidR="006F32E5" w:rsidRDefault="006F32E5" w:rsidP="0076469C">
      <w:pPr>
        <w:spacing w:before="24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Největší podíl na meziobecní vyjížďce do zaměstnání stále patří průmyslu (jedna třetina vyjíždějících), jenž je následován odvětvím obchodu a oprav motorových vozidel (10,2 %). Více než polovina vyjížďky probíhá uvnitř hranic okresů (54,2 %). Mezikrajský pohyb za prací představoval </w:t>
      </w:r>
      <w:r w:rsidRPr="00C6019C">
        <w:rPr>
          <w:rFonts w:cs="Arial"/>
          <w:sz w:val="20"/>
          <w:szCs w:val="20"/>
        </w:rPr>
        <w:t>249 tis.</w:t>
      </w:r>
      <w:r>
        <w:rPr>
          <w:rFonts w:cs="Arial"/>
          <w:sz w:val="20"/>
          <w:szCs w:val="20"/>
        </w:rPr>
        <w:t xml:space="preserve"> vyjíždějících (21,9 %); z toho podstatnou část tvořila vyjížďka do hlavního města Prahy (149 tis., tj. bezmála 60 %). </w:t>
      </w:r>
      <w:r w:rsidRPr="0035209E">
        <w:rPr>
          <w:rFonts w:cs="Arial"/>
          <w:sz w:val="20"/>
          <w:szCs w:val="20"/>
        </w:rPr>
        <w:t xml:space="preserve">Denní </w:t>
      </w:r>
      <w:r>
        <w:rPr>
          <w:rFonts w:cs="Arial"/>
          <w:sz w:val="20"/>
          <w:szCs w:val="20"/>
        </w:rPr>
        <w:t>vy</w:t>
      </w:r>
      <w:r w:rsidRPr="0035209E">
        <w:rPr>
          <w:rFonts w:cs="Arial"/>
          <w:sz w:val="20"/>
          <w:szCs w:val="20"/>
        </w:rPr>
        <w:t>jížďka do zaměstnání tvořila více než 8</w:t>
      </w:r>
      <w:r>
        <w:rPr>
          <w:rFonts w:cs="Arial"/>
          <w:sz w:val="20"/>
          <w:szCs w:val="20"/>
        </w:rPr>
        <w:t>4</w:t>
      </w:r>
      <w:r w:rsidRPr="0035209E">
        <w:rPr>
          <w:rFonts w:cs="Arial"/>
          <w:sz w:val="20"/>
          <w:szCs w:val="20"/>
        </w:rPr>
        <w:t xml:space="preserve"> %, zatímco u </w:t>
      </w:r>
      <w:r>
        <w:rPr>
          <w:rFonts w:cs="Arial"/>
          <w:sz w:val="20"/>
          <w:szCs w:val="20"/>
        </w:rPr>
        <w:t>vy</w:t>
      </w:r>
      <w:r w:rsidRPr="0035209E">
        <w:rPr>
          <w:rFonts w:cs="Arial"/>
          <w:sz w:val="20"/>
          <w:szCs w:val="20"/>
        </w:rPr>
        <w:t xml:space="preserve">jížďky do škol to bylo méně – 71,4 %. Podíl školské dojížďky s týdenní a delší frekvencí je proti dojížďce do zaměstnání více než čtyřnásobný (23,6 % </w:t>
      </w:r>
      <w:r>
        <w:rPr>
          <w:rFonts w:cs="Arial"/>
          <w:sz w:val="20"/>
          <w:szCs w:val="20"/>
        </w:rPr>
        <w:t>resp.</w:t>
      </w:r>
      <w:r w:rsidRPr="0035209E">
        <w:rPr>
          <w:rFonts w:cs="Arial"/>
          <w:sz w:val="20"/>
          <w:szCs w:val="20"/>
        </w:rPr>
        <w:t xml:space="preserve"> 4,9 %</w:t>
      </w:r>
      <w:r>
        <w:rPr>
          <w:rFonts w:cs="Arial"/>
          <w:sz w:val="20"/>
          <w:szCs w:val="20"/>
        </w:rPr>
        <w:t>).</w:t>
      </w:r>
      <w:r w:rsidRPr="0035209E">
        <w:rPr>
          <w:rFonts w:cs="Arial"/>
          <w:sz w:val="20"/>
          <w:szCs w:val="20"/>
        </w:rPr>
        <w:t xml:space="preserve"> </w:t>
      </w:r>
    </w:p>
    <w:p w:rsidR="006F32E5" w:rsidRDefault="006F32E5" w:rsidP="0076469C">
      <w:p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Důležitými charakteristikami dojížďky jsou i údaje o používaném dopravním prostředku a času stráveného na cestě při meziobecní dojížďce do zaměstnání a do škol. Nejvíce využívaným dopravním prostředkem při dojížďce do zaměstnání a škol je osobní automobil. Jako řidič auta se dopravuje 553 tis. dojíždějících a da</w:t>
      </w:r>
      <w:r>
        <w:rPr>
          <w:rFonts w:cs="Arial"/>
          <w:sz w:val="20"/>
          <w:szCs w:val="20"/>
        </w:rPr>
        <w:t>l</w:t>
      </w:r>
      <w:r>
        <w:rPr>
          <w:rFonts w:cs="Arial"/>
          <w:sz w:val="20"/>
          <w:szCs w:val="20"/>
        </w:rPr>
        <w:t>ších 7,6 % (116 tis.) dojíždějících bylo v roli spolujezdce. Autobusem dojíždělo 18,8 %, tj. 287 tis.,</w:t>
      </w:r>
      <w:r w:rsidR="0000550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městskou hromadnou dopravou 6,6 % (101 tis. osob), těsně následoval vlak (6,2 %, tj. 9</w:t>
      </w:r>
      <w:r w:rsidR="00400F7C">
        <w:rPr>
          <w:rFonts w:cs="Arial"/>
          <w:sz w:val="20"/>
          <w:szCs w:val="20"/>
        </w:rPr>
        <w:t>9</w:t>
      </w:r>
      <w:r>
        <w:rPr>
          <w:rFonts w:cs="Arial"/>
          <w:sz w:val="20"/>
          <w:szCs w:val="20"/>
        </w:rPr>
        <w:t xml:space="preserve"> tis.) a kombinace různých druhů dopravy s MHD (90 tis., 5,9 %). Téměř 2,2 % (33 tis.) vyjíždějících uvedlo, že nepoužívá žádný d</w:t>
      </w:r>
      <w:r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>pravní prostředek a 12,7 % (165 tis.) dojíždějících využívaný dopravní prostředek nespecifikovalo.</w:t>
      </w:r>
    </w:p>
    <w:p w:rsidR="0076469C" w:rsidRDefault="00252843" w:rsidP="00C47F68">
      <w:pPr>
        <w:jc w:val="center"/>
        <w:rPr>
          <w:rFonts w:cs="Arial"/>
          <w:sz w:val="20"/>
          <w:szCs w:val="20"/>
        </w:rPr>
      </w:pPr>
      <w:r w:rsidRPr="00E946DF">
        <w:rPr>
          <w:rFonts w:cs="Arial"/>
          <w:sz w:val="20"/>
          <w:szCs w:val="20"/>
        </w:rPr>
        <w:fldChar w:fldCharType="begin"/>
      </w:r>
      <w:r w:rsidR="00485FDE" w:rsidRPr="00E946DF">
        <w:rPr>
          <w:rFonts w:cs="Arial"/>
          <w:sz w:val="20"/>
          <w:szCs w:val="20"/>
        </w:rPr>
        <w:instrText xml:space="preserve"> LINK Excel.Sheet.8 "D:\\RŮŽKOVÁ\\ALLSČÍTÁNÍ LIDU - VŠE O sl\\PRAMENNÉ dílo\\A KOMPLETACE PD\\Graf 10_2_dopr_prostředek.xlsx!List1![Graf 10_2_dopr_prostředek.xlsx]List1 Graf 2" "" \a \p \* MERGEFORMAT </w:instrText>
      </w:r>
      <w:r w:rsidRPr="00E946DF">
        <w:rPr>
          <w:rFonts w:cs="Arial"/>
          <w:sz w:val="20"/>
          <w:szCs w:val="20"/>
        </w:rPr>
        <w:fldChar w:fldCharType="separate"/>
      </w:r>
      <w:r w:rsidR="009B47A9" w:rsidRPr="00252843">
        <w:rPr>
          <w:rFonts w:cs="Arial"/>
          <w:sz w:val="20"/>
          <w:szCs w:val="20"/>
        </w:rPr>
        <w:object w:dxaOrig="8580" w:dyaOrig="4320">
          <v:shape id="_x0000_i1026" type="#_x0000_t75" style="width:429pt;height:3in">
            <v:imagedata r:id="rId9" o:title=""/>
          </v:shape>
        </w:object>
      </w:r>
      <w:r w:rsidRPr="00E946DF">
        <w:rPr>
          <w:rFonts w:cs="Arial"/>
          <w:sz w:val="20"/>
          <w:szCs w:val="20"/>
        </w:rPr>
        <w:fldChar w:fldCharType="end"/>
      </w:r>
    </w:p>
    <w:p w:rsidR="006F32E5" w:rsidRDefault="006F32E5" w:rsidP="007236A5">
      <w:pPr>
        <w:spacing w:before="120" w:after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Čas strávený vyjížďkou byl zjištěn celkem u 958 tis. vyjíždějících do zaměstnání a u 303 tis. vyjíždějících žáků a studentů. </w:t>
      </w:r>
      <w:r w:rsidRPr="00E74F1C">
        <w:rPr>
          <w:rFonts w:cs="Arial"/>
          <w:sz w:val="20"/>
          <w:szCs w:val="20"/>
        </w:rPr>
        <w:t>Doba vnitrookresní dojížďky (do zaměstnání a do škol dohro</w:t>
      </w:r>
      <w:r w:rsidR="00231F90">
        <w:rPr>
          <w:rFonts w:cs="Arial"/>
          <w:sz w:val="20"/>
          <w:szCs w:val="20"/>
        </w:rPr>
        <w:t>mady) trvala nejčastěji</w:t>
      </w:r>
      <w:r w:rsidR="00231F90" w:rsidRPr="00231F90">
        <w:rPr>
          <w:rFonts w:cs="Arial"/>
          <w:spacing w:val="200"/>
          <w:sz w:val="20"/>
          <w:szCs w:val="20"/>
        </w:rPr>
        <w:t xml:space="preserve"> </w:t>
      </w:r>
      <w:r w:rsidR="00231F90">
        <w:rPr>
          <w:rFonts w:cs="Arial"/>
          <w:spacing w:val="200"/>
          <w:sz w:val="20"/>
          <w:szCs w:val="20"/>
        </w:rPr>
        <w:t xml:space="preserve"> </w:t>
      </w:r>
      <w:r w:rsidR="00231F90">
        <w:rPr>
          <w:rFonts w:cs="Arial"/>
          <w:sz w:val="20"/>
          <w:szCs w:val="20"/>
        </w:rPr>
        <w:t>15 – 29 </w:t>
      </w:r>
      <w:r w:rsidRPr="00E74F1C">
        <w:rPr>
          <w:rFonts w:cs="Arial"/>
          <w:sz w:val="20"/>
          <w:szCs w:val="20"/>
        </w:rPr>
        <w:t>minut (34,3 %). Pro dojížďku mimo okres a mezikrajskou dojížďku byl nejčastějším údajem interval 30 – 59 minut (39,7 resp. 33,7 %). Údaj o mezikrajské dojížďce je nesporně ovlivněn dojížďkou do Prahy, kde jsou dojížďkové časy z bližších okolních obcí vlivem relativně příznivých dopravních poměrů poměrně krátké. Přesto právě mezikrajská dojížďka vykazuje nejvíce (16,9 %) případů dojížďky delší než 60 minut. Celkem 233 tis. (11,3 %) osob uvedlo, že nemá stálé místo pracoviště a u 99 tis. vyjíždějících zaměstn</w:t>
      </w:r>
      <w:r w:rsidRPr="00E74F1C">
        <w:rPr>
          <w:rFonts w:cs="Arial"/>
          <w:sz w:val="20"/>
          <w:szCs w:val="20"/>
        </w:rPr>
        <w:t>a</w:t>
      </w:r>
      <w:r w:rsidRPr="00E74F1C">
        <w:rPr>
          <w:rFonts w:cs="Arial"/>
          <w:sz w:val="20"/>
          <w:szCs w:val="20"/>
        </w:rPr>
        <w:t>ných, žáků a studentů (4,8 %) nebylo místo pracoviště nebo školy identifikováno.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730"/>
        <w:gridCol w:w="1229"/>
        <w:gridCol w:w="778"/>
        <w:gridCol w:w="638"/>
        <w:gridCol w:w="778"/>
        <w:gridCol w:w="689"/>
        <w:gridCol w:w="777"/>
        <w:gridCol w:w="751"/>
        <w:gridCol w:w="778"/>
        <w:gridCol w:w="715"/>
      </w:tblGrid>
      <w:tr w:rsidR="00325D67" w:rsidRPr="00325D67" w:rsidTr="00B546CF">
        <w:trPr>
          <w:trHeight w:val="283"/>
          <w:jc w:val="center"/>
        </w:trPr>
        <w:tc>
          <w:tcPr>
            <w:tcW w:w="8863" w:type="dxa"/>
            <w:gridSpan w:val="10"/>
            <w:tcBorders>
              <w:bottom w:val="single" w:sz="2" w:space="0" w:color="000000"/>
            </w:tcBorders>
            <w:vAlign w:val="center"/>
          </w:tcPr>
          <w:p w:rsidR="00325D67" w:rsidRDefault="00325D67" w:rsidP="00B546CF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325D67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Meziobecní dojížďka do zaměstnání podle typu dojížďky a času stráveného dojížďkou</w:t>
            </w:r>
          </w:p>
          <w:p w:rsidR="00B546CF" w:rsidRPr="00325D67" w:rsidRDefault="00B546CF" w:rsidP="00325D67">
            <w:pPr>
              <w:autoSpaceDE w:val="0"/>
              <w:autoSpaceDN w:val="0"/>
              <w:adjustRightInd w:val="0"/>
              <w:spacing w:after="120"/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 26. 3. 2011</w:t>
            </w:r>
          </w:p>
        </w:tc>
      </w:tr>
      <w:tr w:rsidR="00325D67" w:rsidRPr="00325D67" w:rsidTr="00B546CF">
        <w:trPr>
          <w:trHeight w:val="283"/>
          <w:jc w:val="center"/>
        </w:trPr>
        <w:tc>
          <w:tcPr>
            <w:tcW w:w="17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Typ dojížďky</w:t>
            </w:r>
          </w:p>
        </w:tc>
        <w:tc>
          <w:tcPr>
            <w:tcW w:w="1229" w:type="dxa"/>
            <w:vMerge w:val="restart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25D67" w:rsidRDefault="00325D67" w:rsidP="00325D6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color w:val="000000"/>
                <w:sz w:val="16"/>
                <w:szCs w:val="16"/>
              </w:rPr>
              <w:t>Dojíždějící</w:t>
            </w:r>
          </w:p>
          <w:p w:rsidR="00325D67" w:rsidRPr="00325D67" w:rsidRDefault="00325D67" w:rsidP="00325D6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color w:val="000000"/>
                <w:sz w:val="16"/>
                <w:szCs w:val="16"/>
              </w:rPr>
              <w:t>do zaměstnání úhrnem</w:t>
            </w:r>
          </w:p>
        </w:tc>
        <w:tc>
          <w:tcPr>
            <w:tcW w:w="5904" w:type="dxa"/>
            <w:gridSpan w:val="8"/>
            <w:tcBorders>
              <w:top w:val="single" w:sz="2" w:space="0" w:color="000000"/>
              <w:left w:val="single" w:sz="6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color w:val="000000"/>
                <w:sz w:val="16"/>
                <w:szCs w:val="16"/>
              </w:rPr>
              <w:t>z toho podle času stráveného dojížďkou (v minutách)</w:t>
            </w:r>
          </w:p>
        </w:tc>
      </w:tr>
      <w:tr w:rsidR="00325D67" w:rsidRPr="00325D67" w:rsidTr="00B546CF">
        <w:trPr>
          <w:trHeight w:val="283"/>
          <w:jc w:val="center"/>
        </w:trPr>
        <w:tc>
          <w:tcPr>
            <w:tcW w:w="1730" w:type="dxa"/>
            <w:vMerge/>
            <w:tcBorders>
              <w:left w:val="single" w:sz="2" w:space="0" w:color="000000"/>
              <w:right w:val="single" w:sz="6" w:space="0" w:color="000000"/>
            </w:tcBorders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color w:val="000000"/>
                <w:sz w:val="16"/>
                <w:szCs w:val="16"/>
              </w:rPr>
              <w:t>do 14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color w:val="000000"/>
                <w:sz w:val="16"/>
                <w:szCs w:val="16"/>
              </w:rPr>
              <w:t>15 - 29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325D67" w:rsidRDefault="00DF36D7" w:rsidP="00325D6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30 - 59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color w:val="000000"/>
                <w:sz w:val="16"/>
                <w:szCs w:val="16"/>
              </w:rPr>
              <w:t>60 a více</w:t>
            </w:r>
          </w:p>
        </w:tc>
      </w:tr>
      <w:tr w:rsidR="00325D67" w:rsidRPr="00325D67" w:rsidTr="00B546CF">
        <w:trPr>
          <w:trHeight w:val="283"/>
          <w:jc w:val="center"/>
        </w:trPr>
        <w:tc>
          <w:tcPr>
            <w:tcW w:w="1730" w:type="dxa"/>
            <w:vMerge/>
            <w:tcBorders>
              <w:left w:val="single" w:sz="2" w:space="0" w:color="000000"/>
              <w:bottom w:val="single" w:sz="6" w:space="0" w:color="auto"/>
              <w:right w:val="single" w:sz="6" w:space="0" w:color="000000"/>
            </w:tcBorders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color w:val="000000"/>
                <w:sz w:val="16"/>
                <w:szCs w:val="16"/>
              </w:rPr>
              <w:t>abs.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color w:val="000000"/>
                <w:sz w:val="16"/>
                <w:szCs w:val="16"/>
              </w:rPr>
              <w:t>v %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color w:val="000000"/>
                <w:sz w:val="16"/>
                <w:szCs w:val="16"/>
              </w:rPr>
              <w:t>abs.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color w:val="000000"/>
                <w:sz w:val="16"/>
                <w:szCs w:val="16"/>
              </w:rPr>
              <w:t>v %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color w:val="000000"/>
                <w:sz w:val="16"/>
                <w:szCs w:val="16"/>
              </w:rPr>
              <w:t>abs.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color w:val="000000"/>
                <w:sz w:val="16"/>
                <w:szCs w:val="16"/>
              </w:rPr>
              <w:t>v %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color w:val="000000"/>
                <w:sz w:val="16"/>
                <w:szCs w:val="16"/>
              </w:rPr>
              <w:t>abs.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color w:val="000000"/>
                <w:sz w:val="16"/>
                <w:szCs w:val="16"/>
              </w:rPr>
              <w:t>v %</w:t>
            </w:r>
          </w:p>
        </w:tc>
      </w:tr>
      <w:tr w:rsidR="00325D67" w:rsidRPr="00325D67" w:rsidTr="00A43E80">
        <w:trPr>
          <w:trHeight w:val="283"/>
          <w:jc w:val="center"/>
        </w:trPr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b/>
                <w:color w:val="000000"/>
                <w:sz w:val="16"/>
                <w:szCs w:val="16"/>
              </w:rPr>
              <w:t>Dojíždějící celkem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b/>
                <w:color w:val="000000"/>
                <w:sz w:val="16"/>
                <w:szCs w:val="16"/>
              </w:rPr>
              <w:t>1 099 928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b/>
                <w:color w:val="000000"/>
                <w:sz w:val="16"/>
                <w:szCs w:val="16"/>
              </w:rPr>
              <w:t>201 982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b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b/>
                <w:color w:val="000000"/>
                <w:sz w:val="16"/>
                <w:szCs w:val="16"/>
              </w:rPr>
              <w:t>377 008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b/>
                <w:color w:val="000000"/>
                <w:sz w:val="16"/>
                <w:szCs w:val="16"/>
              </w:rPr>
              <w:t>34,3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b/>
                <w:color w:val="000000"/>
                <w:sz w:val="16"/>
                <w:szCs w:val="16"/>
              </w:rPr>
              <w:t>289 456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b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b/>
                <w:color w:val="000000"/>
                <w:sz w:val="16"/>
                <w:szCs w:val="16"/>
              </w:rPr>
              <w:t>71 332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b/>
                <w:color w:val="000000"/>
                <w:sz w:val="16"/>
                <w:szCs w:val="16"/>
              </w:rPr>
              <w:t>6,4</w:t>
            </w:r>
          </w:p>
        </w:tc>
      </w:tr>
      <w:tr w:rsidR="00325D67" w:rsidRPr="00325D67" w:rsidTr="00A43E80">
        <w:trPr>
          <w:trHeight w:val="227"/>
          <w:jc w:val="center"/>
        </w:trPr>
        <w:tc>
          <w:tcPr>
            <w:tcW w:w="1730" w:type="dxa"/>
            <w:tcBorders>
              <w:top w:val="single" w:sz="2" w:space="0" w:color="000000"/>
              <w:left w:val="single" w:sz="2" w:space="0" w:color="000000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color w:val="000000"/>
                <w:sz w:val="16"/>
                <w:szCs w:val="16"/>
              </w:rPr>
              <w:t>v tom: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325D67" w:rsidRPr="00325D67" w:rsidTr="00A43E80">
        <w:trPr>
          <w:trHeight w:val="283"/>
          <w:jc w:val="center"/>
        </w:trPr>
        <w:tc>
          <w:tcPr>
            <w:tcW w:w="1730" w:type="dxa"/>
            <w:tcBorders>
              <w:left w:val="single" w:sz="2" w:space="0" w:color="000000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ind w:left="113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color w:val="000000"/>
                <w:sz w:val="16"/>
                <w:szCs w:val="16"/>
              </w:rPr>
              <w:t>v rámci okresu</w:t>
            </w:r>
          </w:p>
        </w:tc>
        <w:tc>
          <w:tcPr>
            <w:tcW w:w="122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color w:val="000000"/>
                <w:sz w:val="16"/>
                <w:szCs w:val="16"/>
              </w:rPr>
              <w:t>596 686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color w:val="000000"/>
                <w:sz w:val="16"/>
                <w:szCs w:val="16"/>
              </w:rPr>
              <w:t>171 366</w:t>
            </w: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color w:val="000000"/>
                <w:sz w:val="16"/>
                <w:szCs w:val="16"/>
              </w:rPr>
              <w:t>256 577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color w:val="000000"/>
                <w:sz w:val="16"/>
                <w:szCs w:val="16"/>
              </w:rPr>
              <w:t>43,0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color w:val="000000"/>
                <w:sz w:val="16"/>
                <w:szCs w:val="16"/>
              </w:rPr>
              <w:t>104 731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color w:val="000000"/>
                <w:sz w:val="16"/>
                <w:szCs w:val="16"/>
              </w:rPr>
              <w:t>7 969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2" w:space="0" w:color="000000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color w:val="000000"/>
                <w:sz w:val="16"/>
                <w:szCs w:val="16"/>
              </w:rPr>
              <w:t>1,3</w:t>
            </w:r>
          </w:p>
        </w:tc>
      </w:tr>
      <w:tr w:rsidR="00325D67" w:rsidRPr="00325D67" w:rsidTr="00A43E80">
        <w:trPr>
          <w:trHeight w:val="283"/>
          <w:jc w:val="center"/>
        </w:trPr>
        <w:tc>
          <w:tcPr>
            <w:tcW w:w="1730" w:type="dxa"/>
            <w:tcBorders>
              <w:left w:val="single" w:sz="2" w:space="0" w:color="000000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ind w:left="113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color w:val="000000"/>
                <w:sz w:val="16"/>
                <w:szCs w:val="16"/>
              </w:rPr>
              <w:t>z jiných okresů kraje</w:t>
            </w:r>
          </w:p>
        </w:tc>
        <w:tc>
          <w:tcPr>
            <w:tcW w:w="122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color w:val="000000"/>
                <w:sz w:val="16"/>
                <w:szCs w:val="16"/>
              </w:rPr>
              <w:t>254 617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color w:val="000000"/>
                <w:sz w:val="16"/>
                <w:szCs w:val="16"/>
              </w:rPr>
              <w:t>17 624</w:t>
            </w: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color w:val="000000"/>
                <w:sz w:val="16"/>
                <w:szCs w:val="16"/>
              </w:rPr>
              <w:t>80 767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color w:val="000000"/>
                <w:sz w:val="16"/>
                <w:szCs w:val="16"/>
              </w:rPr>
              <w:t>31,7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color w:val="000000"/>
                <w:sz w:val="16"/>
                <w:szCs w:val="16"/>
              </w:rPr>
              <w:t>101 057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color w:val="000000"/>
                <w:sz w:val="16"/>
                <w:szCs w:val="16"/>
              </w:rPr>
              <w:t>39,7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color w:val="000000"/>
                <w:sz w:val="16"/>
                <w:szCs w:val="16"/>
              </w:rPr>
              <w:t>21 355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2" w:space="0" w:color="000000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color w:val="000000"/>
                <w:sz w:val="16"/>
                <w:szCs w:val="16"/>
              </w:rPr>
              <w:t>6,4</w:t>
            </w:r>
          </w:p>
        </w:tc>
      </w:tr>
      <w:tr w:rsidR="00325D67" w:rsidRPr="00325D67" w:rsidTr="00A43E80">
        <w:trPr>
          <w:trHeight w:val="283"/>
          <w:jc w:val="center"/>
        </w:trPr>
        <w:tc>
          <w:tcPr>
            <w:tcW w:w="1730" w:type="dxa"/>
            <w:tcBorders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ind w:left="113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color w:val="000000"/>
                <w:sz w:val="16"/>
                <w:szCs w:val="16"/>
              </w:rPr>
              <w:t>z jiných krajů</w:t>
            </w:r>
          </w:p>
        </w:tc>
        <w:tc>
          <w:tcPr>
            <w:tcW w:w="1229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color w:val="000000"/>
                <w:sz w:val="16"/>
                <w:szCs w:val="16"/>
              </w:rPr>
              <w:t>248 625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color w:val="000000"/>
                <w:sz w:val="16"/>
                <w:szCs w:val="16"/>
              </w:rPr>
              <w:t>12 992</w:t>
            </w:r>
          </w:p>
        </w:tc>
        <w:tc>
          <w:tcPr>
            <w:tcW w:w="638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color w:val="000000"/>
                <w:sz w:val="16"/>
                <w:szCs w:val="16"/>
              </w:rPr>
              <w:t>39 664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color w:val="000000"/>
                <w:sz w:val="16"/>
                <w:szCs w:val="16"/>
              </w:rPr>
              <w:t>83 668</w:t>
            </w:r>
          </w:p>
        </w:tc>
        <w:tc>
          <w:tcPr>
            <w:tcW w:w="751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color w:val="000000"/>
                <w:sz w:val="16"/>
                <w:szCs w:val="16"/>
              </w:rPr>
              <w:t>42 008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25D67" w:rsidRPr="00325D67" w:rsidRDefault="00325D67" w:rsidP="00325D6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25D67">
              <w:rPr>
                <w:rFonts w:cs="Arial"/>
                <w:color w:val="000000"/>
                <w:sz w:val="16"/>
                <w:szCs w:val="16"/>
              </w:rPr>
              <w:t>17,0</w:t>
            </w:r>
          </w:p>
        </w:tc>
      </w:tr>
    </w:tbl>
    <w:p w:rsidR="006F32E5" w:rsidRDefault="006F32E5" w:rsidP="00B546CF">
      <w:pPr>
        <w:spacing w:before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Nejsilnějšími centry dojížďky do škol a učení jsou krajská města, kde kromě soustředění středních škol ne</w:t>
      </w:r>
      <w:r>
        <w:rPr>
          <w:rFonts w:cs="Arial"/>
          <w:sz w:val="20"/>
          <w:szCs w:val="20"/>
        </w:rPr>
        <w:t>j</w:t>
      </w:r>
      <w:r>
        <w:rPr>
          <w:rFonts w:cs="Arial"/>
          <w:sz w:val="20"/>
          <w:szCs w:val="20"/>
        </w:rPr>
        <w:t>různějšího zaměření vesměs sídlí i některé z vyšších a vysokých škol. Postavení Prahy a Brna je v tomto směru zcela dominující. Pozoruhodný je ovšem vzestup počtu posluchačů brněnských vysokých škol. Počet dojíždějících do brněnských škol se zvýšil z 38 tis. v roce 2001 na 44 tis. v roce 2011. Dojížďka do škol do Brna dosahuje 78% počtu dojíždějících do Prahy, ačkoliv poměr počtu obyvatel obou měst je značně nižší. Praha zaznamenala jen nepatrný přírůstek dojíždějících do škol – z 55 na 57 tis. Faktem však je, že velká část studentů pražských škol zároveň v Praze žije a mohl se projevit i vliv změny metodiky (zpracování podle místa obvyklého pobytu ve sčítání 2011).</w:t>
      </w:r>
    </w:p>
    <w:p w:rsidR="006F32E5" w:rsidRDefault="006F32E5" w:rsidP="006F32E5">
      <w:pPr>
        <w:rPr>
          <w:rFonts w:cs="Arial"/>
          <w:b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77"/>
        <w:gridCol w:w="2193"/>
        <w:gridCol w:w="977"/>
        <w:gridCol w:w="977"/>
        <w:gridCol w:w="977"/>
        <w:gridCol w:w="977"/>
        <w:gridCol w:w="976"/>
      </w:tblGrid>
      <w:tr w:rsidR="008F4A1C" w:rsidRPr="008F4A1C" w:rsidTr="008F4A1C">
        <w:trPr>
          <w:trHeight w:val="257"/>
          <w:jc w:val="center"/>
        </w:trPr>
        <w:tc>
          <w:tcPr>
            <w:tcW w:w="7754" w:type="dxa"/>
            <w:gridSpan w:val="7"/>
            <w:tcBorders>
              <w:bottom w:val="single" w:sz="6" w:space="0" w:color="auto"/>
            </w:tcBorders>
          </w:tcPr>
          <w:p w:rsidR="008F4A1C" w:rsidRPr="008F4A1C" w:rsidRDefault="008F4A1C" w:rsidP="008F4A1C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8F4A1C">
              <w:rPr>
                <w:rFonts w:cs="Arial"/>
                <w:b/>
                <w:sz w:val="20"/>
                <w:szCs w:val="20"/>
              </w:rPr>
              <w:t>Města s největším počtem dojíždějících žáků, studentů a učňů k 26. 3. 2011</w:t>
            </w:r>
          </w:p>
        </w:tc>
      </w:tr>
      <w:tr w:rsidR="008F4A1C" w:rsidRPr="008F4A1C" w:rsidTr="00FF33EB">
        <w:trPr>
          <w:trHeight w:val="283"/>
          <w:jc w:val="center"/>
        </w:trPr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Pořadí</w:t>
            </w:r>
          </w:p>
        </w:tc>
        <w:tc>
          <w:tcPr>
            <w:tcW w:w="21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Město</w:t>
            </w:r>
          </w:p>
        </w:tc>
        <w:tc>
          <w:tcPr>
            <w:tcW w:w="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Žáci, studenti a učni dojíždějící do školy</w:t>
            </w:r>
          </w:p>
        </w:tc>
      </w:tr>
      <w:tr w:rsidR="008F4A1C" w:rsidRPr="008F4A1C" w:rsidTr="00FF33EB">
        <w:trPr>
          <w:trHeight w:val="283"/>
          <w:jc w:val="center"/>
        </w:trPr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z toho</w:t>
            </w:r>
          </w:p>
        </w:tc>
      </w:tr>
      <w:tr w:rsidR="008F4A1C" w:rsidRPr="008F4A1C" w:rsidTr="00B604A7">
        <w:trPr>
          <w:trHeight w:val="397"/>
          <w:jc w:val="center"/>
        </w:trPr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ve věku</w:t>
            </w:r>
          </w:p>
          <w:p w:rsidR="008F4A1C" w:rsidRPr="008F4A1C" w:rsidRDefault="008F4A1C" w:rsidP="008F4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6 - 14 let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v %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dojíždí</w:t>
            </w:r>
          </w:p>
          <w:p w:rsidR="008F4A1C" w:rsidRPr="008F4A1C" w:rsidRDefault="008F4A1C" w:rsidP="008F4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denně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v %</w:t>
            </w:r>
          </w:p>
        </w:tc>
      </w:tr>
      <w:tr w:rsidR="008F4A1C" w:rsidRPr="008F4A1C" w:rsidTr="00B604A7">
        <w:trPr>
          <w:trHeight w:val="257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Praha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56 743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5 160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30 819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54,3</w:t>
            </w:r>
          </w:p>
        </w:tc>
      </w:tr>
      <w:tr w:rsidR="008F4A1C" w:rsidRPr="008F4A1C" w:rsidTr="00B604A7">
        <w:trPr>
          <w:trHeight w:val="257"/>
          <w:jc w:val="center"/>
        </w:trPr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1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Brno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44 271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1 770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19 344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43,7</w:t>
            </w:r>
          </w:p>
        </w:tc>
      </w:tr>
      <w:tr w:rsidR="008F4A1C" w:rsidRPr="008F4A1C" w:rsidTr="00B604A7">
        <w:trPr>
          <w:trHeight w:val="257"/>
          <w:jc w:val="center"/>
        </w:trPr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1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Ostrava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15 232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9 646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63,3</w:t>
            </w:r>
          </w:p>
        </w:tc>
      </w:tr>
      <w:tr w:rsidR="008F4A1C" w:rsidRPr="008F4A1C" w:rsidTr="00B604A7">
        <w:trPr>
          <w:trHeight w:val="257"/>
          <w:jc w:val="center"/>
        </w:trPr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1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Olomouc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14 390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6 676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46,4</w:t>
            </w:r>
          </w:p>
        </w:tc>
      </w:tr>
      <w:tr w:rsidR="008F4A1C" w:rsidRPr="008F4A1C" w:rsidTr="00B604A7">
        <w:trPr>
          <w:trHeight w:val="257"/>
          <w:jc w:val="center"/>
        </w:trPr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1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České Budějovice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11 678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1 253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7 002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60,0</w:t>
            </w:r>
          </w:p>
        </w:tc>
      </w:tr>
      <w:tr w:rsidR="008F4A1C" w:rsidRPr="008F4A1C" w:rsidTr="00B604A7">
        <w:trPr>
          <w:trHeight w:val="257"/>
          <w:jc w:val="center"/>
        </w:trPr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1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Hradec Králové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9 319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5 029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54,0</w:t>
            </w:r>
          </w:p>
        </w:tc>
      </w:tr>
      <w:tr w:rsidR="008F4A1C" w:rsidRPr="008F4A1C" w:rsidTr="00B604A7">
        <w:trPr>
          <w:trHeight w:val="257"/>
          <w:jc w:val="center"/>
        </w:trPr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1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Pardubice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7 801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4 312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55,3</w:t>
            </w:r>
          </w:p>
        </w:tc>
      </w:tr>
      <w:tr w:rsidR="008F4A1C" w:rsidRPr="008F4A1C" w:rsidTr="00B604A7">
        <w:trPr>
          <w:trHeight w:val="257"/>
          <w:jc w:val="center"/>
        </w:trPr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1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Zlín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6 703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4 070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60,7</w:t>
            </w:r>
          </w:p>
        </w:tc>
      </w:tr>
      <w:tr w:rsidR="008F4A1C" w:rsidRPr="008F4A1C" w:rsidTr="00B604A7">
        <w:trPr>
          <w:trHeight w:val="257"/>
          <w:jc w:val="center"/>
        </w:trPr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1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Liberec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6 191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3 451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55,7</w:t>
            </w:r>
          </w:p>
        </w:tc>
      </w:tr>
      <w:tr w:rsidR="008F4A1C" w:rsidRPr="008F4A1C" w:rsidTr="00B604A7">
        <w:trPr>
          <w:trHeight w:val="257"/>
          <w:jc w:val="center"/>
        </w:trPr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1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Ústí nad Labem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6 114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58,3</w:t>
            </w:r>
          </w:p>
        </w:tc>
      </w:tr>
      <w:tr w:rsidR="008F4A1C" w:rsidRPr="008F4A1C" w:rsidTr="00B604A7">
        <w:trPr>
          <w:trHeight w:val="257"/>
          <w:jc w:val="center"/>
        </w:trPr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1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Jihlava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4 657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3 148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67,6</w:t>
            </w:r>
          </w:p>
        </w:tc>
      </w:tr>
      <w:tr w:rsidR="008F4A1C" w:rsidRPr="008F4A1C" w:rsidTr="00B604A7">
        <w:trPr>
          <w:trHeight w:val="257"/>
          <w:jc w:val="center"/>
        </w:trPr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1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Opava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4 258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2 871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67,4</w:t>
            </w:r>
          </w:p>
        </w:tc>
      </w:tr>
      <w:tr w:rsidR="008F4A1C" w:rsidRPr="008F4A1C" w:rsidTr="00B604A7">
        <w:trPr>
          <w:trHeight w:val="257"/>
          <w:jc w:val="center"/>
        </w:trPr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1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Uherské Hradiště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3 266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2 889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88,5</w:t>
            </w:r>
          </w:p>
        </w:tc>
      </w:tr>
      <w:tr w:rsidR="008F4A1C" w:rsidRPr="008F4A1C" w:rsidTr="00B604A7">
        <w:trPr>
          <w:trHeight w:val="257"/>
          <w:jc w:val="center"/>
        </w:trPr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1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Kladno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2 797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2 342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83,7</w:t>
            </w:r>
          </w:p>
        </w:tc>
      </w:tr>
      <w:tr w:rsidR="008F4A1C" w:rsidRPr="008F4A1C" w:rsidTr="00B604A7">
        <w:trPr>
          <w:trHeight w:val="257"/>
          <w:jc w:val="center"/>
        </w:trPr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1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Frýdek-Místek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2 754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2 534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92,0</w:t>
            </w:r>
          </w:p>
        </w:tc>
      </w:tr>
      <w:tr w:rsidR="008F4A1C" w:rsidRPr="008F4A1C" w:rsidTr="00B604A7">
        <w:trPr>
          <w:trHeight w:val="257"/>
          <w:jc w:val="center"/>
        </w:trPr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1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Mladá Boleslav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2 724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2 377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87,3</w:t>
            </w:r>
          </w:p>
        </w:tc>
      </w:tr>
      <w:tr w:rsidR="008F4A1C" w:rsidRPr="008F4A1C" w:rsidTr="00B604A7">
        <w:trPr>
          <w:trHeight w:val="257"/>
          <w:jc w:val="center"/>
        </w:trPr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1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Kroměříž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2 597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1 828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70,4</w:t>
            </w:r>
          </w:p>
        </w:tc>
      </w:tr>
      <w:tr w:rsidR="008F4A1C" w:rsidRPr="008F4A1C" w:rsidTr="00B604A7">
        <w:trPr>
          <w:trHeight w:val="257"/>
          <w:jc w:val="center"/>
        </w:trPr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1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Třebíč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2 552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2 242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87,9</w:t>
            </w:r>
          </w:p>
        </w:tc>
      </w:tr>
      <w:tr w:rsidR="008F4A1C" w:rsidRPr="008F4A1C" w:rsidTr="00B604A7">
        <w:trPr>
          <w:trHeight w:val="257"/>
          <w:jc w:val="center"/>
        </w:trPr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1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Karviná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2 372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1 457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61,4</w:t>
            </w:r>
          </w:p>
        </w:tc>
      </w:tr>
      <w:tr w:rsidR="008F4A1C" w:rsidRPr="008F4A1C" w:rsidTr="00B604A7">
        <w:trPr>
          <w:trHeight w:val="257"/>
          <w:jc w:val="center"/>
        </w:trPr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1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Znojmo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2 363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2 063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87,3</w:t>
            </w:r>
          </w:p>
        </w:tc>
      </w:tr>
      <w:tr w:rsidR="008F4A1C" w:rsidRPr="008F4A1C" w:rsidTr="00B604A7">
        <w:trPr>
          <w:trHeight w:val="257"/>
          <w:jc w:val="center"/>
        </w:trPr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1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Karlovy Vary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2 350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1 989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84,6</w:t>
            </w:r>
          </w:p>
        </w:tc>
      </w:tr>
      <w:tr w:rsidR="008F4A1C" w:rsidRPr="008F4A1C" w:rsidTr="00B604A7">
        <w:trPr>
          <w:trHeight w:val="257"/>
          <w:jc w:val="center"/>
        </w:trPr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1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Přerov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2 322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2 076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89,4</w:t>
            </w:r>
          </w:p>
        </w:tc>
      </w:tr>
      <w:tr w:rsidR="008F4A1C" w:rsidRPr="008F4A1C" w:rsidTr="00B604A7">
        <w:trPr>
          <w:trHeight w:val="257"/>
          <w:jc w:val="center"/>
        </w:trPr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21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Šumperk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2 269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2 020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89,0</w:t>
            </w:r>
          </w:p>
        </w:tc>
      </w:tr>
      <w:tr w:rsidR="008F4A1C" w:rsidRPr="008F4A1C" w:rsidTr="00B604A7">
        <w:trPr>
          <w:trHeight w:val="257"/>
          <w:jc w:val="center"/>
        </w:trPr>
        <w:tc>
          <w:tcPr>
            <w:tcW w:w="6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1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8F4A1C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Tábor</w:t>
            </w: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2 098</w:t>
            </w: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1 754</w:t>
            </w:r>
          </w:p>
        </w:tc>
        <w:tc>
          <w:tcPr>
            <w:tcW w:w="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4A1C" w:rsidRPr="008F4A1C" w:rsidRDefault="008F4A1C" w:rsidP="00B604A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4A1C">
              <w:rPr>
                <w:rFonts w:cs="Arial"/>
                <w:color w:val="000000"/>
                <w:sz w:val="16"/>
                <w:szCs w:val="16"/>
              </w:rPr>
              <w:t>83,6</w:t>
            </w:r>
          </w:p>
        </w:tc>
      </w:tr>
    </w:tbl>
    <w:p w:rsidR="006F32E5" w:rsidRDefault="006F32E5" w:rsidP="008F4A1C">
      <w:pPr>
        <w:spacing w:before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 popředí dojížďky do škol se umisťují i města, jež jsou sídly středních, popřípadě vyšších škol s dlouhou tradicí a která dosahují vyššího počtu dojíždějících než řada měst se srovnatelným nebo i vyšším počtem obyvatel. Jmenujme alespoň Uherské Hradiště, Kroměříž, Znojmo, Písek, Tábor, Chrudim, Kutnou Horu nebo Litomyšl.</w:t>
      </w:r>
    </w:p>
    <w:sectPr w:rsidR="006F32E5" w:rsidSect="00FC6FDC">
      <w:footerReference w:type="even" r:id="rId10"/>
      <w:type w:val="continuous"/>
      <w:pgSz w:w="11906" w:h="16838" w:code="9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54C" w:rsidRDefault="005C354C">
      <w:r>
        <w:separator/>
      </w:r>
    </w:p>
    <w:p w:rsidR="005C354C" w:rsidRDefault="005C354C"/>
  </w:endnote>
  <w:endnote w:type="continuationSeparator" w:id="0">
    <w:p w:rsidR="005C354C" w:rsidRDefault="005C354C">
      <w:r>
        <w:continuationSeparator/>
      </w:r>
    </w:p>
    <w:p w:rsidR="005C354C" w:rsidRDefault="005C354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T1F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C3" w:rsidRDefault="002528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055C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055C3" w:rsidRDefault="00D055C3">
    <w:pPr>
      <w:pStyle w:val="Zpat"/>
    </w:pPr>
  </w:p>
  <w:p w:rsidR="00D055C3" w:rsidRDefault="00D055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54C" w:rsidRDefault="005C354C">
      <w:r>
        <w:separator/>
      </w:r>
    </w:p>
    <w:p w:rsidR="005C354C" w:rsidRDefault="005C354C"/>
  </w:footnote>
  <w:footnote w:type="continuationSeparator" w:id="0">
    <w:p w:rsidR="005C354C" w:rsidRDefault="005C354C">
      <w:r>
        <w:continuationSeparator/>
      </w:r>
    </w:p>
    <w:p w:rsidR="005C354C" w:rsidRDefault="005C354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372"/>
    <w:multiLevelType w:val="multilevel"/>
    <w:tmpl w:val="0405001D"/>
    <w:styleLink w:val="Styl1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1664EE"/>
    <w:multiLevelType w:val="multilevel"/>
    <w:tmpl w:val="CF4E77C0"/>
    <w:styleLink w:val="Styl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CAE1A6B"/>
    <w:multiLevelType w:val="multilevel"/>
    <w:tmpl w:val="2C401CCC"/>
    <w:numStyleLink w:val="Styl8"/>
  </w:abstractNum>
  <w:abstractNum w:abstractNumId="3">
    <w:nsid w:val="0E016256"/>
    <w:multiLevelType w:val="multilevel"/>
    <w:tmpl w:val="0405001D"/>
    <w:styleLink w:val="Styl15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1FE6A4E"/>
    <w:multiLevelType w:val="multilevel"/>
    <w:tmpl w:val="03D441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60190E"/>
    <w:multiLevelType w:val="multilevel"/>
    <w:tmpl w:val="070810C0"/>
    <w:styleLink w:val="Styl2"/>
    <w:lvl w:ilvl="0">
      <w:start w:val="2"/>
      <w:numFmt w:val="decimal"/>
      <w:lvlText w:val="%1.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472F0C"/>
    <w:multiLevelType w:val="hybridMultilevel"/>
    <w:tmpl w:val="4B1E2190"/>
    <w:lvl w:ilvl="0" w:tplc="B914C9F4">
      <w:start w:val="17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5F5F7F"/>
    <w:multiLevelType w:val="hybridMultilevel"/>
    <w:tmpl w:val="9C444472"/>
    <w:lvl w:ilvl="0" w:tplc="5456EEB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auto"/>
        <w:sz w:val="16"/>
      </w:rPr>
    </w:lvl>
    <w:lvl w:ilvl="1" w:tplc="530C8A14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2348E6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D2C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E2B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625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E3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702D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F24D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630679"/>
    <w:multiLevelType w:val="multilevel"/>
    <w:tmpl w:val="2C401CCC"/>
    <w:styleLink w:val="Styl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5877537"/>
    <w:multiLevelType w:val="hybridMultilevel"/>
    <w:tmpl w:val="1F1E20C6"/>
    <w:lvl w:ilvl="0" w:tplc="33EC40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91E55B6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679A8"/>
    <w:multiLevelType w:val="multilevel"/>
    <w:tmpl w:val="0405001D"/>
    <w:styleLink w:val="Styl18"/>
    <w:lvl w:ilvl="0">
      <w:start w:val="2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DE3188B"/>
    <w:multiLevelType w:val="multilevel"/>
    <w:tmpl w:val="AA76027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03222AE"/>
    <w:multiLevelType w:val="hybridMultilevel"/>
    <w:tmpl w:val="42E23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932AB"/>
    <w:multiLevelType w:val="hybridMultilevel"/>
    <w:tmpl w:val="B5FAAFC0"/>
    <w:lvl w:ilvl="0" w:tplc="046287AE">
      <w:start w:val="1"/>
      <w:numFmt w:val="bullet"/>
      <w:pStyle w:val="Seznamsodrkami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FA5D3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D1034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6D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94B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386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84D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CE6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DC8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355AC0"/>
    <w:multiLevelType w:val="multilevel"/>
    <w:tmpl w:val="CF4E77C0"/>
    <w:styleLink w:val="Styl6"/>
    <w:lvl w:ilvl="0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51C27A4"/>
    <w:multiLevelType w:val="multilevel"/>
    <w:tmpl w:val="4F0E4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adpis5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66617A7"/>
    <w:multiLevelType w:val="hybridMultilevel"/>
    <w:tmpl w:val="1CE00E5E"/>
    <w:lvl w:ilvl="0" w:tplc="61E893E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EFE486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19762D3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D4601C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E70851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EFCC05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83A4C5D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9B2C24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B350A71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69D7471"/>
    <w:multiLevelType w:val="hybridMultilevel"/>
    <w:tmpl w:val="BADAED88"/>
    <w:lvl w:ilvl="0" w:tplc="4C12AC0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E4C622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5EF8E9B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35C246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70E117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ABA1C6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884DED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11E021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D7254C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BBB3039"/>
    <w:multiLevelType w:val="multilevel"/>
    <w:tmpl w:val="0405001D"/>
    <w:styleLink w:val="Sty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E1273B5"/>
    <w:multiLevelType w:val="multilevel"/>
    <w:tmpl w:val="0405001D"/>
    <w:styleLink w:val="Styl9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EE1007C"/>
    <w:multiLevelType w:val="multilevel"/>
    <w:tmpl w:val="D2F22594"/>
    <w:styleLink w:val="Styl5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F58531E"/>
    <w:multiLevelType w:val="hybridMultilevel"/>
    <w:tmpl w:val="419AFC7C"/>
    <w:lvl w:ilvl="0" w:tplc="0405000F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2228F"/>
    <w:multiLevelType w:val="hybridMultilevel"/>
    <w:tmpl w:val="E5DCC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E605BA"/>
    <w:multiLevelType w:val="hybridMultilevel"/>
    <w:tmpl w:val="06B84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07915"/>
    <w:multiLevelType w:val="multilevel"/>
    <w:tmpl w:val="D1261EF4"/>
    <w:lvl w:ilvl="0">
      <w:start w:val="1"/>
      <w:numFmt w:val="none"/>
      <w:lvlText w:val="1."/>
      <w:lvlJc w:val="left"/>
      <w:pPr>
        <w:ind w:left="720" w:hanging="72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Podtitu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D9800EE"/>
    <w:multiLevelType w:val="multilevel"/>
    <w:tmpl w:val="C6BE1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>
      <w:start w:val="1"/>
      <w:numFmt w:val="decimal"/>
      <w:pStyle w:val="Nadpis3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DA8624A"/>
    <w:multiLevelType w:val="hybridMultilevel"/>
    <w:tmpl w:val="430A364E"/>
    <w:lvl w:ilvl="0" w:tplc="BC20B472">
      <w:start w:val="12"/>
      <w:numFmt w:val="decimal"/>
      <w:pStyle w:val="Dilonadpis1"/>
      <w:lvlText w:val="%1."/>
      <w:lvlJc w:val="left"/>
      <w:pPr>
        <w:ind w:left="1017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FD31589"/>
    <w:multiLevelType w:val="multilevel"/>
    <w:tmpl w:val="DE10C832"/>
    <w:styleLink w:val="Styl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1B67423"/>
    <w:multiLevelType w:val="multilevel"/>
    <w:tmpl w:val="10224122"/>
    <w:styleLink w:val="Styl14"/>
    <w:lvl w:ilvl="0">
      <w:start w:val="1"/>
      <w:numFmt w:val="upperRoman"/>
      <w:lvlText w:val="%1."/>
      <w:lvlJc w:val="righ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2160"/>
      </w:pPr>
      <w:rPr>
        <w:rFonts w:hint="default"/>
      </w:rPr>
    </w:lvl>
  </w:abstractNum>
  <w:abstractNum w:abstractNumId="29">
    <w:nsid w:val="52E900A6"/>
    <w:multiLevelType w:val="multilevel"/>
    <w:tmpl w:val="7F1A8332"/>
    <w:styleLink w:val="Styl10"/>
    <w:lvl w:ilvl="0">
      <w:start w:val="1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55E47DF"/>
    <w:multiLevelType w:val="hybridMultilevel"/>
    <w:tmpl w:val="FD207BDA"/>
    <w:lvl w:ilvl="0" w:tplc="07208F3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B46308"/>
    <w:multiLevelType w:val="multilevel"/>
    <w:tmpl w:val="CB74B5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588A6AB8"/>
    <w:multiLevelType w:val="hybridMultilevel"/>
    <w:tmpl w:val="82EE5704"/>
    <w:lvl w:ilvl="0" w:tplc="B914C9F4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6B2F4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1046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1AA4A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0E74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E0E5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1075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FCC0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4229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945AC8"/>
    <w:multiLevelType w:val="multilevel"/>
    <w:tmpl w:val="E9DC32DE"/>
    <w:styleLink w:val="Styl11"/>
    <w:lvl w:ilvl="0">
      <w:numFmt w:val="none"/>
      <w:lvlText w:val="1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738C128D"/>
    <w:multiLevelType w:val="hybridMultilevel"/>
    <w:tmpl w:val="DBE6BD38"/>
    <w:lvl w:ilvl="0" w:tplc="04050005">
      <w:start w:val="2"/>
      <w:numFmt w:val="bullet"/>
      <w:pStyle w:val="odrkyzlevaodsazeno0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9B2EEE"/>
    <w:multiLevelType w:val="multilevel"/>
    <w:tmpl w:val="DEF6302C"/>
    <w:styleLink w:val="Styl12"/>
    <w:lvl w:ilvl="0">
      <w:start w:val="1"/>
      <w:numFmt w:val="decimal"/>
      <w:lvlText w:val="%11.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34"/>
  </w:num>
  <w:num w:numId="3">
    <w:abstractNumId w:val="13"/>
  </w:num>
  <w:num w:numId="4">
    <w:abstractNumId w:val="16"/>
  </w:num>
  <w:num w:numId="5">
    <w:abstractNumId w:val="17"/>
  </w:num>
  <w:num w:numId="6">
    <w:abstractNumId w:val="9"/>
  </w:num>
  <w:num w:numId="7">
    <w:abstractNumId w:val="32"/>
  </w:num>
  <w:num w:numId="8">
    <w:abstractNumId w:val="5"/>
  </w:num>
  <w:num w:numId="9">
    <w:abstractNumId w:val="11"/>
  </w:num>
  <w:num w:numId="10">
    <w:abstractNumId w:val="1"/>
  </w:num>
  <w:num w:numId="11">
    <w:abstractNumId w:val="20"/>
  </w:num>
  <w:num w:numId="12">
    <w:abstractNumId w:val="14"/>
  </w:num>
  <w:num w:numId="13">
    <w:abstractNumId w:val="18"/>
  </w:num>
  <w:num w:numId="14">
    <w:abstractNumId w:val="2"/>
  </w:num>
  <w:num w:numId="15">
    <w:abstractNumId w:val="8"/>
  </w:num>
  <w:num w:numId="16">
    <w:abstractNumId w:val="19"/>
  </w:num>
  <w:num w:numId="17">
    <w:abstractNumId w:val="29"/>
  </w:num>
  <w:num w:numId="18">
    <w:abstractNumId w:val="33"/>
  </w:num>
  <w:num w:numId="19">
    <w:abstractNumId w:val="35"/>
  </w:num>
  <w:num w:numId="20">
    <w:abstractNumId w:val="0"/>
  </w:num>
  <w:num w:numId="21">
    <w:abstractNumId w:val="28"/>
  </w:num>
  <w:num w:numId="22">
    <w:abstractNumId w:val="3"/>
  </w:num>
  <w:num w:numId="23">
    <w:abstractNumId w:val="24"/>
  </w:num>
  <w:num w:numId="24">
    <w:abstractNumId w:val="27"/>
  </w:num>
  <w:num w:numId="25">
    <w:abstractNumId w:val="10"/>
  </w:num>
  <w:num w:numId="26">
    <w:abstractNumId w:val="31"/>
  </w:num>
  <w:num w:numId="27">
    <w:abstractNumId w:val="15"/>
  </w:num>
  <w:num w:numId="28">
    <w:abstractNumId w:val="23"/>
  </w:num>
  <w:num w:numId="29">
    <w:abstractNumId w:val="21"/>
  </w:num>
  <w:num w:numId="30">
    <w:abstractNumId w:val="12"/>
  </w:num>
  <w:num w:numId="31">
    <w:abstractNumId w:val="4"/>
  </w:num>
  <w:num w:numId="32">
    <w:abstractNumId w:val="25"/>
  </w:num>
  <w:num w:numId="33">
    <w:abstractNumId w:val="31"/>
    <w:lvlOverride w:ilvl="0">
      <w:startOverride w:val="3"/>
    </w:lvlOverride>
    <w:lvlOverride w:ilvl="1">
      <w:startOverride w:val="1"/>
    </w:lvlOverride>
  </w:num>
  <w:num w:numId="34">
    <w:abstractNumId w:val="31"/>
    <w:lvlOverride w:ilvl="0">
      <w:startOverride w:val="4"/>
    </w:lvlOverride>
    <w:lvlOverride w:ilvl="1">
      <w:startOverride w:val="1"/>
    </w:lvlOverride>
  </w:num>
  <w:num w:numId="35">
    <w:abstractNumId w:val="31"/>
    <w:lvlOverride w:ilvl="0">
      <w:startOverride w:val="5"/>
    </w:lvlOverride>
    <w:lvlOverride w:ilvl="1">
      <w:startOverride w:val="1"/>
    </w:lvlOverride>
  </w:num>
  <w:num w:numId="36">
    <w:abstractNumId w:val="31"/>
    <w:lvlOverride w:ilvl="0">
      <w:startOverride w:val="6"/>
    </w:lvlOverride>
    <w:lvlOverride w:ilvl="1">
      <w:startOverride w:val="1"/>
    </w:lvlOverride>
  </w:num>
  <w:num w:numId="37">
    <w:abstractNumId w:val="31"/>
    <w:lvlOverride w:ilvl="0">
      <w:startOverride w:val="9"/>
    </w:lvlOverride>
    <w:lvlOverride w:ilvl="1">
      <w:startOverride w:val="1"/>
    </w:lvlOverride>
  </w:num>
  <w:num w:numId="38">
    <w:abstractNumId w:val="31"/>
    <w:lvlOverride w:ilvl="0">
      <w:startOverride w:val="13"/>
    </w:lvlOverride>
    <w:lvlOverride w:ilvl="1">
      <w:startOverride w:val="1"/>
    </w:lvlOverride>
  </w:num>
  <w:num w:numId="39">
    <w:abstractNumId w:val="31"/>
    <w:lvlOverride w:ilvl="0">
      <w:startOverride w:val="15"/>
    </w:lvlOverride>
    <w:lvlOverride w:ilvl="1">
      <w:startOverride w:val="1"/>
    </w:lvlOverride>
  </w:num>
  <w:num w:numId="40">
    <w:abstractNumId w:val="22"/>
  </w:num>
  <w:num w:numId="41">
    <w:abstractNumId w:val="30"/>
  </w:num>
  <w:num w:numId="42">
    <w:abstractNumId w:val="6"/>
  </w:num>
  <w:num w:numId="43">
    <w:abstractNumId w:val="31"/>
    <w:lvlOverride w:ilvl="0">
      <w:startOverride w:val="1"/>
    </w:lvlOverride>
    <w:lvlOverride w:ilvl="1">
      <w:startOverride w:val="1"/>
    </w:lvlOverride>
  </w:num>
  <w:num w:numId="44">
    <w:abstractNumId w:val="31"/>
    <w:lvlOverride w:ilvl="0">
      <w:startOverride w:val="10"/>
    </w:lvlOverride>
    <w:lvlOverride w:ilvl="1">
      <w:startOverride w:val="1"/>
    </w:lvlOverride>
  </w:num>
  <w:num w:numId="45">
    <w:abstractNumId w:val="31"/>
    <w:lvlOverride w:ilvl="0">
      <w:startOverride w:val="11"/>
    </w:lvlOverride>
    <w:lvlOverride w:ilvl="1">
      <w:startOverride w:val="1"/>
    </w:lvlOverride>
  </w:num>
  <w:num w:numId="46">
    <w:abstractNumId w:val="26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D6C"/>
    <w:rsid w:val="00001106"/>
    <w:rsid w:val="0000141F"/>
    <w:rsid w:val="000020B7"/>
    <w:rsid w:val="0000307A"/>
    <w:rsid w:val="0000337E"/>
    <w:rsid w:val="000038B4"/>
    <w:rsid w:val="00005508"/>
    <w:rsid w:val="0001570D"/>
    <w:rsid w:val="00017076"/>
    <w:rsid w:val="000204F9"/>
    <w:rsid w:val="000271AB"/>
    <w:rsid w:val="000277C5"/>
    <w:rsid w:val="000325B5"/>
    <w:rsid w:val="00035B9A"/>
    <w:rsid w:val="00037E13"/>
    <w:rsid w:val="00043751"/>
    <w:rsid w:val="00043FB9"/>
    <w:rsid w:val="00045912"/>
    <w:rsid w:val="00045B2E"/>
    <w:rsid w:val="00052602"/>
    <w:rsid w:val="0005263E"/>
    <w:rsid w:val="00052BEF"/>
    <w:rsid w:val="000565D6"/>
    <w:rsid w:val="000602ED"/>
    <w:rsid w:val="00061298"/>
    <w:rsid w:val="00061E01"/>
    <w:rsid w:val="000623EF"/>
    <w:rsid w:val="00064260"/>
    <w:rsid w:val="00070EC3"/>
    <w:rsid w:val="00072E6D"/>
    <w:rsid w:val="000752F4"/>
    <w:rsid w:val="00076FB4"/>
    <w:rsid w:val="00077BA7"/>
    <w:rsid w:val="00080EA1"/>
    <w:rsid w:val="00083612"/>
    <w:rsid w:val="00084534"/>
    <w:rsid w:val="00086668"/>
    <w:rsid w:val="000928DB"/>
    <w:rsid w:val="00092C19"/>
    <w:rsid w:val="00094255"/>
    <w:rsid w:val="000950F8"/>
    <w:rsid w:val="00095921"/>
    <w:rsid w:val="00095A45"/>
    <w:rsid w:val="00096A9F"/>
    <w:rsid w:val="00097093"/>
    <w:rsid w:val="000A028C"/>
    <w:rsid w:val="000A04A6"/>
    <w:rsid w:val="000A0863"/>
    <w:rsid w:val="000A27C7"/>
    <w:rsid w:val="000A3839"/>
    <w:rsid w:val="000A7B7E"/>
    <w:rsid w:val="000B0E27"/>
    <w:rsid w:val="000B2742"/>
    <w:rsid w:val="000B2F55"/>
    <w:rsid w:val="000B4A54"/>
    <w:rsid w:val="000B7632"/>
    <w:rsid w:val="000C3274"/>
    <w:rsid w:val="000C4E2D"/>
    <w:rsid w:val="000C6D69"/>
    <w:rsid w:val="000C6E81"/>
    <w:rsid w:val="000C73FB"/>
    <w:rsid w:val="000D11A9"/>
    <w:rsid w:val="000D2CD7"/>
    <w:rsid w:val="000D312D"/>
    <w:rsid w:val="000D45EF"/>
    <w:rsid w:val="000D55BE"/>
    <w:rsid w:val="000D6A89"/>
    <w:rsid w:val="000E39B9"/>
    <w:rsid w:val="000E3E20"/>
    <w:rsid w:val="000E449D"/>
    <w:rsid w:val="000E525A"/>
    <w:rsid w:val="000E68E7"/>
    <w:rsid w:val="000E6995"/>
    <w:rsid w:val="000F0492"/>
    <w:rsid w:val="000F051C"/>
    <w:rsid w:val="000F0705"/>
    <w:rsid w:val="000F0968"/>
    <w:rsid w:val="00102F39"/>
    <w:rsid w:val="00103B54"/>
    <w:rsid w:val="00103CF6"/>
    <w:rsid w:val="00105EF5"/>
    <w:rsid w:val="00110DCF"/>
    <w:rsid w:val="00112A2F"/>
    <w:rsid w:val="001154CD"/>
    <w:rsid w:val="001154EA"/>
    <w:rsid w:val="00116B03"/>
    <w:rsid w:val="00117C59"/>
    <w:rsid w:val="00120F34"/>
    <w:rsid w:val="0012397A"/>
    <w:rsid w:val="001239B3"/>
    <w:rsid w:val="001242C1"/>
    <w:rsid w:val="0013222D"/>
    <w:rsid w:val="00135B2F"/>
    <w:rsid w:val="00135C2B"/>
    <w:rsid w:val="001404EF"/>
    <w:rsid w:val="00140EBA"/>
    <w:rsid w:val="00143192"/>
    <w:rsid w:val="00143825"/>
    <w:rsid w:val="00143F9D"/>
    <w:rsid w:val="00146F9D"/>
    <w:rsid w:val="00153388"/>
    <w:rsid w:val="00155F1F"/>
    <w:rsid w:val="00160022"/>
    <w:rsid w:val="001600C3"/>
    <w:rsid w:val="00161CBC"/>
    <w:rsid w:val="00163E5B"/>
    <w:rsid w:val="00164387"/>
    <w:rsid w:val="001664BB"/>
    <w:rsid w:val="00167EB9"/>
    <w:rsid w:val="00167F78"/>
    <w:rsid w:val="00170D18"/>
    <w:rsid w:val="001719E5"/>
    <w:rsid w:val="00175702"/>
    <w:rsid w:val="00176EDB"/>
    <w:rsid w:val="0018038C"/>
    <w:rsid w:val="00185E58"/>
    <w:rsid w:val="001868E9"/>
    <w:rsid w:val="00193514"/>
    <w:rsid w:val="001972BA"/>
    <w:rsid w:val="001A031F"/>
    <w:rsid w:val="001A1A05"/>
    <w:rsid w:val="001A1D59"/>
    <w:rsid w:val="001A58C5"/>
    <w:rsid w:val="001A5B6D"/>
    <w:rsid w:val="001B3D79"/>
    <w:rsid w:val="001B55BB"/>
    <w:rsid w:val="001B7ED8"/>
    <w:rsid w:val="001C4F18"/>
    <w:rsid w:val="001C71A0"/>
    <w:rsid w:val="001D1270"/>
    <w:rsid w:val="001D2BEA"/>
    <w:rsid w:val="001E0EB0"/>
    <w:rsid w:val="001E18A8"/>
    <w:rsid w:val="001E2B1E"/>
    <w:rsid w:val="001E3C17"/>
    <w:rsid w:val="001E52EC"/>
    <w:rsid w:val="001E660F"/>
    <w:rsid w:val="001E67E6"/>
    <w:rsid w:val="001E6A30"/>
    <w:rsid w:val="001F003D"/>
    <w:rsid w:val="001F12E8"/>
    <w:rsid w:val="001F519D"/>
    <w:rsid w:val="001F5768"/>
    <w:rsid w:val="001F6B70"/>
    <w:rsid w:val="001F71BA"/>
    <w:rsid w:val="001F724C"/>
    <w:rsid w:val="002003C2"/>
    <w:rsid w:val="00202DD0"/>
    <w:rsid w:val="002032AD"/>
    <w:rsid w:val="0020380C"/>
    <w:rsid w:val="00204179"/>
    <w:rsid w:val="00206078"/>
    <w:rsid w:val="00207AEC"/>
    <w:rsid w:val="0021071C"/>
    <w:rsid w:val="00211E64"/>
    <w:rsid w:val="002135DF"/>
    <w:rsid w:val="00214EC2"/>
    <w:rsid w:val="0021577F"/>
    <w:rsid w:val="00217BE5"/>
    <w:rsid w:val="002205D0"/>
    <w:rsid w:val="00221438"/>
    <w:rsid w:val="002223F9"/>
    <w:rsid w:val="002228B7"/>
    <w:rsid w:val="00224BFA"/>
    <w:rsid w:val="00225E22"/>
    <w:rsid w:val="002311FE"/>
    <w:rsid w:val="00231F90"/>
    <w:rsid w:val="00237F88"/>
    <w:rsid w:val="00240BF3"/>
    <w:rsid w:val="00240CEA"/>
    <w:rsid w:val="002416EF"/>
    <w:rsid w:val="00241D60"/>
    <w:rsid w:val="00244BD3"/>
    <w:rsid w:val="00246A1F"/>
    <w:rsid w:val="0025009E"/>
    <w:rsid w:val="0025176B"/>
    <w:rsid w:val="002518C4"/>
    <w:rsid w:val="00252843"/>
    <w:rsid w:val="002538EE"/>
    <w:rsid w:val="0025450E"/>
    <w:rsid w:val="002619FA"/>
    <w:rsid w:val="00262DF0"/>
    <w:rsid w:val="00263209"/>
    <w:rsid w:val="0026395F"/>
    <w:rsid w:val="00270E5A"/>
    <w:rsid w:val="00272452"/>
    <w:rsid w:val="0027247F"/>
    <w:rsid w:val="00277A0E"/>
    <w:rsid w:val="00280B3D"/>
    <w:rsid w:val="00281FD6"/>
    <w:rsid w:val="00283AF8"/>
    <w:rsid w:val="0028500B"/>
    <w:rsid w:val="00285A5B"/>
    <w:rsid w:val="002861A9"/>
    <w:rsid w:val="00286EC5"/>
    <w:rsid w:val="0029106B"/>
    <w:rsid w:val="00291788"/>
    <w:rsid w:val="00295E32"/>
    <w:rsid w:val="002A0A83"/>
    <w:rsid w:val="002A18C0"/>
    <w:rsid w:val="002A30BE"/>
    <w:rsid w:val="002A6910"/>
    <w:rsid w:val="002A6B48"/>
    <w:rsid w:val="002B1145"/>
    <w:rsid w:val="002B21BC"/>
    <w:rsid w:val="002B299E"/>
    <w:rsid w:val="002B2B9F"/>
    <w:rsid w:val="002B4087"/>
    <w:rsid w:val="002B4317"/>
    <w:rsid w:val="002B4390"/>
    <w:rsid w:val="002B5506"/>
    <w:rsid w:val="002B61CE"/>
    <w:rsid w:val="002B6BF8"/>
    <w:rsid w:val="002C18C5"/>
    <w:rsid w:val="002C1D44"/>
    <w:rsid w:val="002C1F3D"/>
    <w:rsid w:val="002C2DE4"/>
    <w:rsid w:val="002C5797"/>
    <w:rsid w:val="002C7E55"/>
    <w:rsid w:val="002D30D0"/>
    <w:rsid w:val="002D32DA"/>
    <w:rsid w:val="002D4B27"/>
    <w:rsid w:val="002D7A4E"/>
    <w:rsid w:val="002E02C6"/>
    <w:rsid w:val="002E272A"/>
    <w:rsid w:val="002E2B31"/>
    <w:rsid w:val="002E2BD1"/>
    <w:rsid w:val="002E4032"/>
    <w:rsid w:val="002E7AF0"/>
    <w:rsid w:val="002F086B"/>
    <w:rsid w:val="002F175F"/>
    <w:rsid w:val="002F29A3"/>
    <w:rsid w:val="002F2F8A"/>
    <w:rsid w:val="002F30DA"/>
    <w:rsid w:val="002F4E29"/>
    <w:rsid w:val="002F5448"/>
    <w:rsid w:val="002F5CF5"/>
    <w:rsid w:val="002F63C6"/>
    <w:rsid w:val="002F7AF4"/>
    <w:rsid w:val="00300889"/>
    <w:rsid w:val="003022B4"/>
    <w:rsid w:val="0030354A"/>
    <w:rsid w:val="00303B53"/>
    <w:rsid w:val="003074A0"/>
    <w:rsid w:val="00310F90"/>
    <w:rsid w:val="00312A7B"/>
    <w:rsid w:val="003132ED"/>
    <w:rsid w:val="00314DE5"/>
    <w:rsid w:val="00316FAF"/>
    <w:rsid w:val="00322530"/>
    <w:rsid w:val="003228B7"/>
    <w:rsid w:val="003231B1"/>
    <w:rsid w:val="00324A19"/>
    <w:rsid w:val="00325D67"/>
    <w:rsid w:val="00326A51"/>
    <w:rsid w:val="0033086D"/>
    <w:rsid w:val="00331F6F"/>
    <w:rsid w:val="003322CA"/>
    <w:rsid w:val="00332D21"/>
    <w:rsid w:val="00334268"/>
    <w:rsid w:val="003342E7"/>
    <w:rsid w:val="003359DC"/>
    <w:rsid w:val="00335B71"/>
    <w:rsid w:val="00336431"/>
    <w:rsid w:val="00342FC9"/>
    <w:rsid w:val="00343A64"/>
    <w:rsid w:val="003456C3"/>
    <w:rsid w:val="0034718E"/>
    <w:rsid w:val="003513E0"/>
    <w:rsid w:val="0035627B"/>
    <w:rsid w:val="00356542"/>
    <w:rsid w:val="00357E44"/>
    <w:rsid w:val="00361700"/>
    <w:rsid w:val="00361943"/>
    <w:rsid w:val="00363508"/>
    <w:rsid w:val="00363C27"/>
    <w:rsid w:val="003647DC"/>
    <w:rsid w:val="0037087B"/>
    <w:rsid w:val="0037144F"/>
    <w:rsid w:val="00373BE8"/>
    <w:rsid w:val="00374095"/>
    <w:rsid w:val="00377601"/>
    <w:rsid w:val="0038146A"/>
    <w:rsid w:val="00386C30"/>
    <w:rsid w:val="00386C4A"/>
    <w:rsid w:val="0039014E"/>
    <w:rsid w:val="00390A69"/>
    <w:rsid w:val="00390BCE"/>
    <w:rsid w:val="00391208"/>
    <w:rsid w:val="003912AD"/>
    <w:rsid w:val="00391B20"/>
    <w:rsid w:val="00391FA6"/>
    <w:rsid w:val="003967EA"/>
    <w:rsid w:val="00396E70"/>
    <w:rsid w:val="00396EDB"/>
    <w:rsid w:val="00397C6C"/>
    <w:rsid w:val="003A0DC2"/>
    <w:rsid w:val="003A1694"/>
    <w:rsid w:val="003A3586"/>
    <w:rsid w:val="003A3808"/>
    <w:rsid w:val="003A3A3D"/>
    <w:rsid w:val="003A6A00"/>
    <w:rsid w:val="003A7B42"/>
    <w:rsid w:val="003B0292"/>
    <w:rsid w:val="003B03EE"/>
    <w:rsid w:val="003B4641"/>
    <w:rsid w:val="003C0EA8"/>
    <w:rsid w:val="003C5ADA"/>
    <w:rsid w:val="003C5F53"/>
    <w:rsid w:val="003C665B"/>
    <w:rsid w:val="003D7D12"/>
    <w:rsid w:val="003E6409"/>
    <w:rsid w:val="003F0F14"/>
    <w:rsid w:val="003F1949"/>
    <w:rsid w:val="003F1D27"/>
    <w:rsid w:val="003F7978"/>
    <w:rsid w:val="003F7FB1"/>
    <w:rsid w:val="00400F7C"/>
    <w:rsid w:val="00401A37"/>
    <w:rsid w:val="00402FD0"/>
    <w:rsid w:val="004039E2"/>
    <w:rsid w:val="00405755"/>
    <w:rsid w:val="00405D02"/>
    <w:rsid w:val="00410BBC"/>
    <w:rsid w:val="00415538"/>
    <w:rsid w:val="00416AE7"/>
    <w:rsid w:val="00416C9D"/>
    <w:rsid w:val="00417DC1"/>
    <w:rsid w:val="00423A30"/>
    <w:rsid w:val="004243C7"/>
    <w:rsid w:val="00427F1E"/>
    <w:rsid w:val="00432A2F"/>
    <w:rsid w:val="0043341E"/>
    <w:rsid w:val="0043393C"/>
    <w:rsid w:val="00434D35"/>
    <w:rsid w:val="00435A58"/>
    <w:rsid w:val="004376D1"/>
    <w:rsid w:val="00437979"/>
    <w:rsid w:val="00437C46"/>
    <w:rsid w:val="0044158F"/>
    <w:rsid w:val="00441ACA"/>
    <w:rsid w:val="00442454"/>
    <w:rsid w:val="004457B5"/>
    <w:rsid w:val="00445DEF"/>
    <w:rsid w:val="004471FA"/>
    <w:rsid w:val="00452700"/>
    <w:rsid w:val="00453073"/>
    <w:rsid w:val="00453D49"/>
    <w:rsid w:val="00455146"/>
    <w:rsid w:val="004561FF"/>
    <w:rsid w:val="00460C80"/>
    <w:rsid w:val="00462422"/>
    <w:rsid w:val="004627EE"/>
    <w:rsid w:val="004637CB"/>
    <w:rsid w:val="00465C3F"/>
    <w:rsid w:val="00467221"/>
    <w:rsid w:val="00467420"/>
    <w:rsid w:val="004708E0"/>
    <w:rsid w:val="00473C74"/>
    <w:rsid w:val="004763C6"/>
    <w:rsid w:val="00477299"/>
    <w:rsid w:val="00477ED2"/>
    <w:rsid w:val="00480A20"/>
    <w:rsid w:val="00483515"/>
    <w:rsid w:val="004859DF"/>
    <w:rsid w:val="00485FDE"/>
    <w:rsid w:val="004875F4"/>
    <w:rsid w:val="00487BC7"/>
    <w:rsid w:val="0049103B"/>
    <w:rsid w:val="0049127F"/>
    <w:rsid w:val="0049164B"/>
    <w:rsid w:val="00492B70"/>
    <w:rsid w:val="00496DB9"/>
    <w:rsid w:val="004A0179"/>
    <w:rsid w:val="004A5521"/>
    <w:rsid w:val="004A6C50"/>
    <w:rsid w:val="004A7C11"/>
    <w:rsid w:val="004A7D4E"/>
    <w:rsid w:val="004B2479"/>
    <w:rsid w:val="004B2C7F"/>
    <w:rsid w:val="004B5B82"/>
    <w:rsid w:val="004B65CF"/>
    <w:rsid w:val="004B70F4"/>
    <w:rsid w:val="004C15A2"/>
    <w:rsid w:val="004C26A2"/>
    <w:rsid w:val="004C3D2C"/>
    <w:rsid w:val="004C472E"/>
    <w:rsid w:val="004D05AC"/>
    <w:rsid w:val="004D11DC"/>
    <w:rsid w:val="004D14AA"/>
    <w:rsid w:val="004D3DC1"/>
    <w:rsid w:val="004D46E6"/>
    <w:rsid w:val="004D7BB7"/>
    <w:rsid w:val="004E4CC7"/>
    <w:rsid w:val="004E60E7"/>
    <w:rsid w:val="004F004E"/>
    <w:rsid w:val="004F13C6"/>
    <w:rsid w:val="004F1401"/>
    <w:rsid w:val="004F21A3"/>
    <w:rsid w:val="004F31B0"/>
    <w:rsid w:val="004F5027"/>
    <w:rsid w:val="004F5F1B"/>
    <w:rsid w:val="004F66D9"/>
    <w:rsid w:val="004F6980"/>
    <w:rsid w:val="00500473"/>
    <w:rsid w:val="005014E0"/>
    <w:rsid w:val="005018E6"/>
    <w:rsid w:val="005027C5"/>
    <w:rsid w:val="00505084"/>
    <w:rsid w:val="00506111"/>
    <w:rsid w:val="005123E5"/>
    <w:rsid w:val="00513233"/>
    <w:rsid w:val="00515501"/>
    <w:rsid w:val="005155A7"/>
    <w:rsid w:val="00517E12"/>
    <w:rsid w:val="00522702"/>
    <w:rsid w:val="00523BF0"/>
    <w:rsid w:val="00526E5C"/>
    <w:rsid w:val="00530C1B"/>
    <w:rsid w:val="00530CBE"/>
    <w:rsid w:val="00533F76"/>
    <w:rsid w:val="00534B2F"/>
    <w:rsid w:val="005364DB"/>
    <w:rsid w:val="00541047"/>
    <w:rsid w:val="005412ED"/>
    <w:rsid w:val="005413B5"/>
    <w:rsid w:val="0054592C"/>
    <w:rsid w:val="00545B5C"/>
    <w:rsid w:val="005513EF"/>
    <w:rsid w:val="005535F3"/>
    <w:rsid w:val="00554F54"/>
    <w:rsid w:val="005609B4"/>
    <w:rsid w:val="00561119"/>
    <w:rsid w:val="00563169"/>
    <w:rsid w:val="0056378C"/>
    <w:rsid w:val="005662A0"/>
    <w:rsid w:val="005675DB"/>
    <w:rsid w:val="00567DFC"/>
    <w:rsid w:val="00572410"/>
    <w:rsid w:val="00572741"/>
    <w:rsid w:val="00572AEC"/>
    <w:rsid w:val="00572C51"/>
    <w:rsid w:val="005748D9"/>
    <w:rsid w:val="0058007C"/>
    <w:rsid w:val="00581183"/>
    <w:rsid w:val="00581C3B"/>
    <w:rsid w:val="00583120"/>
    <w:rsid w:val="00585ADB"/>
    <w:rsid w:val="00586C59"/>
    <w:rsid w:val="00591FAB"/>
    <w:rsid w:val="0059270C"/>
    <w:rsid w:val="00594105"/>
    <w:rsid w:val="005A60E0"/>
    <w:rsid w:val="005B0568"/>
    <w:rsid w:val="005B0955"/>
    <w:rsid w:val="005B1745"/>
    <w:rsid w:val="005B4223"/>
    <w:rsid w:val="005B60E8"/>
    <w:rsid w:val="005C1D3A"/>
    <w:rsid w:val="005C26B7"/>
    <w:rsid w:val="005C354C"/>
    <w:rsid w:val="005C4C1C"/>
    <w:rsid w:val="005C4FF0"/>
    <w:rsid w:val="005C6054"/>
    <w:rsid w:val="005C61B6"/>
    <w:rsid w:val="005C655B"/>
    <w:rsid w:val="005C6747"/>
    <w:rsid w:val="005D184D"/>
    <w:rsid w:val="005D1EFD"/>
    <w:rsid w:val="005D20ED"/>
    <w:rsid w:val="005D33E2"/>
    <w:rsid w:val="005D4291"/>
    <w:rsid w:val="005D623D"/>
    <w:rsid w:val="005D683D"/>
    <w:rsid w:val="005E0BE1"/>
    <w:rsid w:val="005F01B4"/>
    <w:rsid w:val="005F1930"/>
    <w:rsid w:val="005F3166"/>
    <w:rsid w:val="005F3652"/>
    <w:rsid w:val="005F5683"/>
    <w:rsid w:val="005F5B2D"/>
    <w:rsid w:val="005F600D"/>
    <w:rsid w:val="00600041"/>
    <w:rsid w:val="006022A0"/>
    <w:rsid w:val="006027A7"/>
    <w:rsid w:val="00602B8F"/>
    <w:rsid w:val="00610DBA"/>
    <w:rsid w:val="00615F00"/>
    <w:rsid w:val="0061677D"/>
    <w:rsid w:val="00616843"/>
    <w:rsid w:val="00616966"/>
    <w:rsid w:val="00617043"/>
    <w:rsid w:val="006210F3"/>
    <w:rsid w:val="00622398"/>
    <w:rsid w:val="006238C1"/>
    <w:rsid w:val="0062687D"/>
    <w:rsid w:val="00626D81"/>
    <w:rsid w:val="00631791"/>
    <w:rsid w:val="0063240D"/>
    <w:rsid w:val="00632E94"/>
    <w:rsid w:val="00633264"/>
    <w:rsid w:val="00637145"/>
    <w:rsid w:val="00641B36"/>
    <w:rsid w:val="0064250E"/>
    <w:rsid w:val="00643B3C"/>
    <w:rsid w:val="00646E82"/>
    <w:rsid w:val="00650A13"/>
    <w:rsid w:val="00651796"/>
    <w:rsid w:val="00652FE2"/>
    <w:rsid w:val="006538EC"/>
    <w:rsid w:val="006544B4"/>
    <w:rsid w:val="00655908"/>
    <w:rsid w:val="00655E12"/>
    <w:rsid w:val="0065793B"/>
    <w:rsid w:val="00661D75"/>
    <w:rsid w:val="0066255D"/>
    <w:rsid w:val="00662F08"/>
    <w:rsid w:val="00663406"/>
    <w:rsid w:val="00663C4A"/>
    <w:rsid w:val="00664139"/>
    <w:rsid w:val="00666EF8"/>
    <w:rsid w:val="00667D6C"/>
    <w:rsid w:val="006706FF"/>
    <w:rsid w:val="006734E1"/>
    <w:rsid w:val="006768F6"/>
    <w:rsid w:val="00677ABF"/>
    <w:rsid w:val="006812B5"/>
    <w:rsid w:val="00687020"/>
    <w:rsid w:val="006907D9"/>
    <w:rsid w:val="006948CC"/>
    <w:rsid w:val="006949BF"/>
    <w:rsid w:val="00696285"/>
    <w:rsid w:val="006976B8"/>
    <w:rsid w:val="006A0A08"/>
    <w:rsid w:val="006A0BAB"/>
    <w:rsid w:val="006A23E6"/>
    <w:rsid w:val="006A2BF9"/>
    <w:rsid w:val="006A3346"/>
    <w:rsid w:val="006A7457"/>
    <w:rsid w:val="006B0D14"/>
    <w:rsid w:val="006B7610"/>
    <w:rsid w:val="006C1BFA"/>
    <w:rsid w:val="006C5955"/>
    <w:rsid w:val="006C5F63"/>
    <w:rsid w:val="006C632C"/>
    <w:rsid w:val="006C6892"/>
    <w:rsid w:val="006D1EA5"/>
    <w:rsid w:val="006D39B0"/>
    <w:rsid w:val="006D3E55"/>
    <w:rsid w:val="006D57DB"/>
    <w:rsid w:val="006D5B64"/>
    <w:rsid w:val="006D7C57"/>
    <w:rsid w:val="006E1508"/>
    <w:rsid w:val="006E3AFE"/>
    <w:rsid w:val="006E4DC9"/>
    <w:rsid w:val="006E50FB"/>
    <w:rsid w:val="006F1FD3"/>
    <w:rsid w:val="006F2AB9"/>
    <w:rsid w:val="006F2C17"/>
    <w:rsid w:val="006F32E5"/>
    <w:rsid w:val="006F360C"/>
    <w:rsid w:val="006F6331"/>
    <w:rsid w:val="006F6B54"/>
    <w:rsid w:val="006F7033"/>
    <w:rsid w:val="0070077D"/>
    <w:rsid w:val="00703456"/>
    <w:rsid w:val="00703BFA"/>
    <w:rsid w:val="00705291"/>
    <w:rsid w:val="00706051"/>
    <w:rsid w:val="00707689"/>
    <w:rsid w:val="00710166"/>
    <w:rsid w:val="00712D80"/>
    <w:rsid w:val="00713052"/>
    <w:rsid w:val="00717500"/>
    <w:rsid w:val="007200D3"/>
    <w:rsid w:val="00722127"/>
    <w:rsid w:val="00723431"/>
    <w:rsid w:val="007236A5"/>
    <w:rsid w:val="00725A9A"/>
    <w:rsid w:val="00731B18"/>
    <w:rsid w:val="00731FBA"/>
    <w:rsid w:val="00732A15"/>
    <w:rsid w:val="00732D01"/>
    <w:rsid w:val="00732F3C"/>
    <w:rsid w:val="00734216"/>
    <w:rsid w:val="0073515D"/>
    <w:rsid w:val="00737684"/>
    <w:rsid w:val="00741F5A"/>
    <w:rsid w:val="00742879"/>
    <w:rsid w:val="00742DE1"/>
    <w:rsid w:val="00743BAF"/>
    <w:rsid w:val="00744F63"/>
    <w:rsid w:val="007475DB"/>
    <w:rsid w:val="007505CD"/>
    <w:rsid w:val="0075306C"/>
    <w:rsid w:val="0075311A"/>
    <w:rsid w:val="00754629"/>
    <w:rsid w:val="007552A1"/>
    <w:rsid w:val="007552BF"/>
    <w:rsid w:val="00755DAF"/>
    <w:rsid w:val="00757AF1"/>
    <w:rsid w:val="007604F1"/>
    <w:rsid w:val="00760CE6"/>
    <w:rsid w:val="007625A9"/>
    <w:rsid w:val="007625F7"/>
    <w:rsid w:val="0076469C"/>
    <w:rsid w:val="00766540"/>
    <w:rsid w:val="007668A7"/>
    <w:rsid w:val="00766F29"/>
    <w:rsid w:val="007670FE"/>
    <w:rsid w:val="00767CC5"/>
    <w:rsid w:val="00771B70"/>
    <w:rsid w:val="00771ECD"/>
    <w:rsid w:val="0077322B"/>
    <w:rsid w:val="00780396"/>
    <w:rsid w:val="00780634"/>
    <w:rsid w:val="00781C23"/>
    <w:rsid w:val="00783360"/>
    <w:rsid w:val="00797297"/>
    <w:rsid w:val="007A12C1"/>
    <w:rsid w:val="007A196F"/>
    <w:rsid w:val="007A3EDE"/>
    <w:rsid w:val="007B2C10"/>
    <w:rsid w:val="007B439E"/>
    <w:rsid w:val="007B6BA9"/>
    <w:rsid w:val="007C1EA9"/>
    <w:rsid w:val="007C1F91"/>
    <w:rsid w:val="007C25A7"/>
    <w:rsid w:val="007C2E61"/>
    <w:rsid w:val="007C51E0"/>
    <w:rsid w:val="007C5BE3"/>
    <w:rsid w:val="007D243B"/>
    <w:rsid w:val="007D6211"/>
    <w:rsid w:val="007D7C1B"/>
    <w:rsid w:val="007E16B0"/>
    <w:rsid w:val="007F4159"/>
    <w:rsid w:val="007F43EB"/>
    <w:rsid w:val="007F4EEC"/>
    <w:rsid w:val="007F69DC"/>
    <w:rsid w:val="007F6EBD"/>
    <w:rsid w:val="0080127B"/>
    <w:rsid w:val="00801C57"/>
    <w:rsid w:val="00804543"/>
    <w:rsid w:val="00806098"/>
    <w:rsid w:val="008062FE"/>
    <w:rsid w:val="0081224A"/>
    <w:rsid w:val="008140BF"/>
    <w:rsid w:val="00815638"/>
    <w:rsid w:val="008161F7"/>
    <w:rsid w:val="00816D46"/>
    <w:rsid w:val="008173FD"/>
    <w:rsid w:val="008209EE"/>
    <w:rsid w:val="00820F25"/>
    <w:rsid w:val="0082303F"/>
    <w:rsid w:val="00825D11"/>
    <w:rsid w:val="008262A5"/>
    <w:rsid w:val="0082671E"/>
    <w:rsid w:val="008278FC"/>
    <w:rsid w:val="00830717"/>
    <w:rsid w:val="008308A4"/>
    <w:rsid w:val="00831159"/>
    <w:rsid w:val="008338BF"/>
    <w:rsid w:val="00835171"/>
    <w:rsid w:val="008357F1"/>
    <w:rsid w:val="00836399"/>
    <w:rsid w:val="00842B9E"/>
    <w:rsid w:val="00845BA9"/>
    <w:rsid w:val="00852693"/>
    <w:rsid w:val="00853361"/>
    <w:rsid w:val="0085397F"/>
    <w:rsid w:val="00854F50"/>
    <w:rsid w:val="00855589"/>
    <w:rsid w:val="00855CFC"/>
    <w:rsid w:val="008570F8"/>
    <w:rsid w:val="00861299"/>
    <w:rsid w:val="008648D7"/>
    <w:rsid w:val="00867469"/>
    <w:rsid w:val="00870F2F"/>
    <w:rsid w:val="008761B5"/>
    <w:rsid w:val="00876CFE"/>
    <w:rsid w:val="00877C30"/>
    <w:rsid w:val="00881A7D"/>
    <w:rsid w:val="00881E0C"/>
    <w:rsid w:val="00885D49"/>
    <w:rsid w:val="00885EB3"/>
    <w:rsid w:val="00891188"/>
    <w:rsid w:val="008942CB"/>
    <w:rsid w:val="008953D2"/>
    <w:rsid w:val="008967CB"/>
    <w:rsid w:val="00897553"/>
    <w:rsid w:val="008A1E7A"/>
    <w:rsid w:val="008A1E92"/>
    <w:rsid w:val="008A2011"/>
    <w:rsid w:val="008A4144"/>
    <w:rsid w:val="008A538C"/>
    <w:rsid w:val="008A723C"/>
    <w:rsid w:val="008B0FB0"/>
    <w:rsid w:val="008B2F02"/>
    <w:rsid w:val="008B47A5"/>
    <w:rsid w:val="008B499B"/>
    <w:rsid w:val="008B54B2"/>
    <w:rsid w:val="008B5551"/>
    <w:rsid w:val="008C0466"/>
    <w:rsid w:val="008C15F0"/>
    <w:rsid w:val="008C34BC"/>
    <w:rsid w:val="008C4643"/>
    <w:rsid w:val="008C5359"/>
    <w:rsid w:val="008C5437"/>
    <w:rsid w:val="008C6C2C"/>
    <w:rsid w:val="008D1659"/>
    <w:rsid w:val="008D226D"/>
    <w:rsid w:val="008D3C30"/>
    <w:rsid w:val="008D4293"/>
    <w:rsid w:val="008D5AB3"/>
    <w:rsid w:val="008D5CBA"/>
    <w:rsid w:val="008E119F"/>
    <w:rsid w:val="008E28C8"/>
    <w:rsid w:val="008E37B2"/>
    <w:rsid w:val="008E5605"/>
    <w:rsid w:val="008E5979"/>
    <w:rsid w:val="008E68C8"/>
    <w:rsid w:val="008F4A1C"/>
    <w:rsid w:val="008F623D"/>
    <w:rsid w:val="00900B1D"/>
    <w:rsid w:val="00902C3D"/>
    <w:rsid w:val="00902E01"/>
    <w:rsid w:val="00911085"/>
    <w:rsid w:val="0091172B"/>
    <w:rsid w:val="009137F4"/>
    <w:rsid w:val="00921D5D"/>
    <w:rsid w:val="00923902"/>
    <w:rsid w:val="0092499F"/>
    <w:rsid w:val="00924D67"/>
    <w:rsid w:val="00925DA8"/>
    <w:rsid w:val="00926E82"/>
    <w:rsid w:val="00927F72"/>
    <w:rsid w:val="009358FD"/>
    <w:rsid w:val="00937505"/>
    <w:rsid w:val="00937761"/>
    <w:rsid w:val="00937C52"/>
    <w:rsid w:val="00940248"/>
    <w:rsid w:val="009432C0"/>
    <w:rsid w:val="0094564C"/>
    <w:rsid w:val="00946985"/>
    <w:rsid w:val="00954615"/>
    <w:rsid w:val="009554C4"/>
    <w:rsid w:val="00955ADD"/>
    <w:rsid w:val="00956230"/>
    <w:rsid w:val="00957860"/>
    <w:rsid w:val="00962804"/>
    <w:rsid w:val="00963F1A"/>
    <w:rsid w:val="00964043"/>
    <w:rsid w:val="00964EA0"/>
    <w:rsid w:val="00965C4E"/>
    <w:rsid w:val="009669AE"/>
    <w:rsid w:val="009708FE"/>
    <w:rsid w:val="00972085"/>
    <w:rsid w:val="00974752"/>
    <w:rsid w:val="00981D62"/>
    <w:rsid w:val="009869F9"/>
    <w:rsid w:val="009909ED"/>
    <w:rsid w:val="00991106"/>
    <w:rsid w:val="009928E6"/>
    <w:rsid w:val="00993520"/>
    <w:rsid w:val="00994F6E"/>
    <w:rsid w:val="00995B12"/>
    <w:rsid w:val="0099749F"/>
    <w:rsid w:val="009A4269"/>
    <w:rsid w:val="009A487A"/>
    <w:rsid w:val="009B0387"/>
    <w:rsid w:val="009B0843"/>
    <w:rsid w:val="009B1D86"/>
    <w:rsid w:val="009B3110"/>
    <w:rsid w:val="009B375A"/>
    <w:rsid w:val="009B3820"/>
    <w:rsid w:val="009B47A9"/>
    <w:rsid w:val="009B4D0E"/>
    <w:rsid w:val="009B638F"/>
    <w:rsid w:val="009C0C50"/>
    <w:rsid w:val="009C1C31"/>
    <w:rsid w:val="009C2268"/>
    <w:rsid w:val="009C373D"/>
    <w:rsid w:val="009C433C"/>
    <w:rsid w:val="009C4B97"/>
    <w:rsid w:val="009D0488"/>
    <w:rsid w:val="009D06D1"/>
    <w:rsid w:val="009D1069"/>
    <w:rsid w:val="009D1B17"/>
    <w:rsid w:val="009D5C53"/>
    <w:rsid w:val="009E2909"/>
    <w:rsid w:val="009E403F"/>
    <w:rsid w:val="009E59A3"/>
    <w:rsid w:val="009E5F48"/>
    <w:rsid w:val="009E7787"/>
    <w:rsid w:val="009F4051"/>
    <w:rsid w:val="009F41CA"/>
    <w:rsid w:val="009F4642"/>
    <w:rsid w:val="009F7F2C"/>
    <w:rsid w:val="00A00C9C"/>
    <w:rsid w:val="00A01D9B"/>
    <w:rsid w:val="00A06370"/>
    <w:rsid w:val="00A0789D"/>
    <w:rsid w:val="00A162D6"/>
    <w:rsid w:val="00A16C33"/>
    <w:rsid w:val="00A202EA"/>
    <w:rsid w:val="00A2160C"/>
    <w:rsid w:val="00A2202B"/>
    <w:rsid w:val="00A247B1"/>
    <w:rsid w:val="00A275F5"/>
    <w:rsid w:val="00A3201A"/>
    <w:rsid w:val="00A323AA"/>
    <w:rsid w:val="00A3241E"/>
    <w:rsid w:val="00A34712"/>
    <w:rsid w:val="00A3514D"/>
    <w:rsid w:val="00A37E9E"/>
    <w:rsid w:val="00A420B8"/>
    <w:rsid w:val="00A42F85"/>
    <w:rsid w:val="00A432B5"/>
    <w:rsid w:val="00A43E80"/>
    <w:rsid w:val="00A508DC"/>
    <w:rsid w:val="00A53049"/>
    <w:rsid w:val="00A53678"/>
    <w:rsid w:val="00A53AF7"/>
    <w:rsid w:val="00A54572"/>
    <w:rsid w:val="00A6058E"/>
    <w:rsid w:val="00A606F5"/>
    <w:rsid w:val="00A617BC"/>
    <w:rsid w:val="00A67758"/>
    <w:rsid w:val="00A67766"/>
    <w:rsid w:val="00A75094"/>
    <w:rsid w:val="00A75F6F"/>
    <w:rsid w:val="00A76207"/>
    <w:rsid w:val="00A80BEC"/>
    <w:rsid w:val="00A819ED"/>
    <w:rsid w:val="00A81E26"/>
    <w:rsid w:val="00A83B72"/>
    <w:rsid w:val="00A8520C"/>
    <w:rsid w:val="00A87CF3"/>
    <w:rsid w:val="00A87EF6"/>
    <w:rsid w:val="00A90B64"/>
    <w:rsid w:val="00A92AFF"/>
    <w:rsid w:val="00A95619"/>
    <w:rsid w:val="00A9639F"/>
    <w:rsid w:val="00A965C4"/>
    <w:rsid w:val="00A96EA8"/>
    <w:rsid w:val="00A97DD9"/>
    <w:rsid w:val="00AA194B"/>
    <w:rsid w:val="00AA3148"/>
    <w:rsid w:val="00AB0B1B"/>
    <w:rsid w:val="00AB1A9D"/>
    <w:rsid w:val="00AB2200"/>
    <w:rsid w:val="00AB7E41"/>
    <w:rsid w:val="00AC0AD6"/>
    <w:rsid w:val="00AC12C6"/>
    <w:rsid w:val="00AC4671"/>
    <w:rsid w:val="00AC5846"/>
    <w:rsid w:val="00AC5D14"/>
    <w:rsid w:val="00AC6863"/>
    <w:rsid w:val="00AC74BF"/>
    <w:rsid w:val="00AD07A7"/>
    <w:rsid w:val="00AD0B69"/>
    <w:rsid w:val="00AD1340"/>
    <w:rsid w:val="00AD148E"/>
    <w:rsid w:val="00AD1B18"/>
    <w:rsid w:val="00AD3167"/>
    <w:rsid w:val="00AD4568"/>
    <w:rsid w:val="00AD605E"/>
    <w:rsid w:val="00AD6B28"/>
    <w:rsid w:val="00AD7AC4"/>
    <w:rsid w:val="00AE0267"/>
    <w:rsid w:val="00AE047B"/>
    <w:rsid w:val="00AE151D"/>
    <w:rsid w:val="00AE23FC"/>
    <w:rsid w:val="00AE280A"/>
    <w:rsid w:val="00AE31D0"/>
    <w:rsid w:val="00AE5C40"/>
    <w:rsid w:val="00AE61F3"/>
    <w:rsid w:val="00AE66C3"/>
    <w:rsid w:val="00AE7C4B"/>
    <w:rsid w:val="00AF4404"/>
    <w:rsid w:val="00AF542A"/>
    <w:rsid w:val="00B01460"/>
    <w:rsid w:val="00B01773"/>
    <w:rsid w:val="00B01EE5"/>
    <w:rsid w:val="00B053B4"/>
    <w:rsid w:val="00B0586D"/>
    <w:rsid w:val="00B065FC"/>
    <w:rsid w:val="00B06DE2"/>
    <w:rsid w:val="00B11812"/>
    <w:rsid w:val="00B15A93"/>
    <w:rsid w:val="00B15E3A"/>
    <w:rsid w:val="00B16CA1"/>
    <w:rsid w:val="00B20CCF"/>
    <w:rsid w:val="00B2268F"/>
    <w:rsid w:val="00B26E83"/>
    <w:rsid w:val="00B3156F"/>
    <w:rsid w:val="00B3327E"/>
    <w:rsid w:val="00B34E93"/>
    <w:rsid w:val="00B41191"/>
    <w:rsid w:val="00B41D45"/>
    <w:rsid w:val="00B42DB2"/>
    <w:rsid w:val="00B43325"/>
    <w:rsid w:val="00B44D6C"/>
    <w:rsid w:val="00B45498"/>
    <w:rsid w:val="00B46D8E"/>
    <w:rsid w:val="00B47ABA"/>
    <w:rsid w:val="00B51B1F"/>
    <w:rsid w:val="00B5221B"/>
    <w:rsid w:val="00B546CF"/>
    <w:rsid w:val="00B556A1"/>
    <w:rsid w:val="00B567BE"/>
    <w:rsid w:val="00B576AA"/>
    <w:rsid w:val="00B57AEB"/>
    <w:rsid w:val="00B604A7"/>
    <w:rsid w:val="00B60AC7"/>
    <w:rsid w:val="00B62044"/>
    <w:rsid w:val="00B65C12"/>
    <w:rsid w:val="00B660D6"/>
    <w:rsid w:val="00B66650"/>
    <w:rsid w:val="00B67737"/>
    <w:rsid w:val="00B7656D"/>
    <w:rsid w:val="00B7680F"/>
    <w:rsid w:val="00B80502"/>
    <w:rsid w:val="00B80567"/>
    <w:rsid w:val="00B81070"/>
    <w:rsid w:val="00B81095"/>
    <w:rsid w:val="00B823EB"/>
    <w:rsid w:val="00B875EE"/>
    <w:rsid w:val="00B925A6"/>
    <w:rsid w:val="00B9401C"/>
    <w:rsid w:val="00BA03EB"/>
    <w:rsid w:val="00BA1309"/>
    <w:rsid w:val="00BA1616"/>
    <w:rsid w:val="00BA2227"/>
    <w:rsid w:val="00BA2C39"/>
    <w:rsid w:val="00BA3924"/>
    <w:rsid w:val="00BA621E"/>
    <w:rsid w:val="00BB2042"/>
    <w:rsid w:val="00BC0BCA"/>
    <w:rsid w:val="00BC42A6"/>
    <w:rsid w:val="00BC608B"/>
    <w:rsid w:val="00BD6811"/>
    <w:rsid w:val="00BE14D7"/>
    <w:rsid w:val="00BE2574"/>
    <w:rsid w:val="00BE328C"/>
    <w:rsid w:val="00BE52B2"/>
    <w:rsid w:val="00BE576A"/>
    <w:rsid w:val="00BE6A70"/>
    <w:rsid w:val="00BE7AB3"/>
    <w:rsid w:val="00BF1FDB"/>
    <w:rsid w:val="00BF2C3C"/>
    <w:rsid w:val="00BF5063"/>
    <w:rsid w:val="00C00640"/>
    <w:rsid w:val="00C00C3C"/>
    <w:rsid w:val="00C029E2"/>
    <w:rsid w:val="00C02B5F"/>
    <w:rsid w:val="00C04AF8"/>
    <w:rsid w:val="00C05083"/>
    <w:rsid w:val="00C052E4"/>
    <w:rsid w:val="00C0635E"/>
    <w:rsid w:val="00C07396"/>
    <w:rsid w:val="00C125E8"/>
    <w:rsid w:val="00C149C5"/>
    <w:rsid w:val="00C1712E"/>
    <w:rsid w:val="00C173CF"/>
    <w:rsid w:val="00C202CE"/>
    <w:rsid w:val="00C20569"/>
    <w:rsid w:val="00C2237E"/>
    <w:rsid w:val="00C23ECB"/>
    <w:rsid w:val="00C24208"/>
    <w:rsid w:val="00C24253"/>
    <w:rsid w:val="00C30910"/>
    <w:rsid w:val="00C32B2A"/>
    <w:rsid w:val="00C336B7"/>
    <w:rsid w:val="00C33947"/>
    <w:rsid w:val="00C34CC0"/>
    <w:rsid w:val="00C42605"/>
    <w:rsid w:val="00C450B5"/>
    <w:rsid w:val="00C47F68"/>
    <w:rsid w:val="00C55868"/>
    <w:rsid w:val="00C6134F"/>
    <w:rsid w:val="00C626A9"/>
    <w:rsid w:val="00C62D58"/>
    <w:rsid w:val="00C66521"/>
    <w:rsid w:val="00C72C64"/>
    <w:rsid w:val="00C731B1"/>
    <w:rsid w:val="00C731FB"/>
    <w:rsid w:val="00C75AA9"/>
    <w:rsid w:val="00C75C25"/>
    <w:rsid w:val="00C801A2"/>
    <w:rsid w:val="00C808CC"/>
    <w:rsid w:val="00C812AF"/>
    <w:rsid w:val="00C84497"/>
    <w:rsid w:val="00C84685"/>
    <w:rsid w:val="00C909D5"/>
    <w:rsid w:val="00C9207B"/>
    <w:rsid w:val="00C931F1"/>
    <w:rsid w:val="00C933A9"/>
    <w:rsid w:val="00C940A6"/>
    <w:rsid w:val="00C95B83"/>
    <w:rsid w:val="00C961EE"/>
    <w:rsid w:val="00CA0AD7"/>
    <w:rsid w:val="00CA2187"/>
    <w:rsid w:val="00CA2AD0"/>
    <w:rsid w:val="00CA3676"/>
    <w:rsid w:val="00CA7084"/>
    <w:rsid w:val="00CB1844"/>
    <w:rsid w:val="00CB377B"/>
    <w:rsid w:val="00CB509C"/>
    <w:rsid w:val="00CB609F"/>
    <w:rsid w:val="00CC17F6"/>
    <w:rsid w:val="00CC3A15"/>
    <w:rsid w:val="00CC3FC4"/>
    <w:rsid w:val="00CC4C95"/>
    <w:rsid w:val="00CC5E50"/>
    <w:rsid w:val="00CC6D89"/>
    <w:rsid w:val="00CC7477"/>
    <w:rsid w:val="00CD12C7"/>
    <w:rsid w:val="00CD15F2"/>
    <w:rsid w:val="00CD26A3"/>
    <w:rsid w:val="00CD282C"/>
    <w:rsid w:val="00CD6AAC"/>
    <w:rsid w:val="00CE051F"/>
    <w:rsid w:val="00CE0785"/>
    <w:rsid w:val="00CE0AA5"/>
    <w:rsid w:val="00CE3A95"/>
    <w:rsid w:val="00CE3C28"/>
    <w:rsid w:val="00CE5753"/>
    <w:rsid w:val="00CE5810"/>
    <w:rsid w:val="00CE6493"/>
    <w:rsid w:val="00CF081E"/>
    <w:rsid w:val="00CF1385"/>
    <w:rsid w:val="00CF4D5B"/>
    <w:rsid w:val="00CF661A"/>
    <w:rsid w:val="00D01676"/>
    <w:rsid w:val="00D01B4B"/>
    <w:rsid w:val="00D055C3"/>
    <w:rsid w:val="00D06732"/>
    <w:rsid w:val="00D07B21"/>
    <w:rsid w:val="00D07D61"/>
    <w:rsid w:val="00D1306A"/>
    <w:rsid w:val="00D15268"/>
    <w:rsid w:val="00D16856"/>
    <w:rsid w:val="00D22528"/>
    <w:rsid w:val="00D237C9"/>
    <w:rsid w:val="00D24757"/>
    <w:rsid w:val="00D25955"/>
    <w:rsid w:val="00D26259"/>
    <w:rsid w:val="00D30B32"/>
    <w:rsid w:val="00D341A3"/>
    <w:rsid w:val="00D423B3"/>
    <w:rsid w:val="00D4269E"/>
    <w:rsid w:val="00D440CB"/>
    <w:rsid w:val="00D46399"/>
    <w:rsid w:val="00D509C1"/>
    <w:rsid w:val="00D52425"/>
    <w:rsid w:val="00D5267A"/>
    <w:rsid w:val="00D52E59"/>
    <w:rsid w:val="00D54C6F"/>
    <w:rsid w:val="00D5590D"/>
    <w:rsid w:val="00D57AF7"/>
    <w:rsid w:val="00D61D64"/>
    <w:rsid w:val="00D63378"/>
    <w:rsid w:val="00D66B79"/>
    <w:rsid w:val="00D678D5"/>
    <w:rsid w:val="00D72A61"/>
    <w:rsid w:val="00D82C68"/>
    <w:rsid w:val="00D85ED7"/>
    <w:rsid w:val="00D86F34"/>
    <w:rsid w:val="00D8737C"/>
    <w:rsid w:val="00D873EF"/>
    <w:rsid w:val="00D90066"/>
    <w:rsid w:val="00D906DD"/>
    <w:rsid w:val="00D90DE9"/>
    <w:rsid w:val="00D912FA"/>
    <w:rsid w:val="00D925BC"/>
    <w:rsid w:val="00D92993"/>
    <w:rsid w:val="00D93588"/>
    <w:rsid w:val="00D93D1C"/>
    <w:rsid w:val="00D961D2"/>
    <w:rsid w:val="00D96A64"/>
    <w:rsid w:val="00DA1E8E"/>
    <w:rsid w:val="00DA5169"/>
    <w:rsid w:val="00DA5385"/>
    <w:rsid w:val="00DA7346"/>
    <w:rsid w:val="00DB0475"/>
    <w:rsid w:val="00DB0826"/>
    <w:rsid w:val="00DB4FC3"/>
    <w:rsid w:val="00DB5C48"/>
    <w:rsid w:val="00DB6941"/>
    <w:rsid w:val="00DB7C03"/>
    <w:rsid w:val="00DB7DD0"/>
    <w:rsid w:val="00DC4A93"/>
    <w:rsid w:val="00DC6715"/>
    <w:rsid w:val="00DC7501"/>
    <w:rsid w:val="00DD0D45"/>
    <w:rsid w:val="00DD1157"/>
    <w:rsid w:val="00DD1556"/>
    <w:rsid w:val="00DD4180"/>
    <w:rsid w:val="00DD53DB"/>
    <w:rsid w:val="00DD54E0"/>
    <w:rsid w:val="00DD6747"/>
    <w:rsid w:val="00DD6C7F"/>
    <w:rsid w:val="00DE04BC"/>
    <w:rsid w:val="00DE69B0"/>
    <w:rsid w:val="00DE7F5C"/>
    <w:rsid w:val="00DF1420"/>
    <w:rsid w:val="00DF23D5"/>
    <w:rsid w:val="00DF2A9C"/>
    <w:rsid w:val="00DF36D7"/>
    <w:rsid w:val="00DF3C1C"/>
    <w:rsid w:val="00DF6785"/>
    <w:rsid w:val="00DF6C16"/>
    <w:rsid w:val="00E03A12"/>
    <w:rsid w:val="00E05493"/>
    <w:rsid w:val="00E11326"/>
    <w:rsid w:val="00E116A6"/>
    <w:rsid w:val="00E1186C"/>
    <w:rsid w:val="00E125AB"/>
    <w:rsid w:val="00E13B65"/>
    <w:rsid w:val="00E20310"/>
    <w:rsid w:val="00E21B24"/>
    <w:rsid w:val="00E21D3F"/>
    <w:rsid w:val="00E24374"/>
    <w:rsid w:val="00E244B6"/>
    <w:rsid w:val="00E276DC"/>
    <w:rsid w:val="00E31348"/>
    <w:rsid w:val="00E32211"/>
    <w:rsid w:val="00E33CD8"/>
    <w:rsid w:val="00E429A3"/>
    <w:rsid w:val="00E52256"/>
    <w:rsid w:val="00E52787"/>
    <w:rsid w:val="00E538D4"/>
    <w:rsid w:val="00E544D9"/>
    <w:rsid w:val="00E546E1"/>
    <w:rsid w:val="00E56695"/>
    <w:rsid w:val="00E57315"/>
    <w:rsid w:val="00E57B95"/>
    <w:rsid w:val="00E60852"/>
    <w:rsid w:val="00E62194"/>
    <w:rsid w:val="00E66BF9"/>
    <w:rsid w:val="00E70BEA"/>
    <w:rsid w:val="00E71B74"/>
    <w:rsid w:val="00E72EB9"/>
    <w:rsid w:val="00E76164"/>
    <w:rsid w:val="00E76D78"/>
    <w:rsid w:val="00E76F7D"/>
    <w:rsid w:val="00E77036"/>
    <w:rsid w:val="00E77900"/>
    <w:rsid w:val="00E82969"/>
    <w:rsid w:val="00E82F19"/>
    <w:rsid w:val="00E84725"/>
    <w:rsid w:val="00E87820"/>
    <w:rsid w:val="00E903C5"/>
    <w:rsid w:val="00E90825"/>
    <w:rsid w:val="00E9082C"/>
    <w:rsid w:val="00E9275B"/>
    <w:rsid w:val="00E92EA5"/>
    <w:rsid w:val="00E946DF"/>
    <w:rsid w:val="00E97043"/>
    <w:rsid w:val="00EA387F"/>
    <w:rsid w:val="00EA5FB2"/>
    <w:rsid w:val="00EA7526"/>
    <w:rsid w:val="00EB22BF"/>
    <w:rsid w:val="00EB24A8"/>
    <w:rsid w:val="00EB2F21"/>
    <w:rsid w:val="00EB48F8"/>
    <w:rsid w:val="00EB4AD9"/>
    <w:rsid w:val="00EB4BD4"/>
    <w:rsid w:val="00EC2823"/>
    <w:rsid w:val="00EC4A7D"/>
    <w:rsid w:val="00EC4ECE"/>
    <w:rsid w:val="00EC7BFD"/>
    <w:rsid w:val="00ED6658"/>
    <w:rsid w:val="00ED6DE0"/>
    <w:rsid w:val="00EE01D8"/>
    <w:rsid w:val="00EE0B09"/>
    <w:rsid w:val="00EE1D47"/>
    <w:rsid w:val="00EE2C7C"/>
    <w:rsid w:val="00EE6C11"/>
    <w:rsid w:val="00EF0C32"/>
    <w:rsid w:val="00EF105C"/>
    <w:rsid w:val="00EF1092"/>
    <w:rsid w:val="00EF2C1D"/>
    <w:rsid w:val="00EF3710"/>
    <w:rsid w:val="00EF39E5"/>
    <w:rsid w:val="00EF4CF3"/>
    <w:rsid w:val="00EF63AB"/>
    <w:rsid w:val="00EF777C"/>
    <w:rsid w:val="00F0047F"/>
    <w:rsid w:val="00F02F5E"/>
    <w:rsid w:val="00F041A4"/>
    <w:rsid w:val="00F0565F"/>
    <w:rsid w:val="00F079E7"/>
    <w:rsid w:val="00F13D2E"/>
    <w:rsid w:val="00F1639C"/>
    <w:rsid w:val="00F166F6"/>
    <w:rsid w:val="00F16BDF"/>
    <w:rsid w:val="00F1778E"/>
    <w:rsid w:val="00F2160F"/>
    <w:rsid w:val="00F246D1"/>
    <w:rsid w:val="00F247E5"/>
    <w:rsid w:val="00F26470"/>
    <w:rsid w:val="00F317E9"/>
    <w:rsid w:val="00F31BF5"/>
    <w:rsid w:val="00F324A6"/>
    <w:rsid w:val="00F3589F"/>
    <w:rsid w:val="00F400C3"/>
    <w:rsid w:val="00F40176"/>
    <w:rsid w:val="00F40531"/>
    <w:rsid w:val="00F40A13"/>
    <w:rsid w:val="00F4171E"/>
    <w:rsid w:val="00F43784"/>
    <w:rsid w:val="00F45BDB"/>
    <w:rsid w:val="00F46DC4"/>
    <w:rsid w:val="00F46E3A"/>
    <w:rsid w:val="00F5066A"/>
    <w:rsid w:val="00F5084B"/>
    <w:rsid w:val="00F52A14"/>
    <w:rsid w:val="00F52D24"/>
    <w:rsid w:val="00F53BC5"/>
    <w:rsid w:val="00F63F16"/>
    <w:rsid w:val="00F657A1"/>
    <w:rsid w:val="00F6605F"/>
    <w:rsid w:val="00F66D3C"/>
    <w:rsid w:val="00F7208B"/>
    <w:rsid w:val="00F7211C"/>
    <w:rsid w:val="00F737AC"/>
    <w:rsid w:val="00F74EB5"/>
    <w:rsid w:val="00F75869"/>
    <w:rsid w:val="00F75E12"/>
    <w:rsid w:val="00F80ECC"/>
    <w:rsid w:val="00F81D2E"/>
    <w:rsid w:val="00F8270C"/>
    <w:rsid w:val="00F83788"/>
    <w:rsid w:val="00F83A84"/>
    <w:rsid w:val="00F8591F"/>
    <w:rsid w:val="00F85EC8"/>
    <w:rsid w:val="00F861AB"/>
    <w:rsid w:val="00F86777"/>
    <w:rsid w:val="00F9172E"/>
    <w:rsid w:val="00F9438C"/>
    <w:rsid w:val="00F9587B"/>
    <w:rsid w:val="00F96531"/>
    <w:rsid w:val="00FA2CA3"/>
    <w:rsid w:val="00FA3A7D"/>
    <w:rsid w:val="00FA6BE4"/>
    <w:rsid w:val="00FB2B79"/>
    <w:rsid w:val="00FB60FC"/>
    <w:rsid w:val="00FB6C0C"/>
    <w:rsid w:val="00FC0175"/>
    <w:rsid w:val="00FC1412"/>
    <w:rsid w:val="00FC3296"/>
    <w:rsid w:val="00FC38FB"/>
    <w:rsid w:val="00FC3CAC"/>
    <w:rsid w:val="00FC4488"/>
    <w:rsid w:val="00FC6551"/>
    <w:rsid w:val="00FC655E"/>
    <w:rsid w:val="00FC6FDC"/>
    <w:rsid w:val="00FC7973"/>
    <w:rsid w:val="00FD5C55"/>
    <w:rsid w:val="00FD79D0"/>
    <w:rsid w:val="00FE571F"/>
    <w:rsid w:val="00FE7752"/>
    <w:rsid w:val="00FF2641"/>
    <w:rsid w:val="00FF33EB"/>
    <w:rsid w:val="00FF466D"/>
    <w:rsid w:val="00FF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D2C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E18A8"/>
    <w:pPr>
      <w:keepNext/>
      <w:spacing w:before="4800"/>
      <w:ind w:left="720"/>
      <w:outlineLvl w:val="0"/>
    </w:pPr>
    <w:rPr>
      <w:rFonts w:cs="Arial"/>
      <w:b/>
      <w:bCs/>
      <w:caps/>
      <w:kern w:val="32"/>
      <w:sz w:val="40"/>
      <w:szCs w:val="40"/>
    </w:rPr>
  </w:style>
  <w:style w:type="paragraph" w:styleId="Nadpis2">
    <w:name w:val="heading 2"/>
    <w:basedOn w:val="Nadpis1"/>
    <w:next w:val="Normln"/>
    <w:link w:val="Nadpis2Char"/>
    <w:autoRedefine/>
    <w:uiPriority w:val="9"/>
    <w:qFormat/>
    <w:rsid w:val="00CE6493"/>
    <w:pPr>
      <w:spacing w:before="0" w:after="360"/>
      <w:ind w:left="709" w:hanging="709"/>
      <w:jc w:val="left"/>
      <w:outlineLvl w:val="1"/>
    </w:pPr>
    <w:rPr>
      <w:sz w:val="32"/>
      <w:szCs w:val="32"/>
      <w:lang w:eastAsia="ar-SA"/>
    </w:rPr>
  </w:style>
  <w:style w:type="paragraph" w:styleId="Nadpis3">
    <w:name w:val="heading 3"/>
    <w:aliases w:val="2.1."/>
    <w:basedOn w:val="Podtitul"/>
    <w:next w:val="Normln"/>
    <w:autoRedefine/>
    <w:uiPriority w:val="9"/>
    <w:qFormat/>
    <w:rsid w:val="00FB2B79"/>
    <w:pPr>
      <w:numPr>
        <w:numId w:val="32"/>
      </w:numPr>
      <w:ind w:left="720"/>
      <w:jc w:val="left"/>
      <w:outlineLvl w:val="2"/>
    </w:pPr>
    <w:rPr>
      <w:rFonts w:cs="Arial"/>
    </w:rPr>
  </w:style>
  <w:style w:type="paragraph" w:styleId="Nadpis4">
    <w:name w:val="heading 4"/>
    <w:basedOn w:val="Normln"/>
    <w:next w:val="Normln"/>
    <w:uiPriority w:val="9"/>
    <w:qFormat/>
    <w:rsid w:val="00742879"/>
    <w:pPr>
      <w:keepNext/>
      <w:autoSpaceDE w:val="0"/>
      <w:autoSpaceDN w:val="0"/>
      <w:adjustRightInd w:val="0"/>
      <w:spacing w:before="360" w:after="240"/>
      <w:jc w:val="left"/>
      <w:outlineLvl w:val="3"/>
    </w:pPr>
    <w:rPr>
      <w:rFonts w:eastAsia="Calibri"/>
      <w:b/>
      <w:bCs/>
      <w:sz w:val="24"/>
    </w:rPr>
  </w:style>
  <w:style w:type="paragraph" w:styleId="Nadpis5">
    <w:name w:val="heading 5"/>
    <w:basedOn w:val="Nadpis4arial12bold"/>
    <w:next w:val="Normln"/>
    <w:link w:val="Nadpis5Char"/>
    <w:uiPriority w:val="9"/>
    <w:qFormat/>
    <w:rsid w:val="009E2909"/>
    <w:pPr>
      <w:numPr>
        <w:ilvl w:val="2"/>
        <w:numId w:val="27"/>
      </w:numPr>
      <w:outlineLvl w:val="4"/>
    </w:pPr>
  </w:style>
  <w:style w:type="paragraph" w:styleId="Nadpis6">
    <w:name w:val="heading 6"/>
    <w:basedOn w:val="Normln"/>
    <w:next w:val="Normln"/>
    <w:link w:val="Nadpis6Char"/>
    <w:uiPriority w:val="9"/>
    <w:qFormat/>
    <w:rsid w:val="00A76207"/>
    <w:pPr>
      <w:keepNext/>
      <w:autoSpaceDE w:val="0"/>
      <w:autoSpaceDN w:val="0"/>
      <w:adjustRightInd w:val="0"/>
      <w:jc w:val="left"/>
      <w:outlineLvl w:val="5"/>
    </w:pPr>
    <w:rPr>
      <w:rFonts w:cs="Arial"/>
      <w:b/>
      <w:bCs/>
      <w:sz w:val="32"/>
      <w:szCs w:val="28"/>
    </w:rPr>
  </w:style>
  <w:style w:type="paragraph" w:styleId="Nadpis7">
    <w:name w:val="heading 7"/>
    <w:basedOn w:val="Normln"/>
    <w:next w:val="Normln"/>
    <w:uiPriority w:val="9"/>
    <w:qFormat/>
    <w:rsid w:val="00A76207"/>
    <w:pPr>
      <w:keepNext/>
      <w:autoSpaceDE w:val="0"/>
      <w:autoSpaceDN w:val="0"/>
      <w:adjustRightInd w:val="0"/>
      <w:jc w:val="left"/>
      <w:outlineLvl w:val="6"/>
    </w:pPr>
    <w:rPr>
      <w:rFonts w:cs="Arial"/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"/>
    <w:qFormat/>
    <w:rsid w:val="00A76207"/>
    <w:pPr>
      <w:keepNext/>
      <w:autoSpaceDE w:val="0"/>
      <w:autoSpaceDN w:val="0"/>
      <w:adjustRightInd w:val="0"/>
      <w:spacing w:after="120"/>
      <w:outlineLvl w:val="7"/>
    </w:pPr>
    <w:rPr>
      <w:rFonts w:cs="Arial"/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"/>
    <w:qFormat/>
    <w:rsid w:val="00A76207"/>
    <w:pPr>
      <w:keepNext/>
      <w:jc w:val="center"/>
      <w:outlineLvl w:val="8"/>
    </w:pPr>
    <w:rPr>
      <w:rFonts w:cs="Arial"/>
      <w:b/>
      <w:bCs/>
      <w:cap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18A8"/>
    <w:rPr>
      <w:rFonts w:cs="Arial"/>
      <w:b/>
      <w:bCs/>
      <w:caps/>
      <w:kern w:val="32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CE6493"/>
    <w:rPr>
      <w:rFonts w:cs="Arial"/>
      <w:b/>
      <w:bCs/>
      <w:caps/>
      <w:kern w:val="32"/>
      <w:sz w:val="32"/>
      <w:szCs w:val="32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rsid w:val="00754629"/>
    <w:rPr>
      <w:rFonts w:ascii="Arial" w:hAnsi="Arial" w:cs="Arial"/>
      <w:b/>
      <w:bCs/>
      <w:caps/>
      <w:sz w:val="22"/>
    </w:rPr>
  </w:style>
  <w:style w:type="paragraph" w:styleId="Nzev">
    <w:name w:val="Title"/>
    <w:basedOn w:val="Normln"/>
    <w:link w:val="NzevChar"/>
    <w:uiPriority w:val="10"/>
    <w:qFormat/>
    <w:rsid w:val="00A76207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A76207"/>
    <w:pPr>
      <w:tabs>
        <w:tab w:val="num" w:pos="720"/>
      </w:tabs>
      <w:ind w:left="720" w:hanging="360"/>
    </w:pPr>
  </w:style>
  <w:style w:type="paragraph" w:styleId="Zpat">
    <w:name w:val="footer"/>
    <w:basedOn w:val="Normln"/>
    <w:link w:val="ZpatChar"/>
    <w:uiPriority w:val="99"/>
    <w:rsid w:val="00A76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3E55"/>
    <w:rPr>
      <w:rFonts w:ascii="Arial" w:hAnsi="Arial"/>
      <w:sz w:val="22"/>
      <w:szCs w:val="24"/>
    </w:rPr>
  </w:style>
  <w:style w:type="character" w:styleId="slostrnky">
    <w:name w:val="page number"/>
    <w:basedOn w:val="Standardnpsmoodstavce"/>
    <w:uiPriority w:val="99"/>
    <w:semiHidden/>
    <w:rsid w:val="00A76207"/>
  </w:style>
  <w:style w:type="paragraph" w:styleId="Zkladntext">
    <w:name w:val="Body Text"/>
    <w:basedOn w:val="Normln"/>
    <w:link w:val="ZkladntextChar1"/>
    <w:uiPriority w:val="99"/>
    <w:rsid w:val="00A76207"/>
    <w:pPr>
      <w:autoSpaceDE w:val="0"/>
      <w:autoSpaceDN w:val="0"/>
      <w:adjustRightInd w:val="0"/>
      <w:spacing w:after="120"/>
      <w:ind w:firstLine="709"/>
    </w:pPr>
    <w:rPr>
      <w:rFonts w:cs="Arial"/>
      <w:sz w:val="20"/>
      <w:szCs w:val="20"/>
    </w:rPr>
  </w:style>
  <w:style w:type="paragraph" w:styleId="Zhlav">
    <w:name w:val="header"/>
    <w:basedOn w:val="Normln"/>
    <w:uiPriority w:val="99"/>
    <w:unhideWhenUsed/>
    <w:rsid w:val="00A76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A76207"/>
    <w:rPr>
      <w:rFonts w:ascii="Arial" w:hAnsi="Arial"/>
      <w:sz w:val="22"/>
      <w:szCs w:val="24"/>
    </w:rPr>
  </w:style>
  <w:style w:type="paragraph" w:styleId="Zkladntextodsazen">
    <w:name w:val="Body Text Indent"/>
    <w:basedOn w:val="Normln"/>
    <w:uiPriority w:val="99"/>
    <w:semiHidden/>
    <w:rsid w:val="00A76207"/>
    <w:pPr>
      <w:spacing w:after="240"/>
      <w:ind w:left="720" w:hanging="360"/>
    </w:pPr>
    <w:rPr>
      <w:rFonts w:eastAsia="Calibri" w:cs="Arial"/>
      <w:sz w:val="20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uiPriority w:val="99"/>
    <w:semiHidden/>
    <w:rsid w:val="00A76207"/>
    <w:rPr>
      <w:rFonts w:eastAsia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A76207"/>
    <w:rPr>
      <w:b w:val="0"/>
      <w:bCs w:val="0"/>
      <w:color w:val="000066"/>
      <w:sz w:val="20"/>
      <w:szCs w:val="20"/>
      <w:u w:val="single"/>
    </w:rPr>
  </w:style>
  <w:style w:type="paragraph" w:styleId="Normlnweb">
    <w:name w:val="Normal (Web)"/>
    <w:basedOn w:val="Normln"/>
    <w:uiPriority w:val="99"/>
    <w:semiHidden/>
    <w:rsid w:val="00A76207"/>
    <w:pPr>
      <w:spacing w:before="100" w:beforeAutospacing="1" w:after="100" w:afterAutospacing="1"/>
      <w:jc w:val="left"/>
    </w:pPr>
    <w:rPr>
      <w:rFonts w:cs="Arial"/>
      <w:color w:val="000000"/>
      <w:sz w:val="20"/>
      <w:szCs w:val="20"/>
    </w:rPr>
  </w:style>
  <w:style w:type="paragraph" w:styleId="Zkladntext2">
    <w:name w:val="Body Text 2"/>
    <w:basedOn w:val="Normln"/>
    <w:uiPriority w:val="99"/>
    <w:semiHidden/>
    <w:rsid w:val="00A76207"/>
    <w:pPr>
      <w:autoSpaceDE w:val="0"/>
      <w:autoSpaceDN w:val="0"/>
      <w:adjustRightInd w:val="0"/>
      <w:jc w:val="left"/>
    </w:pPr>
    <w:rPr>
      <w:color w:val="FF0000"/>
    </w:rPr>
  </w:style>
  <w:style w:type="paragraph" w:styleId="Zkladntextodsazen2">
    <w:name w:val="Body Text Indent 2"/>
    <w:basedOn w:val="Normln"/>
    <w:uiPriority w:val="99"/>
    <w:semiHidden/>
    <w:rsid w:val="00A76207"/>
    <w:pPr>
      <w:spacing w:after="240"/>
      <w:ind w:firstLine="709"/>
    </w:pPr>
    <w:rPr>
      <w:rFonts w:cs="Arial"/>
      <w:color w:val="000000"/>
    </w:rPr>
  </w:style>
  <w:style w:type="paragraph" w:styleId="Zkladntextodsazen3">
    <w:name w:val="Body Text Indent 3"/>
    <w:basedOn w:val="Normln"/>
    <w:uiPriority w:val="99"/>
    <w:rsid w:val="00A76207"/>
    <w:pPr>
      <w:spacing w:after="240"/>
      <w:ind w:firstLine="709"/>
    </w:pPr>
    <w:rPr>
      <w:rFonts w:cs="Arial"/>
      <w:b/>
      <w:bCs/>
      <w:color w:val="000080"/>
    </w:rPr>
  </w:style>
  <w:style w:type="paragraph" w:styleId="Zkladntext3">
    <w:name w:val="Body Text 3"/>
    <w:basedOn w:val="Normln"/>
    <w:link w:val="Zkladntext3Char"/>
    <w:uiPriority w:val="99"/>
    <w:semiHidden/>
    <w:rsid w:val="00A76207"/>
    <w:pPr>
      <w:autoSpaceDE w:val="0"/>
      <w:autoSpaceDN w:val="0"/>
      <w:adjustRightInd w:val="0"/>
      <w:jc w:val="left"/>
    </w:pPr>
    <w:rPr>
      <w:b/>
      <w:bCs/>
      <w:color w:val="800000"/>
    </w:rPr>
  </w:style>
  <w:style w:type="paragraph" w:styleId="Textpoznpodarou">
    <w:name w:val="footnote text"/>
    <w:basedOn w:val="Normln"/>
    <w:uiPriority w:val="99"/>
    <w:rsid w:val="00A76207"/>
    <w:rPr>
      <w:i/>
      <w:iCs/>
      <w:sz w:val="18"/>
      <w:szCs w:val="20"/>
    </w:rPr>
  </w:style>
  <w:style w:type="character" w:styleId="Znakapoznpodarou">
    <w:name w:val="footnote reference"/>
    <w:basedOn w:val="Standardnpsmoodstavce"/>
    <w:uiPriority w:val="99"/>
    <w:rsid w:val="00A76207"/>
    <w:rPr>
      <w:vertAlign w:val="superscript"/>
    </w:rPr>
  </w:style>
  <w:style w:type="character" w:customStyle="1" w:styleId="mw-headline">
    <w:name w:val="mw-headline"/>
    <w:basedOn w:val="Standardnpsmoodstavce"/>
    <w:rsid w:val="00A76207"/>
  </w:style>
  <w:style w:type="character" w:customStyle="1" w:styleId="doplnte-zdroj">
    <w:name w:val="doplnte-zdroj"/>
    <w:basedOn w:val="Standardnpsmoodstavce"/>
    <w:rsid w:val="00A76207"/>
  </w:style>
  <w:style w:type="character" w:customStyle="1" w:styleId="Zkladntextodsazen3Char">
    <w:name w:val="Základní text odsazený 3 Char"/>
    <w:basedOn w:val="Standardnpsmoodstavce"/>
    <w:uiPriority w:val="99"/>
    <w:rsid w:val="00A76207"/>
    <w:rPr>
      <w:rFonts w:ascii="Arial" w:hAnsi="Arial" w:cs="Arial"/>
      <w:b/>
      <w:bCs/>
      <w:color w:val="000080"/>
      <w:sz w:val="22"/>
      <w:szCs w:val="24"/>
    </w:rPr>
  </w:style>
  <w:style w:type="character" w:customStyle="1" w:styleId="Zkladntext2Char">
    <w:name w:val="Základní text 2 Char"/>
    <w:basedOn w:val="Standardnpsmoodstavce"/>
    <w:uiPriority w:val="99"/>
    <w:semiHidden/>
    <w:rsid w:val="00A76207"/>
    <w:rPr>
      <w:rFonts w:ascii="Arial" w:hAnsi="Arial"/>
      <w:color w:val="FF0000"/>
      <w:sz w:val="22"/>
      <w:szCs w:val="24"/>
    </w:rPr>
  </w:style>
  <w:style w:type="character" w:customStyle="1" w:styleId="Nadpis7Char">
    <w:name w:val="Nadpis 7 Char"/>
    <w:basedOn w:val="Standardnpsmoodstavce"/>
    <w:uiPriority w:val="9"/>
    <w:rsid w:val="00A76207"/>
    <w:rPr>
      <w:rFonts w:ascii="Arial" w:hAnsi="Arial" w:cs="Arial"/>
      <w:sz w:val="28"/>
      <w:szCs w:val="28"/>
    </w:rPr>
  </w:style>
  <w:style w:type="character" w:styleId="Siln">
    <w:name w:val="Strong"/>
    <w:basedOn w:val="Standardnpsmoodstavce"/>
    <w:uiPriority w:val="22"/>
    <w:qFormat/>
    <w:rsid w:val="00A76207"/>
    <w:rPr>
      <w:b/>
      <w:bCs/>
    </w:rPr>
  </w:style>
  <w:style w:type="character" w:styleId="Zvraznn">
    <w:name w:val="Emphasis"/>
    <w:basedOn w:val="Standardnpsmoodstavce"/>
    <w:uiPriority w:val="20"/>
    <w:qFormat/>
    <w:rsid w:val="00A76207"/>
    <w:rPr>
      <w:i/>
      <w:iCs/>
    </w:rPr>
  </w:style>
  <w:style w:type="character" w:customStyle="1" w:styleId="ZkladntextChar">
    <w:name w:val="Základní text Char"/>
    <w:basedOn w:val="Standardnpsmoodstavce"/>
    <w:uiPriority w:val="99"/>
    <w:rsid w:val="00A76207"/>
    <w:rPr>
      <w:rFonts w:ascii="Arial" w:hAnsi="Arial" w:cs="Arial"/>
    </w:rPr>
  </w:style>
  <w:style w:type="character" w:customStyle="1" w:styleId="Zkladntextodsazen2Char">
    <w:name w:val="Základní text odsazený 2 Char"/>
    <w:basedOn w:val="Standardnpsmoodstavce"/>
    <w:uiPriority w:val="99"/>
    <w:semiHidden/>
    <w:rsid w:val="00A76207"/>
    <w:rPr>
      <w:rFonts w:ascii="Arial" w:hAnsi="Arial" w:cs="Arial"/>
      <w:color w:val="000000"/>
      <w:sz w:val="22"/>
      <w:szCs w:val="24"/>
    </w:rPr>
  </w:style>
  <w:style w:type="character" w:customStyle="1" w:styleId="Nadpis3Char">
    <w:name w:val="Nadpis 3 Char"/>
    <w:aliases w:val="2.1. Char"/>
    <w:basedOn w:val="Standardnpsmoodstavce"/>
    <w:uiPriority w:val="9"/>
    <w:rsid w:val="00A76207"/>
    <w:rPr>
      <w:rFonts w:ascii="Arial" w:hAnsi="Arial" w:cs="Arial"/>
      <w:b/>
      <w:bCs/>
      <w:sz w:val="22"/>
      <w:szCs w:val="26"/>
    </w:rPr>
  </w:style>
  <w:style w:type="character" w:customStyle="1" w:styleId="Nadpis4Char">
    <w:name w:val="Nadpis 4 Char"/>
    <w:basedOn w:val="Standardnpsmoodstavce"/>
    <w:uiPriority w:val="9"/>
    <w:rsid w:val="00A76207"/>
    <w:rPr>
      <w:rFonts w:ascii="TT1FDo00" w:hAnsi="TT1FDo00"/>
      <w:b/>
      <w:bCs/>
      <w:sz w:val="22"/>
      <w:szCs w:val="22"/>
    </w:rPr>
  </w:style>
  <w:style w:type="character" w:customStyle="1" w:styleId="TextpoznpodarouChar">
    <w:name w:val="Text pozn. pod čarou Char"/>
    <w:basedOn w:val="Standardnpsmoodstavce"/>
    <w:uiPriority w:val="99"/>
    <w:rsid w:val="00A76207"/>
    <w:rPr>
      <w:rFonts w:ascii="Arial" w:hAnsi="Arial"/>
    </w:rPr>
  </w:style>
  <w:style w:type="character" w:styleId="Sledovanodkaz">
    <w:name w:val="FollowedHyperlink"/>
    <w:basedOn w:val="Standardnpsmoodstavce"/>
    <w:uiPriority w:val="99"/>
    <w:semiHidden/>
    <w:rsid w:val="00A76207"/>
    <w:rPr>
      <w:color w:val="800080"/>
      <w:u w:val="single"/>
    </w:rPr>
  </w:style>
  <w:style w:type="paragraph" w:styleId="Obsah1">
    <w:name w:val="toc 1"/>
    <w:basedOn w:val="Normln"/>
    <w:next w:val="Normln"/>
    <w:autoRedefine/>
    <w:uiPriority w:val="39"/>
    <w:rsid w:val="00760CE6"/>
    <w:pPr>
      <w:tabs>
        <w:tab w:val="left" w:pos="660"/>
        <w:tab w:val="right" w:leader="dot" w:pos="9628"/>
      </w:tabs>
      <w:spacing w:before="360" w:after="240"/>
      <w:jc w:val="left"/>
    </w:pPr>
    <w:rPr>
      <w:rFonts w:cs="Arial"/>
      <w:b/>
      <w:noProof/>
      <w:sz w:val="24"/>
    </w:rPr>
  </w:style>
  <w:style w:type="paragraph" w:styleId="Obsah2">
    <w:name w:val="toc 2"/>
    <w:basedOn w:val="Normln"/>
    <w:next w:val="Normln"/>
    <w:autoRedefine/>
    <w:uiPriority w:val="39"/>
    <w:rsid w:val="00D01B4B"/>
    <w:pPr>
      <w:tabs>
        <w:tab w:val="right" w:leader="dot" w:pos="9628"/>
      </w:tabs>
      <w:spacing w:before="120"/>
      <w:ind w:left="221"/>
    </w:pPr>
  </w:style>
  <w:style w:type="paragraph" w:styleId="Obsah3">
    <w:name w:val="toc 3"/>
    <w:basedOn w:val="Normln"/>
    <w:next w:val="Normln"/>
    <w:autoRedefine/>
    <w:uiPriority w:val="39"/>
    <w:rsid w:val="00A76207"/>
    <w:pPr>
      <w:ind w:left="440"/>
    </w:pPr>
  </w:style>
  <w:style w:type="paragraph" w:styleId="Obsah4">
    <w:name w:val="toc 4"/>
    <w:basedOn w:val="Normln"/>
    <w:next w:val="Normln"/>
    <w:autoRedefine/>
    <w:uiPriority w:val="39"/>
    <w:semiHidden/>
    <w:rsid w:val="00A76207"/>
    <w:pPr>
      <w:ind w:left="660"/>
    </w:pPr>
  </w:style>
  <w:style w:type="paragraph" w:styleId="Obsah5">
    <w:name w:val="toc 5"/>
    <w:basedOn w:val="Normln"/>
    <w:next w:val="Normln"/>
    <w:autoRedefine/>
    <w:uiPriority w:val="39"/>
    <w:semiHidden/>
    <w:rsid w:val="00A76207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rsid w:val="00A76207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rsid w:val="00A76207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rsid w:val="00A76207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rsid w:val="00A76207"/>
    <w:pPr>
      <w:ind w:left="1760"/>
    </w:pPr>
  </w:style>
  <w:style w:type="paragraph" w:customStyle="1" w:styleId="Default">
    <w:name w:val="Default"/>
    <w:rsid w:val="00A76207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st">
    <w:name w:val="st"/>
    <w:basedOn w:val="Standardnpsmoodstavce"/>
    <w:rsid w:val="00A76207"/>
    <w:rPr>
      <w:rFonts w:ascii="Times New Roman" w:hAnsi="Times New Roman" w:cs="Times New Roman"/>
    </w:rPr>
  </w:style>
  <w:style w:type="paragraph" w:styleId="Nadpisobsahu">
    <w:name w:val="TOC Heading"/>
    <w:basedOn w:val="Nadpis1"/>
    <w:next w:val="Normln"/>
    <w:uiPriority w:val="39"/>
    <w:unhideWhenUsed/>
    <w:qFormat/>
    <w:rsid w:val="00103B54"/>
    <w:pPr>
      <w:keepLines/>
      <w:spacing w:before="48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106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106B"/>
    <w:rPr>
      <w:rFonts w:ascii="Arial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29106B"/>
    <w:rPr>
      <w:vertAlign w:val="superscript"/>
    </w:rPr>
  </w:style>
  <w:style w:type="paragraph" w:customStyle="1" w:styleId="Nadpis4arial12bold">
    <w:name w:val="Nadpis 4 arial 12 bold"/>
    <w:basedOn w:val="Nadpis4"/>
    <w:link w:val="Nadpis4arial12boldChar"/>
    <w:qFormat/>
    <w:rsid w:val="00F8591F"/>
  </w:style>
  <w:style w:type="character" w:customStyle="1" w:styleId="Nadpis4arial12boldChar">
    <w:name w:val="Nadpis 4 arial 12 bold Char"/>
    <w:basedOn w:val="Standardnpsmoodstavce"/>
    <w:link w:val="Nadpis4arial12bold"/>
    <w:rsid w:val="00F8591F"/>
    <w:rPr>
      <w:rFonts w:eastAsia="Calibri"/>
      <w:b/>
      <w:bCs/>
      <w:sz w:val="24"/>
      <w:szCs w:val="24"/>
    </w:rPr>
  </w:style>
  <w:style w:type="character" w:customStyle="1" w:styleId="ata11y">
    <w:name w:val="at_a11y"/>
    <w:basedOn w:val="Standardnpsmoodstavce"/>
    <w:rsid w:val="006D3E55"/>
  </w:style>
  <w:style w:type="paragraph" w:styleId="Odstavecseseznamem">
    <w:name w:val="List Paragraph"/>
    <w:basedOn w:val="Normln"/>
    <w:link w:val="OdstavecseseznamemChar"/>
    <w:uiPriority w:val="34"/>
    <w:qFormat/>
    <w:rsid w:val="006D3E55"/>
    <w:pPr>
      <w:spacing w:after="240"/>
      <w:ind w:left="720"/>
      <w:contextualSpacing/>
      <w:jc w:val="left"/>
    </w:pPr>
    <w:rPr>
      <w:rFonts w:eastAsia="Calibri" w:cs="Arial"/>
      <w:b/>
      <w:sz w:val="28"/>
      <w:szCs w:val="28"/>
      <w:lang w:eastAsia="en-US"/>
    </w:rPr>
  </w:style>
  <w:style w:type="paragraph" w:customStyle="1" w:styleId="para">
    <w:name w:val="para"/>
    <w:basedOn w:val="Normln"/>
    <w:rsid w:val="006D3E5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go">
    <w:name w:val="go"/>
    <w:basedOn w:val="Normln"/>
    <w:rsid w:val="006D3E5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h1a">
    <w:name w:val="h1a"/>
    <w:basedOn w:val="Standardnpsmoodstavce"/>
    <w:rsid w:val="006D3E55"/>
  </w:style>
  <w:style w:type="paragraph" w:customStyle="1" w:styleId="Style8">
    <w:name w:val="Style8"/>
    <w:basedOn w:val="Normln"/>
    <w:rsid w:val="006D3E55"/>
    <w:pPr>
      <w:widowControl w:val="0"/>
      <w:autoSpaceDE w:val="0"/>
      <w:autoSpaceDN w:val="0"/>
      <w:adjustRightInd w:val="0"/>
      <w:jc w:val="left"/>
    </w:pPr>
    <w:rPr>
      <w:rFonts w:cs="Arial"/>
      <w:sz w:val="24"/>
    </w:rPr>
  </w:style>
  <w:style w:type="character" w:customStyle="1" w:styleId="FontStyle19">
    <w:name w:val="Font Style19"/>
    <w:basedOn w:val="Standardnpsmoodstavce"/>
    <w:rsid w:val="006D3E55"/>
    <w:rPr>
      <w:rFonts w:ascii="Arial Narrow" w:hAnsi="Arial Narrow" w:cs="Arial Narrow" w:hint="default"/>
      <w:color w:val="000000"/>
      <w:sz w:val="18"/>
      <w:szCs w:val="18"/>
    </w:rPr>
  </w:style>
  <w:style w:type="character" w:customStyle="1" w:styleId="FontStyle18">
    <w:name w:val="Font Style18"/>
    <w:basedOn w:val="Standardnpsmoodstavce"/>
    <w:rsid w:val="006D3E55"/>
    <w:rPr>
      <w:rFonts w:ascii="Arial Narrow" w:hAnsi="Arial Narrow" w:cs="Arial Narrow" w:hint="default"/>
      <w:b/>
      <w:bCs/>
      <w:color w:val="000000"/>
      <w:sz w:val="18"/>
      <w:szCs w:val="18"/>
    </w:rPr>
  </w:style>
  <w:style w:type="paragraph" w:customStyle="1" w:styleId="Style10">
    <w:name w:val="Style10"/>
    <w:basedOn w:val="Normln"/>
    <w:rsid w:val="006D3E55"/>
    <w:pPr>
      <w:widowControl w:val="0"/>
      <w:autoSpaceDE w:val="0"/>
      <w:autoSpaceDN w:val="0"/>
      <w:adjustRightInd w:val="0"/>
      <w:spacing w:line="220" w:lineRule="exact"/>
    </w:pPr>
    <w:rPr>
      <w:rFonts w:cs="Arial"/>
      <w:sz w:val="24"/>
    </w:rPr>
  </w:style>
  <w:style w:type="paragraph" w:customStyle="1" w:styleId="GroupWiseView">
    <w:name w:val="GroupWiseView"/>
    <w:rsid w:val="00096A9F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unhideWhenUsed/>
    <w:rsid w:val="00096A9F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96A9F"/>
    <w:rPr>
      <w:rFonts w:ascii="Tahoma" w:eastAsia="Calibri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096A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1name">
    <w:name w:val="p1name"/>
    <w:basedOn w:val="Standardnpsmoodstavce"/>
    <w:rsid w:val="00096A9F"/>
  </w:style>
  <w:style w:type="character" w:customStyle="1" w:styleId="pnname">
    <w:name w:val="pnname"/>
    <w:basedOn w:val="Standardnpsmoodstavce"/>
    <w:rsid w:val="00096A9F"/>
  </w:style>
  <w:style w:type="character" w:styleId="Odkaznakoment">
    <w:name w:val="annotation reference"/>
    <w:basedOn w:val="Standardnpsmoodstavce"/>
    <w:uiPriority w:val="99"/>
    <w:unhideWhenUsed/>
    <w:rsid w:val="00096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96A9F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6A9F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096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096A9F"/>
    <w:rPr>
      <w:b/>
      <w:bCs/>
    </w:rPr>
  </w:style>
  <w:style w:type="paragraph" w:styleId="Seznamsodrkami3">
    <w:name w:val="List Bullet 3"/>
    <w:basedOn w:val="Normln"/>
    <w:autoRedefine/>
    <w:uiPriority w:val="99"/>
    <w:semiHidden/>
    <w:rsid w:val="00096A9F"/>
    <w:pPr>
      <w:numPr>
        <w:numId w:val="3"/>
      </w:numPr>
      <w:ind w:left="714" w:hanging="357"/>
    </w:pPr>
    <w:rPr>
      <w:rFonts w:ascii="Times New Roman" w:hAnsi="Times New Roman"/>
      <w:sz w:val="24"/>
    </w:rPr>
  </w:style>
  <w:style w:type="paragraph" w:styleId="Seznamsodrkami4">
    <w:name w:val="List Bullet 4"/>
    <w:basedOn w:val="Normln"/>
    <w:autoRedefine/>
    <w:uiPriority w:val="99"/>
    <w:semiHidden/>
    <w:rsid w:val="00096A9F"/>
    <w:pPr>
      <w:tabs>
        <w:tab w:val="num" w:pos="1440"/>
      </w:tabs>
      <w:ind w:left="1434" w:hanging="357"/>
    </w:pPr>
    <w:rPr>
      <w:rFonts w:ascii="Times New Roman" w:hAnsi="Times New Roman"/>
      <w:sz w:val="24"/>
    </w:rPr>
  </w:style>
  <w:style w:type="paragraph" w:styleId="Seznam2">
    <w:name w:val="List 2"/>
    <w:basedOn w:val="Normln"/>
    <w:uiPriority w:val="99"/>
    <w:semiHidden/>
    <w:rsid w:val="00096A9F"/>
    <w:pPr>
      <w:ind w:left="566" w:hanging="283"/>
      <w:jc w:val="left"/>
    </w:pPr>
    <w:rPr>
      <w:rFonts w:ascii="Times New Roman" w:hAnsi="Times New Roman"/>
      <w:sz w:val="24"/>
    </w:rPr>
  </w:style>
  <w:style w:type="paragraph" w:styleId="Pokraovnseznamu">
    <w:name w:val="List Continue"/>
    <w:basedOn w:val="Normln"/>
    <w:uiPriority w:val="99"/>
    <w:semiHidden/>
    <w:unhideWhenUsed/>
    <w:rsid w:val="00096A9F"/>
    <w:pPr>
      <w:spacing w:after="120"/>
      <w:ind w:left="283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ormln0">
    <w:name w:val="Normln"/>
    <w:rsid w:val="00096A9F"/>
    <w:pPr>
      <w:autoSpaceDE w:val="0"/>
      <w:autoSpaceDN w:val="0"/>
      <w:adjustRightInd w:val="0"/>
    </w:pPr>
    <w:rPr>
      <w:sz w:val="24"/>
      <w:szCs w:val="24"/>
    </w:rPr>
  </w:style>
  <w:style w:type="paragraph" w:styleId="Pokraovnseznamu2">
    <w:name w:val="List Continue 2"/>
    <w:basedOn w:val="Normln"/>
    <w:uiPriority w:val="99"/>
    <w:semiHidden/>
    <w:unhideWhenUsed/>
    <w:rsid w:val="00096A9F"/>
    <w:pPr>
      <w:spacing w:after="120"/>
      <w:ind w:left="566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odrkyzlevaodsazeno0">
    <w:name w:val="odrážky zleva odsazení o 0"/>
    <w:aliases w:val="6 cm"/>
    <w:basedOn w:val="Normln"/>
    <w:link w:val="odrkyzlevaodsazeno0Char"/>
    <w:qFormat/>
    <w:rsid w:val="00377601"/>
    <w:pPr>
      <w:numPr>
        <w:numId w:val="2"/>
      </w:numPr>
      <w:spacing w:after="120"/>
      <w:ind w:left="584" w:hanging="227"/>
    </w:pPr>
    <w:rPr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311FE"/>
    <w:rPr>
      <w:rFonts w:ascii="Arial" w:eastAsia="Calibri" w:hAnsi="Arial" w:cs="Arial"/>
      <w:b/>
      <w:sz w:val="28"/>
      <w:szCs w:val="28"/>
      <w:lang w:eastAsia="en-US"/>
    </w:rPr>
  </w:style>
  <w:style w:type="character" w:customStyle="1" w:styleId="odrkyzlevaodsazeno0Char">
    <w:name w:val="odrážky zleva odsazení o 0 Char"/>
    <w:aliases w:val="6 cm Char"/>
    <w:basedOn w:val="OdstavecseseznamemChar"/>
    <w:link w:val="odrkyzlevaodsazeno0"/>
    <w:rsid w:val="00377601"/>
  </w:style>
  <w:style w:type="paragraph" w:customStyle="1" w:styleId="Styl1">
    <w:name w:val="Styl1"/>
    <w:basedOn w:val="Normln"/>
    <w:rsid w:val="005C61B6"/>
    <w:pPr>
      <w:spacing w:after="60"/>
      <w:ind w:firstLine="567"/>
    </w:pPr>
    <w:rPr>
      <w:rFonts w:cs="Arial"/>
      <w:sz w:val="20"/>
    </w:rPr>
  </w:style>
  <w:style w:type="paragraph" w:customStyle="1" w:styleId="obycA10">
    <w:name w:val="obyc_A10"/>
    <w:basedOn w:val="Normln"/>
    <w:rsid w:val="005C61B6"/>
    <w:pPr>
      <w:jc w:val="left"/>
    </w:pPr>
    <w:rPr>
      <w:sz w:val="20"/>
    </w:rPr>
  </w:style>
  <w:style w:type="paragraph" w:styleId="Bezmezer">
    <w:name w:val="No Spacing"/>
    <w:link w:val="BezmezerChar"/>
    <w:uiPriority w:val="1"/>
    <w:qFormat/>
    <w:rsid w:val="002B4317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2B4317"/>
    <w:rPr>
      <w:rFonts w:ascii="Calibri" w:hAnsi="Calibri"/>
      <w:sz w:val="22"/>
      <w:szCs w:val="22"/>
      <w:lang w:val="cs-CZ" w:eastAsia="en-US" w:bidi="ar-SA"/>
    </w:rPr>
  </w:style>
  <w:style w:type="paragraph" w:customStyle="1" w:styleId="odrkybezmezer">
    <w:name w:val="odrážky bez mezer"/>
    <w:aliases w:val="vlevo kraj 6 mm"/>
    <w:basedOn w:val="odrkyzlevaodsazeno0"/>
    <w:link w:val="odrkybezmezerChar"/>
    <w:qFormat/>
    <w:rsid w:val="004A0179"/>
    <w:pPr>
      <w:spacing w:after="240"/>
      <w:ind w:left="340" w:hanging="340"/>
    </w:pPr>
  </w:style>
  <w:style w:type="character" w:customStyle="1" w:styleId="odrkybezmezerChar">
    <w:name w:val="odrážky bez mezer Char"/>
    <w:aliases w:val="vlevo kraj 6 mm Char"/>
    <w:basedOn w:val="odrkyzlevaodsazeno0Char"/>
    <w:link w:val="odrkybezmezer"/>
    <w:rsid w:val="004A0179"/>
  </w:style>
  <w:style w:type="paragraph" w:styleId="Podtitul">
    <w:name w:val="Subtitle"/>
    <w:aliases w:val="2.1"/>
    <w:basedOn w:val="Normln"/>
    <w:next w:val="Normln"/>
    <w:link w:val="PodtitulChar"/>
    <w:uiPriority w:val="11"/>
    <w:qFormat/>
    <w:rsid w:val="00BE14D7"/>
    <w:pPr>
      <w:numPr>
        <w:ilvl w:val="1"/>
        <w:numId w:val="23"/>
      </w:numPr>
      <w:spacing w:before="360" w:after="240"/>
    </w:pPr>
    <w:rPr>
      <w:b/>
      <w:sz w:val="28"/>
      <w:szCs w:val="28"/>
    </w:rPr>
  </w:style>
  <w:style w:type="character" w:customStyle="1" w:styleId="PodtitulChar">
    <w:name w:val="Podtitul Char"/>
    <w:aliases w:val="2.1 Char"/>
    <w:basedOn w:val="Standardnpsmoodstavce"/>
    <w:link w:val="Podtitul"/>
    <w:uiPriority w:val="11"/>
    <w:rsid w:val="00BE14D7"/>
    <w:rPr>
      <w:b/>
      <w:sz w:val="28"/>
      <w:szCs w:val="28"/>
    </w:rPr>
  </w:style>
  <w:style w:type="character" w:customStyle="1" w:styleId="StyleParagraphItalicChar">
    <w:name w:val="Style Paragraph + Italic Char"/>
    <w:basedOn w:val="Standardnpsmoodstavce"/>
    <w:rsid w:val="00A617BC"/>
    <w:rPr>
      <w:i/>
      <w:iCs/>
      <w:sz w:val="24"/>
      <w:szCs w:val="24"/>
      <w:lang w:val="en-GB" w:eastAsia="en-US" w:bidi="ar-SA"/>
    </w:rPr>
  </w:style>
  <w:style w:type="paragraph" w:customStyle="1" w:styleId="Mujnadpis2">
    <w:name w:val="Mujnadpis2"/>
    <w:basedOn w:val="Normln"/>
    <w:rsid w:val="00A617BC"/>
    <w:pPr>
      <w:jc w:val="left"/>
    </w:pPr>
    <w:rPr>
      <w:b/>
      <w:bCs/>
      <w:sz w:val="24"/>
      <w:u w:val="single"/>
    </w:rPr>
  </w:style>
  <w:style w:type="paragraph" w:customStyle="1" w:styleId="ParagraphIndent">
    <w:name w:val="ParagraphIndent"/>
    <w:basedOn w:val="Normln"/>
    <w:rsid w:val="00A617BC"/>
    <w:pPr>
      <w:tabs>
        <w:tab w:val="num" w:pos="720"/>
        <w:tab w:val="num" w:pos="1260"/>
      </w:tabs>
      <w:spacing w:after="120"/>
      <w:ind w:left="720" w:hanging="360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3">
    <w:name w:val="h3"/>
    <w:basedOn w:val="Normln"/>
    <w:rsid w:val="00A617BC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2518C4"/>
    <w:rPr>
      <w:rFonts w:ascii="Arial" w:hAnsi="Arial" w:cs="Arial"/>
      <w:b/>
      <w:bCs/>
      <w:kern w:val="28"/>
      <w:sz w:val="28"/>
      <w:szCs w:val="3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518C4"/>
    <w:rPr>
      <w:rFonts w:ascii="Arial" w:hAnsi="Arial"/>
      <w:b/>
      <w:bCs/>
      <w:color w:val="800000"/>
      <w:sz w:val="22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2518C4"/>
    <w:pPr>
      <w:jc w:val="righ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2518C4"/>
    <w:rPr>
      <w:rFonts w:ascii="Tahoma" w:eastAsia="Calibri" w:hAnsi="Tahoma" w:cs="Tahoma"/>
      <w:sz w:val="16"/>
      <w:szCs w:val="16"/>
      <w:lang w:eastAsia="en-US"/>
    </w:rPr>
  </w:style>
  <w:style w:type="paragraph" w:styleId="Textvbloku">
    <w:name w:val="Block Text"/>
    <w:basedOn w:val="Normln"/>
    <w:uiPriority w:val="99"/>
    <w:unhideWhenUsed/>
    <w:rsid w:val="002518C4"/>
    <w:pPr>
      <w:widowControl w:val="0"/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autoSpaceDE w:val="0"/>
      <w:autoSpaceDN w:val="0"/>
      <w:adjustRightInd w:val="0"/>
      <w:ind w:left="1152" w:right="1152"/>
      <w:jc w:val="right"/>
    </w:pPr>
    <w:rPr>
      <w:rFonts w:ascii="Calibri" w:hAnsi="Calibri"/>
      <w:i/>
      <w:iCs/>
      <w:color w:val="4F81BD"/>
      <w:sz w:val="20"/>
      <w:szCs w:val="20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2518C4"/>
    <w:rPr>
      <w:rFonts w:ascii="Arial" w:hAnsi="Arial" w:cs="Arial"/>
    </w:rPr>
  </w:style>
  <w:style w:type="numbering" w:customStyle="1" w:styleId="Styl2">
    <w:name w:val="Styl2"/>
    <w:rsid w:val="00617043"/>
    <w:pPr>
      <w:numPr>
        <w:numId w:val="8"/>
      </w:numPr>
    </w:pPr>
  </w:style>
  <w:style w:type="character" w:customStyle="1" w:styleId="Nzvyobrzku">
    <w:name w:val="Názvy obrázku"/>
    <w:basedOn w:val="Siln"/>
    <w:uiPriority w:val="1"/>
    <w:qFormat/>
    <w:rsid w:val="000A3839"/>
    <w:rPr>
      <w:rFonts w:ascii="Arial Black" w:hAnsi="Arial Black"/>
      <w:i/>
    </w:rPr>
  </w:style>
  <w:style w:type="paragraph" w:customStyle="1" w:styleId="Dilonadpis1">
    <w:name w:val="Dilo_nadpis_1"/>
    <w:basedOn w:val="Nadpis2"/>
    <w:link w:val="Dilonadpis1Char"/>
    <w:autoRedefine/>
    <w:rsid w:val="00EF1092"/>
    <w:pPr>
      <w:numPr>
        <w:numId w:val="46"/>
      </w:numPr>
      <w:ind w:left="567" w:hanging="567"/>
    </w:pPr>
  </w:style>
  <w:style w:type="paragraph" w:customStyle="1" w:styleId="Dilotext">
    <w:name w:val="Dilo_text"/>
    <w:basedOn w:val="Dilonadpis1"/>
    <w:autoRedefine/>
    <w:qFormat/>
    <w:rsid w:val="009B1D86"/>
    <w:pPr>
      <w:spacing w:after="120"/>
      <w:ind w:left="142" w:firstLine="0"/>
    </w:pPr>
    <w:rPr>
      <w:sz w:val="20"/>
    </w:rPr>
  </w:style>
  <w:style w:type="paragraph" w:customStyle="1" w:styleId="Nadpis">
    <w:name w:val="Nadpis"/>
    <w:basedOn w:val="Normln"/>
    <w:next w:val="Zkladntext"/>
    <w:rsid w:val="00EE2C7C"/>
    <w:pPr>
      <w:keepNext/>
      <w:suppressAutoHyphens/>
      <w:spacing w:before="240" w:after="120"/>
      <w:jc w:val="left"/>
    </w:pPr>
    <w:rPr>
      <w:rFonts w:eastAsia="Arial Unicode MS" w:cs="Tahoma"/>
      <w:bCs/>
      <w:sz w:val="28"/>
      <w:szCs w:val="28"/>
      <w:lang w:eastAsia="ar-SA"/>
    </w:rPr>
  </w:style>
  <w:style w:type="character" w:styleId="Zdraznnjemn">
    <w:name w:val="Subtle Emphasis"/>
    <w:basedOn w:val="Standardnpsmoodstavce"/>
    <w:uiPriority w:val="19"/>
    <w:qFormat/>
    <w:rsid w:val="008D4293"/>
    <w:rPr>
      <w:i/>
      <w:iCs/>
      <w:color w:val="808080"/>
    </w:rPr>
  </w:style>
  <w:style w:type="paragraph" w:styleId="Revize">
    <w:name w:val="Revision"/>
    <w:hidden/>
    <w:uiPriority w:val="99"/>
    <w:semiHidden/>
    <w:rsid w:val="008D4293"/>
    <w:rPr>
      <w:rFonts w:ascii="Times New Roman" w:hAnsi="Times New Roman"/>
      <w:sz w:val="24"/>
      <w:szCs w:val="24"/>
      <w:lang w:eastAsia="ar-SA"/>
    </w:rPr>
  </w:style>
  <w:style w:type="paragraph" w:customStyle="1" w:styleId="Rbntext">
    <w:name w:val="R běžný text"/>
    <w:rsid w:val="008D4293"/>
    <w:pPr>
      <w:spacing w:after="120"/>
      <w:jc w:val="both"/>
    </w:pPr>
  </w:style>
  <w:style w:type="numbering" w:customStyle="1" w:styleId="Styl3">
    <w:name w:val="Styl3"/>
    <w:rsid w:val="00FA6BE4"/>
    <w:pPr>
      <w:numPr>
        <w:numId w:val="9"/>
      </w:numPr>
    </w:pPr>
  </w:style>
  <w:style w:type="numbering" w:customStyle="1" w:styleId="Styl4">
    <w:name w:val="Styl4"/>
    <w:rsid w:val="00852693"/>
    <w:pPr>
      <w:numPr>
        <w:numId w:val="10"/>
      </w:numPr>
    </w:pPr>
  </w:style>
  <w:style w:type="numbering" w:customStyle="1" w:styleId="Styl5">
    <w:name w:val="Styl5"/>
    <w:rsid w:val="00852693"/>
    <w:pPr>
      <w:numPr>
        <w:numId w:val="11"/>
      </w:numPr>
    </w:pPr>
  </w:style>
  <w:style w:type="numbering" w:customStyle="1" w:styleId="Styl6">
    <w:name w:val="Styl6"/>
    <w:rsid w:val="00852693"/>
    <w:pPr>
      <w:numPr>
        <w:numId w:val="12"/>
      </w:numPr>
    </w:pPr>
  </w:style>
  <w:style w:type="numbering" w:customStyle="1" w:styleId="Styl7">
    <w:name w:val="Styl7"/>
    <w:rsid w:val="00852693"/>
    <w:pPr>
      <w:numPr>
        <w:numId w:val="13"/>
      </w:numPr>
    </w:pPr>
  </w:style>
  <w:style w:type="numbering" w:customStyle="1" w:styleId="Styl8">
    <w:name w:val="Styl8"/>
    <w:rsid w:val="00852693"/>
    <w:pPr>
      <w:numPr>
        <w:numId w:val="15"/>
      </w:numPr>
    </w:pPr>
  </w:style>
  <w:style w:type="numbering" w:customStyle="1" w:styleId="Styl9">
    <w:name w:val="Styl9"/>
    <w:rsid w:val="00852693"/>
    <w:pPr>
      <w:numPr>
        <w:numId w:val="16"/>
      </w:numPr>
    </w:pPr>
  </w:style>
  <w:style w:type="numbering" w:customStyle="1" w:styleId="Styl10">
    <w:name w:val="Styl10"/>
    <w:rsid w:val="00852693"/>
    <w:pPr>
      <w:numPr>
        <w:numId w:val="17"/>
      </w:numPr>
    </w:pPr>
  </w:style>
  <w:style w:type="numbering" w:customStyle="1" w:styleId="Styl11">
    <w:name w:val="Styl11"/>
    <w:rsid w:val="00852693"/>
    <w:pPr>
      <w:numPr>
        <w:numId w:val="18"/>
      </w:numPr>
    </w:pPr>
  </w:style>
  <w:style w:type="numbering" w:customStyle="1" w:styleId="Styl12">
    <w:name w:val="Styl12"/>
    <w:rsid w:val="00B823EB"/>
    <w:pPr>
      <w:numPr>
        <w:numId w:val="19"/>
      </w:numPr>
    </w:pPr>
  </w:style>
  <w:style w:type="numbering" w:customStyle="1" w:styleId="Styl13">
    <w:name w:val="Styl13"/>
    <w:rsid w:val="00926E82"/>
    <w:pPr>
      <w:numPr>
        <w:numId w:val="20"/>
      </w:numPr>
    </w:pPr>
  </w:style>
  <w:style w:type="numbering" w:customStyle="1" w:styleId="Styl14">
    <w:name w:val="Styl14"/>
    <w:rsid w:val="001E0EB0"/>
    <w:pPr>
      <w:numPr>
        <w:numId w:val="21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9E2909"/>
    <w:rPr>
      <w:rFonts w:eastAsia="Calibri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1E0EB0"/>
    <w:rPr>
      <w:rFonts w:cs="Arial"/>
      <w:b/>
      <w:bCs/>
      <w:sz w:val="32"/>
      <w:szCs w:val="28"/>
    </w:rPr>
  </w:style>
  <w:style w:type="character" w:customStyle="1" w:styleId="Nadpis8Char">
    <w:name w:val="Nadpis 8 Char"/>
    <w:basedOn w:val="Standardnpsmoodstavce"/>
    <w:link w:val="Nadpis8"/>
    <w:uiPriority w:val="9"/>
    <w:rsid w:val="001E0EB0"/>
    <w:rPr>
      <w:rFonts w:cs="Arial"/>
      <w:b/>
      <w:bCs/>
      <w:sz w:val="28"/>
      <w:szCs w:val="28"/>
    </w:rPr>
  </w:style>
  <w:style w:type="numbering" w:customStyle="1" w:styleId="Styl15">
    <w:name w:val="Styl15"/>
    <w:rsid w:val="000C73FB"/>
    <w:pPr>
      <w:numPr>
        <w:numId w:val="22"/>
      </w:numPr>
    </w:pPr>
  </w:style>
  <w:style w:type="numbering" w:customStyle="1" w:styleId="Styl16">
    <w:name w:val="Styl16"/>
    <w:rsid w:val="00742879"/>
    <w:pPr>
      <w:numPr>
        <w:numId w:val="24"/>
      </w:numPr>
    </w:pPr>
  </w:style>
  <w:style w:type="paragraph" w:customStyle="1" w:styleId="Styl17">
    <w:name w:val="Styl17"/>
    <w:basedOn w:val="Podtitul"/>
    <w:link w:val="Styl17Char"/>
    <w:qFormat/>
    <w:rsid w:val="00742879"/>
    <w:pPr>
      <w:numPr>
        <w:ilvl w:val="0"/>
        <w:numId w:val="0"/>
      </w:numPr>
      <w:ind w:left="709" w:hanging="709"/>
    </w:pPr>
  </w:style>
  <w:style w:type="numbering" w:customStyle="1" w:styleId="Styl18">
    <w:name w:val="Styl18"/>
    <w:rsid w:val="00CE6493"/>
    <w:pPr>
      <w:numPr>
        <w:numId w:val="25"/>
      </w:numPr>
    </w:pPr>
  </w:style>
  <w:style w:type="character" w:customStyle="1" w:styleId="Styl17Char">
    <w:name w:val="Styl17 Char"/>
    <w:basedOn w:val="PodtitulChar"/>
    <w:link w:val="Styl17"/>
    <w:rsid w:val="00742879"/>
    <w:rPr>
      <w:b/>
    </w:rPr>
  </w:style>
  <w:style w:type="paragraph" w:customStyle="1" w:styleId="Stylkapitola1">
    <w:name w:val="Styl kapitola 1"/>
    <w:basedOn w:val="Dilonadpis1"/>
    <w:link w:val="Stylkapitola1Char"/>
    <w:qFormat/>
    <w:rsid w:val="00513233"/>
    <w:rPr>
      <w:rFonts w:eastAsia="Calibri"/>
    </w:rPr>
  </w:style>
  <w:style w:type="paragraph" w:customStyle="1" w:styleId="podkapitola11Styl19">
    <w:name w:val="podkapitola 1.1.Styl19"/>
    <w:basedOn w:val="Podtitul"/>
    <w:link w:val="podkapitola11Styl19Char"/>
    <w:qFormat/>
    <w:rsid w:val="00513233"/>
    <w:pPr>
      <w:numPr>
        <w:ilvl w:val="0"/>
        <w:numId w:val="0"/>
      </w:numPr>
      <w:ind w:left="709" w:hanging="709"/>
    </w:pPr>
  </w:style>
  <w:style w:type="character" w:customStyle="1" w:styleId="Stylkapitola1Char">
    <w:name w:val="Styl kapitola 1 Char"/>
    <w:basedOn w:val="PodtitulChar"/>
    <w:link w:val="Stylkapitola1"/>
    <w:rsid w:val="00513233"/>
    <w:rPr>
      <w:rFonts w:eastAsia="Calibri" w:cs="Arial"/>
      <w:bCs/>
      <w:caps/>
      <w:kern w:val="32"/>
      <w:sz w:val="32"/>
      <w:szCs w:val="32"/>
      <w:lang w:eastAsia="ar-SA"/>
    </w:rPr>
  </w:style>
  <w:style w:type="paragraph" w:customStyle="1" w:styleId="podkapitola21">
    <w:name w:val="podkapitola 2.1."/>
    <w:basedOn w:val="podkapitola11Styl19"/>
    <w:link w:val="podkapitola21Char"/>
    <w:qFormat/>
    <w:rsid w:val="00650A13"/>
  </w:style>
  <w:style w:type="character" w:customStyle="1" w:styleId="podkapitola11Styl19Char">
    <w:name w:val="podkapitola 1.1.Styl19 Char"/>
    <w:basedOn w:val="PodtitulChar"/>
    <w:link w:val="podkapitola11Styl19"/>
    <w:rsid w:val="00513233"/>
    <w:rPr>
      <w:b/>
    </w:rPr>
  </w:style>
  <w:style w:type="paragraph" w:customStyle="1" w:styleId="3kapitola">
    <w:name w:val="3. kapitola"/>
    <w:basedOn w:val="Dilonadpis1"/>
    <w:link w:val="3kapitolaChar"/>
    <w:qFormat/>
    <w:rsid w:val="00650A13"/>
  </w:style>
  <w:style w:type="character" w:customStyle="1" w:styleId="podkapitola21Char">
    <w:name w:val="podkapitola 2.1. Char"/>
    <w:basedOn w:val="podkapitola11Styl19Char"/>
    <w:link w:val="podkapitola21"/>
    <w:rsid w:val="00650A13"/>
  </w:style>
  <w:style w:type="paragraph" w:customStyle="1" w:styleId="31">
    <w:name w:val="3.1."/>
    <w:basedOn w:val="Styl17"/>
    <w:link w:val="31Char"/>
    <w:qFormat/>
    <w:rsid w:val="00650A13"/>
    <w:pPr>
      <w:ind w:left="360" w:hanging="360"/>
    </w:pPr>
  </w:style>
  <w:style w:type="character" w:customStyle="1" w:styleId="Dilonadpis1Char">
    <w:name w:val="Dilo_nadpis_1 Char"/>
    <w:basedOn w:val="Nadpis2Char"/>
    <w:link w:val="Dilonadpis1"/>
    <w:rsid w:val="00EF1092"/>
    <w:rPr>
      <w:b/>
      <w:bCs/>
      <w:caps/>
    </w:rPr>
  </w:style>
  <w:style w:type="character" w:customStyle="1" w:styleId="3kapitolaChar">
    <w:name w:val="3. kapitola Char"/>
    <w:basedOn w:val="Dilonadpis1Char"/>
    <w:link w:val="3kapitola"/>
    <w:rsid w:val="00650A13"/>
  </w:style>
  <w:style w:type="character" w:customStyle="1" w:styleId="31Char">
    <w:name w:val="3.1. Char"/>
    <w:basedOn w:val="podkapitola11Styl19Char"/>
    <w:link w:val="31"/>
    <w:rsid w:val="00650A13"/>
    <w:rPr>
      <w:b/>
    </w:rPr>
  </w:style>
  <w:style w:type="paragraph" w:customStyle="1" w:styleId="11">
    <w:name w:val="1.1."/>
    <w:basedOn w:val="Styl17"/>
    <w:link w:val="11Char"/>
    <w:qFormat/>
    <w:rsid w:val="007C5BE3"/>
    <w:pPr>
      <w:ind w:left="1440" w:hanging="360"/>
    </w:pPr>
  </w:style>
  <w:style w:type="character" w:customStyle="1" w:styleId="11Char">
    <w:name w:val="1.1. Char"/>
    <w:basedOn w:val="podkapitola11Styl19Char"/>
    <w:link w:val="11"/>
    <w:locked/>
    <w:rsid w:val="007C5BE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69AE5-0770-4728-B23A-CE54A740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3652</Words>
  <Characters>21550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25152</CharactersWithSpaces>
  <SharedDoc>false</SharedDoc>
  <HLinks>
    <vt:vector size="138" baseType="variant">
      <vt:variant>
        <vt:i4>1900574</vt:i4>
      </vt:variant>
      <vt:variant>
        <vt:i4>129</vt:i4>
      </vt:variant>
      <vt:variant>
        <vt:i4>0</vt:i4>
      </vt:variant>
      <vt:variant>
        <vt:i4>5</vt:i4>
      </vt:variant>
      <vt:variant>
        <vt:lpwstr>http://cs.wikipedia.org/wiki/1652</vt:lpwstr>
      </vt:variant>
      <vt:variant>
        <vt:lpwstr/>
      </vt:variant>
      <vt:variant>
        <vt:i4>2818088</vt:i4>
      </vt:variant>
      <vt:variant>
        <vt:i4>126</vt:i4>
      </vt:variant>
      <vt:variant>
        <vt:i4>0</vt:i4>
      </vt:variant>
      <vt:variant>
        <vt:i4>5</vt:i4>
      </vt:variant>
      <vt:variant>
        <vt:lpwstr>http://cs.wikipedia.org/wiki/2</vt:lpwstr>
      </vt:variant>
      <vt:variant>
        <vt:lpwstr/>
      </vt:variant>
      <vt:variant>
        <vt:i4>5242915</vt:i4>
      </vt:variant>
      <vt:variant>
        <vt:i4>123</vt:i4>
      </vt:variant>
      <vt:variant>
        <vt:i4>0</vt:i4>
      </vt:variant>
      <vt:variant>
        <vt:i4>5</vt:i4>
      </vt:variant>
      <vt:variant>
        <vt:lpwstr>http://cs.wikipedia.org/wiki/Dynastie_Chan</vt:lpwstr>
      </vt:variant>
      <vt:variant>
        <vt:lpwstr/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_Toc356387356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_Toc356387355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_Toc356387354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_Toc356387353</vt:lpwstr>
      </vt:variant>
      <vt:variant>
        <vt:i4>1245246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_Toc356387352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_Toc356387351</vt:lpwstr>
      </vt:variant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_Toc356387350</vt:lpwstr>
      </vt:variant>
      <vt:variant>
        <vt:i4>1179710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_Toc356387349</vt:lpwstr>
      </vt:variant>
      <vt:variant>
        <vt:i4>1179710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_Toc356387348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_Toc356387347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_Toc356387346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_Toc356387345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_Toc356387344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_Toc356387343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_Toc356387342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_Toc356387341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_Toc356387340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_Toc356387339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_Toc356387338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_Toc356387337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System Service</dc:creator>
  <cp:keywords/>
  <dc:description/>
  <cp:lastModifiedBy>System Service</cp:lastModifiedBy>
  <cp:revision>5</cp:revision>
  <cp:lastPrinted>2013-11-12T07:39:00Z</cp:lastPrinted>
  <dcterms:created xsi:type="dcterms:W3CDTF">2013-11-14T09:26:00Z</dcterms:created>
  <dcterms:modified xsi:type="dcterms:W3CDTF">2013-11-18T11:48:00Z</dcterms:modified>
</cp:coreProperties>
</file>