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88" w:rsidRPr="00C24253" w:rsidRDefault="00237F88" w:rsidP="004A014A">
      <w:pPr>
        <w:pStyle w:val="Dilonadpis1"/>
      </w:pPr>
      <w:bookmarkStart w:id="0" w:name="_Toc369860057"/>
      <w:bookmarkStart w:id="1" w:name="_Toc371588168"/>
      <w:r w:rsidRPr="00C24253">
        <w:t>NÁBOŽENSKá Víra</w:t>
      </w:r>
      <w:bookmarkEnd w:id="0"/>
      <w:bookmarkEnd w:id="1"/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Údaje o náboženské víře ze sčítání z let 1950, 1991, 2001 a 2011 dokumentují trvalý pokles religiozity v českých zemích. V detailnějším pohledu nebyl ale vývoj zcela jednoznačný. Např. ne u všech církví a n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 xml:space="preserve">boženských společností docházelo k trvalému poklesu věřících ve všech sčítáních, úbytek měl u jednotlivých církví různou intenzitu, a u některých církví došlo i k nárůstu. </w:t>
      </w:r>
    </w:p>
    <w:p w:rsidR="00237F88" w:rsidRPr="00C24253" w:rsidRDefault="00237F88" w:rsidP="00237F88">
      <w:pPr>
        <w:pStyle w:val="Rbntext"/>
        <w:rPr>
          <w:rFonts w:cs="Arial"/>
        </w:rPr>
      </w:pPr>
      <w:r w:rsidRPr="00C24253">
        <w:rPr>
          <w:rFonts w:cs="Arial"/>
        </w:rPr>
        <w:t>Metodické rozdíly mezi rokem 1950 a po</w:t>
      </w:r>
      <w:r w:rsidRPr="00C24253">
        <w:rPr>
          <w:rFonts w:cs="Arial"/>
        </w:rPr>
        <w:t>z</w:t>
      </w:r>
      <w:r w:rsidRPr="00C24253">
        <w:rPr>
          <w:rFonts w:cs="Arial"/>
        </w:rPr>
        <w:t xml:space="preserve">dějšími cenzy: </w:t>
      </w:r>
    </w:p>
    <w:p w:rsidR="00237F88" w:rsidRPr="00C24253" w:rsidRDefault="00237F88" w:rsidP="00237F88">
      <w:pPr>
        <w:pStyle w:val="odrkyzlevaodsazeno0"/>
        <w:ind w:left="284" w:hanging="284"/>
      </w:pPr>
      <w:r w:rsidRPr="00C24253">
        <w:t>V roce 1950 byla zjišťována formální př</w:t>
      </w:r>
      <w:r w:rsidRPr="00C24253">
        <w:t>í</w:t>
      </w:r>
      <w:r w:rsidRPr="00C24253">
        <w:t xml:space="preserve">slušnost k církvi daná zejména křtem a v návodu k vyplnění bylo přímo uvedeno, že „církevní příslušnost nelze </w:t>
      </w:r>
      <w:proofErr w:type="spellStart"/>
      <w:r w:rsidRPr="00C24253">
        <w:t>měniti</w:t>
      </w:r>
      <w:proofErr w:type="spellEnd"/>
      <w:r w:rsidRPr="00C24253">
        <w:t xml:space="preserve"> po</w:t>
      </w:r>
      <w:r w:rsidRPr="00C24253">
        <w:t>u</w:t>
      </w:r>
      <w:r w:rsidRPr="00C24253">
        <w:t>hým zápisem do sčítacího archu“. V l</w:t>
      </w:r>
      <w:r w:rsidRPr="00C24253">
        <w:t>e</w:t>
      </w:r>
      <w:r w:rsidRPr="00C24253">
        <w:t>tech 1991 - 2011 se zjišťovala spíše vnit</w:t>
      </w:r>
      <w:r w:rsidRPr="00C24253">
        <w:t>ř</w:t>
      </w:r>
      <w:r w:rsidRPr="00C24253">
        <w:t xml:space="preserve">ní identifikace s příslušnou církví. </w:t>
      </w:r>
    </w:p>
    <w:p w:rsidR="00237F88" w:rsidRPr="00C24253" w:rsidRDefault="00237F88" w:rsidP="00237F88">
      <w:pPr>
        <w:pStyle w:val="odrkyzlevaodsazeno0"/>
        <w:ind w:left="284" w:hanging="284"/>
      </w:pPr>
      <w:r w:rsidRPr="00C24253">
        <w:t>Při sčítání v roce 2011 se samostatně mohla zaznamenat volba víry bez vazby na církevní instituci (formulováno jako „v</w:t>
      </w:r>
      <w:r w:rsidRPr="00C24253">
        <w:t>ě</w:t>
      </w:r>
      <w:r w:rsidRPr="00C24253">
        <w:t xml:space="preserve">řící – nehlásící se k žádné církvi ani náboženské společnosti“). </w:t>
      </w:r>
    </w:p>
    <w:p w:rsidR="00237F88" w:rsidRPr="00C24253" w:rsidRDefault="00237F88" w:rsidP="00237F88">
      <w:pPr>
        <w:pStyle w:val="odrkyzlevaodsazeno0"/>
        <w:ind w:left="284" w:hanging="284"/>
      </w:pPr>
      <w:r w:rsidRPr="00C24253">
        <w:t>Obecným pojmem „věřící“ se v textu rozumí v datech 1950 – 2001 osoby, které deklarovaly svou příslu</w:t>
      </w:r>
      <w:r w:rsidRPr="00C24253">
        <w:t>š</w:t>
      </w:r>
      <w:r w:rsidRPr="00C24253">
        <w:t>nost k církvi, v roce 2011 pak agregaci osob věřících hlásících se i věřících nehlásících se k církvi či n</w:t>
      </w:r>
      <w:r w:rsidRPr="00C24253">
        <w:t>á</w:t>
      </w:r>
      <w:r w:rsidRPr="00C24253">
        <w:t xml:space="preserve">boženské společnosti. </w:t>
      </w:r>
    </w:p>
    <w:p w:rsidR="00237F88" w:rsidRPr="00C24253" w:rsidRDefault="00237F88" w:rsidP="00237F88">
      <w:pPr>
        <w:pStyle w:val="odrkyzlevaodsazeno0"/>
        <w:spacing w:after="360"/>
        <w:ind w:left="284" w:hanging="284"/>
      </w:pPr>
      <w:r w:rsidRPr="00C24253">
        <w:t xml:space="preserve">Termín „neuvedeno“ byl zaveden pro roky 2001 a 2011 v souvislosti s faktem, že otázka na víru (spolu s národností) byla dobrovolná. „Neuvedeno“ tak označovalo počet osob, které odpověď neuvedly. V letech 1950 a 1991 jsou zde pod stejným pojmem osoby, u kterých nebyla víra zjištěna.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58"/>
        <w:gridCol w:w="953"/>
        <w:gridCol w:w="552"/>
        <w:gridCol w:w="965"/>
        <w:gridCol w:w="552"/>
        <w:gridCol w:w="953"/>
        <w:gridCol w:w="552"/>
        <w:gridCol w:w="965"/>
        <w:gridCol w:w="552"/>
      </w:tblGrid>
      <w:tr w:rsidR="00237F88" w:rsidRPr="00C24253" w:rsidTr="002D32DA">
        <w:trPr>
          <w:trHeight w:val="290"/>
          <w:jc w:val="center"/>
        </w:trPr>
        <w:tc>
          <w:tcPr>
            <w:tcW w:w="9202" w:type="dxa"/>
            <w:gridSpan w:val="9"/>
            <w:tcBorders>
              <w:bottom w:val="single" w:sz="2" w:space="0" w:color="000000"/>
            </w:tcBorders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spacing w:after="120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 xml:space="preserve">Obyvatelé podle náboženské </w:t>
            </w:r>
            <w:r w:rsidRPr="00C2425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 </w:t>
            </w:r>
            <w:r w:rsidRPr="00C24253">
              <w:rPr>
                <w:rFonts w:eastAsiaTheme="minorHAnsi" w:cs="Arial"/>
                <w:b/>
                <w:bCs/>
                <w:sz w:val="20"/>
                <w:szCs w:val="20"/>
                <w:lang w:eastAsia="en-US"/>
              </w:rPr>
              <w:t>víry v letech 1950 až 2011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3158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Náboženská víra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2011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3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proofErr w:type="spellStart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abs</w:t>
            </w:r>
            <w:proofErr w:type="spellEnd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v %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proofErr w:type="spellStart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abs</w:t>
            </w:r>
            <w:proofErr w:type="spellEnd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v %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proofErr w:type="spellStart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abs</w:t>
            </w:r>
            <w:proofErr w:type="spellEnd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v %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proofErr w:type="spellStart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abs</w:t>
            </w:r>
            <w:proofErr w:type="spellEnd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v %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Obyvatelé celkem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8 896 133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10 302 215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10 230 060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10 436 560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100,0</w:t>
            </w:r>
          </w:p>
        </w:tc>
      </w:tr>
      <w:tr w:rsidR="00237F88" w:rsidRPr="00C24253" w:rsidTr="002D32DA">
        <w:trPr>
          <w:trHeight w:val="227"/>
          <w:jc w:val="center"/>
        </w:trPr>
        <w:tc>
          <w:tcPr>
            <w:tcW w:w="3158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7247F">
            <w:pPr>
              <w:autoSpaceDE w:val="0"/>
              <w:autoSpaceDN w:val="0"/>
              <w:adjustRightInd w:val="0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v tom</w:t>
            </w:r>
            <w:r w:rsidR="000565D6">
              <w:rPr>
                <w:rFonts w:eastAsiaTheme="minorHAnsi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237F88" w:rsidRPr="00C24253" w:rsidTr="002D32DA">
        <w:trPr>
          <w:trHeight w:val="397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113"/>
              <w:jc w:val="lef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Věřící celkem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8 353 282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93,9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4 523 734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43,9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3 288 088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2 168 952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20,8</w:t>
            </w:r>
          </w:p>
        </w:tc>
      </w:tr>
      <w:tr w:rsidR="00237F88" w:rsidRPr="00C24253" w:rsidTr="002D32DA">
        <w:trPr>
          <w:trHeight w:val="227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0565D6">
            <w:pPr>
              <w:autoSpaceDE w:val="0"/>
              <w:autoSpaceDN w:val="0"/>
              <w:adjustRightInd w:val="0"/>
              <w:ind w:left="227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v tom</w:t>
            </w:r>
            <w:r w:rsidR="000565D6">
              <w:rPr>
                <w:rFonts w:eastAsiaTheme="minorHAnsi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237F88" w:rsidRPr="00C24253" w:rsidTr="002D32DA">
        <w:trPr>
          <w:trHeight w:val="283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227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 xml:space="preserve">věřící nehlásící se k církvi, </w:t>
            </w:r>
            <w:proofErr w:type="spellStart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náb</w:t>
            </w:r>
            <w:proofErr w:type="spellEnd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 spol.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705 368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6,8</w:t>
            </w:r>
          </w:p>
        </w:tc>
      </w:tr>
      <w:tr w:rsidR="00237F88" w:rsidRPr="00C24253" w:rsidTr="002D32DA">
        <w:trPr>
          <w:trHeight w:val="283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227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 xml:space="preserve">věřící hlásící se k církvi, </w:t>
            </w:r>
            <w:proofErr w:type="spellStart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náb</w:t>
            </w:r>
            <w:proofErr w:type="spellEnd"/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. spol.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8 353 282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93,9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4 523 734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43,9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3 288 088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1 463 584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14,0</w:t>
            </w:r>
          </w:p>
        </w:tc>
      </w:tr>
      <w:tr w:rsidR="00237F88" w:rsidRPr="00C24253" w:rsidTr="002D32DA">
        <w:trPr>
          <w:trHeight w:val="227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0565D6">
            <w:pPr>
              <w:autoSpaceDE w:val="0"/>
              <w:autoSpaceDN w:val="0"/>
              <w:adjustRightInd w:val="0"/>
              <w:ind w:left="397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z toho</w:t>
            </w:r>
            <w:r w:rsidR="000565D6">
              <w:rPr>
                <w:rFonts w:eastAsiaTheme="minorHAnsi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237F88" w:rsidRPr="00C24253" w:rsidTr="002D32DA">
        <w:trPr>
          <w:trHeight w:val="283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397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 xml:space="preserve">Církev římskokatolická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6 792 046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76,4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4 021 385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39,0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2 740 780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26,8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1 082 463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10,4</w:t>
            </w:r>
          </w:p>
        </w:tc>
      </w:tr>
      <w:tr w:rsidR="00237F88" w:rsidRPr="00C24253" w:rsidTr="002D32DA">
        <w:trPr>
          <w:trHeight w:val="283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397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Českobratrská církev evangelická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401 729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203 996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117 212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51 858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0,5</w:t>
            </w:r>
          </w:p>
        </w:tc>
      </w:tr>
      <w:tr w:rsidR="00237F88" w:rsidRPr="00C24253" w:rsidTr="002D32DA">
        <w:trPr>
          <w:trHeight w:val="283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397"/>
              <w:jc w:val="lef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 xml:space="preserve">Církev československá husitská 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946 813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10,6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178 036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99 103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39 229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sz w:val="16"/>
                <w:szCs w:val="16"/>
                <w:lang w:eastAsia="en-US"/>
              </w:rPr>
              <w:t>0,4</w:t>
            </w:r>
          </w:p>
        </w:tc>
      </w:tr>
      <w:tr w:rsidR="00237F88" w:rsidRPr="00C24253" w:rsidTr="002D32DA">
        <w:trPr>
          <w:trHeight w:val="397"/>
          <w:jc w:val="center"/>
        </w:trPr>
        <w:tc>
          <w:tcPr>
            <w:tcW w:w="3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113"/>
              <w:jc w:val="lef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Bez náboženské víry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519 962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5,8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4 112 864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39,9</w:t>
            </w: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6 039 991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59,0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3 604 095</w:t>
            </w:r>
          </w:p>
        </w:tc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34,5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3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ind w:left="113"/>
              <w:jc w:val="lef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 xml:space="preserve">Neuvedeno </w:t>
            </w: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22 889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1 665 617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901 981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4 662 455</w:t>
            </w:r>
          </w:p>
        </w:tc>
        <w:tc>
          <w:tcPr>
            <w:tcW w:w="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8" w:rsidRPr="00C24253" w:rsidRDefault="00237F88" w:rsidP="002D32DA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C24253">
              <w:rPr>
                <w:rFonts w:eastAsiaTheme="minorHAnsi" w:cs="Arial"/>
                <w:b/>
                <w:sz w:val="16"/>
                <w:szCs w:val="16"/>
                <w:lang w:eastAsia="en-US"/>
              </w:rPr>
              <w:t>44,7</w:t>
            </w:r>
          </w:p>
        </w:tc>
      </w:tr>
    </w:tbl>
    <w:p w:rsidR="00237F88" w:rsidRPr="00C24253" w:rsidRDefault="00237F88" w:rsidP="00237F88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V roce 2011 se k víře přihlásilo necelých 2,2 mil. osob</w:t>
      </w:r>
      <w:r w:rsidRPr="00C24253">
        <w:rPr>
          <w:rFonts w:cs="Arial"/>
          <w:sz w:val="20"/>
          <w:szCs w:val="20"/>
        </w:rPr>
        <w:t xml:space="preserve">, tj. jedna pětina obyvatel ČR. Tito věřící se dělili na dvě skupiny: </w:t>
      </w:r>
    </w:p>
    <w:p w:rsidR="00237F88" w:rsidRPr="00C24253" w:rsidRDefault="00237F88" w:rsidP="00237F88">
      <w:pPr>
        <w:spacing w:before="120" w:after="120"/>
        <w:ind w:left="340" w:hanging="3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-</w:t>
      </w:r>
      <w:r w:rsidRPr="00C24253">
        <w:rPr>
          <w:rFonts w:cs="Arial"/>
          <w:sz w:val="20"/>
          <w:szCs w:val="20"/>
        </w:rPr>
        <w:tab/>
        <w:t>První skupinu tvořily osoby, které uvedly, že jsou „věřící hlásící se k církvi, náboženské společnosti“. Bylo jich celkem 1 464 tisíc a jejich podíl na celkovém počtu obyvatel činil 14,0 %.</w:t>
      </w:r>
      <w:r w:rsidRPr="00C24253">
        <w:rPr>
          <w:rStyle w:val="Znakapoznpodarou"/>
          <w:rFonts w:cs="Arial"/>
          <w:sz w:val="20"/>
          <w:szCs w:val="20"/>
        </w:rPr>
        <w:footnoteReference w:id="1"/>
      </w:r>
      <w:r w:rsidRPr="00C24253">
        <w:rPr>
          <w:rFonts w:cs="Arial"/>
          <w:sz w:val="20"/>
          <w:szCs w:val="20"/>
        </w:rPr>
        <w:t xml:space="preserve"> </w:t>
      </w:r>
    </w:p>
    <w:p w:rsidR="00237F88" w:rsidRPr="00C24253" w:rsidRDefault="00237F88" w:rsidP="00237F88">
      <w:pPr>
        <w:spacing w:after="120"/>
        <w:ind w:left="340" w:hanging="3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-</w:t>
      </w:r>
      <w:r w:rsidRPr="00C24253">
        <w:rPr>
          <w:rFonts w:cs="Arial"/>
          <w:sz w:val="20"/>
          <w:szCs w:val="20"/>
        </w:rPr>
        <w:tab/>
        <w:t>Druhou skupinou byli „věřící nehlás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>cí se k církvi, náboženské společnosti“, do které se zařadilo 705 tisíc osob (7</w:t>
      </w:r>
      <w:r w:rsidR="000565D6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% obyv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>tel). Tento, poměrně výrazný počet tak mj. potvrdil i sociology uváděný trend odklonu od tradičních církví a hledání jiných alternati</w:t>
      </w:r>
      <w:r w:rsidRPr="00C24253">
        <w:rPr>
          <w:rFonts w:cs="Arial"/>
          <w:sz w:val="20"/>
          <w:szCs w:val="20"/>
        </w:rPr>
        <w:t>v</w:t>
      </w:r>
      <w:r w:rsidRPr="00C24253">
        <w:rPr>
          <w:rFonts w:cs="Arial"/>
          <w:sz w:val="20"/>
          <w:szCs w:val="20"/>
        </w:rPr>
        <w:t xml:space="preserve">ních směrů víry. </w:t>
      </w:r>
      <w:r w:rsidRPr="00C24253">
        <w:rPr>
          <w:rStyle w:val="Znakapoznpodarou"/>
          <w:rFonts w:cs="Arial"/>
          <w:sz w:val="20"/>
          <w:szCs w:val="20"/>
        </w:rPr>
        <w:footnoteReference w:id="2"/>
      </w:r>
    </w:p>
    <w:p w:rsidR="00237F88" w:rsidRPr="00C24253" w:rsidRDefault="00237F88" w:rsidP="00237F88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lastRenderedPageBreak/>
        <w:t>Sčítání 2011 v otázce víry zaznamenalo značnou odlišnost oproti předcházejícím cenzům. Přestože ve sč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 xml:space="preserve">táních v letech 2001 i 2011 byla otázka shodně dobrovolná, významně se lišil počet osob, které otázku na víru nezodpověděly. </w:t>
      </w:r>
    </w:p>
    <w:p w:rsidR="00237F88" w:rsidRPr="00C24253" w:rsidRDefault="006817B9" w:rsidP="006817B9">
      <w:pPr>
        <w:spacing w:before="360"/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2" type="#_x0000_t75" style="position:absolute;left:0;text-align:left;margin-left:.3pt;margin-top:9.6pt;width:270.75pt;height:225.75pt;z-index:251658240">
            <v:imagedata r:id="rId8" o:title=""/>
            <w10:wrap type="square"/>
          </v:shape>
        </w:pict>
      </w:r>
      <w:r w:rsidR="00237F88" w:rsidRPr="00C24253">
        <w:rPr>
          <w:rFonts w:cs="Arial"/>
          <w:b/>
          <w:sz w:val="20"/>
          <w:szCs w:val="20"/>
        </w:rPr>
        <w:t>Poče</w:t>
      </w:r>
      <w:r w:rsidR="00BA621E">
        <w:rPr>
          <w:rFonts w:cs="Arial"/>
          <w:b/>
          <w:sz w:val="20"/>
          <w:szCs w:val="20"/>
        </w:rPr>
        <w:t>t neuvedených odpovědí dosáhl v </w:t>
      </w:r>
      <w:r w:rsidR="00237F88" w:rsidRPr="00C24253">
        <w:rPr>
          <w:rFonts w:cs="Arial"/>
          <w:b/>
          <w:sz w:val="20"/>
          <w:szCs w:val="20"/>
        </w:rPr>
        <w:t xml:space="preserve">roce 2011 téměř pěti milionů - </w:t>
      </w:r>
      <w:r w:rsidR="00237F88" w:rsidRPr="00C24253">
        <w:rPr>
          <w:rFonts w:cs="Arial"/>
          <w:sz w:val="20"/>
          <w:szCs w:val="20"/>
        </w:rPr>
        <w:t>z celkov</w:t>
      </w:r>
      <w:r w:rsidR="00237F88" w:rsidRPr="00C24253">
        <w:rPr>
          <w:rFonts w:cs="Arial"/>
          <w:sz w:val="20"/>
          <w:szCs w:val="20"/>
        </w:rPr>
        <w:t>é</w:t>
      </w:r>
      <w:r w:rsidR="00237F88" w:rsidRPr="00C24253">
        <w:rPr>
          <w:rFonts w:cs="Arial"/>
          <w:sz w:val="20"/>
          <w:szCs w:val="20"/>
        </w:rPr>
        <w:t>ho počtu obyvatel to bylo 44,7 % oproti nec</w:t>
      </w:r>
      <w:r w:rsidR="00237F88" w:rsidRPr="00C24253">
        <w:rPr>
          <w:rFonts w:cs="Arial"/>
          <w:sz w:val="20"/>
          <w:szCs w:val="20"/>
        </w:rPr>
        <w:t>e</w:t>
      </w:r>
      <w:r w:rsidR="00237F88" w:rsidRPr="00C24253">
        <w:rPr>
          <w:rFonts w:cs="Arial"/>
          <w:sz w:val="20"/>
          <w:szCs w:val="20"/>
        </w:rPr>
        <w:t xml:space="preserve">lým 9 % v roce 2001.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Počet neuvedených odpovědí na nábože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 xml:space="preserve">skou víru byl více než dvojnásobně vyšší než úhrn věřících. </w:t>
      </w:r>
    </w:p>
    <w:p w:rsidR="00237F88" w:rsidRPr="00C24253" w:rsidRDefault="00237F88" w:rsidP="00237F88">
      <w:pPr>
        <w:spacing w:after="120"/>
        <w:rPr>
          <w:rFonts w:cs="Arial"/>
          <w:b/>
          <w:sz w:val="20"/>
          <w:szCs w:val="20"/>
        </w:rPr>
      </w:pPr>
      <w:r w:rsidRPr="00C24253">
        <w:rPr>
          <w:rFonts w:cs="Arial"/>
          <w:sz w:val="20"/>
          <w:szCs w:val="20"/>
        </w:rPr>
        <w:t>Do jaké míry jsou v těchto počtech zahrnuti i případní věřící, kteří otázku neodpověděli záměrně, lze pouze spekulovat. Je však</w:t>
      </w:r>
      <w:r w:rsidRPr="00C24253">
        <w:rPr>
          <w:rFonts w:cs="Arial"/>
        </w:rPr>
        <w:t xml:space="preserve"> </w:t>
      </w:r>
      <w:r w:rsidRPr="00C24253">
        <w:rPr>
          <w:rFonts w:cs="Arial"/>
          <w:sz w:val="20"/>
          <w:szCs w:val="20"/>
        </w:rPr>
        <w:t>fa</w:t>
      </w:r>
      <w:r w:rsidRPr="00C24253">
        <w:rPr>
          <w:rFonts w:cs="Arial"/>
          <w:sz w:val="20"/>
          <w:szCs w:val="20"/>
        </w:rPr>
        <w:t>k</w:t>
      </w:r>
      <w:r w:rsidRPr="00C24253">
        <w:rPr>
          <w:rFonts w:cs="Arial"/>
          <w:sz w:val="20"/>
          <w:szCs w:val="20"/>
        </w:rPr>
        <w:t>tem, že se mohli ke své víře zcela sv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bodně přihlásit a byli k tomu řadou církví před sčít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 xml:space="preserve">ním i vyzváni.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Ani podrobnější data podle jednotlivých tříd</w:t>
      </w:r>
      <w:r w:rsidRPr="00C24253">
        <w:rPr>
          <w:rFonts w:cs="Arial"/>
          <w:sz w:val="20"/>
          <w:szCs w:val="20"/>
        </w:rPr>
        <w:t>í</w:t>
      </w:r>
      <w:r w:rsidRPr="00C24253">
        <w:rPr>
          <w:rFonts w:cs="Arial"/>
          <w:sz w:val="20"/>
          <w:szCs w:val="20"/>
        </w:rPr>
        <w:t>cích hledisek osoby bez uvedené o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 xml:space="preserve">povědi nespecifikují. </w:t>
      </w:r>
    </w:p>
    <w:p w:rsidR="00237F88" w:rsidRDefault="00237F88" w:rsidP="00237F88">
      <w:pPr>
        <w:spacing w:after="120"/>
        <w:rPr>
          <w:rFonts w:cs="Arial"/>
          <w:sz w:val="20"/>
          <w:szCs w:val="20"/>
        </w:rPr>
      </w:pPr>
    </w:p>
    <w:p w:rsidR="006817B9" w:rsidRPr="00C24253" w:rsidRDefault="006817B9" w:rsidP="00237F88">
      <w:pPr>
        <w:spacing w:after="120"/>
        <w:rPr>
          <w:rFonts w:cs="Arial"/>
          <w:sz w:val="20"/>
          <w:szCs w:val="20"/>
        </w:rPr>
      </w:pPr>
    </w:p>
    <w:p w:rsidR="00237F88" w:rsidRPr="00C24253" w:rsidRDefault="00237F88" w:rsidP="00237F88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U naprosté většiny jednotlivých charakteristik, jako je např. pohlaví, věk, velikost obce pobytu, územní disl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kace apod., byla shoda nebo významná podobnost s republikovým průměrem.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rFonts w:cs="Arial"/>
          <w:sz w:val="20"/>
          <w:szCs w:val="20"/>
        </w:rPr>
        <w:t>Jediným rozlišujícím znakem je vzdělání, které je v přímé úměře k ochotě odpovědět. Tedy čím vyšší vzd</w:t>
      </w:r>
      <w:r w:rsidRPr="00C24253">
        <w:rPr>
          <w:rFonts w:cs="Arial"/>
          <w:sz w:val="20"/>
          <w:szCs w:val="20"/>
        </w:rPr>
        <w:t>ě</w:t>
      </w:r>
      <w:r w:rsidRPr="00C24253">
        <w:rPr>
          <w:rFonts w:cs="Arial"/>
          <w:sz w:val="20"/>
          <w:szCs w:val="20"/>
        </w:rPr>
        <w:t>lání, tím vzrůstal počet uvedených odpovědí o náboženské víře.</w:t>
      </w:r>
      <w:r w:rsidRPr="00C24253" w:rsidDel="00132426">
        <w:rPr>
          <w:sz w:val="20"/>
          <w:szCs w:val="20"/>
        </w:rPr>
        <w:t xml:space="preserve"> </w:t>
      </w:r>
    </w:p>
    <w:p w:rsidR="00237F88" w:rsidRPr="00C24253" w:rsidRDefault="00237F88" w:rsidP="00237F88">
      <w:pPr>
        <w:spacing w:after="240"/>
        <w:rPr>
          <w:rFonts w:cs="Arial"/>
          <w:sz w:val="20"/>
          <w:szCs w:val="20"/>
        </w:rPr>
      </w:pPr>
      <w:r w:rsidRPr="00C24253">
        <w:rPr>
          <w:sz w:val="20"/>
          <w:szCs w:val="20"/>
        </w:rPr>
        <w:t xml:space="preserve">V souvislosti s vysokým procentem neuvedených odpovědí je při analytickém hodnocení dat sčítání nutné s tímto faktem pracovat. </w:t>
      </w:r>
      <w:r w:rsidRPr="00C24253">
        <w:rPr>
          <w:rFonts w:cs="Arial"/>
          <w:sz w:val="20"/>
          <w:szCs w:val="20"/>
        </w:rPr>
        <w:t xml:space="preserve">Vzhledem ke sledování návazností na předcházející sčítání byla upřednostněna varianta výpočtů ve vztahu k celkové populaci. Údaje týkající se pouze osob, které otázku po náboženské víře zodpověděly, jsou využívány pouze doplňkově. </w:t>
      </w:r>
    </w:p>
    <w:tbl>
      <w:tblPr>
        <w:tblW w:w="9298" w:type="dxa"/>
        <w:jc w:val="center"/>
        <w:tblCellMar>
          <w:left w:w="70" w:type="dxa"/>
          <w:right w:w="70" w:type="dxa"/>
        </w:tblCellMar>
        <w:tblLook w:val="04A0"/>
      </w:tblPr>
      <w:tblGrid>
        <w:gridCol w:w="2494"/>
        <w:gridCol w:w="1134"/>
        <w:gridCol w:w="567"/>
        <w:gridCol w:w="1134"/>
        <w:gridCol w:w="567"/>
        <w:gridCol w:w="1134"/>
        <w:gridCol w:w="567"/>
        <w:gridCol w:w="1134"/>
        <w:gridCol w:w="341"/>
        <w:gridCol w:w="226"/>
      </w:tblGrid>
      <w:tr w:rsidR="00237F88" w:rsidRPr="00C24253" w:rsidTr="002D32DA">
        <w:trPr>
          <w:gridAfter w:val="1"/>
          <w:wAfter w:w="226" w:type="dxa"/>
          <w:trHeight w:val="300"/>
          <w:jc w:val="center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88" w:rsidRPr="00C24253" w:rsidRDefault="00237F88" w:rsidP="002D32DA">
            <w:pPr>
              <w:spacing w:after="120"/>
              <w:jc w:val="left"/>
              <w:rPr>
                <w:rFonts w:ascii="Calibri" w:hAnsi="Calibri"/>
                <w:szCs w:val="22"/>
              </w:rPr>
            </w:pPr>
            <w:r w:rsidRPr="00C24253">
              <w:rPr>
                <w:rFonts w:cs="Arial"/>
                <w:b/>
                <w:bCs/>
                <w:sz w:val="20"/>
                <w:szCs w:val="20"/>
              </w:rPr>
              <w:t>Srovnání základních výsledků o náboženské víře za rok 2001 a 2011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Ukazatel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Obyvatelé celkem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Obyvatelé, kteří odpověděli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88" w:rsidRPr="00C24253" w:rsidRDefault="00237F88" w:rsidP="002D32DA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88" w:rsidRPr="00C24253" w:rsidRDefault="00237F88" w:rsidP="002D32DA">
            <w:pPr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  <w:r w:rsidRPr="00C2425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  <w:r w:rsidRPr="00C2425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  <w:r w:rsidRPr="00C2425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  <w:r w:rsidRPr="00C24253">
              <w:rPr>
                <w:rFonts w:ascii="Calibri" w:hAnsi="Calibri"/>
                <w:szCs w:val="22"/>
              </w:rPr>
              <w:t> 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88" w:rsidRPr="00C24253" w:rsidRDefault="00237F88" w:rsidP="002D32DA"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Obyvatelé 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10 230 060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10 436 560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0565D6" w:rsidP="000565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0565D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0565D6" w:rsidP="000565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0565D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</w:tr>
      <w:tr w:rsidR="00237F88" w:rsidRPr="00C24253" w:rsidTr="002D32DA">
        <w:trPr>
          <w:trHeight w:val="22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237F88" w:rsidRPr="00C24253" w:rsidTr="002D32DA">
        <w:trPr>
          <w:trHeight w:val="283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pStyle w:val="odrkyzlevaodsazeno0"/>
              <w:ind w:left="113" w:hanging="113"/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Odpověděli na otázku o náboženské víře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9 328 079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5 774 105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9 328 079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5 774 105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237F88" w:rsidRPr="00C24253" w:rsidTr="002D32DA">
        <w:trPr>
          <w:trHeight w:val="283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Věřící 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3 288 088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2 168 952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3 288 088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2 168 952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37,6</w:t>
            </w:r>
          </w:p>
        </w:tc>
      </w:tr>
      <w:tr w:rsidR="00237F88" w:rsidRPr="00C24253" w:rsidTr="002D32DA">
        <w:trPr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88" w:rsidRPr="00C24253" w:rsidRDefault="00237F88" w:rsidP="002D32DA">
            <w:pPr>
              <w:pStyle w:val="odrkyzlevaodsazeno0"/>
              <w:numPr>
                <w:ilvl w:val="0"/>
                <w:numId w:val="0"/>
              </w:numPr>
              <w:ind w:left="284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Věřící hlásící se k církvi, n</w:t>
            </w:r>
            <w:r w:rsidRPr="00C24253">
              <w:rPr>
                <w:sz w:val="16"/>
                <w:szCs w:val="16"/>
              </w:rPr>
              <w:t>á</w:t>
            </w:r>
            <w:r w:rsidRPr="00C24253">
              <w:rPr>
                <w:sz w:val="16"/>
                <w:szCs w:val="16"/>
              </w:rPr>
              <w:t>boženské společnosti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3 288 088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1 463 584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3 288 088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1 463 584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25,3</w:t>
            </w:r>
          </w:p>
        </w:tc>
      </w:tr>
      <w:tr w:rsidR="00237F88" w:rsidRPr="00C24253" w:rsidTr="002D32DA">
        <w:trPr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F88" w:rsidRPr="00C24253" w:rsidRDefault="00237F88" w:rsidP="002D32DA">
            <w:pPr>
              <w:ind w:left="284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454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Církev československá husitská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99 103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39 229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99 103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39 229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454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Církev římskokatolická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2 740 780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1 082 463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2 740 780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1 082 463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18,7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454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Českobratrská církev evangelická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117 212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51 858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117 212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51 858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454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Ostatní církve a </w:t>
            </w:r>
            <w:proofErr w:type="spellStart"/>
            <w:r w:rsidRPr="00C24253">
              <w:rPr>
                <w:rFonts w:cs="Arial"/>
                <w:sz w:val="16"/>
                <w:szCs w:val="16"/>
              </w:rPr>
              <w:t>náb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 sp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lečnosti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330 993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290 034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330 993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290 034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5,0</w:t>
            </w:r>
          </w:p>
        </w:tc>
      </w:tr>
      <w:tr w:rsidR="00237F88" w:rsidRPr="00C24253" w:rsidTr="002D32DA">
        <w:trPr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pStyle w:val="odrkyzlevaodsazeno0"/>
              <w:numPr>
                <w:ilvl w:val="0"/>
                <w:numId w:val="0"/>
              </w:numPr>
              <w:ind w:left="284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Věřící nehlásící se k církvi, náboženské společnosti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0565D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0565D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705 368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.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705 368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12,2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Osoby bez náboženské víry (bez vyznání)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6 039 991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3 604 095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6 039 991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3 604 095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62,4</w:t>
            </w:r>
          </w:p>
        </w:tc>
      </w:tr>
      <w:tr w:rsidR="00237F88" w:rsidRPr="00C24253" w:rsidTr="002D32DA">
        <w:trPr>
          <w:trHeight w:val="397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pStyle w:val="odrkyzlevaodsazeno0"/>
              <w:ind w:left="113" w:hanging="113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>Neuvedeno (nezjištěno)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901 981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4 662 455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x</w:t>
            </w:r>
          </w:p>
        </w:tc>
      </w:tr>
    </w:tbl>
    <w:p w:rsidR="00237F88" w:rsidRPr="00C24253" w:rsidRDefault="00237F88" w:rsidP="00237F88">
      <w:pPr>
        <w:pStyle w:val="Normln0"/>
        <w:spacing w:after="120"/>
        <w:jc w:val="both"/>
        <w:rPr>
          <w:rFonts w:cs="Arial"/>
          <w:sz w:val="20"/>
        </w:rPr>
      </w:pPr>
    </w:p>
    <w:p w:rsidR="00237F88" w:rsidRDefault="00237F88" w:rsidP="00237F88">
      <w:pPr>
        <w:pStyle w:val="Normln0"/>
        <w:spacing w:after="120"/>
        <w:jc w:val="both"/>
        <w:rPr>
          <w:rFonts w:cs="Arial"/>
          <w:sz w:val="20"/>
        </w:rPr>
      </w:pPr>
      <w:r w:rsidRPr="00C24253">
        <w:rPr>
          <w:rFonts w:cs="Arial"/>
          <w:sz w:val="20"/>
        </w:rPr>
        <w:lastRenderedPageBreak/>
        <w:t xml:space="preserve">Z úhrnu věřících hlásících se k církvi nebo náboženské společnosti připadalo nejvíce osob na </w:t>
      </w:r>
      <w:r w:rsidRPr="00C24253">
        <w:rPr>
          <w:rFonts w:cs="Arial"/>
          <w:b/>
          <w:sz w:val="20"/>
        </w:rPr>
        <w:t>Církev ří</w:t>
      </w:r>
      <w:r w:rsidRPr="00C24253">
        <w:rPr>
          <w:rFonts w:cs="Arial"/>
          <w:b/>
          <w:sz w:val="20"/>
        </w:rPr>
        <w:t>m</w:t>
      </w:r>
      <w:r w:rsidRPr="00C24253">
        <w:rPr>
          <w:rFonts w:cs="Arial"/>
          <w:b/>
          <w:sz w:val="20"/>
        </w:rPr>
        <w:t>skokatolickou.</w:t>
      </w:r>
      <w:r w:rsidRPr="00C24253">
        <w:rPr>
          <w:rFonts w:cs="Arial"/>
          <w:sz w:val="20"/>
        </w:rPr>
        <w:t xml:space="preserve"> Jednalo se o více než milion osob (1 082 tisíc), které tvořily z uvedené kategorie věřících téměř tři čtvrtiny. Při porovnání se všemi věřícími byl tento podíl samozřejmě nižší, dosahoval jen jedné p</w:t>
      </w:r>
      <w:r w:rsidRPr="00C24253">
        <w:rPr>
          <w:rFonts w:cs="Arial"/>
          <w:sz w:val="20"/>
        </w:rPr>
        <w:t>o</w:t>
      </w:r>
      <w:r w:rsidRPr="00C24253">
        <w:rPr>
          <w:rFonts w:cs="Arial"/>
          <w:sz w:val="20"/>
        </w:rPr>
        <w:t xml:space="preserve">loviny. I přes snížení absolutních počtů si katolická církev udržuje stále své výsadní postavení mezi všemi věřícími. </w:t>
      </w:r>
    </w:p>
    <w:p w:rsidR="0027247F" w:rsidRPr="00C24253" w:rsidRDefault="00CF224D" w:rsidP="0027247F">
      <w:pPr>
        <w:pStyle w:val="Normln0"/>
        <w:spacing w:after="120"/>
        <w:jc w:val="center"/>
        <w:rPr>
          <w:rFonts w:cs="Arial"/>
          <w:sz w:val="20"/>
        </w:rPr>
      </w:pPr>
      <w:r w:rsidRPr="00E946DF">
        <w:rPr>
          <w:rFonts w:cs="Arial"/>
          <w:sz w:val="20"/>
        </w:rPr>
        <w:fldChar w:fldCharType="begin"/>
      </w:r>
      <w:r w:rsidR="00485FDE" w:rsidRPr="00E946DF">
        <w:rPr>
          <w:rFonts w:cs="Arial"/>
          <w:sz w:val="20"/>
        </w:rPr>
        <w:instrText xml:space="preserve"> LINK Excel.Sheet.8 "D:\\RŮŽKOVÁ\\ALLSČÍTÁNÍ LIDU - VŠE O sl\\PRAMENNÉ dílo\\A KOMPLETACE PD\\1306náboženství.xlsm!List2![1306náboženství.xlsm]List2 Graf 2" "" \a \p \* MERGEFORMAT </w:instrText>
      </w:r>
      <w:r w:rsidRPr="00E946DF">
        <w:rPr>
          <w:rFonts w:cs="Arial"/>
          <w:sz w:val="20"/>
        </w:rPr>
        <w:fldChar w:fldCharType="separate"/>
      </w:r>
      <w:r w:rsidR="006817B9" w:rsidRPr="00CF224D">
        <w:rPr>
          <w:rFonts w:cs="Arial"/>
          <w:sz w:val="20"/>
        </w:rPr>
        <w:object w:dxaOrig="7095" w:dyaOrig="4260">
          <v:shape id="_x0000_i1025" type="#_x0000_t75" style="width:354.75pt;height:213pt">
            <v:imagedata r:id="rId9" o:title=""/>
          </v:shape>
        </w:object>
      </w:r>
      <w:r w:rsidRPr="00E946DF">
        <w:rPr>
          <w:rFonts w:cs="Arial"/>
          <w:sz w:val="20"/>
        </w:rPr>
        <w:fldChar w:fldCharType="end"/>
      </w:r>
    </w:p>
    <w:p w:rsidR="0027247F" w:rsidRDefault="0027247F" w:rsidP="00237F88">
      <w:pPr>
        <w:spacing w:after="120"/>
        <w:rPr>
          <w:rFonts w:cs="Arial"/>
          <w:sz w:val="20"/>
          <w:szCs w:val="20"/>
        </w:rPr>
      </w:pP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Podíl Českobratrské církve evangelické a Církve československé husitské se na celkovém počtu obyvatel pohybuje kolem pouhého půl procenta.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Počet osob hlásících se k Českobratrské církvi evangelické se snížil na 52 tisíc, což představuje 3,5 % z počtu věřících hlásících se k církvi nebo náboženské společnosti a 2,4 % ze všech věřících. V jejich úze</w:t>
      </w:r>
      <w:r w:rsidRPr="00C24253">
        <w:rPr>
          <w:rFonts w:cs="Arial"/>
          <w:sz w:val="20"/>
          <w:szCs w:val="20"/>
        </w:rPr>
        <w:t>m</w:t>
      </w:r>
      <w:r w:rsidRPr="00C24253">
        <w:rPr>
          <w:rFonts w:cs="Arial"/>
          <w:sz w:val="20"/>
          <w:szCs w:val="20"/>
        </w:rPr>
        <w:t>ním rozmístění je ještě stále patrné historické podmínění, váže mj. na oblasti, kde vznikaly tzv. toleranční sbory již v 19. století. Jedná se hlavně o místa na Moravě, např. Valašsko (okres Vsetín), území kolem Žď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 xml:space="preserve">ru nad Sázavou na Vysočině a v Čechách o oblast Polabí (okolí Nymburka).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Počet osob hlásících se k Církvi československé husitské ve výši 39 tisíc v roce 2011 představoval snížení na dvě pětiny stavu z roku 2001. Jejich úhrn se podílel 2,7 % na věřících hlásících se k církvi a jen 1,8 % na všech věřících. Jednalo se především o osoby vyššího věku - dvě třetiny z nich byly </w:t>
      </w:r>
      <w:r w:rsidR="00BA621E">
        <w:rPr>
          <w:rFonts w:cs="Arial"/>
          <w:sz w:val="20"/>
          <w:szCs w:val="20"/>
        </w:rPr>
        <w:t>starší šedesáti let. Z </w:t>
      </w:r>
      <w:r w:rsidRPr="00C24253">
        <w:rPr>
          <w:rFonts w:cs="Arial"/>
          <w:sz w:val="20"/>
          <w:szCs w:val="20"/>
        </w:rPr>
        <w:t>územního pohledu žily především v městském osídlení a relativně největší část byla soustředěna v Král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véhradeckém a Libereckém kraji. Absolutně nejvíce, kolem jedné šestiny, bylo těchto osob v Praze.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U ostatních církví a náboženských společností, mimo třech uvedených, byl pokles výrazně nižší. Proti roku 2001 se celkově snížil jen o 12 % na výsledných 290 tisíc osob, přičemž u několika církví se naopak počet osob zvýšil.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Čtvrtou nejpočetnější církví byla Pravoslavná církev v českých zemích. Spolu s Ruskou pravoslavnou církví </w:t>
      </w:r>
      <w:proofErr w:type="spellStart"/>
      <w:r w:rsidRPr="00C24253">
        <w:rPr>
          <w:rFonts w:cs="Arial"/>
          <w:sz w:val="20"/>
          <w:szCs w:val="20"/>
        </w:rPr>
        <w:t>podvorje</w:t>
      </w:r>
      <w:proofErr w:type="spellEnd"/>
      <w:r w:rsidRPr="00C24253">
        <w:rPr>
          <w:rFonts w:cs="Arial"/>
          <w:sz w:val="20"/>
          <w:szCs w:val="20"/>
        </w:rPr>
        <w:t xml:space="preserve"> patriarchy moskevského, se k této víře přihlásilo více než 26 tisíc osob, které měly místo svého obvyklého pobytu zejména v Praze, Brně a Plzni. Menší část z nich připadla na cizince, zejména ukrajinské národnosti.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Počtem svých příznivců </w:t>
      </w:r>
      <w:proofErr w:type="gramStart"/>
      <w:r w:rsidRPr="00C24253">
        <w:rPr>
          <w:rFonts w:cs="Arial"/>
          <w:sz w:val="20"/>
          <w:szCs w:val="20"/>
        </w:rPr>
        <w:t>následovala</w:t>
      </w:r>
      <w:proofErr w:type="gramEnd"/>
      <w:r w:rsidRPr="00C24253">
        <w:rPr>
          <w:rFonts w:cs="Arial"/>
          <w:sz w:val="20"/>
          <w:szCs w:val="20"/>
        </w:rPr>
        <w:t xml:space="preserve"> Náboženská společnost Svědkové Jehovovi. Ke společnosti se přihlás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lo výrazně méně osob, přes 13 tisíc, což je zhruba desetitisícový úbytek proti údajům sčítání roku 2001. Ne</w:t>
      </w:r>
      <w:r w:rsidRPr="00C24253">
        <w:rPr>
          <w:rFonts w:cs="Arial"/>
          <w:sz w:val="20"/>
          <w:szCs w:val="20"/>
        </w:rPr>
        <w:t>j</w:t>
      </w:r>
      <w:r w:rsidRPr="00C24253">
        <w:rPr>
          <w:rFonts w:cs="Arial"/>
          <w:sz w:val="20"/>
          <w:szCs w:val="20"/>
        </w:rPr>
        <w:t xml:space="preserve">větší počet těchto osob byl v Praze a na Ostravsku. 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Naopak vyšší počet svých stoupenců oproti roku 2001 zaznamenala Církev </w:t>
      </w:r>
      <w:r w:rsidR="00BA621E">
        <w:rPr>
          <w:rFonts w:cs="Arial"/>
          <w:sz w:val="20"/>
          <w:szCs w:val="20"/>
        </w:rPr>
        <w:t>bratrská. Ze sečtených téměř 11 </w:t>
      </w:r>
      <w:r w:rsidRPr="00C24253">
        <w:rPr>
          <w:rFonts w:cs="Arial"/>
          <w:sz w:val="20"/>
          <w:szCs w:val="20"/>
        </w:rPr>
        <w:t>tisíc osob se jich hlásilo k církvi nejvíce v Praze a na severní Moravě. Výrazně méně oproti roku 2001 se v tomto sčítání přihlásilo osob k evangelickým církvím augsburského vyznání.</w:t>
      </w:r>
    </w:p>
    <w:p w:rsidR="00237F88" w:rsidRPr="00C24253" w:rsidRDefault="00237F88" w:rsidP="004A014A">
      <w:pPr>
        <w:numPr>
          <w:ilvl w:val="1"/>
          <w:numId w:val="46"/>
        </w:numPr>
        <w:spacing w:before="360" w:after="240"/>
        <w:ind w:left="567" w:hanging="567"/>
        <w:rPr>
          <w:rFonts w:cs="Arial"/>
          <w:b/>
          <w:sz w:val="28"/>
          <w:szCs w:val="28"/>
        </w:rPr>
      </w:pPr>
      <w:r w:rsidRPr="00C24253">
        <w:rPr>
          <w:rFonts w:cs="Arial"/>
          <w:b/>
          <w:sz w:val="28"/>
          <w:szCs w:val="28"/>
        </w:rPr>
        <w:t>Struktura věřících podle pohlaví a věku</w:t>
      </w:r>
    </w:p>
    <w:p w:rsidR="00237F88" w:rsidRPr="00C24253" w:rsidRDefault="00237F88" w:rsidP="00237F88">
      <w:pPr>
        <w:spacing w:after="360"/>
        <w:rPr>
          <w:rFonts w:cs="Arial"/>
          <w:b/>
          <w:sz w:val="20"/>
          <w:szCs w:val="20"/>
        </w:rPr>
      </w:pPr>
      <w:r w:rsidRPr="00C24253">
        <w:rPr>
          <w:rFonts w:cs="Arial"/>
          <w:sz w:val="20"/>
          <w:szCs w:val="20"/>
        </w:rPr>
        <w:t>Mezi důležité demografické charakteristiky osob hlásících se k náboženské víře patří složení podle pohlaví. Dlouhodobě přitom převažují věřící ženy nad muži. Tento poměr se při posledních sčítáních pohyboval zhruba kolem 55 procent žen a 45 procent mužů. V roce 2011 se přihlásilo</w:t>
      </w:r>
      <w:r w:rsidR="00BA621E">
        <w:rPr>
          <w:rFonts w:cs="Arial"/>
          <w:sz w:val="20"/>
          <w:szCs w:val="20"/>
        </w:rPr>
        <w:t xml:space="preserve"> k náboženské víře celkem 1 209 </w:t>
      </w:r>
      <w:r w:rsidRPr="00C24253">
        <w:rPr>
          <w:rFonts w:cs="Arial"/>
          <w:sz w:val="20"/>
          <w:szCs w:val="20"/>
        </w:rPr>
        <w:t>tisíc žen a 906 tisíc mužů,</w:t>
      </w:r>
      <w:r w:rsidRPr="00C24253">
        <w:rPr>
          <w:rFonts w:cs="Arial"/>
        </w:rPr>
        <w:t xml:space="preserve"> </w:t>
      </w:r>
      <w:r w:rsidRPr="00C24253">
        <w:rPr>
          <w:rFonts w:cs="Arial"/>
          <w:sz w:val="20"/>
          <w:szCs w:val="20"/>
        </w:rPr>
        <w:t xml:space="preserve">což představovalo poměr 55,7 % ku 44,3 %. </w:t>
      </w:r>
    </w:p>
    <w:p w:rsidR="00237F88" w:rsidRPr="00C24253" w:rsidRDefault="00237F88" w:rsidP="00BA621E">
      <w:pPr>
        <w:spacing w:after="120"/>
        <w:ind w:left="708" w:hanging="141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lastRenderedPageBreak/>
        <w:t>Věřící podle věku k 26. 3. 2011</w:t>
      </w:r>
      <w:r w:rsidRPr="00C24253" w:rsidDel="00D92C52">
        <w:rPr>
          <w:rFonts w:cs="Arial"/>
          <w:b/>
          <w:sz w:val="20"/>
          <w:szCs w:val="20"/>
        </w:rPr>
        <w:t xml:space="preserve"> </w:t>
      </w:r>
    </w:p>
    <w:tbl>
      <w:tblPr>
        <w:tblW w:w="8662" w:type="dxa"/>
        <w:jc w:val="center"/>
        <w:tblCellMar>
          <w:left w:w="70" w:type="dxa"/>
          <w:right w:w="70" w:type="dxa"/>
        </w:tblCellMar>
        <w:tblLook w:val="04A0"/>
      </w:tblPr>
      <w:tblGrid>
        <w:gridCol w:w="1541"/>
        <w:gridCol w:w="1134"/>
        <w:gridCol w:w="601"/>
        <w:gridCol w:w="708"/>
        <w:gridCol w:w="993"/>
        <w:gridCol w:w="708"/>
        <w:gridCol w:w="709"/>
        <w:gridCol w:w="851"/>
        <w:gridCol w:w="708"/>
        <w:gridCol w:w="709"/>
      </w:tblGrid>
      <w:tr w:rsidR="00237F88" w:rsidRPr="00C24253" w:rsidTr="002D32DA">
        <w:trPr>
          <w:trHeight w:val="340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Věková</w:t>
            </w:r>
          </w:p>
          <w:p w:rsidR="00237F88" w:rsidRPr="009E59A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skupina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Věřící celkem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v tom</w:t>
            </w:r>
          </w:p>
        </w:tc>
      </w:tr>
      <w:tr w:rsidR="00237F88" w:rsidRPr="00C24253" w:rsidTr="002D32DA">
        <w:trPr>
          <w:trHeight w:val="454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88" w:rsidRPr="009E59A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F88" w:rsidRPr="009E59A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D5B" w:rsidRPr="009E59A3" w:rsidRDefault="00237F88" w:rsidP="00CF4D5B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hlásící se k církvi,</w:t>
            </w:r>
          </w:p>
          <w:p w:rsidR="00237F88" w:rsidRPr="009E59A3" w:rsidRDefault="00237F88" w:rsidP="00CF4D5B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náboženské společnosti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nehlásící se k církvi,</w:t>
            </w:r>
          </w:p>
          <w:p w:rsidR="00237F88" w:rsidRPr="009E59A3" w:rsidRDefault="00237F88" w:rsidP="00CF4D5B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náboženské společnosti</w:t>
            </w: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88" w:rsidRPr="009E59A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E59A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9E59A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podíl v % z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E59A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9E59A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podíl v % z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9E59A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9E59A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podíl v % z</w:t>
            </w:r>
          </w:p>
        </w:tc>
      </w:tr>
      <w:tr w:rsidR="00237F88" w:rsidRPr="00C24253" w:rsidTr="002D32DA">
        <w:trPr>
          <w:trHeight w:val="397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88" w:rsidRPr="009E59A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úhrnu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věk.</w:t>
            </w:r>
            <w:r w:rsidR="009E59A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E59A3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9E59A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úhrnu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věk.</w:t>
            </w:r>
            <w:r w:rsidR="009E59A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E59A3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9E59A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úhrnu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věk.</w:t>
            </w:r>
            <w:r w:rsidR="009E59A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E59A3">
              <w:rPr>
                <w:rFonts w:cs="Arial"/>
                <w:sz w:val="16"/>
                <w:szCs w:val="16"/>
              </w:rPr>
              <w:t>sk</w:t>
            </w:r>
            <w:proofErr w:type="spellEnd"/>
            <w:r w:rsidRPr="009E59A3">
              <w:rPr>
                <w:rFonts w:cs="Arial"/>
                <w:sz w:val="16"/>
                <w:szCs w:val="16"/>
              </w:rPr>
              <w:t>.</w:t>
            </w:r>
          </w:p>
        </w:tc>
      </w:tr>
      <w:tr w:rsidR="00237F88" w:rsidRPr="00C24253" w:rsidTr="002D32DA">
        <w:trPr>
          <w:trHeight w:val="454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Věřící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2 168 952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1 463 584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705 368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E59A3">
              <w:rPr>
                <w:rFonts w:cs="Arial"/>
                <w:b/>
                <w:sz w:val="16"/>
                <w:szCs w:val="16"/>
              </w:rPr>
              <w:t>6,8</w:t>
            </w:r>
          </w:p>
        </w:tc>
      </w:tr>
      <w:tr w:rsidR="00237F88" w:rsidRPr="00C24253" w:rsidTr="002D32DA">
        <w:trPr>
          <w:trHeight w:val="227"/>
          <w:jc w:val="center"/>
        </w:trPr>
        <w:tc>
          <w:tcPr>
            <w:tcW w:w="15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0-14 let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195 495</w:t>
            </w:r>
          </w:p>
        </w:tc>
        <w:tc>
          <w:tcPr>
            <w:tcW w:w="6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147 395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48 100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3,2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87 168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57 509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29 659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5,2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109 000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64 605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44 395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6,6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125 219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71 743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53 476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7,4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152 604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88 453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64 151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7,4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157 024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92 194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64 830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7,3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40-49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259 869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155 278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104 591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7,5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50-59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285 373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179 920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105 453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7,5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60-69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367 290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260 417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106 873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8,2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70 a více 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427 020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344 321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82 699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9E59A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9E59A3">
              <w:rPr>
                <w:rFonts w:cs="Arial"/>
                <w:sz w:val="16"/>
                <w:szCs w:val="16"/>
              </w:rPr>
              <w:t>7,6</w:t>
            </w:r>
          </w:p>
        </w:tc>
      </w:tr>
    </w:tbl>
    <w:p w:rsidR="00237F88" w:rsidRPr="00C24253" w:rsidRDefault="00237F88" w:rsidP="00237F88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podílu věřících podle jednotlivých věkových skupin byly zaznamenány rozdíly mezi muži a ženami. Se vzrůstajícím věkem se nejen zvyšuje míra religiozity jak mužů, tak žen, al</w:t>
      </w:r>
      <w:r w:rsidR="00BA621E">
        <w:rPr>
          <w:rFonts w:cs="Arial"/>
          <w:sz w:val="20"/>
          <w:szCs w:val="20"/>
        </w:rPr>
        <w:t>e zároveň se většinou zvyšují i </w:t>
      </w:r>
      <w:r w:rsidRPr="00C24253">
        <w:rPr>
          <w:rFonts w:cs="Arial"/>
          <w:sz w:val="20"/>
          <w:szCs w:val="20"/>
        </w:rPr>
        <w:t>rozdíly mezi věřícími muži a ženami.</w:t>
      </w:r>
    </w:p>
    <w:p w:rsidR="00237F88" w:rsidRPr="00C24253" w:rsidRDefault="00237F88" w:rsidP="00237F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Rozdíly v absolutních počtech jsou přirozeně ovlivněny delší dobou dožití v případě žen. Převaha věřících žen, vyjádřená podílem na celkovém počtu osob ve věkové kategorii začíná </w:t>
      </w:r>
      <w:r w:rsidR="00BA621E">
        <w:rPr>
          <w:rFonts w:cs="Arial"/>
          <w:sz w:val="20"/>
          <w:szCs w:val="20"/>
        </w:rPr>
        <w:t>mimo nejmladší kategorie dětí u </w:t>
      </w:r>
      <w:r w:rsidRPr="00C24253">
        <w:rPr>
          <w:rFonts w:cs="Arial"/>
          <w:sz w:val="20"/>
          <w:szCs w:val="20"/>
        </w:rPr>
        <w:t xml:space="preserve">nejnižších věkových skupin a pokračuje až do nejvyššího věku.  </w:t>
      </w:r>
    </w:p>
    <w:p w:rsidR="00237F88" w:rsidRDefault="00237F88" w:rsidP="00BA621E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Podíl věřících v jednotlivých věkových kategoriích na počtu obyvatel byl zhruba do padesáti let věku stále na stejné úrovni nepřekračující pětinu všech obyvatel. K mírnému zvýšení došlo až u věkové skupiny 50-59 let. U 70letých a starších už tento podíl dosahoval téměř dvou pětin. Věřící ženy </w:t>
      </w:r>
      <w:r w:rsidR="00BA621E">
        <w:rPr>
          <w:rFonts w:cs="Arial"/>
          <w:sz w:val="20"/>
          <w:szCs w:val="20"/>
        </w:rPr>
        <w:t>tohoto věku dosáhly podílu 41,2 </w:t>
      </w:r>
      <w:r w:rsidRPr="00C24253">
        <w:rPr>
          <w:rFonts w:cs="Arial"/>
          <w:sz w:val="20"/>
          <w:szCs w:val="20"/>
        </w:rPr>
        <w:t>% a muži 36,4 %. Věkové složení věřících však zůstalo, ve srovnání s výsledky roku 2001, zhruba ste</w:t>
      </w:r>
      <w:r w:rsidRPr="00C24253">
        <w:rPr>
          <w:rFonts w:cs="Arial"/>
          <w:sz w:val="20"/>
          <w:szCs w:val="20"/>
        </w:rPr>
        <w:t>j</w:t>
      </w:r>
      <w:r w:rsidRPr="00C24253">
        <w:rPr>
          <w:rFonts w:cs="Arial"/>
          <w:sz w:val="20"/>
          <w:szCs w:val="20"/>
        </w:rPr>
        <w:t>né.</w:t>
      </w:r>
    </w:p>
    <w:p w:rsidR="004F004E" w:rsidRDefault="00CF224D" w:rsidP="004F004E">
      <w:pPr>
        <w:spacing w:after="360"/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PD\\1306náboženství.xlsm!List2d![1306náboženství.xlsm]List2d Graf 1" "" \a \p \* MERGEFORMAT </w:instrText>
      </w:r>
      <w:r w:rsidRPr="00E946DF">
        <w:rPr>
          <w:rFonts w:cs="Arial"/>
          <w:sz w:val="20"/>
          <w:szCs w:val="20"/>
        </w:rPr>
        <w:fldChar w:fldCharType="separate"/>
      </w:r>
      <w:r w:rsidR="006817B9" w:rsidRPr="00CF224D">
        <w:rPr>
          <w:rFonts w:cs="Arial"/>
          <w:sz w:val="20"/>
          <w:szCs w:val="20"/>
        </w:rPr>
        <w:object w:dxaOrig="8295" w:dyaOrig="5310">
          <v:shape id="_x0000_i1026" type="#_x0000_t75" style="width:414.75pt;height:265.5pt">
            <v:imagedata r:id="rId10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237F88" w:rsidRPr="00C24253" w:rsidRDefault="00237F88" w:rsidP="004A014A">
      <w:pPr>
        <w:numPr>
          <w:ilvl w:val="1"/>
          <w:numId w:val="46"/>
        </w:numPr>
        <w:spacing w:before="360" w:after="240"/>
        <w:ind w:left="567" w:hanging="567"/>
        <w:rPr>
          <w:rFonts w:cs="Arial"/>
          <w:b/>
          <w:sz w:val="28"/>
          <w:szCs w:val="28"/>
        </w:rPr>
      </w:pPr>
      <w:r w:rsidRPr="00C24253">
        <w:rPr>
          <w:rFonts w:cs="Arial"/>
          <w:b/>
          <w:sz w:val="28"/>
          <w:szCs w:val="28"/>
        </w:rPr>
        <w:lastRenderedPageBreak/>
        <w:t>Struktura věřících podle vzdělání</w:t>
      </w:r>
    </w:p>
    <w:p w:rsidR="00237F88" w:rsidRPr="00C24253" w:rsidRDefault="00237F88" w:rsidP="00237F88">
      <w:pPr>
        <w:spacing w:after="360"/>
        <w:rPr>
          <w:rFonts w:cs="Arial"/>
          <w:sz w:val="20"/>
          <w:szCs w:val="20"/>
        </w:rPr>
      </w:pPr>
      <w:r w:rsidRPr="00C24253">
        <w:rPr>
          <w:sz w:val="20"/>
        </w:rPr>
        <w:t>Složení osob hlásících se k náboženské víře podle vzdělání doznalo oproti předcházejícímu období pomě</w:t>
      </w:r>
      <w:r w:rsidRPr="00C24253">
        <w:rPr>
          <w:sz w:val="20"/>
        </w:rPr>
        <w:t>r</w:t>
      </w:r>
      <w:r w:rsidRPr="00C24253">
        <w:rPr>
          <w:sz w:val="20"/>
        </w:rPr>
        <w:t xml:space="preserve">ně výrazných změn, na kterých se podílel především celkový růst vzdělanosti ve společnosti. Nepopiratelný vliv měl rovněž i podstatný úbytek osob hlásících se k náboženské víře. </w:t>
      </w:r>
    </w:p>
    <w:p w:rsidR="00237F88" w:rsidRPr="00C24253" w:rsidRDefault="00237F88" w:rsidP="00237F88">
      <w:pPr>
        <w:spacing w:after="120"/>
        <w:ind w:left="709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Věřící ve věku 15 a více let podle nejvyššího ukončeného vzdělání a věku k 26. 3. 2011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907"/>
        <w:gridCol w:w="907"/>
        <w:gridCol w:w="600"/>
        <w:gridCol w:w="907"/>
        <w:gridCol w:w="600"/>
        <w:gridCol w:w="907"/>
        <w:gridCol w:w="600"/>
        <w:gridCol w:w="907"/>
        <w:gridCol w:w="600"/>
      </w:tblGrid>
      <w:tr w:rsidR="00237F88" w:rsidRPr="00C24253" w:rsidTr="002D32DA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Věk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Věřící celkem</w:t>
            </w:r>
          </w:p>
        </w:tc>
        <w:tc>
          <w:tcPr>
            <w:tcW w:w="602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nejvyšší ukončené vzdělání</w:t>
            </w:r>
          </w:p>
        </w:tc>
      </w:tr>
      <w:tr w:rsidR="00237F88" w:rsidRPr="00C24253" w:rsidTr="002D32DA">
        <w:trPr>
          <w:trHeight w:val="90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základní vč. ne</w:t>
            </w:r>
            <w:r w:rsidRPr="00C24253">
              <w:rPr>
                <w:rFonts w:cs="Arial"/>
                <w:sz w:val="16"/>
                <w:szCs w:val="16"/>
              </w:rPr>
              <w:t>u</w:t>
            </w:r>
            <w:r w:rsidRPr="00C24253">
              <w:rPr>
                <w:rFonts w:cs="Arial"/>
                <w:sz w:val="16"/>
                <w:szCs w:val="16"/>
              </w:rPr>
              <w:t>končeného, bez vzdělání a nezji</w:t>
            </w:r>
            <w:r w:rsidRPr="00C24253">
              <w:rPr>
                <w:rFonts w:cs="Arial"/>
                <w:sz w:val="16"/>
                <w:szCs w:val="16"/>
              </w:rPr>
              <w:t>š</w:t>
            </w:r>
            <w:r w:rsidRPr="00C24253">
              <w:rPr>
                <w:rFonts w:cs="Arial"/>
                <w:sz w:val="16"/>
                <w:szCs w:val="16"/>
              </w:rPr>
              <w:t>těno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střední vč. vyučení (bez maturity)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střední vč. nástavbového a vyššího.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vysokoškolské</w:t>
            </w:r>
          </w:p>
        </w:tc>
      </w:tr>
      <w:tr w:rsidR="00237F88" w:rsidRPr="00C24253" w:rsidTr="002D32DA">
        <w:trPr>
          <w:trHeight w:val="51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</w:tr>
      <w:tr w:rsidR="00237F88" w:rsidRPr="00C24253" w:rsidTr="002D32DA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Věřící ve věku 15 </w:t>
            </w:r>
          </w:p>
          <w:p w:rsidR="00237F88" w:rsidRPr="00C24253" w:rsidRDefault="00237F88" w:rsidP="002D32DA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a více let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1 973 457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398 436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20,2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608 320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30,8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650 897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315 804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16,0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EC4ECE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</w:t>
            </w:r>
            <w:r w:rsidR="00EC4ECE">
              <w:rPr>
                <w:rFonts w:cs="Arial"/>
                <w:sz w:val="16"/>
                <w:szCs w:val="16"/>
              </w:rPr>
              <w:t xml:space="preserve"> -</w:t>
            </w:r>
            <w:r w:rsidRPr="00C24253">
              <w:rPr>
                <w:rFonts w:cs="Arial"/>
                <w:sz w:val="16"/>
                <w:szCs w:val="16"/>
              </w:rPr>
              <w:t xml:space="preserve"> 19 let</w:t>
            </w: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87 168</w:t>
            </w: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76 303</w:t>
            </w: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87,5</w:t>
            </w: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4 119</w:t>
            </w: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6 746</w:t>
            </w: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20 - 24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109 000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9 345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16 079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70 090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13 486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12,4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25 - 29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125 219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7 617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21 715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50 630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45 257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36,1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30 - 34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152 604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8 595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34 020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64 112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45 877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30,1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35 - 39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157 024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8 277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50 173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61 844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36 730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23,4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40 - 49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259 869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17 101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89 263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99 287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54 218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20,9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50 - 59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285 373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40 535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113 855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86 303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44 680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15,7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60 - 69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367 290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70 471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137 885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116 539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42 395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 a více let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427 020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158 461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140 645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94 949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32 965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</w:tr>
    </w:tbl>
    <w:p w:rsidR="00237F88" w:rsidRPr="00C24253" w:rsidRDefault="00237F88" w:rsidP="00237F88">
      <w:pPr>
        <w:pStyle w:val="Textkomente"/>
        <w:spacing w:before="360"/>
        <w:jc w:val="both"/>
      </w:pPr>
      <w:r w:rsidRPr="00C24253">
        <w:rPr>
          <w:rFonts w:ascii="Arial" w:hAnsi="Arial" w:cs="Arial"/>
        </w:rPr>
        <w:t xml:space="preserve">Pokles celkového počtu věřících, ke kterému došlo především ve vyšších věkových kategoriích (od 50 let výše), se projevil hlavně snížením podílu osob jen se základním vzděláním. To měla při sčítání v roce 2011 již jen jedna pětina věřících oproti třem desetinám v roce 2001. Toto vzdělání měly zejména věřící osoby starší </w:t>
      </w:r>
      <w:proofErr w:type="gramStart"/>
      <w:r w:rsidRPr="00C24253">
        <w:rPr>
          <w:rFonts w:ascii="Arial" w:hAnsi="Arial" w:cs="Arial"/>
        </w:rPr>
        <w:t>šedesáti</w:t>
      </w:r>
      <w:proofErr w:type="gramEnd"/>
      <w:r w:rsidRPr="00C24253">
        <w:rPr>
          <w:rFonts w:ascii="Arial" w:hAnsi="Arial" w:cs="Arial"/>
        </w:rPr>
        <w:t xml:space="preserve"> let, na které připadaly téměř tři pětiny (57,5 %) všech věřících se základním vzděláním. I přes tento úbytek byl podíl věřících se základním nebo neukončeným vzděláním j</w:t>
      </w:r>
      <w:r w:rsidR="00BA621E">
        <w:rPr>
          <w:rFonts w:ascii="Arial" w:hAnsi="Arial" w:cs="Arial"/>
        </w:rPr>
        <w:t>eště o dvě procenta vyšší než u </w:t>
      </w:r>
      <w:r w:rsidRPr="00C24253">
        <w:rPr>
          <w:rFonts w:ascii="Arial" w:hAnsi="Arial" w:cs="Arial"/>
        </w:rPr>
        <w:t>celé populace. Také podíl věřících se středním vzděláním se</w:t>
      </w:r>
      <w:r w:rsidRPr="00C24253">
        <w:t xml:space="preserve"> </w:t>
      </w:r>
      <w:r w:rsidRPr="00C24253">
        <w:rPr>
          <w:rFonts w:ascii="Arial" w:hAnsi="Arial" w:cs="Arial"/>
        </w:rPr>
        <w:t>výrazně snížil.</w:t>
      </w:r>
    </w:p>
    <w:p w:rsidR="00237F88" w:rsidRPr="00C24253" w:rsidRDefault="00237F88" w:rsidP="00EC4ECE">
      <w:pPr>
        <w:pStyle w:val="Zkladntext"/>
        <w:ind w:firstLine="0"/>
        <w:rPr>
          <w:b/>
          <w:sz w:val="28"/>
          <w:szCs w:val="28"/>
        </w:rPr>
      </w:pPr>
      <w:r w:rsidRPr="00C24253">
        <w:t>Zcela opačně je tomu v případě úplného středoškolského vzdělání a vzdělání vysokoškolského. Podíly těc</w:t>
      </w:r>
      <w:r w:rsidRPr="00C24253">
        <w:t>h</w:t>
      </w:r>
      <w:r w:rsidRPr="00C24253">
        <w:t>to osob hlásících se k víře se výrazně zvýšily oproti roku 2001 a jsou rovněž vyšší než v celé populaci. Ne</w:t>
      </w:r>
      <w:r w:rsidRPr="00C24253">
        <w:t>j</w:t>
      </w:r>
      <w:r w:rsidRPr="00C24253">
        <w:t>markantnější je to u věřících s vysokoškolským vzděláním, jejichž podíl činil 16 % oproti pouhým 7,4 % v roce 2001 (v celé populaci v roce 2011 to bylo 12,5 %). Více než třetina věřících ve věku 25-29 let měla vysokoškolské vzdělání, u žen byl tento podíl ještě vyšší – více než dvě pětiny.</w:t>
      </w:r>
    </w:p>
    <w:p w:rsidR="00237F88" w:rsidRPr="00C24253" w:rsidRDefault="00237F88" w:rsidP="004A014A">
      <w:pPr>
        <w:numPr>
          <w:ilvl w:val="1"/>
          <w:numId w:val="46"/>
        </w:numPr>
        <w:spacing w:before="360" w:after="240"/>
        <w:ind w:left="567" w:hanging="567"/>
        <w:rPr>
          <w:rFonts w:cs="Arial"/>
          <w:b/>
          <w:sz w:val="28"/>
          <w:szCs w:val="28"/>
        </w:rPr>
      </w:pPr>
      <w:r w:rsidRPr="00C24253">
        <w:rPr>
          <w:rFonts w:cs="Arial"/>
          <w:b/>
          <w:sz w:val="28"/>
          <w:szCs w:val="28"/>
        </w:rPr>
        <w:t>Územní diference v religiozitě obyvatel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Vzrůst religiozity směrem ze západu na východ, který je základním znakem územního rozdělení věřících obyvatel v naší republice, je patrný již z dob první republiky a potvrzují ho i výsledky sčítání 2011.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Pořadí krajů i okresů podle religiozity se od roku 1991 prakticky nezměnilo, pouze postupně klesala míra religiozity a to jak ta nejvyšší tak také nejnižší. I v roce 2011 nadále kraj</w:t>
      </w:r>
      <w:r w:rsidR="00EC4ECE">
        <w:rPr>
          <w:sz w:val="20"/>
          <w:szCs w:val="20"/>
        </w:rPr>
        <w:t>e</w:t>
      </w:r>
      <w:r w:rsidRPr="00C24253">
        <w:rPr>
          <w:sz w:val="20"/>
          <w:szCs w:val="20"/>
        </w:rPr>
        <w:t xml:space="preserve"> Ústecký, Karlovarský a Liberecký zůstávají územím s nejnižší religiozitou – podíly věřících z celkového počtu obyvatel kraje jen mírně překr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 xml:space="preserve">čují desetiprocentní hranici.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Naopak územím s nejvyšší mírou religiozity zůstávají moravské kraje </w:t>
      </w:r>
      <w:r w:rsidR="00EC4ECE">
        <w:rPr>
          <w:sz w:val="20"/>
          <w:szCs w:val="20"/>
        </w:rPr>
        <w:t>–</w:t>
      </w:r>
      <w:r w:rsidRPr="00C24253">
        <w:rPr>
          <w:sz w:val="20"/>
          <w:szCs w:val="20"/>
        </w:rPr>
        <w:t xml:space="preserve"> Zlínský</w:t>
      </w:r>
      <w:r w:rsidR="00EC4ECE">
        <w:rPr>
          <w:sz w:val="20"/>
          <w:szCs w:val="20"/>
        </w:rPr>
        <w:t>,</w:t>
      </w:r>
      <w:r w:rsidRPr="00C24253">
        <w:rPr>
          <w:sz w:val="20"/>
          <w:szCs w:val="20"/>
        </w:rPr>
        <w:t xml:space="preserve"> Jihomoravský a kraj Vysoč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>na, kde se podíly věřících pohybovaly mezi 37 % až 29 % všech obyvatel.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V případě krajů s nejnižší religiozitou se počet osob obou kategorií věřících téměř rovná, tedy věřící osoby nehlásící se k církvi a náboženské společnosti se blíží svým počtem věřícím hlásícím se ke konkrétním cír</w:t>
      </w:r>
      <w:r w:rsidRPr="00C24253">
        <w:rPr>
          <w:sz w:val="20"/>
          <w:szCs w:val="20"/>
        </w:rPr>
        <w:t>k</w:t>
      </w:r>
      <w:r w:rsidRPr="00C24253">
        <w:rPr>
          <w:sz w:val="20"/>
          <w:szCs w:val="20"/>
        </w:rPr>
        <w:t xml:space="preserve">vím. U Ústeckého kraje se jedná v případě prvé skupiny o 5,3 % všech obyvatel a u druhé kategorie o 4,8 %. </w:t>
      </w:r>
    </w:p>
    <w:p w:rsidR="00237F88" w:rsidRPr="00C24253" w:rsidRDefault="00237F88" w:rsidP="00237F88">
      <w:pPr>
        <w:spacing w:after="240"/>
        <w:rPr>
          <w:sz w:val="20"/>
          <w:szCs w:val="20"/>
        </w:rPr>
      </w:pPr>
      <w:r w:rsidRPr="00C24253">
        <w:rPr>
          <w:sz w:val="20"/>
          <w:szCs w:val="20"/>
        </w:rPr>
        <w:lastRenderedPageBreak/>
        <w:t>Se zvyšující se religiozitou pak tato diference v jednotlivých krajích vzrůstá a nejvyšší je u Zlínského (29,3 % ku 7,8 %) a kraje Vysočina, které zůstávají věrni tradičním církvím a tuto příslušnost i respondenti deklarov</w:t>
      </w:r>
      <w:r w:rsidRPr="00C24253">
        <w:rPr>
          <w:sz w:val="20"/>
          <w:szCs w:val="20"/>
        </w:rPr>
        <w:t>a</w:t>
      </w:r>
      <w:r w:rsidRPr="00C24253">
        <w:rPr>
          <w:sz w:val="20"/>
          <w:szCs w:val="20"/>
        </w:rPr>
        <w:t xml:space="preserve">li. </w:t>
      </w:r>
    </w:p>
    <w:p w:rsidR="00237F88" w:rsidRPr="00C24253" w:rsidRDefault="00237F88" w:rsidP="00237F88">
      <w:pPr>
        <w:ind w:left="708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 xml:space="preserve">Obyvatelé hlásící se k náboženské víře a k Církvi římskokatolické </w:t>
      </w:r>
    </w:p>
    <w:p w:rsidR="00237F88" w:rsidRPr="00C24253" w:rsidRDefault="00237F88" w:rsidP="00237F88">
      <w:pPr>
        <w:spacing w:after="120"/>
        <w:ind w:left="709"/>
        <w:rPr>
          <w:sz w:val="20"/>
          <w:szCs w:val="20"/>
        </w:rPr>
      </w:pPr>
      <w:r w:rsidRPr="00C24253">
        <w:rPr>
          <w:b/>
          <w:sz w:val="20"/>
          <w:szCs w:val="20"/>
        </w:rPr>
        <w:t>v jednotlivých krajích k 26. 3. 2011</w:t>
      </w:r>
      <w:r w:rsidRPr="00C24253">
        <w:rPr>
          <w:rFonts w:cs="Arial"/>
          <w:sz w:val="16"/>
          <w:szCs w:val="16"/>
        </w:rPr>
        <w:t xml:space="preserve"> 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/>
      </w:tblPr>
      <w:tblGrid>
        <w:gridCol w:w="1417"/>
        <w:gridCol w:w="1056"/>
        <w:gridCol w:w="589"/>
        <w:gridCol w:w="662"/>
        <w:gridCol w:w="955"/>
        <w:gridCol w:w="589"/>
        <w:gridCol w:w="662"/>
        <w:gridCol w:w="919"/>
        <w:gridCol w:w="589"/>
        <w:gridCol w:w="662"/>
      </w:tblGrid>
      <w:tr w:rsidR="00237F88" w:rsidRPr="00C24253" w:rsidTr="002D32DA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Věřící, hlásící se k církvi, náboženské společnosti</w:t>
            </w: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věřící, hlásící se k Církvi římskokatolické</w:t>
            </w: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Věřící, nehlásící se k církvi, náboženské společnosti</w:t>
            </w:r>
          </w:p>
        </w:tc>
      </w:tr>
      <w:tr w:rsidR="00237F88" w:rsidRPr="00C24253" w:rsidTr="002D32DA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</w:tr>
      <w:tr w:rsidR="00237F88" w:rsidRPr="00C24253" w:rsidTr="002D32DA">
        <w:trPr>
          <w:trHeight w:val="34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%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%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</w:tr>
      <w:tr w:rsidR="00237F88" w:rsidRPr="00C24253" w:rsidTr="002D32DA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ČR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ČR</w:t>
            </w:r>
          </w:p>
        </w:tc>
      </w:tr>
      <w:tr w:rsidR="00237F88" w:rsidRPr="00C24253" w:rsidTr="002D32DA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ČR celkem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1 463 584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14,0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1 082 463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705 368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Hl. město Praha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139 005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80 158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100 433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14,2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111 630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72 258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73 044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85 409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68 218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45 438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53 036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38 329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33 125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4,7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21 107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11 666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16 825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42 763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23 380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38 704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5,5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31 160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17 123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24 561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56 915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37 531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33 412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4,7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70 150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50 524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30 840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115 433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97 552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32 712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240 664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198 894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93 331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13,2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104 055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84 666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46 528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6,6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169 662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142 926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45 163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</w:tr>
      <w:tr w:rsidR="00237F88" w:rsidRPr="00C24253" w:rsidTr="002D32DA">
        <w:trPr>
          <w:trHeight w:val="312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ind w:left="5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Moravskoslezský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222 595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159 238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91 252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88" w:rsidRPr="00C24253" w:rsidRDefault="00237F88" w:rsidP="002D32DA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12,9</w:t>
            </w:r>
          </w:p>
        </w:tc>
      </w:tr>
    </w:tbl>
    <w:p w:rsidR="00237F88" w:rsidRPr="00C24253" w:rsidRDefault="00237F88" w:rsidP="00237F88">
      <w:pPr>
        <w:spacing w:before="360" w:after="240"/>
        <w:rPr>
          <w:sz w:val="20"/>
          <w:szCs w:val="20"/>
        </w:rPr>
      </w:pPr>
      <w:r w:rsidRPr="00C24253">
        <w:rPr>
          <w:sz w:val="20"/>
          <w:szCs w:val="20"/>
        </w:rPr>
        <w:t>Ve skupině osob, které na otázku o náboženské víře odpověděly, je podíl věřících samozřejmě vyšší a blíží se v rámci celé republiky ke dvěma pětinám (37,6 %). Obdobně je tomu i ve všech krajích, kde nejnižší podíl věřících je v Ústeckém kraji - 18,5 % a nejvyšší v kraji Zlínském - 62,2 %.</w:t>
      </w:r>
    </w:p>
    <w:tbl>
      <w:tblPr>
        <w:tblpPr w:rightFromText="340" w:vertAnchor="text" w:tblpY="1"/>
        <w:tblOverlap w:val="never"/>
        <w:tblW w:w="58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5"/>
        <w:gridCol w:w="1247"/>
        <w:gridCol w:w="1247"/>
        <w:gridCol w:w="1193"/>
        <w:gridCol w:w="54"/>
      </w:tblGrid>
      <w:tr w:rsidR="00237F88" w:rsidRPr="00C24253" w:rsidTr="002D32DA">
        <w:trPr>
          <w:gridAfter w:val="1"/>
          <w:wAfter w:w="54" w:type="dxa"/>
          <w:cantSplit/>
          <w:trHeight w:val="340"/>
        </w:trPr>
        <w:tc>
          <w:tcPr>
            <w:tcW w:w="5812" w:type="dxa"/>
            <w:gridSpan w:val="4"/>
            <w:tcBorders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spacing w:after="120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>Nejnižší a nejvyšší podíly věřících ve vybraných okresech k 26. 3. 2011</w:t>
            </w:r>
          </w:p>
        </w:tc>
      </w:tr>
      <w:tr w:rsidR="00237F88" w:rsidRPr="00C24253" w:rsidTr="002D32DA">
        <w:trPr>
          <w:cantSplit/>
          <w:trHeight w:val="39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Okres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Počet </w:t>
            </w:r>
          </w:p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věřících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věřících v % z</w:t>
            </w:r>
          </w:p>
        </w:tc>
      </w:tr>
      <w:tr w:rsidR="00237F88" w:rsidRPr="00C24253" w:rsidTr="002D32DA">
        <w:trPr>
          <w:cantSplit/>
          <w:trHeight w:val="5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obyvatel </w:t>
            </w:r>
          </w:p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uvedených odpovědí</w:t>
            </w:r>
          </w:p>
        </w:tc>
      </w:tr>
      <w:tr w:rsidR="00237F88" w:rsidRPr="00C24253" w:rsidTr="002D32DA">
        <w:trPr>
          <w:cantSplit/>
          <w:trHeight w:val="34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Most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9 632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16,0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Rakovník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5 409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17,3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Česká Lípa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9 950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18,5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Chomutov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12193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18,1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Děčín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12 990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18,6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Uherské Hradiště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64 887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71,7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Hodonín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59 004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64,6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Žďár nad Sázavou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44 776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65,7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Vsetín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24 261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34,9</w:t>
            </w:r>
          </w:p>
        </w:tc>
      </w:tr>
      <w:tr w:rsidR="00237F88" w:rsidRPr="00C24253" w:rsidTr="002D32DA">
        <w:trPr>
          <w:cantSplit/>
          <w:trHeight w:val="283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237F88" w:rsidRPr="00C24253" w:rsidRDefault="00237F88" w:rsidP="002D32DA">
            <w:pPr>
              <w:ind w:left="113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Zlín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30 420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F88" w:rsidRPr="00C24253" w:rsidRDefault="00237F88" w:rsidP="002D32DA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47,8</w:t>
            </w:r>
          </w:p>
        </w:tc>
      </w:tr>
    </w:tbl>
    <w:p w:rsidR="00237F88" w:rsidRPr="00C24253" w:rsidRDefault="00237F88" w:rsidP="00237F88">
      <w:pPr>
        <w:spacing w:after="120"/>
        <w:rPr>
          <w:sz w:val="20"/>
          <w:szCs w:val="20"/>
        </w:rPr>
      </w:pP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V územním pohledu se okresy s nejnižší religiozitou nacházejí zcela jednoznačně v západní části republ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>ky, konkrétně v Ústeckém kraji. K nim se pak řadí několik okresů z Plze</w:t>
      </w:r>
      <w:r w:rsidRPr="00C24253">
        <w:rPr>
          <w:sz w:val="20"/>
          <w:szCs w:val="20"/>
        </w:rPr>
        <w:t>ň</w:t>
      </w:r>
      <w:r w:rsidRPr="00C24253">
        <w:rPr>
          <w:sz w:val="20"/>
          <w:szCs w:val="20"/>
        </w:rPr>
        <w:t xml:space="preserve">ského kraje a již tradiční „bezvěrecké“ okresy Kladno a Rakovník.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V Libereckém kraji je to zejména okres Česká Lípa. Dále to jsou i okr</w:t>
      </w:r>
      <w:r w:rsidRPr="00C24253">
        <w:rPr>
          <w:sz w:val="20"/>
          <w:szCs w:val="20"/>
        </w:rPr>
        <w:t>e</w:t>
      </w:r>
      <w:r w:rsidRPr="00C24253">
        <w:rPr>
          <w:sz w:val="20"/>
          <w:szCs w:val="20"/>
        </w:rPr>
        <w:t>sy Karlovarska a směrem na východ se připojují další okresy Středočesk</w:t>
      </w:r>
      <w:r w:rsidRPr="00C24253">
        <w:rPr>
          <w:sz w:val="20"/>
          <w:szCs w:val="20"/>
        </w:rPr>
        <w:t>é</w:t>
      </w:r>
      <w:r w:rsidRPr="00C24253">
        <w:rPr>
          <w:sz w:val="20"/>
          <w:szCs w:val="20"/>
        </w:rPr>
        <w:t xml:space="preserve">ho kraje.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Jedná se ve všech případech o pr</w:t>
      </w:r>
      <w:r w:rsidRPr="00C24253">
        <w:rPr>
          <w:sz w:val="20"/>
          <w:szCs w:val="20"/>
        </w:rPr>
        <w:t>ů</w:t>
      </w:r>
      <w:r w:rsidR="00BA621E">
        <w:rPr>
          <w:sz w:val="20"/>
          <w:szCs w:val="20"/>
        </w:rPr>
        <w:t>myslové okresy, kde docházelo v </w:t>
      </w:r>
      <w:r w:rsidRPr="00C24253">
        <w:rPr>
          <w:sz w:val="20"/>
          <w:szCs w:val="20"/>
        </w:rPr>
        <w:t>minulosti k intenzivní investiční v</w:t>
      </w:r>
      <w:r w:rsidRPr="00C24253">
        <w:rPr>
          <w:sz w:val="20"/>
          <w:szCs w:val="20"/>
        </w:rPr>
        <w:t>ý</w:t>
      </w:r>
      <w:r w:rsidRPr="00C24253">
        <w:rPr>
          <w:sz w:val="20"/>
          <w:szCs w:val="20"/>
        </w:rPr>
        <w:t xml:space="preserve">stavbě a také k výraznější migraci obyvatel.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 xml:space="preserve">Nejnižší religiozita, se stále klesající trendem, je v oblasti Mostecka, kde nedosahuje ani jedné desetiny všech obyvatel.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lastRenderedPageBreak/>
        <w:t xml:space="preserve">Naopak tradičním územním celkem s nejvyšší religiozitou je prakticky celá východní Morava, ke které se připojují některé části Vysočiny. </w:t>
      </w:r>
    </w:p>
    <w:p w:rsidR="00237F88" w:rsidRDefault="00237F88" w:rsidP="00237F88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t>Dlouhodobě nejvyšší religiozita, ale rovněž se stále se snižujícím podílem, je v  okrese Uherské Hradiště, kde se jako u jediného v republice blíží ještě téměř k polovině všech obyvatel. K němu se pak řadí i sousední Hodonín a směrem na sever okresy Zlín a Vsetín. Z Vysočiny to pak je ze</w:t>
      </w:r>
      <w:r w:rsidR="00BA621E">
        <w:rPr>
          <w:sz w:val="20"/>
          <w:szCs w:val="20"/>
        </w:rPr>
        <w:t>jména okres Žďár nad Sázavou. U </w:t>
      </w:r>
      <w:r w:rsidRPr="00C24253">
        <w:rPr>
          <w:sz w:val="20"/>
          <w:szCs w:val="20"/>
        </w:rPr>
        <w:t>všech jmenovaných okresů přitom podíl věřících mírně překračuje jednu třetinu všech obyvatel.</w:t>
      </w:r>
    </w:p>
    <w:p w:rsidR="004F004E" w:rsidRPr="00C24253" w:rsidRDefault="00CF224D" w:rsidP="004F004E">
      <w:pPr>
        <w:spacing w:after="360"/>
        <w:rPr>
          <w:sz w:val="20"/>
          <w:szCs w:val="20"/>
        </w:rPr>
      </w:pPr>
      <w:r w:rsidRPr="00E946DF">
        <w:rPr>
          <w:sz w:val="20"/>
          <w:szCs w:val="20"/>
        </w:rPr>
        <w:fldChar w:fldCharType="begin"/>
      </w:r>
      <w:r w:rsidR="00485FDE" w:rsidRPr="00E946DF">
        <w:rPr>
          <w:sz w:val="20"/>
          <w:szCs w:val="20"/>
        </w:rPr>
        <w:instrText xml:space="preserve"> LINK Excel.Sheet.8 "D:\\RŮŽKOVÁ\\ALLSČÍTÁNÍ LIDU - VŠE O sl\\PRAMENNÉ dílo\\A KOMPLETACE PD\\1306náboženství.xlsm!List3![1306náboženství.xlsm]List3 Graf 1" "" \a \p \* MERGEFORMAT </w:instrText>
      </w:r>
      <w:r w:rsidRPr="00E946DF">
        <w:rPr>
          <w:sz w:val="20"/>
          <w:szCs w:val="20"/>
        </w:rPr>
        <w:fldChar w:fldCharType="separate"/>
      </w:r>
      <w:r w:rsidR="006817B9" w:rsidRPr="00CF224D">
        <w:rPr>
          <w:sz w:val="20"/>
          <w:szCs w:val="20"/>
        </w:rPr>
        <w:object w:dxaOrig="8235" w:dyaOrig="6705">
          <v:shape id="_x0000_i1027" type="#_x0000_t75" style="width:411.75pt;height:335.25pt">
            <v:imagedata r:id="rId11" o:title=""/>
          </v:shape>
        </w:object>
      </w:r>
      <w:r w:rsidRPr="00E946DF">
        <w:rPr>
          <w:sz w:val="20"/>
          <w:szCs w:val="20"/>
        </w:rPr>
        <w:fldChar w:fldCharType="end"/>
      </w:r>
    </w:p>
    <w:p w:rsidR="00237F88" w:rsidRPr="00C24253" w:rsidRDefault="00237F88" w:rsidP="00237F88">
      <w:pPr>
        <w:spacing w:after="120"/>
        <w:rPr>
          <w:b/>
          <w:sz w:val="20"/>
          <w:szCs w:val="20"/>
        </w:rPr>
      </w:pPr>
      <w:r w:rsidRPr="00C24253">
        <w:rPr>
          <w:sz w:val="20"/>
          <w:szCs w:val="20"/>
        </w:rPr>
        <w:t>V územní diferenciaci se objevil i jeden nový poznatek související se zjišťováním samostatné kategorie „V</w:t>
      </w:r>
      <w:r w:rsidRPr="00C24253">
        <w:rPr>
          <w:sz w:val="20"/>
          <w:szCs w:val="20"/>
        </w:rPr>
        <w:t>ě</w:t>
      </w:r>
      <w:r w:rsidRPr="00C24253">
        <w:rPr>
          <w:sz w:val="20"/>
          <w:szCs w:val="20"/>
        </w:rPr>
        <w:t>řící, nehlásící se k církvi, náboženské společnosti“. Výše prezentovaná územní diferenciace na ose západ - východ je vázaná jednoznačně na věřící s vazbami na církevní instituce, konkrétněji na Církev římskokat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>lickou. Neplatí to však pro kategorii věřících, nehlásících se k církvi.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Proti předcházejícím sčítáním se snížila přímá úměra, která existuje mezi výší religiozity a velikostní kateg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 xml:space="preserve">rií obcí, kde má sčítaná osoba pobyt. I když je religiozita nadále vyšší v menších, a především v nejmenších obcích, relativní úbytek věřících se vzrůstající velikostní kategorií obce už nebyl tak výrazný, jako tomu bylo v minulosti. </w:t>
      </w:r>
    </w:p>
    <w:p w:rsidR="00237F88" w:rsidRPr="00C24253" w:rsidRDefault="00237F88" w:rsidP="00237F88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Nejvyšší religiozita byla v nejmenších sídlech do 199 obyvatel, kde se p</w:t>
      </w:r>
      <w:r w:rsidR="00BA621E">
        <w:rPr>
          <w:sz w:val="20"/>
          <w:szCs w:val="20"/>
        </w:rPr>
        <w:t>ohybovala kolem čtvrtiny a </w:t>
      </w:r>
      <w:r w:rsidRPr="00C24253">
        <w:rPr>
          <w:sz w:val="20"/>
          <w:szCs w:val="20"/>
        </w:rPr>
        <w:t>v některých případech dosahovala téměř poloviny všech obyvatel. Pak se s mírným kolísáním postupně snižovala, přičemž od skupiny měst s více než deseti tisíci obyvateli již klesla pod jednu pětinu. Důvody t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 xml:space="preserve">hoto stavu jsou stále stejné, připomenout lze zejména větší počty obyvatel ve vyšších věkových kategoriích v menších sídlech. </w:t>
      </w:r>
    </w:p>
    <w:sectPr w:rsidR="00237F88" w:rsidRPr="00C24253" w:rsidSect="00FC6FDC">
      <w:footerReference w:type="even" r:id="rId12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A1" w:rsidRDefault="006875A1">
      <w:r>
        <w:separator/>
      </w:r>
    </w:p>
    <w:p w:rsidR="006875A1" w:rsidRDefault="006875A1"/>
  </w:endnote>
  <w:endnote w:type="continuationSeparator" w:id="0">
    <w:p w:rsidR="006875A1" w:rsidRDefault="006875A1">
      <w:r>
        <w:continuationSeparator/>
      </w:r>
    </w:p>
    <w:p w:rsidR="006875A1" w:rsidRDefault="006875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CF22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A1" w:rsidRDefault="006875A1">
      <w:r>
        <w:separator/>
      </w:r>
    </w:p>
    <w:p w:rsidR="006875A1" w:rsidRDefault="006875A1"/>
  </w:footnote>
  <w:footnote w:type="continuationSeparator" w:id="0">
    <w:p w:rsidR="006875A1" w:rsidRDefault="006875A1">
      <w:r>
        <w:continuationSeparator/>
      </w:r>
    </w:p>
    <w:p w:rsidR="006875A1" w:rsidRDefault="006875A1"/>
  </w:footnote>
  <w:footnote w:id="1">
    <w:p w:rsidR="00D055C3" w:rsidRDefault="00D055C3" w:rsidP="00237F88">
      <w:pPr>
        <w:pStyle w:val="Textpoznpodarou"/>
        <w:spacing w:after="60"/>
        <w:rPr>
          <w:i w:val="0"/>
          <w:szCs w:val="18"/>
        </w:rPr>
      </w:pPr>
      <w:r w:rsidRPr="00362CBB">
        <w:rPr>
          <w:rStyle w:val="Znakapoznpodarou"/>
          <w:i w:val="0"/>
          <w:szCs w:val="18"/>
        </w:rPr>
        <w:footnoteRef/>
      </w:r>
      <w:r w:rsidRPr="00362CBB">
        <w:rPr>
          <w:i w:val="0"/>
          <w:szCs w:val="18"/>
        </w:rPr>
        <w:t xml:space="preserve"> V tomto počtu jsou zahrnutí obyvatelé, kteří uvedli</w:t>
      </w:r>
      <w:r>
        <w:rPr>
          <w:i w:val="0"/>
          <w:szCs w:val="18"/>
        </w:rPr>
        <w:t>,</w:t>
      </w:r>
      <w:r w:rsidRPr="00362CBB">
        <w:rPr>
          <w:i w:val="0"/>
          <w:szCs w:val="18"/>
        </w:rPr>
        <w:t xml:space="preserve"> že jsou věřící, avšak nemusí se vž</w:t>
      </w:r>
      <w:r>
        <w:rPr>
          <w:i w:val="0"/>
          <w:szCs w:val="18"/>
        </w:rPr>
        <w:t>d</w:t>
      </w:r>
      <w:r w:rsidRPr="00362CBB">
        <w:rPr>
          <w:i w:val="0"/>
          <w:szCs w:val="18"/>
        </w:rPr>
        <w:t xml:space="preserve">y jednat </w:t>
      </w:r>
      <w:r>
        <w:rPr>
          <w:i w:val="0"/>
          <w:szCs w:val="18"/>
        </w:rPr>
        <w:t>p</w:t>
      </w:r>
      <w:r w:rsidRPr="00362CBB">
        <w:rPr>
          <w:i w:val="0"/>
          <w:szCs w:val="18"/>
        </w:rPr>
        <w:t>ouze o víru v</w:t>
      </w:r>
      <w:r>
        <w:rPr>
          <w:i w:val="0"/>
          <w:szCs w:val="18"/>
        </w:rPr>
        <w:t> </w:t>
      </w:r>
      <w:r w:rsidRPr="00362CBB">
        <w:rPr>
          <w:i w:val="0"/>
          <w:szCs w:val="18"/>
        </w:rPr>
        <w:t>Boha</w:t>
      </w:r>
      <w:r>
        <w:rPr>
          <w:i w:val="0"/>
          <w:szCs w:val="18"/>
        </w:rPr>
        <w:t>.</w:t>
      </w:r>
    </w:p>
  </w:footnote>
  <w:footnote w:id="2">
    <w:p w:rsidR="00D055C3" w:rsidRPr="00362CBB" w:rsidRDefault="00D055C3" w:rsidP="00237F88">
      <w:pPr>
        <w:pStyle w:val="Textpoznpodarou"/>
        <w:rPr>
          <w:i w:val="0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62CBB">
        <w:rPr>
          <w:i w:val="0"/>
          <w:szCs w:val="18"/>
        </w:rPr>
        <w:t>Zde jsou zahrnuty případy, kdy osoba na sčítacím fo</w:t>
      </w:r>
      <w:r>
        <w:rPr>
          <w:i w:val="0"/>
          <w:szCs w:val="18"/>
        </w:rPr>
        <w:t>rmul</w:t>
      </w:r>
      <w:r w:rsidRPr="00362CBB">
        <w:rPr>
          <w:i w:val="0"/>
          <w:szCs w:val="18"/>
        </w:rPr>
        <w:t>áři zaznamenala volbu „nehlásící se k církvi, náboženské společnosti“ bez uvedení jakéhokoliv dalšího slovního zápisu. Pokud však byl slovní zápis</w:t>
      </w:r>
      <w:r>
        <w:rPr>
          <w:i w:val="0"/>
          <w:szCs w:val="18"/>
        </w:rPr>
        <w:t>,</w:t>
      </w:r>
      <w:r w:rsidRPr="00362CBB">
        <w:rPr>
          <w:i w:val="0"/>
          <w:szCs w:val="18"/>
        </w:rPr>
        <w:t xml:space="preserve"> upřesňující o jakou víru se jedná uveden, pak byl takový</w:t>
      </w:r>
      <w:r>
        <w:rPr>
          <w:i w:val="0"/>
          <w:szCs w:val="18"/>
        </w:rPr>
        <w:t xml:space="preserve">to </w:t>
      </w:r>
      <w:r w:rsidRPr="00362CBB">
        <w:rPr>
          <w:i w:val="0"/>
          <w:szCs w:val="18"/>
        </w:rPr>
        <w:t>zápis k</w:t>
      </w:r>
      <w:r>
        <w:rPr>
          <w:i w:val="0"/>
          <w:szCs w:val="18"/>
        </w:rPr>
        <w:t>ó</w:t>
      </w:r>
      <w:r w:rsidRPr="00362CBB">
        <w:rPr>
          <w:i w:val="0"/>
          <w:szCs w:val="18"/>
        </w:rPr>
        <w:t>dován podle stanovených číselníků a volba „nehlásící se“ se změnila na „hlásící se k církvi, náboženské společ</w:t>
      </w:r>
      <w:r>
        <w:rPr>
          <w:i w:val="0"/>
          <w:szCs w:val="18"/>
        </w:rPr>
        <w:t>nosti</w:t>
      </w:r>
      <w:r w:rsidRPr="00362CBB">
        <w:rPr>
          <w:i w:val="0"/>
          <w:szCs w:val="18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13435E"/>
    <w:multiLevelType w:val="multilevel"/>
    <w:tmpl w:val="6B68D7D4"/>
    <w:lvl w:ilvl="0">
      <w:start w:val="10"/>
      <w:numFmt w:val="decimal"/>
      <w:pStyle w:val="Dilonadpis1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E1A6B"/>
    <w:multiLevelType w:val="multilevel"/>
    <w:tmpl w:val="2C401CCC"/>
    <w:numStyleLink w:val="Styl8"/>
  </w:abstractNum>
  <w:abstractNum w:abstractNumId="4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pStyle w:val="Nadpis3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9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6"/>
  </w:num>
  <w:num w:numId="9">
    <w:abstractNumId w:val="12"/>
  </w:num>
  <w:num w:numId="10">
    <w:abstractNumId w:val="2"/>
  </w:num>
  <w:num w:numId="11">
    <w:abstractNumId w:val="21"/>
  </w:num>
  <w:num w:numId="12">
    <w:abstractNumId w:val="15"/>
  </w:num>
  <w:num w:numId="13">
    <w:abstractNumId w:val="19"/>
  </w:num>
  <w:num w:numId="14">
    <w:abstractNumId w:val="3"/>
  </w:num>
  <w:num w:numId="15">
    <w:abstractNumId w:val="9"/>
  </w:num>
  <w:num w:numId="16">
    <w:abstractNumId w:val="20"/>
  </w:num>
  <w:num w:numId="17">
    <w:abstractNumId w:val="29"/>
  </w:num>
  <w:num w:numId="18">
    <w:abstractNumId w:val="33"/>
  </w:num>
  <w:num w:numId="19">
    <w:abstractNumId w:val="35"/>
  </w:num>
  <w:num w:numId="20">
    <w:abstractNumId w:val="0"/>
  </w:num>
  <w:num w:numId="21">
    <w:abstractNumId w:val="28"/>
  </w:num>
  <w:num w:numId="22">
    <w:abstractNumId w:val="4"/>
  </w:num>
  <w:num w:numId="23">
    <w:abstractNumId w:val="25"/>
  </w:num>
  <w:num w:numId="24">
    <w:abstractNumId w:val="27"/>
  </w:num>
  <w:num w:numId="25">
    <w:abstractNumId w:val="11"/>
  </w:num>
  <w:num w:numId="26">
    <w:abstractNumId w:val="31"/>
  </w:num>
  <w:num w:numId="27">
    <w:abstractNumId w:val="16"/>
  </w:num>
  <w:num w:numId="28">
    <w:abstractNumId w:val="24"/>
  </w:num>
  <w:num w:numId="29">
    <w:abstractNumId w:val="22"/>
  </w:num>
  <w:num w:numId="30">
    <w:abstractNumId w:val="13"/>
  </w:num>
  <w:num w:numId="31">
    <w:abstractNumId w:val="5"/>
  </w:num>
  <w:num w:numId="32">
    <w:abstractNumId w:val="26"/>
  </w:num>
  <w:num w:numId="33">
    <w:abstractNumId w:val="31"/>
    <w:lvlOverride w:ilvl="0">
      <w:startOverride w:val="3"/>
    </w:lvlOverride>
    <w:lvlOverride w:ilvl="1">
      <w:startOverride w:val="1"/>
    </w:lvlOverride>
  </w:num>
  <w:num w:numId="34">
    <w:abstractNumId w:val="31"/>
    <w:lvlOverride w:ilvl="0">
      <w:startOverride w:val="4"/>
    </w:lvlOverride>
    <w:lvlOverride w:ilvl="1">
      <w:startOverride w:val="1"/>
    </w:lvlOverride>
  </w:num>
  <w:num w:numId="35">
    <w:abstractNumId w:val="31"/>
    <w:lvlOverride w:ilvl="0">
      <w:startOverride w:val="5"/>
    </w:lvlOverride>
    <w:lvlOverride w:ilvl="1">
      <w:startOverride w:val="1"/>
    </w:lvlOverride>
  </w:num>
  <w:num w:numId="36">
    <w:abstractNumId w:val="31"/>
    <w:lvlOverride w:ilvl="0">
      <w:startOverride w:val="6"/>
    </w:lvlOverride>
    <w:lvlOverride w:ilvl="1">
      <w:startOverride w:val="1"/>
    </w:lvlOverride>
  </w:num>
  <w:num w:numId="37">
    <w:abstractNumId w:val="31"/>
    <w:lvlOverride w:ilvl="0">
      <w:startOverride w:val="9"/>
    </w:lvlOverride>
    <w:lvlOverride w:ilvl="1">
      <w:startOverride w:val="1"/>
    </w:lvlOverride>
  </w:num>
  <w:num w:numId="38">
    <w:abstractNumId w:val="31"/>
    <w:lvlOverride w:ilvl="0">
      <w:startOverride w:val="13"/>
    </w:lvlOverride>
    <w:lvlOverride w:ilvl="1">
      <w:startOverride w:val="1"/>
    </w:lvlOverride>
  </w:num>
  <w:num w:numId="39">
    <w:abstractNumId w:val="31"/>
    <w:lvlOverride w:ilvl="0">
      <w:startOverride w:val="15"/>
    </w:lvlOverride>
    <w:lvlOverride w:ilvl="1">
      <w:startOverride w:val="1"/>
    </w:lvlOverride>
  </w:num>
  <w:num w:numId="40">
    <w:abstractNumId w:val="23"/>
  </w:num>
  <w:num w:numId="41">
    <w:abstractNumId w:val="30"/>
  </w:num>
  <w:num w:numId="42">
    <w:abstractNumId w:val="7"/>
  </w:num>
  <w:num w:numId="43">
    <w:abstractNumId w:val="31"/>
    <w:lvlOverride w:ilvl="0">
      <w:startOverride w:val="1"/>
    </w:lvlOverride>
    <w:lvlOverride w:ilvl="1">
      <w:startOverride w:val="1"/>
    </w:lvlOverride>
  </w:num>
  <w:num w:numId="44">
    <w:abstractNumId w:val="31"/>
    <w:lvlOverride w:ilvl="0">
      <w:startOverride w:val="10"/>
    </w:lvlOverride>
    <w:lvlOverride w:ilvl="1">
      <w:startOverride w:val="1"/>
    </w:lvlOverride>
  </w:num>
  <w:num w:numId="45">
    <w:abstractNumId w:val="31"/>
    <w:lvlOverride w:ilvl="0">
      <w:startOverride w:val="11"/>
    </w:lvlOverride>
    <w:lvlOverride w:ilvl="1">
      <w:startOverride w:val="1"/>
    </w:lvlOverride>
  </w:num>
  <w:num w:numId="46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4A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1499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17B9"/>
    <w:rsid w:val="00687020"/>
    <w:rsid w:val="006875A1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224D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FB2B79"/>
    <w:pPr>
      <w:numPr>
        <w:numId w:val="32"/>
      </w:numPr>
      <w:ind w:left="720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4A014A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4A014A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4407-A72C-41A8-834C-925301FF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2795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19248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3</cp:revision>
  <cp:lastPrinted>2013-11-12T07:39:00Z</cp:lastPrinted>
  <dcterms:created xsi:type="dcterms:W3CDTF">2013-11-14T09:04:00Z</dcterms:created>
  <dcterms:modified xsi:type="dcterms:W3CDTF">2013-11-18T11:46:00Z</dcterms:modified>
</cp:coreProperties>
</file>