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2" w:rsidRPr="00C24253" w:rsidRDefault="00EF0C32" w:rsidP="00E473CC">
      <w:pPr>
        <w:pStyle w:val="Dilonadpis1"/>
      </w:pPr>
      <w:bookmarkStart w:id="0" w:name="_Toc371588145"/>
      <w:r w:rsidRPr="00C24253">
        <w:t>CIZINCI</w:t>
      </w:r>
      <w:bookmarkEnd w:id="0"/>
      <w:r w:rsidRPr="00C24253">
        <w:t xml:space="preserve"> </w:t>
      </w: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Státní občanství se zjišťovalo ve všech sčítáních, avšak věcně srovnatelné jsou pouze výsledky sčítání 2001 a 2011. I když se občanství (dříve formulováno též jako státní příslušnost) uvádělo na sčítacím formuláři většinou slovně, zpracování bylo v minulosti velmi zjednodušené. Např. v roce 1991 byly kódovány a publ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kovány pouhé tři skupiny – občanství ČR, SR a jiné státní občanství. Počet cizinců byl na území republiky zcela bezvýznamný a členění na Českou republiku a Slovenskou republiku v době existence federativního uspořádání státu sloužilo především pro zpracování výstupů v územním republikovém členění.</w:t>
      </w: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Teprve po roce 1989 začala kategorie cizinců nabývat postupně na významu a po vstupu České republiky do Evropské unie se počet cizinců žijících dlouhodobě na našem území začal dynamičtěji zvyšovat a měnily se postupně i důvody pobytu cizinců na našem území. V roce 1991 byli ještě do počtu obyvatel zahrnuti cizinci pouze v případě, že měli na našem území trvalý pobyt. Většinou šlo o rodinné příslušníky – osoby, které uzavřely manželství s občanem ČR, příp. jejich děti. Ve sčítání 2001 byli do počtu obyvatel zahrnuti už i cizinci s povolením k dlouhodobému (přechodnému) pobytu. Byly tak získány první údaje o pracovní migr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ci, kdy cílovou zemí se stala Česká republika. Po vstupu do </w:t>
      </w:r>
      <w:proofErr w:type="spellStart"/>
      <w:r w:rsidRPr="00C24253">
        <w:rPr>
          <w:rFonts w:cs="Arial"/>
          <w:sz w:val="20"/>
          <w:szCs w:val="20"/>
        </w:rPr>
        <w:t>schengenského</w:t>
      </w:r>
      <w:proofErr w:type="spellEnd"/>
      <w:r w:rsidRPr="00C24253">
        <w:rPr>
          <w:rFonts w:cs="Arial"/>
          <w:sz w:val="20"/>
          <w:szCs w:val="20"/>
        </w:rPr>
        <w:t xml:space="preserve"> prostoru došlo v této oblasti k dalšímu rozvoji. V roce 2011, kdy byl poprvé uplatněn koncept obvykle bydlícího obyvatelstva, patřili do celkového počtu obyvatel navíc ještě cizinci bez povolení k pobytu, pokud splnili podmínky pro zahrnutí do obvykle bydlícího obyvatelstva. </w:t>
      </w: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 Z uvedených důvodů je srovnání absolutních údajů v čase problematické a hodnocení vývoje mezi sčítáními 2001 a 2011 je omezeno. Ale i v samotných datech sčítání 2011 jsou jisté limitující faktory. Zejména je to skutečnost, že ve skupině cizinců ve srovnání s majoritní skupinou občanů ČR bylo vyšší zastoupení osob, které nevyplnily osobně sčítací formulář a byly zařazeny do sčítání díky administrativnímu zdroji </w:t>
      </w:r>
      <w:r w:rsidRPr="00C812AF">
        <w:rPr>
          <w:rFonts w:cs="Arial"/>
          <w:sz w:val="20"/>
          <w:szCs w:val="20"/>
        </w:rPr>
        <w:t>– Informa</w:t>
      </w:r>
      <w:r w:rsidRPr="00C812AF">
        <w:rPr>
          <w:rFonts w:cs="Arial"/>
          <w:sz w:val="20"/>
          <w:szCs w:val="20"/>
        </w:rPr>
        <w:t>č</w:t>
      </w:r>
      <w:r w:rsidRPr="00C812AF">
        <w:rPr>
          <w:rFonts w:cs="Arial"/>
          <w:sz w:val="20"/>
          <w:szCs w:val="20"/>
        </w:rPr>
        <w:t>nímu systému evidence obyvatel, což ve svém důsledku znamenalo, že u řady charakteristik byla významně vyšší míra nezjištěných odpovědí.</w:t>
      </w: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Neměnná v čase byla definice cizince: cizincem ve sčítání byla osoba, která neměla státní občanství České republiky, ale měla občanství jiného státu. Občané s dvojím občanstvím, z nichž jedno bylo ČR, nebyli pov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žováni za cizince. </w:t>
      </w:r>
    </w:p>
    <w:p w:rsidR="00EF0C32" w:rsidRPr="00C24253" w:rsidRDefault="00EF0C32" w:rsidP="00E473CC">
      <w:pPr>
        <w:pStyle w:val="Nadpis3"/>
      </w:pPr>
      <w:bookmarkStart w:id="1" w:name="_Toc369860032"/>
      <w:bookmarkStart w:id="2" w:name="_Toc371588146"/>
      <w:r w:rsidRPr="00C24253">
        <w:t>Vývoj počtu cizinců</w:t>
      </w:r>
      <w:bookmarkEnd w:id="1"/>
      <w:bookmarkEnd w:id="2"/>
      <w:r w:rsidRPr="00C24253">
        <w:t xml:space="preserve"> </w:t>
      </w: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České republice žilo k 26.</w:t>
      </w:r>
      <w:r w:rsidR="00F4171E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3.</w:t>
      </w:r>
      <w:r w:rsidR="00F4171E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 xml:space="preserve">2011 celkem </w:t>
      </w:r>
      <w:r w:rsidRPr="00C24253">
        <w:rPr>
          <w:rFonts w:cs="Arial"/>
          <w:b/>
          <w:sz w:val="20"/>
          <w:szCs w:val="20"/>
        </w:rPr>
        <w:t xml:space="preserve">422 276 cizinců </w:t>
      </w:r>
      <w:r w:rsidRPr="00C24253">
        <w:rPr>
          <w:rFonts w:cs="Arial"/>
          <w:sz w:val="20"/>
          <w:szCs w:val="20"/>
        </w:rPr>
        <w:t>s obvyklým pobytem. Nejvíce jich pocházelo z Evropy – celkem 320 924 osob, druhou nejpočetnější skupinu tvořili obča</w:t>
      </w:r>
      <w:r w:rsidR="00A96EA8">
        <w:rPr>
          <w:rFonts w:cs="Arial"/>
          <w:sz w:val="20"/>
          <w:szCs w:val="20"/>
        </w:rPr>
        <w:t>né ze zemí Asie – celkem 85 880 </w:t>
      </w:r>
      <w:r w:rsidRPr="00C24253">
        <w:rPr>
          <w:rFonts w:cs="Arial"/>
          <w:sz w:val="20"/>
          <w:szCs w:val="20"/>
        </w:rPr>
        <w:t>osob.</w:t>
      </w:r>
    </w:p>
    <w:p w:rsidR="00EF0C32" w:rsidRPr="00C24253" w:rsidRDefault="00EF0C32" w:rsidP="00EF0C32">
      <w:pPr>
        <w:spacing w:after="36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Zatímco v roce 1991 tvořili cizinci s trvalým pobytem 0,5 % populace (bez občanů Slovenské republiky, kteří by bývali tvořili dalších 1,6 %), v roce 2001 byl zaznamenán podíl trvale a d</w:t>
      </w:r>
      <w:r w:rsidR="00A96EA8">
        <w:rPr>
          <w:rFonts w:cs="Arial"/>
          <w:sz w:val="20"/>
          <w:szCs w:val="20"/>
        </w:rPr>
        <w:t>louhodobě bydlících cizinců 1,2 </w:t>
      </w:r>
      <w:r w:rsidRPr="00C24253">
        <w:rPr>
          <w:rFonts w:cs="Arial"/>
          <w:sz w:val="20"/>
          <w:szCs w:val="20"/>
        </w:rPr>
        <w:t>% a v roce 2011 cizinci s obvyklým pobytem dosáhli již 4 % počtu obyvatel.</w:t>
      </w:r>
      <w:r w:rsidRPr="00C24253">
        <w:rPr>
          <w:sz w:val="20"/>
          <w:szCs w:val="20"/>
        </w:rPr>
        <w:t xml:space="preserve"> </w:t>
      </w:r>
    </w:p>
    <w:tbl>
      <w:tblPr>
        <w:tblW w:w="7879" w:type="dxa"/>
        <w:jc w:val="center"/>
        <w:tblCellMar>
          <w:left w:w="70" w:type="dxa"/>
          <w:right w:w="70" w:type="dxa"/>
        </w:tblCellMar>
        <w:tblLook w:val="04A0"/>
      </w:tblPr>
      <w:tblGrid>
        <w:gridCol w:w="1417"/>
        <w:gridCol w:w="1077"/>
        <w:gridCol w:w="1077"/>
        <w:gridCol w:w="1077"/>
        <w:gridCol w:w="1077"/>
        <w:gridCol w:w="1077"/>
        <w:gridCol w:w="1077"/>
      </w:tblGrid>
      <w:tr w:rsidR="00EF0C32" w:rsidRPr="00C24253" w:rsidTr="00EF0C32">
        <w:trPr>
          <w:trHeight w:val="283"/>
          <w:jc w:val="center"/>
        </w:trPr>
        <w:tc>
          <w:tcPr>
            <w:tcW w:w="78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EF0C32">
            <w:pPr>
              <w:spacing w:after="120"/>
              <w:rPr>
                <w:b/>
                <w:sz w:val="16"/>
                <w:szCs w:val="16"/>
              </w:rPr>
            </w:pPr>
            <w:r w:rsidRPr="00C24253">
              <w:rPr>
                <w:b/>
                <w:sz w:val="20"/>
                <w:szCs w:val="20"/>
              </w:rPr>
              <w:t>Cizinci podle vybraných státních občanství v letech 2001 a 2011</w:t>
            </w: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EF0C3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Státní občanství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EF0C32" w:rsidRPr="00C24253" w:rsidTr="00EF0C32">
        <w:trPr>
          <w:trHeight w:val="34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EF0C3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Počet </w:t>
            </w:r>
          </w:p>
          <w:p w:rsidR="00EF0C32" w:rsidRPr="00C24253" w:rsidRDefault="00EF0C32" w:rsidP="00EF0C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</w:t>
            </w:r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(%)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Počet </w:t>
            </w:r>
          </w:p>
          <w:p w:rsidR="00EF0C32" w:rsidRPr="00C24253" w:rsidRDefault="00EF0C32" w:rsidP="00EF0C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(%)</w:t>
            </w:r>
          </w:p>
        </w:tc>
      </w:tr>
      <w:tr w:rsidR="00EF0C32" w:rsidRPr="00C24253" w:rsidTr="00EF0C32">
        <w:trPr>
          <w:trHeight w:val="454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EF0C3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počtu</w:t>
            </w:r>
          </w:p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z počtu </w:t>
            </w:r>
          </w:p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cizinců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počtu</w:t>
            </w:r>
          </w:p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počtu</w:t>
            </w:r>
          </w:p>
          <w:p w:rsidR="00EF0C32" w:rsidRPr="00C24253" w:rsidRDefault="00EF0C32" w:rsidP="00EF0C3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cizinců</w:t>
            </w:r>
          </w:p>
        </w:tc>
      </w:tr>
      <w:tr w:rsidR="00EF0C32" w:rsidRPr="00C24253" w:rsidTr="004F1401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EF0C3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Cizinci celkem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124 668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422 276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EF0C32" w:rsidRPr="00C24253" w:rsidTr="004F1401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8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20 628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116 139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27,5</w:t>
            </w: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24 201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82 251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19,5</w:t>
            </w: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ind w:left="113"/>
              <w:jc w:val="left"/>
              <w:rPr>
                <w:rFonts w:cs="Arial"/>
                <w:iCs/>
                <w:sz w:val="16"/>
                <w:szCs w:val="16"/>
              </w:rPr>
            </w:pPr>
            <w:r w:rsidRPr="00C24253">
              <w:rPr>
                <w:rFonts w:cs="Arial"/>
                <w:iCs/>
                <w:sz w:val="16"/>
                <w:szCs w:val="16"/>
              </w:rPr>
              <w:t>Vietnam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18 210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52 612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12,5</w:t>
            </w: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2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7 696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31 545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7,5</w:t>
            </w: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13 350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16 800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</w:tr>
      <w:tr w:rsidR="00EF0C32" w:rsidRPr="00C24253" w:rsidTr="00EF0C32">
        <w:trPr>
          <w:trHeight w:val="28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EF0C32" w:rsidRPr="00C24253" w:rsidRDefault="00EF0C32" w:rsidP="004F140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3 438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14 907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</w:tr>
    </w:tbl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Největší skupinu cizinců tvořili v minulosti občané Slovenska. Po rozpadu federace a osamostatnění obou republik se počty osob s občanstvím Slovenské republiky radikálně snížily </w:t>
      </w:r>
      <w:proofErr w:type="gramStart"/>
      <w:r w:rsidRPr="00C24253">
        <w:rPr>
          <w:rFonts w:cs="Arial"/>
          <w:sz w:val="20"/>
          <w:szCs w:val="20"/>
        </w:rPr>
        <w:t>ze</w:t>
      </w:r>
      <w:proofErr w:type="gramEnd"/>
      <w:r w:rsidRPr="00C24253">
        <w:rPr>
          <w:rFonts w:cs="Arial"/>
          <w:sz w:val="20"/>
          <w:szCs w:val="20"/>
        </w:rPr>
        <w:t xml:space="preserve"> 166 363 osob v roce 1991 na 24 201 osob v roce 2001. Tento velký pokles byl způsoben mimo jiné tím, že velký počet občanů Slovenské </w:t>
      </w:r>
      <w:r w:rsidRPr="00C24253">
        <w:rPr>
          <w:rFonts w:cs="Arial"/>
          <w:sz w:val="20"/>
          <w:szCs w:val="20"/>
        </w:rPr>
        <w:lastRenderedPageBreak/>
        <w:t>republiky nabyl po roce 1993 české státní občanství</w:t>
      </w:r>
      <w:r w:rsidRPr="00C24253">
        <w:rPr>
          <w:rStyle w:val="Znakapoznpodarou"/>
          <w:rFonts w:cs="Arial"/>
          <w:sz w:val="20"/>
          <w:szCs w:val="20"/>
        </w:rPr>
        <w:footnoteReference w:id="1"/>
      </w:r>
      <w:r w:rsidRPr="00C24253">
        <w:rPr>
          <w:rFonts w:cs="Arial"/>
          <w:sz w:val="20"/>
          <w:szCs w:val="20"/>
        </w:rPr>
        <w:t xml:space="preserve">. V období 2001 – 2011 došlo opět k růstu, přesto ale tvořili občané Slovenské republiky až druhou skupinu cizinců v pořadí podle absolutního počtu po Ukrajině. </w:t>
      </w:r>
    </w:p>
    <w:p w:rsidR="00EF0C32" w:rsidRPr="00C24253" w:rsidRDefault="00EF0C32" w:rsidP="00EF0C3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Počet občanů Ukrajiny vzrostl za deset let nejdynamičtěji (téměř šestkrát) a stali se tak nejpočetnější skup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 xml:space="preserve">nou cizinců v roce 2011. Následováni byli občany Slovenska, Vietnamu, Ruska, Polska a Německa. </w:t>
      </w:r>
      <w:r w:rsidR="001B7ED8">
        <w:rPr>
          <w:rFonts w:cs="Arial"/>
          <w:sz w:val="20"/>
          <w:szCs w:val="20"/>
        </w:rPr>
        <w:t>Počet cizinců</w:t>
      </w:r>
      <w:r w:rsidRPr="00C24253">
        <w:rPr>
          <w:rFonts w:cs="Arial"/>
          <w:sz w:val="20"/>
          <w:szCs w:val="20"/>
        </w:rPr>
        <w:t xml:space="preserve"> ostatních státních příslušností nepřekročil hranici 10 tisíc osob. </w:t>
      </w:r>
    </w:p>
    <w:p w:rsidR="00EF0C32" w:rsidRPr="00C24253" w:rsidRDefault="00EF0C32" w:rsidP="00E473CC">
      <w:pPr>
        <w:pStyle w:val="Nadpis3"/>
      </w:pPr>
      <w:bookmarkStart w:id="3" w:name="_Toc371588147"/>
      <w:r w:rsidRPr="00C24253">
        <w:t>Základní charakteristiky cizinců v roce 2011</w:t>
      </w:r>
      <w:bookmarkEnd w:id="3"/>
    </w:p>
    <w:p w:rsidR="00EF0C32" w:rsidRPr="00C24253" w:rsidRDefault="00EF0C32" w:rsidP="00EF0C32">
      <w:pPr>
        <w:pStyle w:val="odrkyzlevaodsazeno0"/>
        <w:numPr>
          <w:ilvl w:val="0"/>
          <w:numId w:val="0"/>
        </w:numPr>
      </w:pPr>
      <w:r w:rsidRPr="00C24253">
        <w:rPr>
          <w:b/>
        </w:rPr>
        <w:t>Více než polovinu všech cizinců tvořily osoby s tzv. dlouhodobým pobytem</w:t>
      </w:r>
      <w:r w:rsidRPr="00C24253">
        <w:t xml:space="preserve"> (227 222 osob), tedy s přechodným pobytem na základě dlouhodobého víza či povolení k dlou</w:t>
      </w:r>
      <w:r w:rsidR="00A96EA8">
        <w:t>hodobému pobytu nebo povolení k </w:t>
      </w:r>
      <w:r w:rsidRPr="00C24253">
        <w:t>přechodnému pobytu, přičemž rozhodující byla délka pobytu nad 90 dnů. Více než třetina připadla na os</w:t>
      </w:r>
      <w:r w:rsidRPr="00C24253">
        <w:t>o</w:t>
      </w:r>
      <w:r w:rsidRPr="00C24253">
        <w:t xml:space="preserve">by s trvalým pobytem (146 388 osob) a více než desetina cizinců (48 666 osob) žila k datu sčítání na našem území bez registrovaného pobytu – většinou to byli občané signatářských států </w:t>
      </w:r>
      <w:proofErr w:type="spellStart"/>
      <w:r w:rsidRPr="00C24253">
        <w:t>Schengenské</w:t>
      </w:r>
      <w:proofErr w:type="spellEnd"/>
      <w:r w:rsidRPr="00C24253">
        <w:t xml:space="preserve"> smlouvy, pro něž platí volný pohyb osob na území Evropské unie.</w:t>
      </w:r>
    </w:p>
    <w:p w:rsidR="00EF0C32" w:rsidRPr="00C24253" w:rsidRDefault="00EF0C32" w:rsidP="00EF0C32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Polovina všech cizinců žila ve městech se 100 000 a více obyvateli. Téměř čtvrtina ve městech o velikosti 10</w:t>
      </w:r>
      <w:r w:rsidR="00F4171E" w:rsidRPr="00C24253">
        <w:rPr>
          <w:sz w:val="20"/>
          <w:szCs w:val="20"/>
        </w:rPr>
        <w:t> </w:t>
      </w:r>
      <w:r w:rsidRPr="00C24253">
        <w:rPr>
          <w:sz w:val="20"/>
          <w:szCs w:val="20"/>
        </w:rPr>
        <w:t>000</w:t>
      </w:r>
      <w:r w:rsidR="00F4171E" w:rsidRPr="00C24253">
        <w:rPr>
          <w:sz w:val="20"/>
          <w:szCs w:val="20"/>
        </w:rPr>
        <w:t xml:space="preserve"> </w:t>
      </w:r>
      <w:r w:rsidRPr="00C24253">
        <w:rPr>
          <w:sz w:val="20"/>
          <w:szCs w:val="20"/>
        </w:rPr>
        <w:t>až 99 999 obyvatel. Mezi jednotlivými státními občanstvími byly ale značné rozdíly. Koncentrace cizinců do stotisícových a větších měst platila jednoznačně pro občany Ruska a Ukrajiny. Ostatní státní o</w:t>
      </w:r>
      <w:r w:rsidRPr="00C24253">
        <w:rPr>
          <w:sz w:val="20"/>
          <w:szCs w:val="20"/>
        </w:rPr>
        <w:t>b</w:t>
      </w:r>
      <w:r w:rsidRPr="00C24253">
        <w:rPr>
          <w:sz w:val="20"/>
          <w:szCs w:val="20"/>
        </w:rPr>
        <w:t>čanství tak vysokých podílů již nedosahovala. Občané Slovenska a Vietnamu byli rozmístěni z hlediska vel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 xml:space="preserve">kostních skupin obcí rovnoměrněji; i u nich převládalo bydliště v největších městech, ale i zastoupení obcí do 10 000 obyvatel překročilo čtvrtinu jejich počtu. Specifické rozmístění </w:t>
      </w:r>
      <w:r w:rsidR="00A96EA8">
        <w:rPr>
          <w:sz w:val="20"/>
          <w:szCs w:val="20"/>
        </w:rPr>
        <w:t>měli občané Německa a Polska, u </w:t>
      </w:r>
      <w:r w:rsidRPr="00C24253">
        <w:rPr>
          <w:sz w:val="20"/>
          <w:szCs w:val="20"/>
        </w:rPr>
        <w:t xml:space="preserve">kterých byly nadprůměrné podíly v malých resp. nejmenších obcích a naopak výrazně podprůměrné podíly v největších městech. </w:t>
      </w:r>
    </w:p>
    <w:p w:rsidR="00EF0C32" w:rsidRPr="00C24253" w:rsidRDefault="00EF0C32" w:rsidP="00452700">
      <w:pPr>
        <w:widowControl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Územní rozložení cizinců odpovídalo především důvodu pobytu těchto osob na našem území. V případě cizinců s trvalým pobytem bylo rozmístění rovnoměrnější, protože většinou souviselo s historicko-společenským vývojem konkrétní oblasti (např. občané Německa a Polska žijí častěji v krajích, které sousedí se zemí jejich původu). Cizinci s přechodným dlouhodobým pobytem - pobývající v ČR většinou z důvodů pracovních - byli soustředěni hlavně do center s pracovními příležitostmi. Např. občané Ukrajiny a Ruska žili převážně v Praze a Středočeském kraji, občané Vietnamu v krajích s mezinárodními dálničními tahy a da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>šími důležitými komunikacemi (kraj Ústecký, Karlovarský, Plzeňský) či občané Ruska v Karlovarském kraji (kulturní zázemí). Nejvíce cizinců však bylo v Praze a Středočeském kraji.</w:t>
      </w:r>
      <w:r w:rsidRPr="00C24253">
        <w:rPr>
          <w:rFonts w:cs="Arial"/>
          <w:noProof/>
          <w:sz w:val="20"/>
          <w:szCs w:val="20"/>
        </w:rPr>
        <w:t xml:space="preserve"> </w:t>
      </w:r>
    </w:p>
    <w:p w:rsidR="00EF0C32" w:rsidRPr="00C24253" w:rsidRDefault="00EF0C32" w:rsidP="00EF0C32">
      <w:pPr>
        <w:widowControl w:val="0"/>
        <w:spacing w:after="240"/>
        <w:rPr>
          <w:rFonts w:cs="Arial"/>
          <w:sz w:val="20"/>
          <w:szCs w:val="20"/>
        </w:rPr>
      </w:pPr>
      <w:r w:rsidRPr="00C24253">
        <w:rPr>
          <w:sz w:val="20"/>
          <w:szCs w:val="20"/>
        </w:rPr>
        <w:t xml:space="preserve">Z celkového počtu </w:t>
      </w:r>
      <w:r w:rsidRPr="00C24253">
        <w:rPr>
          <w:b/>
          <w:sz w:val="20"/>
          <w:szCs w:val="20"/>
        </w:rPr>
        <w:t>cizinců bylo 242 303 mužů</w:t>
      </w:r>
      <w:r w:rsidRPr="00C24253">
        <w:rPr>
          <w:sz w:val="20"/>
          <w:szCs w:val="20"/>
        </w:rPr>
        <w:t xml:space="preserve"> (tj. 57,4 %) a </w:t>
      </w:r>
      <w:r w:rsidRPr="00C24253">
        <w:rPr>
          <w:b/>
          <w:sz w:val="20"/>
          <w:szCs w:val="20"/>
        </w:rPr>
        <w:t>179 973 žen</w:t>
      </w:r>
      <w:r w:rsidRPr="00C24253">
        <w:rPr>
          <w:sz w:val="20"/>
          <w:szCs w:val="20"/>
        </w:rPr>
        <w:t xml:space="preserve"> (tj. 42,6 %). U jednotlivých stá</w:t>
      </w:r>
      <w:r w:rsidRPr="00C24253">
        <w:rPr>
          <w:sz w:val="20"/>
          <w:szCs w:val="20"/>
        </w:rPr>
        <w:t>t</w:t>
      </w:r>
      <w:r w:rsidRPr="00C24253">
        <w:rPr>
          <w:sz w:val="20"/>
          <w:szCs w:val="20"/>
        </w:rPr>
        <w:t>ních občanství byl poměr mezi muži a ženami rozdílný a rovněž souvisel s účelem pobytu na území republ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>ky. U občanů Ruska a Polska převažovaly mírně ženy, u občanů ze Slovenska, Ukrajiny, Vietnamu a N</w:t>
      </w:r>
      <w:r w:rsidRPr="00C24253">
        <w:rPr>
          <w:sz w:val="20"/>
          <w:szCs w:val="20"/>
        </w:rPr>
        <w:t>ě</w:t>
      </w:r>
      <w:r w:rsidRPr="00C24253">
        <w:rPr>
          <w:sz w:val="20"/>
          <w:szCs w:val="20"/>
        </w:rPr>
        <w:t>mecka</w:t>
      </w:r>
      <w:r w:rsidRPr="00C24253">
        <w:rPr>
          <w:rFonts w:cs="Arial"/>
          <w:sz w:val="20"/>
          <w:szCs w:val="20"/>
        </w:rPr>
        <w:t xml:space="preserve"> převažovali muži. </w:t>
      </w:r>
    </w:p>
    <w:p w:rsidR="00EF0C32" w:rsidRPr="00C24253" w:rsidRDefault="00EF0C32" w:rsidP="00E473CC">
      <w:pPr>
        <w:pStyle w:val="Nadpis3"/>
      </w:pPr>
      <w:bookmarkStart w:id="4" w:name="_Toc371588148"/>
      <w:r w:rsidRPr="00C24253">
        <w:t xml:space="preserve">Věková struktura a rodinný stav </w:t>
      </w:r>
      <w:r w:rsidR="006C5955">
        <w:t>cizinců</w:t>
      </w:r>
      <w:bookmarkEnd w:id="4"/>
    </w:p>
    <w:p w:rsidR="00F4171E" w:rsidRPr="00C24253" w:rsidRDefault="00EF0C32" w:rsidP="00F4171E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Charakteristickým znakem cizinců v ČR je výrazné zastoupení osob v produktivním věku, a to u mužů i žen. Podíly dětské složky do 14 let jsou nízké, s výjimkou občanů Vietnamu a Ruska, kde se blíží hodnotám celé populace, protože právě tato dvě občanství žijí na našem území častěji v rodinách či v rodinných komun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 xml:space="preserve">tách. </w:t>
      </w:r>
    </w:p>
    <w:p w:rsidR="00EF0C32" w:rsidRPr="00C24253" w:rsidRDefault="00EF0C32" w:rsidP="00EF0C32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S výjimkou občanství Německa (mužů i žen) a Polska (pouze žen) jsou pro věkovou strukturu cizinců typické i minimální podíly osob v poproduktivním věku. Poměrně vysoký podíl Polek v poproduktivním věku je ovli</w:t>
      </w:r>
      <w:r w:rsidRPr="00C24253">
        <w:rPr>
          <w:sz w:val="20"/>
          <w:szCs w:val="20"/>
        </w:rPr>
        <w:t>v</w:t>
      </w:r>
      <w:r w:rsidRPr="00C24253">
        <w:rPr>
          <w:sz w:val="20"/>
          <w:szCs w:val="20"/>
        </w:rPr>
        <w:t xml:space="preserve">něn v této věkové skupině převahou žen s trvalým pobytem – tedy ženami žijícími prakticky celý život na našem území; obecně platí, že cizinci s trvalým pobytem se ve větší míře blíží v charakteristikách celkové populaci České republiky. </w:t>
      </w:r>
    </w:p>
    <w:p w:rsidR="000F0968" w:rsidRPr="00C24253" w:rsidRDefault="000F0968">
      <w:r w:rsidRPr="00C24253">
        <w:br w:type="page"/>
      </w:r>
    </w:p>
    <w:tbl>
      <w:tblPr>
        <w:tblW w:w="9041" w:type="dxa"/>
        <w:jc w:val="center"/>
        <w:tblCellMar>
          <w:left w:w="70" w:type="dxa"/>
          <w:right w:w="70" w:type="dxa"/>
        </w:tblCellMar>
        <w:tblLook w:val="04A0"/>
      </w:tblPr>
      <w:tblGrid>
        <w:gridCol w:w="1768"/>
        <w:gridCol w:w="660"/>
        <w:gridCol w:w="794"/>
        <w:gridCol w:w="587"/>
        <w:gridCol w:w="872"/>
        <w:gridCol w:w="872"/>
        <w:gridCol w:w="872"/>
        <w:gridCol w:w="872"/>
        <w:gridCol w:w="872"/>
        <w:gridCol w:w="872"/>
      </w:tblGrid>
      <w:tr w:rsidR="00EF0C32" w:rsidRPr="00C24253" w:rsidTr="007A12C1">
        <w:trPr>
          <w:trHeight w:val="300"/>
          <w:jc w:val="center"/>
        </w:trPr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32" w:rsidRPr="00C24253" w:rsidRDefault="00F4171E" w:rsidP="000F0968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C24253">
              <w:br w:type="page"/>
            </w:r>
            <w:r w:rsidR="00EF0C32" w:rsidRPr="00C24253">
              <w:rPr>
                <w:rFonts w:cs="Arial"/>
                <w:b/>
                <w:bCs/>
                <w:sz w:val="20"/>
                <w:szCs w:val="20"/>
              </w:rPr>
              <w:t>Cizinci podle vybraných státních občanství, pohlaví a věku k 26. 3. 2011 v %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Státní občanství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32" w:rsidRPr="00C24253" w:rsidRDefault="00EF0C32" w:rsidP="00F4171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Věková skupina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32" w:rsidRPr="00C24253" w:rsidRDefault="00EF0C32" w:rsidP="00F4171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0 - 14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15 - 64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+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0 - 14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15 - 64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+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0 - 14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15 - 64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+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Cizinci celkem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88,7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86,9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3,3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ascii="Calibri" w:hAnsi="Calibri"/>
                <w:szCs w:val="22"/>
              </w:rPr>
            </w:pPr>
            <w:r w:rsidRPr="00C2425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ascii="Calibri" w:hAnsi="Calibri"/>
                <w:szCs w:val="22"/>
              </w:rPr>
            </w:pPr>
            <w:r w:rsidRPr="00C2425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ascii="Calibri" w:hAnsi="Calibri"/>
                <w:szCs w:val="22"/>
              </w:rPr>
            </w:pPr>
            <w:r w:rsidRPr="00C2425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Vietnam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81,9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85,8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</w:tr>
      <w:tr w:rsidR="00EF0C32" w:rsidRPr="00C24253" w:rsidTr="007A12C1"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32" w:rsidRPr="00C24253" w:rsidRDefault="00EF0C32" w:rsidP="00F4171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16,8</w:t>
            </w:r>
          </w:p>
        </w:tc>
      </w:tr>
    </w:tbl>
    <w:p w:rsidR="00EF0C32" w:rsidRPr="00C24253" w:rsidRDefault="00EF0C32" w:rsidP="00452700">
      <w:pPr>
        <w:spacing w:before="360" w:after="120"/>
        <w:rPr>
          <w:rFonts w:cs="Arial"/>
          <w:noProof/>
          <w:sz w:val="20"/>
          <w:szCs w:val="20"/>
        </w:rPr>
      </w:pPr>
      <w:r w:rsidRPr="00C24253">
        <w:rPr>
          <w:rFonts w:cs="Arial"/>
          <w:noProof/>
          <w:sz w:val="20"/>
          <w:szCs w:val="20"/>
        </w:rPr>
        <w:t xml:space="preserve">Rodinný stav není signifikantní charakteristikou skupiny cizinců a bez vazby na domácnosti nebo způsob bydlení sám o sobě nevypovídá o specifikách jednotlivých občanství. U cizinců starších 15 let byly poměrně vysoké podíly svobodných osob, ale i ženatých a vdaných, což korespondovalo s věkovou strukturou jednotlivých občanství. Vysoký podíl Polek v poproduktivním věku se ve struktuře podle rodinného stavu projevil nadprůměrným podílem ovdovělých žen (ve srovnání s ženami jiných občanství). </w:t>
      </w:r>
    </w:p>
    <w:p w:rsidR="00EF0C32" w:rsidRPr="00C24253" w:rsidRDefault="00EF0C32" w:rsidP="00452700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Kromě věku byly nejdůležitějšími charakteristikami cizinců ekonomická aktivita a vzdělanostní úroveň. Vzhledem k extrémním hodnotám nezjištěných odpovědí u občanství Německa, nejsou osoby s tímto o</w:t>
      </w:r>
      <w:r w:rsidRPr="00C24253">
        <w:rPr>
          <w:rFonts w:cs="Arial"/>
          <w:sz w:val="20"/>
          <w:szCs w:val="20"/>
        </w:rPr>
        <w:t>b</w:t>
      </w:r>
      <w:r w:rsidRPr="00C24253">
        <w:rPr>
          <w:rFonts w:cs="Arial"/>
          <w:sz w:val="20"/>
          <w:szCs w:val="20"/>
        </w:rPr>
        <w:t>čanstvím ve strukturách vzdělání a ekonomické aktivity samostatně hodnoceny.</w:t>
      </w:r>
    </w:p>
    <w:p w:rsidR="00EF0C32" w:rsidRPr="00C24253" w:rsidRDefault="006C5955" w:rsidP="00E473CC">
      <w:pPr>
        <w:pStyle w:val="Nadpis3"/>
      </w:pPr>
      <w:bookmarkStart w:id="5" w:name="_Toc371588149"/>
      <w:r>
        <w:t>V</w:t>
      </w:r>
      <w:r w:rsidR="00EF0C32" w:rsidRPr="00C24253">
        <w:t>zdělání</w:t>
      </w:r>
      <w:r>
        <w:t xml:space="preserve"> cizinců</w:t>
      </w:r>
      <w:bookmarkEnd w:id="5"/>
    </w:p>
    <w:p w:rsidR="007A12C1" w:rsidRDefault="00EF0C32" w:rsidP="007F69DC">
      <w:pPr>
        <w:pStyle w:val="Textkomente"/>
        <w:spacing w:after="0"/>
        <w:jc w:val="both"/>
        <w:rPr>
          <w:rFonts w:ascii="Arial" w:hAnsi="Arial" w:cs="Arial"/>
        </w:rPr>
      </w:pPr>
      <w:r w:rsidRPr="00C24253">
        <w:rPr>
          <w:rFonts w:ascii="Arial" w:hAnsi="Arial" w:cs="Arial"/>
        </w:rPr>
        <w:t>U otázky na nejvyšší dosažené vzdělání se u cizinců projevila vysoká míra non-response, neboť podíl nezji</w:t>
      </w:r>
      <w:r w:rsidRPr="00C24253">
        <w:rPr>
          <w:rFonts w:ascii="Arial" w:hAnsi="Arial" w:cs="Arial"/>
        </w:rPr>
        <w:t>š</w:t>
      </w:r>
      <w:r w:rsidRPr="00C24253">
        <w:rPr>
          <w:rFonts w:ascii="Arial" w:hAnsi="Arial" w:cs="Arial"/>
        </w:rPr>
        <w:t>těných odpovědí činil v průměru více než dvě pětiny. I přes tento limitující faktor bylo zřejmé, že skupina cizinců z hlediska vzdělání byla velmi diferencovaná. Z počtu osob, které nejvyšší ukončené vzdělání uvedly, byly výrazně nadprůměrné podíly vysokoškolského vzdělání u občanů Ruska a Slovenska. Naopak nejvyšší zastoupení základního vzdělání měly osoby s občanstvím Vietnamu (celá polovina z počtu osob, které vzd</w:t>
      </w:r>
      <w:r w:rsidRPr="00C24253">
        <w:rPr>
          <w:rFonts w:ascii="Arial" w:hAnsi="Arial" w:cs="Arial"/>
        </w:rPr>
        <w:t>ě</w:t>
      </w:r>
      <w:r w:rsidRPr="00C24253">
        <w:rPr>
          <w:rFonts w:ascii="Arial" w:hAnsi="Arial" w:cs="Arial"/>
        </w:rPr>
        <w:t xml:space="preserve">lání uvedly). </w:t>
      </w:r>
    </w:p>
    <w:p w:rsidR="004F1401" w:rsidRDefault="00982C44" w:rsidP="007F69DC">
      <w:pPr>
        <w:pStyle w:val="Textkomente"/>
        <w:spacing w:after="0"/>
        <w:jc w:val="both"/>
        <w:rPr>
          <w:rFonts w:ascii="Arial" w:hAnsi="Arial" w:cs="Arial"/>
        </w:rPr>
      </w:pPr>
      <w:r w:rsidRPr="00E946DF">
        <w:rPr>
          <w:rFonts w:ascii="Arial" w:hAnsi="Arial" w:cs="Arial"/>
        </w:rPr>
        <w:fldChar w:fldCharType="begin"/>
      </w:r>
      <w:r w:rsidR="00485FDE" w:rsidRPr="00E946DF">
        <w:rPr>
          <w:rFonts w:ascii="Arial" w:hAnsi="Arial" w:cs="Arial"/>
        </w:rPr>
        <w:instrText xml:space="preserve"> LINK Excel.Sheet.8 "D:\\RŮŽKOVÁ\\ALLSČÍTÁNÍ LIDU - VŠE O sl\\PRAMENNÉ dílo\\A KOMPLETACE PD\\cizinciVZDELANI.xlsx!List1![cizinciVZDELANI.xlsx]List1 Graf 3" "" \a \p </w:instrText>
      </w:r>
      <w:r w:rsidRPr="00E946DF">
        <w:rPr>
          <w:rFonts w:ascii="Arial" w:hAnsi="Arial" w:cs="Arial"/>
        </w:rPr>
        <w:fldChar w:fldCharType="separate"/>
      </w:r>
      <w:r w:rsidR="00E473CC" w:rsidRPr="00982C44">
        <w:rPr>
          <w:rFonts w:ascii="Arial" w:hAnsi="Arial" w:cs="Arial"/>
        </w:rPr>
        <w:object w:dxaOrig="8235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22.75pt">
            <v:imagedata r:id="rId8" o:title=""/>
          </v:shape>
        </w:object>
      </w:r>
      <w:r w:rsidRPr="00E946DF">
        <w:rPr>
          <w:rFonts w:ascii="Arial" w:hAnsi="Arial" w:cs="Arial"/>
        </w:rPr>
        <w:fldChar w:fldCharType="end"/>
      </w:r>
    </w:p>
    <w:p w:rsidR="004F1401" w:rsidRPr="00C24253" w:rsidRDefault="004F1401" w:rsidP="007F69DC">
      <w:pPr>
        <w:pStyle w:val="Textkomente"/>
        <w:spacing w:after="0"/>
        <w:jc w:val="both"/>
        <w:rPr>
          <w:rFonts w:ascii="Arial" w:hAnsi="Arial" w:cs="Arial"/>
        </w:rPr>
      </w:pPr>
    </w:p>
    <w:p w:rsidR="00EF0C32" w:rsidRPr="00C24253" w:rsidRDefault="00EF0C32" w:rsidP="007A12C1">
      <w:pPr>
        <w:pStyle w:val="Textkomente"/>
        <w:jc w:val="both"/>
        <w:rPr>
          <w:rFonts w:ascii="Arial" w:hAnsi="Arial" w:cs="Arial"/>
        </w:rPr>
      </w:pPr>
      <w:r w:rsidRPr="00C24253">
        <w:rPr>
          <w:rFonts w:ascii="Arial" w:hAnsi="Arial" w:cs="Arial"/>
        </w:rPr>
        <w:t>Z hlediska proporcí jednotlivých stupňů vzdělání u vybraných občanství převažovalo zastoupení úplného středního, vyššího a vysokoškolského vzdělání u Rusů (blížilo se 90 %) a u Slovák</w:t>
      </w:r>
      <w:r w:rsidR="00A96EA8">
        <w:rPr>
          <w:rFonts w:ascii="Arial" w:hAnsi="Arial" w:cs="Arial"/>
        </w:rPr>
        <w:t>ů (dvě třetiny), zatímco u </w:t>
      </w:r>
      <w:r w:rsidRPr="00C24253">
        <w:rPr>
          <w:rFonts w:ascii="Arial" w:hAnsi="Arial" w:cs="Arial"/>
        </w:rPr>
        <w:t>občanů Vietnamu a Polska převažovalo vzdělání základní, neukončené nebo střední bez maturity (v obou případech kolem dvou třetin počtu osob s uvedeným vzděláním). V případě Ukrajinců byly proporce více vyrovnané s pouze mírnou převahou úplného středního a vysokoškolského vzdělání.</w:t>
      </w:r>
    </w:p>
    <w:p w:rsidR="00EF0C32" w:rsidRPr="00C24253" w:rsidRDefault="00EF0C32" w:rsidP="00E473CC">
      <w:pPr>
        <w:pStyle w:val="Nadpis3"/>
      </w:pPr>
      <w:bookmarkStart w:id="6" w:name="_Toc371588150"/>
      <w:r w:rsidRPr="00C24253">
        <w:lastRenderedPageBreak/>
        <w:t>Ekonomické charakteristiky</w:t>
      </w:r>
      <w:bookmarkEnd w:id="6"/>
      <w:r w:rsidRPr="00C24253">
        <w:t xml:space="preserve"> </w:t>
      </w:r>
    </w:p>
    <w:p w:rsidR="00EF0C32" w:rsidRPr="00C24253" w:rsidRDefault="00EF0C32" w:rsidP="000F0968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Nejdůležitější charakteristikou cizinců byla jejich </w:t>
      </w:r>
      <w:r w:rsidRPr="00C24253">
        <w:rPr>
          <w:rFonts w:cs="Arial"/>
          <w:b/>
          <w:sz w:val="20"/>
          <w:szCs w:val="20"/>
        </w:rPr>
        <w:t xml:space="preserve">ekonomická aktivita. </w:t>
      </w:r>
      <w:r w:rsidRPr="00C24253">
        <w:rPr>
          <w:rFonts w:cs="Arial"/>
          <w:sz w:val="20"/>
          <w:szCs w:val="20"/>
        </w:rPr>
        <w:t>I tento ukazatel byl ovlivněn vysokou non-response pohybující se okolo dvou pětin. Ve struktuře cizinců se zjištěnou ekonomickou aktivitou jedn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značně převažovaly osoby ekonomicky aktivní nad neaktivními. Taková relace platila pro všechna občanství, ale s různými proporcemi. Zatímco např. u občanů Slovenska a Ukrajiny se podíl ekonomicky aktivních blížil třem čtvrtinám osob se zjištěnou ekonomickou aktivitou, u občanů Ruska byla proporce mezi ekonomicky aktivními a neaktivními téměř vyrovnaná.</w:t>
      </w:r>
    </w:p>
    <w:p w:rsidR="00EF0C32" w:rsidRPr="00C24253" w:rsidRDefault="00EF0C32" w:rsidP="002B21BC">
      <w:pPr>
        <w:spacing w:after="120"/>
        <w:ind w:left="1416" w:hanging="282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Cizinci se zjištěnou ekonomickou aktivitou k 26. 3. 2011 v %</w:t>
      </w:r>
    </w:p>
    <w:tbl>
      <w:tblPr>
        <w:tblW w:w="7363" w:type="dxa"/>
        <w:jc w:val="center"/>
        <w:tblCellMar>
          <w:left w:w="70" w:type="dxa"/>
          <w:right w:w="70" w:type="dxa"/>
        </w:tblCellMar>
        <w:tblLook w:val="04A0"/>
      </w:tblPr>
      <w:tblGrid>
        <w:gridCol w:w="1400"/>
        <w:gridCol w:w="1240"/>
        <w:gridCol w:w="1240"/>
        <w:gridCol w:w="1240"/>
        <w:gridCol w:w="1240"/>
        <w:gridCol w:w="1003"/>
      </w:tblGrid>
      <w:tr w:rsidR="007F69DC" w:rsidRPr="00C24253" w:rsidTr="007F69DC">
        <w:trPr>
          <w:trHeight w:val="283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Státní občanství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Ekonomicky aktivní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Ekonomicky neaktivní</w:t>
            </w:r>
          </w:p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z počtu </w:t>
            </w:r>
          </w:p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</w:t>
            </w:r>
          </w:p>
        </w:tc>
      </w:tr>
      <w:tr w:rsidR="007F69DC" w:rsidRPr="00C24253" w:rsidTr="007F69DC">
        <w:trPr>
          <w:trHeight w:val="283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 počtu obyvatel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ze zaměstnaných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69DC" w:rsidRPr="00C24253" w:rsidTr="00A80BEC">
        <w:trPr>
          <w:trHeight w:val="397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DC" w:rsidRPr="00C24253" w:rsidRDefault="007F69DC" w:rsidP="007F69D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zaměstnaní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nezaměstnaní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zaměstnanci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pracující na vlastní účet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DC" w:rsidRPr="00C24253" w:rsidRDefault="007F69DC" w:rsidP="007F69D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0C32" w:rsidRPr="00C24253" w:rsidTr="00A80BEC">
        <w:trPr>
          <w:trHeight w:val="397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Cizinci 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61,8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33,9</w:t>
            </w:r>
          </w:p>
        </w:tc>
      </w:tr>
      <w:tr w:rsidR="00EF0C32" w:rsidRPr="00C24253" w:rsidTr="007F69DC">
        <w:trPr>
          <w:trHeight w:val="1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lef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 </w:t>
            </w:r>
          </w:p>
        </w:tc>
      </w:tr>
      <w:tr w:rsidR="00EF0C32" w:rsidRPr="00C24253" w:rsidTr="007F69DC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53,4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27,4</w:t>
            </w:r>
          </w:p>
        </w:tc>
      </w:tr>
      <w:tr w:rsidR="00EF0C32" w:rsidRPr="00C24253" w:rsidTr="007F69DC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68,2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25,8</w:t>
            </w:r>
          </w:p>
        </w:tc>
      </w:tr>
      <w:tr w:rsidR="00EF0C32" w:rsidRPr="00C24253" w:rsidTr="007F69DC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Vietnam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59,5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41,7</w:t>
            </w:r>
          </w:p>
        </w:tc>
      </w:tr>
      <w:tr w:rsidR="00EF0C32" w:rsidRPr="00C24253" w:rsidTr="007F69DC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46,1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24,4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49,1</w:t>
            </w:r>
          </w:p>
        </w:tc>
      </w:tr>
      <w:tr w:rsidR="00EF0C32" w:rsidRPr="00C24253" w:rsidTr="007F69DC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32" w:rsidRPr="00A80BEC" w:rsidRDefault="00EF0C32" w:rsidP="007F69D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39,2</w:t>
            </w:r>
          </w:p>
        </w:tc>
      </w:tr>
    </w:tbl>
    <w:p w:rsidR="00EF0C32" w:rsidRPr="00C24253" w:rsidRDefault="00EF0C32" w:rsidP="000F0968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Podle postavení v zaměstnání u zaměstnaných osob</w:t>
      </w:r>
      <w:r w:rsidRPr="00C24253">
        <w:rPr>
          <w:rFonts w:cs="Arial"/>
          <w:sz w:val="20"/>
          <w:szCs w:val="20"/>
        </w:rPr>
        <w:t>, byli cizinci převážně v pozici zaměstnance. Platilo to i pro většinu konkrétních občanství, zejména pak pro občany Slovenska a Polska. Zcela jiná struktura zaměstnaných byla ale u osob s občanstvím Vietnamu, kde jednoznačně převažovaly osoby pracující na vlastní účet. Specifická struktura byla i u osob s občanstvím Ruska, kde byly kromě nejvyššího podílu z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městnanců rovnoměrně zastoupeni také zaměstnavatelé (zaměstnávající osoby) a osoby pracující na vlastní účet. Zaměstnavatelé i zaměstnanci tvořili u </w:t>
      </w:r>
      <w:r w:rsidR="006C5F63">
        <w:rPr>
          <w:rFonts w:cs="Arial"/>
          <w:sz w:val="20"/>
          <w:szCs w:val="20"/>
        </w:rPr>
        <w:t>občanů Ruska</w:t>
      </w:r>
      <w:r w:rsidRPr="00C24253">
        <w:rPr>
          <w:rFonts w:cs="Arial"/>
          <w:sz w:val="20"/>
          <w:szCs w:val="20"/>
        </w:rPr>
        <w:t xml:space="preserve"> polovinu počtu zaměstnaných osob a samotný čtvrtinový podíl zaměstnavatelů byl v porovnání s jinými skupinami cizinců zcela unikátní hodnotou (pro srovnání: za cizince celkem činil podíl zaměstnavatelů na počtu zaměstnaných osob jen 2,3 %).</w:t>
      </w:r>
    </w:p>
    <w:p w:rsidR="0075306C" w:rsidRPr="00C24253" w:rsidRDefault="00EF0C32" w:rsidP="0075306C">
      <w:pPr>
        <w:pStyle w:val="odrkyzlevaodsazeno0"/>
        <w:numPr>
          <w:ilvl w:val="0"/>
          <w:numId w:val="0"/>
        </w:numPr>
        <w:spacing w:after="240"/>
      </w:pPr>
      <w:r w:rsidRPr="00C24253">
        <w:t>Nejvíce cizinců bylo zaměstnáno ve zpracovatelském průmyslu, ve velkoo</w:t>
      </w:r>
      <w:r w:rsidR="00A96EA8">
        <w:t>bchodě, maloobchodě, opravách a </w:t>
      </w:r>
      <w:r w:rsidRPr="00C24253">
        <w:t>údržbách motorových vozidel a ve stavebnictví. Mezi skupinami cizinců byly jasné preference jednotlivých ekonomických odvětví. Zatímco zpracovatelský průmysl upřednostňovali nejvíce občané Polska a Slove</w:t>
      </w:r>
      <w:r w:rsidRPr="00C24253">
        <w:t>n</w:t>
      </w:r>
      <w:r w:rsidRPr="00C24253">
        <w:t>ska, ve stavebnictví nacházeli nejvíce uplatnění občané Ukrajiny. Občané Vietnamu nejčastěji pracovali ve velkoobchodu a maloobchodu.</w:t>
      </w:r>
    </w:p>
    <w:p w:rsidR="0075306C" w:rsidRPr="00C24253" w:rsidRDefault="006F360C" w:rsidP="006F360C">
      <w:pPr>
        <w:pStyle w:val="31"/>
        <w:ind w:left="709" w:hanging="709"/>
      </w:pPr>
      <w:proofErr w:type="gramStart"/>
      <w:r>
        <w:t>6.6</w:t>
      </w:r>
      <w:proofErr w:type="gramEnd"/>
      <w:r>
        <w:t>.</w:t>
      </w:r>
      <w:r>
        <w:tab/>
      </w:r>
      <w:r w:rsidR="0075306C" w:rsidRPr="00C24253">
        <w:t>Bydlení cizinců</w:t>
      </w:r>
    </w:p>
    <w:tbl>
      <w:tblPr>
        <w:tblpPr w:leftFromText="340" w:vertAnchor="page" w:horzAnchor="margin" w:tblpXSpec="right" w:tblpY="1083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644"/>
        <w:gridCol w:w="1020"/>
        <w:gridCol w:w="1020"/>
        <w:gridCol w:w="1206"/>
      </w:tblGrid>
      <w:tr w:rsidR="00A80BEC" w:rsidRPr="00C24253" w:rsidTr="00A80BEC">
        <w:trPr>
          <w:trHeight w:val="227"/>
        </w:trPr>
        <w:tc>
          <w:tcPr>
            <w:tcW w:w="48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0BEC" w:rsidRPr="00C24253" w:rsidRDefault="00A80BEC" w:rsidP="00A80BE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b/>
                <w:sz w:val="20"/>
                <w:szCs w:val="20"/>
              </w:rPr>
              <w:t>Cizinci podle způsobu bydlení k 26. 3. 2011 v %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EC" w:rsidRPr="00C24253" w:rsidRDefault="00A80BEC" w:rsidP="00A80BE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Státní občanství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EC" w:rsidRPr="00A80BEC" w:rsidRDefault="00A80BEC" w:rsidP="00A80BEC">
            <w:pPr>
              <w:jc w:val="center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 xml:space="preserve">Z počtu obyvatel v % </w:t>
            </w:r>
            <w:proofErr w:type="gramStart"/>
            <w:r w:rsidRPr="00A80BEC">
              <w:rPr>
                <w:rFonts w:cs="Arial"/>
                <w:sz w:val="16"/>
                <w:szCs w:val="16"/>
              </w:rPr>
              <w:t>způsob</w:t>
            </w:r>
            <w:proofErr w:type="gramEnd"/>
            <w:r w:rsidRPr="00A80BEC">
              <w:rPr>
                <w:rFonts w:cs="Arial"/>
                <w:sz w:val="16"/>
                <w:szCs w:val="16"/>
              </w:rPr>
              <w:t xml:space="preserve"> bydlení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EC" w:rsidRPr="00C24253" w:rsidRDefault="00A80BEC" w:rsidP="00A80BE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EC" w:rsidRPr="00A80BEC" w:rsidRDefault="00A80BEC" w:rsidP="00A80BEC">
            <w:pPr>
              <w:jc w:val="center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byt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EC" w:rsidRPr="00A80BEC" w:rsidRDefault="00A80BEC" w:rsidP="00A80BEC">
            <w:pPr>
              <w:jc w:val="center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zařízení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EC" w:rsidRPr="00A80BEC" w:rsidRDefault="00A80BEC" w:rsidP="00A80BEC">
            <w:pPr>
              <w:jc w:val="center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nouzové</w:t>
            </w:r>
          </w:p>
        </w:tc>
      </w:tr>
      <w:tr w:rsidR="00A80BEC" w:rsidRPr="00C24253" w:rsidTr="00A80BEC">
        <w:trPr>
          <w:trHeight w:val="283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C24253" w:rsidRDefault="00A80BEC" w:rsidP="00A80BEC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Cizinci celkem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80BEC">
              <w:rPr>
                <w:rFonts w:cs="Arial"/>
                <w:b/>
                <w:bCs/>
                <w:sz w:val="16"/>
                <w:szCs w:val="16"/>
              </w:rPr>
              <w:t>2,6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C24253" w:rsidRDefault="00A80BEC" w:rsidP="004F1401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ascii="Calibri" w:hAnsi="Calibri"/>
                <w:szCs w:val="22"/>
              </w:rPr>
            </w:pPr>
            <w:r w:rsidRPr="00A80BEC">
              <w:rPr>
                <w:rFonts w:ascii="Calibri" w:hAnsi="Calibri"/>
                <w:szCs w:val="22"/>
              </w:rPr>
              <w:t> 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C24253" w:rsidRDefault="00A80BEC" w:rsidP="00A80BEC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72,4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3,0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C24253" w:rsidRDefault="00A80BEC" w:rsidP="00A80BEC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 w:rsidRPr="00A80BEC">
              <w:rPr>
                <w:rFonts w:ascii="Calibri" w:hAnsi="Calibri"/>
                <w:sz w:val="20"/>
                <w:szCs w:val="20"/>
              </w:rPr>
              <w:t>1,8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C24253" w:rsidRDefault="00A80BEC" w:rsidP="00A80BEC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Vietnam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 w:rsidRPr="00A80BEC">
              <w:rPr>
                <w:rFonts w:ascii="Calibri" w:hAnsi="Calibri"/>
                <w:sz w:val="20"/>
                <w:szCs w:val="20"/>
              </w:rPr>
              <w:t>3,1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C24253" w:rsidRDefault="00A80BEC" w:rsidP="00A80BEC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90,1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1,9</w:t>
            </w:r>
          </w:p>
        </w:tc>
      </w:tr>
      <w:tr w:rsidR="00A80BEC" w:rsidRPr="00C24253" w:rsidTr="00A80BEC">
        <w:trPr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C24253" w:rsidRDefault="00A80BEC" w:rsidP="00A80BEC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C" w:rsidRPr="00A80BEC" w:rsidRDefault="00A80BEC" w:rsidP="00A80BE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80BEC">
              <w:rPr>
                <w:rFonts w:cs="Arial"/>
                <w:sz w:val="16"/>
                <w:szCs w:val="16"/>
              </w:rPr>
              <w:t>2,0</w:t>
            </w:r>
          </w:p>
        </w:tc>
      </w:tr>
    </w:tbl>
    <w:p w:rsidR="000F0968" w:rsidRPr="00A80BEC" w:rsidRDefault="000F0968" w:rsidP="00A80BEC">
      <w:pPr>
        <w:rPr>
          <w:sz w:val="20"/>
          <w:szCs w:val="20"/>
        </w:rPr>
      </w:pPr>
      <w:r w:rsidRPr="00A80BEC">
        <w:rPr>
          <w:sz w:val="20"/>
          <w:szCs w:val="20"/>
        </w:rPr>
        <w:t xml:space="preserve">Pro domácnosti cizinců byla charakteristická zcela odlišná struktura bydlení ve srovnání s celkovou populací ČR. </w:t>
      </w:r>
    </w:p>
    <w:p w:rsidR="00EF0C32" w:rsidRPr="00A80BEC" w:rsidRDefault="00EF0C32" w:rsidP="000F0968">
      <w:pPr>
        <w:spacing w:after="120"/>
        <w:rPr>
          <w:sz w:val="20"/>
          <w:szCs w:val="20"/>
        </w:rPr>
      </w:pPr>
      <w:r w:rsidRPr="00A80BEC">
        <w:rPr>
          <w:sz w:val="20"/>
          <w:szCs w:val="20"/>
        </w:rPr>
        <w:t xml:space="preserve">V bytech bydleli k datu sčítání nejčastěji občané Ruska a Vietnamu. Tyto dvě skupiny rovněž měly nejnižší zastoupení bydlení v zařízení. </w:t>
      </w:r>
    </w:p>
    <w:p w:rsidR="00A80BEC" w:rsidRDefault="00EF0C32" w:rsidP="00A80BEC">
      <w:pPr>
        <w:spacing w:after="120"/>
        <w:rPr>
          <w:sz w:val="20"/>
          <w:szCs w:val="20"/>
        </w:rPr>
      </w:pPr>
      <w:r w:rsidRPr="00A80BEC">
        <w:rPr>
          <w:sz w:val="20"/>
          <w:szCs w:val="20"/>
        </w:rPr>
        <w:t>Podíly domácností jednotlivců byly téměř polovi</w:t>
      </w:r>
      <w:r w:rsidRPr="00A80BEC">
        <w:rPr>
          <w:sz w:val="20"/>
          <w:szCs w:val="20"/>
        </w:rPr>
        <w:t>č</w:t>
      </w:r>
      <w:r w:rsidRPr="00A80BEC">
        <w:rPr>
          <w:sz w:val="20"/>
          <w:szCs w:val="20"/>
        </w:rPr>
        <w:t>ní, výrazně</w:t>
      </w:r>
      <w:r w:rsidRPr="00C24253">
        <w:rPr>
          <w:sz w:val="20"/>
          <w:szCs w:val="20"/>
        </w:rPr>
        <w:t xml:space="preserve"> nižší byly i podíly rodin. </w:t>
      </w:r>
    </w:p>
    <w:p w:rsidR="00EF0C32" w:rsidRPr="00C24253" w:rsidRDefault="00EF0C32" w:rsidP="00A80BEC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Naopak pětinásobné byly podíly vícečlenných nerodinných domácností. Důvody byly nejčastěji ekonomické. Pokud už bydlelo více osob bez příbuzenských vztahů pohromadě, dělily se nejen o náklady na bydlení, ale rovněž společně hosp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 xml:space="preserve">dařily. </w:t>
      </w:r>
    </w:p>
    <w:p w:rsidR="00742DE1" w:rsidRPr="00C24253" w:rsidRDefault="00742DE1" w:rsidP="00742DE1">
      <w:pPr>
        <w:jc w:val="center"/>
        <w:rPr>
          <w:rFonts w:cs="Arial"/>
          <w:sz w:val="20"/>
          <w:szCs w:val="20"/>
          <w:highlight w:val="red"/>
        </w:rPr>
      </w:pPr>
    </w:p>
    <w:sectPr w:rsidR="00742DE1" w:rsidRPr="00C24253" w:rsidSect="00FC6FDC">
      <w:footerReference w:type="even" r:id="rId9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93" w:rsidRDefault="00BB6893">
      <w:r>
        <w:separator/>
      </w:r>
    </w:p>
    <w:p w:rsidR="00BB6893" w:rsidRDefault="00BB6893"/>
  </w:endnote>
  <w:endnote w:type="continuationSeparator" w:id="0">
    <w:p w:rsidR="00BB6893" w:rsidRDefault="00BB6893">
      <w:r>
        <w:continuationSeparator/>
      </w:r>
    </w:p>
    <w:p w:rsidR="00BB6893" w:rsidRDefault="00BB68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982C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93" w:rsidRDefault="00BB6893">
      <w:r>
        <w:separator/>
      </w:r>
    </w:p>
    <w:p w:rsidR="00BB6893" w:rsidRDefault="00BB6893"/>
  </w:footnote>
  <w:footnote w:type="continuationSeparator" w:id="0">
    <w:p w:rsidR="00BB6893" w:rsidRDefault="00BB6893">
      <w:r>
        <w:continuationSeparator/>
      </w:r>
    </w:p>
    <w:p w:rsidR="00BB6893" w:rsidRDefault="00BB6893"/>
  </w:footnote>
  <w:footnote w:id="1">
    <w:p w:rsidR="00D055C3" w:rsidRPr="00522D39" w:rsidRDefault="00D055C3" w:rsidP="00EF0C32">
      <w:pPr>
        <w:pStyle w:val="Textpoznpodarou"/>
        <w:rPr>
          <w:rFonts w:cs="Arial"/>
          <w:i w:val="0"/>
          <w:szCs w:val="18"/>
        </w:rPr>
      </w:pPr>
      <w:r w:rsidRPr="00522D39">
        <w:rPr>
          <w:rStyle w:val="Znakapoznpodarou"/>
          <w:rFonts w:cs="Arial"/>
          <w:szCs w:val="18"/>
        </w:rPr>
        <w:footnoteRef/>
      </w:r>
      <w:r w:rsidRPr="00522D39">
        <w:rPr>
          <w:rFonts w:cs="Arial"/>
          <w:szCs w:val="18"/>
        </w:rPr>
        <w:t xml:space="preserve"> Od roku</w:t>
      </w:r>
      <w:r>
        <w:rPr>
          <w:rFonts w:cs="Arial"/>
          <w:szCs w:val="18"/>
        </w:rPr>
        <w:t xml:space="preserve"> 1993 do 2005 nabylo státní občanství ČR více než 420 000 bývalých občanů Slovenska. Nejvyšší počty těc</w:t>
      </w:r>
      <w:r>
        <w:rPr>
          <w:rFonts w:cs="Arial"/>
          <w:szCs w:val="18"/>
        </w:rPr>
        <w:t>h</w:t>
      </w:r>
      <w:r>
        <w:rPr>
          <w:rFonts w:cs="Arial"/>
          <w:szCs w:val="18"/>
        </w:rPr>
        <w:t>to osob o státní občanství ČR zažádaly hned v prvních letech po vzniku dvou samostatných republik, případně ještě v posledních měsících společného státu. Zažádat o státní občanství ČR bylo pro občany tehdy ještě společného státu možné nejprve na základě zákona č. 39/1969 Sb., o nabývání a pozbývání státního občanství. Dále bylo státní občanství ČR pro občany Slovenska možno nabýt na základě stejnojmenného zákona č. 40/1993 Sb. Od roku 1995 bylo pro obč</w:t>
      </w:r>
      <w:r>
        <w:rPr>
          <w:rFonts w:cs="Arial"/>
          <w:szCs w:val="18"/>
        </w:rPr>
        <w:t>a</w:t>
      </w:r>
      <w:r>
        <w:rPr>
          <w:rFonts w:cs="Arial"/>
          <w:szCs w:val="18"/>
        </w:rPr>
        <w:t>ny Slovenska možné nabýt občanství ČR udělením, od roku 1999 rovněž prohlášením.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8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931D76"/>
    <w:multiLevelType w:val="multilevel"/>
    <w:tmpl w:val="0DF8526A"/>
    <w:lvl w:ilvl="0">
      <w:start w:val="6"/>
      <w:numFmt w:val="decimal"/>
      <w:pStyle w:val="Dilonadpis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1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8"/>
  </w:num>
  <w:num w:numId="18">
    <w:abstractNumId w:val="33"/>
  </w:num>
  <w:num w:numId="19">
    <w:abstractNumId w:val="35"/>
  </w:num>
  <w:num w:numId="20">
    <w:abstractNumId w:val="0"/>
  </w:num>
  <w:num w:numId="21">
    <w:abstractNumId w:val="27"/>
  </w:num>
  <w:num w:numId="22">
    <w:abstractNumId w:val="3"/>
  </w:num>
  <w:num w:numId="23">
    <w:abstractNumId w:val="24"/>
  </w:num>
  <w:num w:numId="24">
    <w:abstractNumId w:val="26"/>
  </w:num>
  <w:num w:numId="25">
    <w:abstractNumId w:val="10"/>
  </w:num>
  <w:num w:numId="26">
    <w:abstractNumId w:val="30"/>
  </w:num>
  <w:num w:numId="27">
    <w:abstractNumId w:val="15"/>
  </w:num>
  <w:num w:numId="28">
    <w:abstractNumId w:val="23"/>
  </w:num>
  <w:num w:numId="29">
    <w:abstractNumId w:val="21"/>
  </w:num>
  <w:num w:numId="30">
    <w:abstractNumId w:val="12"/>
  </w:num>
  <w:num w:numId="31">
    <w:abstractNumId w:val="4"/>
  </w:num>
  <w:num w:numId="32">
    <w:abstractNumId w:val="25"/>
  </w:num>
  <w:num w:numId="33">
    <w:abstractNumId w:val="30"/>
    <w:lvlOverride w:ilvl="0">
      <w:startOverride w:val="3"/>
    </w:lvlOverride>
    <w:lvlOverride w:ilvl="1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</w:num>
  <w:num w:numId="35">
    <w:abstractNumId w:val="30"/>
    <w:lvlOverride w:ilvl="0">
      <w:startOverride w:val="5"/>
    </w:lvlOverride>
    <w:lvlOverride w:ilvl="1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</w:num>
  <w:num w:numId="37">
    <w:abstractNumId w:val="30"/>
    <w:lvlOverride w:ilvl="0">
      <w:startOverride w:val="9"/>
    </w:lvlOverride>
    <w:lvlOverride w:ilvl="1">
      <w:startOverride w:val="1"/>
    </w:lvlOverride>
  </w:num>
  <w:num w:numId="38">
    <w:abstractNumId w:val="30"/>
    <w:lvlOverride w:ilvl="0">
      <w:startOverride w:val="13"/>
    </w:lvlOverride>
    <w:lvlOverride w:ilvl="1">
      <w:startOverride w:val="1"/>
    </w:lvlOverride>
  </w:num>
  <w:num w:numId="39">
    <w:abstractNumId w:val="30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29"/>
  </w:num>
  <w:num w:numId="42">
    <w:abstractNumId w:val="6"/>
  </w:num>
  <w:num w:numId="43">
    <w:abstractNumId w:val="30"/>
    <w:lvlOverride w:ilvl="0">
      <w:startOverride w:val="1"/>
    </w:lvlOverride>
    <w:lvlOverride w:ilvl="1">
      <w:startOverride w:val="1"/>
    </w:lvlOverride>
  </w:num>
  <w:num w:numId="44">
    <w:abstractNumId w:val="30"/>
    <w:lvlOverride w:ilvl="0">
      <w:startOverride w:val="10"/>
    </w:lvlOverride>
    <w:lvlOverride w:ilvl="1">
      <w:startOverride w:val="1"/>
    </w:lvlOverride>
  </w:num>
  <w:num w:numId="45">
    <w:abstractNumId w:val="30"/>
    <w:lvlOverride w:ilvl="0">
      <w:startOverride w:val="11"/>
    </w:lvlOverride>
    <w:lvlOverride w:ilvl="1">
      <w:startOverride w:val="1"/>
    </w:lvlOverride>
  </w:num>
  <w:num w:numId="46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2C44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B6893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473CC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E473CC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E473CC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E473CC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0590-544F-4A73-BC83-283B4BB3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13299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2</cp:revision>
  <cp:lastPrinted>2013-11-12T07:39:00Z</cp:lastPrinted>
  <dcterms:created xsi:type="dcterms:W3CDTF">2013-11-13T13:04:00Z</dcterms:created>
  <dcterms:modified xsi:type="dcterms:W3CDTF">2013-11-13T13:04:00Z</dcterms:modified>
</cp:coreProperties>
</file>