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7BC" w:rsidRPr="00FB2B79" w:rsidRDefault="009E2909" w:rsidP="00642AC6">
      <w:pPr>
        <w:pStyle w:val="Dilonadpis1"/>
      </w:pPr>
      <w:bookmarkStart w:id="0" w:name="_Toc371588139"/>
      <w:r w:rsidRPr="00FB2B79">
        <w:t>OBYVATELSTVO OBVYKLE BYDLÍCÍ</w:t>
      </w:r>
      <w:bookmarkEnd w:id="0"/>
    </w:p>
    <w:p w:rsidR="00A617BC" w:rsidRPr="00C24253" w:rsidRDefault="00A617BC" w:rsidP="00A617BC">
      <w:pPr>
        <w:spacing w:after="120"/>
        <w:rPr>
          <w:rFonts w:cs="Arial"/>
          <w:sz w:val="20"/>
          <w:szCs w:val="20"/>
        </w:rPr>
      </w:pPr>
      <w:r w:rsidRPr="00C24253">
        <w:rPr>
          <w:rFonts w:cs="Arial"/>
          <w:sz w:val="20"/>
          <w:szCs w:val="20"/>
        </w:rPr>
        <w:t xml:space="preserve">Zásadní metodickou změnou sčítání v roce 2011 bylo zpracování a publikování výsledků podle </w:t>
      </w:r>
      <w:r w:rsidRPr="00C24253">
        <w:rPr>
          <w:rFonts w:cs="Arial"/>
          <w:b/>
          <w:sz w:val="20"/>
          <w:szCs w:val="20"/>
        </w:rPr>
        <w:t>místa o</w:t>
      </w:r>
      <w:r w:rsidRPr="00C24253">
        <w:rPr>
          <w:rFonts w:cs="Arial"/>
          <w:b/>
          <w:sz w:val="20"/>
          <w:szCs w:val="20"/>
        </w:rPr>
        <w:t>b</w:t>
      </w:r>
      <w:r w:rsidRPr="00C24253">
        <w:rPr>
          <w:rFonts w:cs="Arial"/>
          <w:b/>
          <w:sz w:val="20"/>
          <w:szCs w:val="20"/>
        </w:rPr>
        <w:t>vyklého pobytu</w:t>
      </w:r>
      <w:r w:rsidRPr="00C24253">
        <w:rPr>
          <w:rFonts w:cs="Arial"/>
          <w:sz w:val="20"/>
          <w:szCs w:val="20"/>
        </w:rPr>
        <w:t>. Předchozí sčítání (od roku 1961) zpracovávala výsledky za trvale bydlící obyvatelstvo.</w:t>
      </w:r>
    </w:p>
    <w:p w:rsidR="00A617BC" w:rsidRPr="00C24253" w:rsidRDefault="00A617BC" w:rsidP="00A617BC">
      <w:pPr>
        <w:autoSpaceDE w:val="0"/>
        <w:autoSpaceDN w:val="0"/>
        <w:adjustRightInd w:val="0"/>
        <w:spacing w:after="120"/>
        <w:rPr>
          <w:rFonts w:cs="Arial"/>
          <w:sz w:val="20"/>
          <w:szCs w:val="20"/>
        </w:rPr>
      </w:pPr>
      <w:r w:rsidRPr="00C24253">
        <w:rPr>
          <w:rFonts w:cs="Arial"/>
          <w:sz w:val="20"/>
          <w:szCs w:val="20"/>
        </w:rPr>
        <w:t xml:space="preserve">Rozhodnutí o nahrazení trvalého pobytu obvyklým bylo dáno především </w:t>
      </w:r>
      <w:r w:rsidRPr="00C24253">
        <w:rPr>
          <w:rFonts w:cs="Arial"/>
          <w:b/>
          <w:sz w:val="20"/>
          <w:szCs w:val="20"/>
        </w:rPr>
        <w:t>Nařízením Evropského parlame</w:t>
      </w:r>
      <w:r w:rsidRPr="00C24253">
        <w:rPr>
          <w:rFonts w:cs="Arial"/>
          <w:b/>
          <w:sz w:val="20"/>
          <w:szCs w:val="20"/>
        </w:rPr>
        <w:t>n</w:t>
      </w:r>
      <w:r w:rsidRPr="00C24253">
        <w:rPr>
          <w:rFonts w:cs="Arial"/>
          <w:b/>
          <w:sz w:val="20"/>
          <w:szCs w:val="20"/>
        </w:rPr>
        <w:t xml:space="preserve">tu a Rady </w:t>
      </w:r>
      <w:r w:rsidRPr="00C24253">
        <w:rPr>
          <w:rFonts w:cs="Arial"/>
          <w:b/>
          <w:bCs/>
          <w:sz w:val="20"/>
          <w:szCs w:val="20"/>
        </w:rPr>
        <w:t xml:space="preserve">č. 763/2008 </w:t>
      </w:r>
      <w:r w:rsidRPr="00C24253">
        <w:rPr>
          <w:rFonts w:cs="Arial"/>
          <w:b/>
          <w:sz w:val="20"/>
          <w:szCs w:val="20"/>
        </w:rPr>
        <w:t xml:space="preserve">o sčítání lidu, domů a bytů, </w:t>
      </w:r>
      <w:r w:rsidRPr="00C24253">
        <w:rPr>
          <w:rFonts w:cs="Arial"/>
          <w:sz w:val="20"/>
          <w:szCs w:val="20"/>
        </w:rPr>
        <w:t xml:space="preserve">které se stalo závazným dokumentem pro všechny státy Evropské </w:t>
      </w:r>
      <w:r w:rsidR="00CA0AD7">
        <w:rPr>
          <w:rFonts w:cs="Arial"/>
          <w:sz w:val="20"/>
          <w:szCs w:val="20"/>
        </w:rPr>
        <w:t>u</w:t>
      </w:r>
      <w:r w:rsidRPr="00C24253">
        <w:rPr>
          <w:rFonts w:cs="Arial"/>
          <w:sz w:val="20"/>
          <w:szCs w:val="20"/>
        </w:rPr>
        <w:t xml:space="preserve">nie. Za cíl si stanovilo zajistit maximální mezinárodní srovnatelnost. </w:t>
      </w:r>
      <w:r w:rsidRPr="00C24253">
        <w:rPr>
          <w:rFonts w:eastAsia="TimesCE-Roman" w:cs="Arial"/>
          <w:sz w:val="20"/>
          <w:szCs w:val="20"/>
        </w:rPr>
        <w:t>Rostoucí mobilita obč</w:t>
      </w:r>
      <w:r w:rsidRPr="00C24253">
        <w:rPr>
          <w:rFonts w:eastAsia="TimesCE-Roman" w:cs="Arial"/>
          <w:sz w:val="20"/>
          <w:szCs w:val="20"/>
        </w:rPr>
        <w:t>a</w:t>
      </w:r>
      <w:r w:rsidRPr="00C24253">
        <w:rPr>
          <w:rFonts w:eastAsia="TimesCE-Roman" w:cs="Arial"/>
          <w:sz w:val="20"/>
          <w:szCs w:val="20"/>
        </w:rPr>
        <w:t xml:space="preserve">nů Evropské </w:t>
      </w:r>
      <w:r w:rsidR="00CA0AD7">
        <w:rPr>
          <w:rFonts w:eastAsia="TimesCE-Roman" w:cs="Arial"/>
          <w:sz w:val="20"/>
          <w:szCs w:val="20"/>
        </w:rPr>
        <w:t>u</w:t>
      </w:r>
      <w:r w:rsidRPr="00C24253">
        <w:rPr>
          <w:rFonts w:eastAsia="TimesCE-Roman" w:cs="Arial"/>
          <w:sz w:val="20"/>
          <w:szCs w:val="20"/>
        </w:rPr>
        <w:t xml:space="preserve">nie vedla tvůrce Nařízení ke stanovení principu nevázat obyvatele na jeho trvalé (evidované) bydliště, ale na místo jeho faktického pobytu. </w:t>
      </w:r>
      <w:r w:rsidRPr="00C24253">
        <w:rPr>
          <w:rFonts w:cs="Arial"/>
          <w:sz w:val="20"/>
          <w:szCs w:val="20"/>
        </w:rPr>
        <w:t>Při zpracování výsledků podle obvyklého pobytu se předpokl</w:t>
      </w:r>
      <w:r w:rsidRPr="00C24253">
        <w:rPr>
          <w:rFonts w:cs="Arial"/>
          <w:sz w:val="20"/>
          <w:szCs w:val="20"/>
        </w:rPr>
        <w:t>á</w:t>
      </w:r>
      <w:r w:rsidRPr="00C24253">
        <w:rPr>
          <w:rFonts w:cs="Arial"/>
          <w:sz w:val="20"/>
          <w:szCs w:val="20"/>
        </w:rPr>
        <w:t>dá podchycení skutečné situace, tj. vyloučení osob, které na daném území mají sice trvalý (evidovaný) p</w:t>
      </w:r>
      <w:r w:rsidRPr="00C24253">
        <w:rPr>
          <w:rFonts w:cs="Arial"/>
          <w:sz w:val="20"/>
          <w:szCs w:val="20"/>
        </w:rPr>
        <w:t>o</w:t>
      </w:r>
      <w:r w:rsidRPr="00C24253">
        <w:rPr>
          <w:rFonts w:cs="Arial"/>
          <w:sz w:val="20"/>
          <w:szCs w:val="20"/>
        </w:rPr>
        <w:t xml:space="preserve">byt, ale fakticky zde nežijí, a naopak zahrnutí všech osob, které zde dlouhodobě pobývají. Takový postup má vyloučit sečtení jedné osoby ve více státech. </w:t>
      </w:r>
    </w:p>
    <w:p w:rsidR="00A617BC" w:rsidRPr="00C24253" w:rsidRDefault="00A617BC" w:rsidP="009E2909">
      <w:pPr>
        <w:tabs>
          <w:tab w:val="left" w:pos="1560"/>
        </w:tabs>
        <w:rPr>
          <w:rFonts w:cs="Arial"/>
          <w:sz w:val="20"/>
          <w:szCs w:val="20"/>
        </w:rPr>
      </w:pPr>
      <w:r w:rsidRPr="00C24253">
        <w:rPr>
          <w:rFonts w:cs="Arial"/>
          <w:sz w:val="20"/>
          <w:szCs w:val="20"/>
        </w:rPr>
        <w:t>Pro naplnění požadavků vyplývajících z Nařízení bylo nezbytné připravit komplex opatření, které získání, vyhodnocení a zpracování údajů o obyvatelstvu podle obvyklého pobytu zabezpečil. Byl vytvořen nový m</w:t>
      </w:r>
      <w:r w:rsidRPr="00C24253">
        <w:rPr>
          <w:rFonts w:cs="Arial"/>
          <w:sz w:val="20"/>
          <w:szCs w:val="20"/>
        </w:rPr>
        <w:t>e</w:t>
      </w:r>
      <w:r w:rsidRPr="00C24253">
        <w:rPr>
          <w:rFonts w:cs="Arial"/>
          <w:sz w:val="20"/>
          <w:szCs w:val="20"/>
        </w:rPr>
        <w:t xml:space="preserve">todický postup, který si ve srovnání s předchozím sčítáním vyžádal </w:t>
      </w:r>
      <w:r w:rsidR="00CA0AD7">
        <w:rPr>
          <w:rFonts w:cs="Arial"/>
          <w:sz w:val="20"/>
          <w:szCs w:val="20"/>
        </w:rPr>
        <w:t xml:space="preserve">i </w:t>
      </w:r>
      <w:r w:rsidRPr="00C24253">
        <w:rPr>
          <w:rFonts w:cs="Arial"/>
          <w:sz w:val="20"/>
          <w:szCs w:val="20"/>
        </w:rPr>
        <w:t>inovaci obsahu sčítání, formulace ot</w:t>
      </w:r>
      <w:r w:rsidRPr="00C24253">
        <w:rPr>
          <w:rFonts w:cs="Arial"/>
          <w:sz w:val="20"/>
          <w:szCs w:val="20"/>
        </w:rPr>
        <w:t>á</w:t>
      </w:r>
      <w:r w:rsidRPr="00C24253">
        <w:rPr>
          <w:rFonts w:cs="Arial"/>
          <w:sz w:val="20"/>
          <w:szCs w:val="20"/>
        </w:rPr>
        <w:t xml:space="preserve">zek, odvozování nových ukazatelů, a ve svém důsledku znamenal změnu obsahu standardních publikačních výstupů. Koncept místa obvyklého pobytu se netýká pouze konkrétní lokalizace jednotlivé osoby, ale promítá se i do dalších </w:t>
      </w:r>
      <w:r w:rsidR="0085397F" w:rsidRPr="00C24253">
        <w:rPr>
          <w:rFonts w:cs="Arial"/>
          <w:sz w:val="20"/>
          <w:szCs w:val="20"/>
        </w:rPr>
        <w:t xml:space="preserve">charakteristik obyvatel, </w:t>
      </w:r>
      <w:r w:rsidRPr="00C24253">
        <w:rPr>
          <w:rFonts w:cs="Arial"/>
          <w:sz w:val="20"/>
          <w:szCs w:val="20"/>
        </w:rPr>
        <w:t xml:space="preserve">konstrukce obvykle bydlících domácností, výpočtu </w:t>
      </w:r>
      <w:proofErr w:type="spellStart"/>
      <w:r w:rsidRPr="00C24253">
        <w:rPr>
          <w:rFonts w:cs="Arial"/>
          <w:sz w:val="20"/>
          <w:szCs w:val="20"/>
        </w:rPr>
        <w:t>dojížďkových</w:t>
      </w:r>
      <w:proofErr w:type="spellEnd"/>
      <w:r w:rsidRPr="00C24253">
        <w:rPr>
          <w:rFonts w:cs="Arial"/>
          <w:sz w:val="20"/>
          <w:szCs w:val="20"/>
        </w:rPr>
        <w:t xml:space="preserve"> proudů aj.  </w:t>
      </w:r>
    </w:p>
    <w:p w:rsidR="00A617BC" w:rsidRPr="00522702" w:rsidRDefault="00DF2A9C" w:rsidP="00642AC6">
      <w:pPr>
        <w:pStyle w:val="podkapitola11Styl19"/>
        <w:numPr>
          <w:ilvl w:val="1"/>
          <w:numId w:val="46"/>
        </w:numPr>
        <w:ind w:left="567" w:hanging="567"/>
        <w:rPr>
          <w:rFonts w:cs="Arial"/>
        </w:rPr>
      </w:pPr>
      <w:r w:rsidRPr="00522702">
        <w:rPr>
          <w:rFonts w:cs="Arial"/>
        </w:rPr>
        <w:t>Zjišťování místa pobytu ve sčítáních 1921 - 2011</w:t>
      </w:r>
    </w:p>
    <w:p w:rsidR="00A617BC" w:rsidRPr="00C24253" w:rsidRDefault="00A617BC" w:rsidP="00A617BC">
      <w:pPr>
        <w:spacing w:after="120"/>
        <w:rPr>
          <w:rFonts w:cs="Arial"/>
          <w:sz w:val="20"/>
          <w:szCs w:val="20"/>
        </w:rPr>
      </w:pPr>
      <w:r w:rsidRPr="00C24253">
        <w:rPr>
          <w:rFonts w:cs="Arial"/>
          <w:sz w:val="20"/>
          <w:szCs w:val="20"/>
        </w:rPr>
        <w:t>Změna konceptu určování místa pobytu sčítaného není v  historii českého sčítání ojedinělá. Definování so</w:t>
      </w:r>
      <w:r w:rsidRPr="00C24253">
        <w:rPr>
          <w:rFonts w:cs="Arial"/>
          <w:sz w:val="20"/>
          <w:szCs w:val="20"/>
        </w:rPr>
        <w:t>u</w:t>
      </w:r>
      <w:r w:rsidRPr="00C24253">
        <w:rPr>
          <w:rFonts w:cs="Arial"/>
          <w:sz w:val="20"/>
          <w:szCs w:val="20"/>
        </w:rPr>
        <w:t>boru obyvatelstva, které bude předmětem sčítání, je klíčové metodické hledisko, které ovlivňuje nejen s</w:t>
      </w:r>
      <w:r w:rsidRPr="00C24253">
        <w:rPr>
          <w:rFonts w:cs="Arial"/>
          <w:sz w:val="20"/>
          <w:szCs w:val="20"/>
        </w:rPr>
        <w:t>a</w:t>
      </w:r>
      <w:r w:rsidRPr="00C24253">
        <w:rPr>
          <w:rFonts w:cs="Arial"/>
          <w:sz w:val="20"/>
          <w:szCs w:val="20"/>
        </w:rPr>
        <w:t xml:space="preserve">motné výsledky, ale veškeré procesy zajišťující sběr a zpracování dat. Je proto vždy určeno v dostatečném předstihu před samotným sčítáním. </w:t>
      </w:r>
    </w:p>
    <w:p w:rsidR="00A617BC" w:rsidRPr="00C24253" w:rsidRDefault="00A617BC" w:rsidP="00A617BC">
      <w:pPr>
        <w:spacing w:after="120"/>
        <w:rPr>
          <w:rFonts w:cs="Arial"/>
          <w:sz w:val="20"/>
          <w:szCs w:val="20"/>
        </w:rPr>
      </w:pPr>
      <w:r w:rsidRPr="00C24253">
        <w:rPr>
          <w:rFonts w:cs="Arial"/>
          <w:sz w:val="20"/>
          <w:szCs w:val="20"/>
        </w:rPr>
        <w:t>Hlavními faktory, které změnu konceptu v minulosti vyvolaly, byly především účel cenzu a využití zjištěných dat. Výsledky sčítání tak mohly např. reagovat na změnu intenzity mobility obyvatelstva (stěhování, práce v zahraničí) či posun ve významu jednotlivých složek populace (např. v posledních sčítáních zahrn</w:t>
      </w:r>
      <w:r w:rsidRPr="00C24253">
        <w:rPr>
          <w:rFonts w:cs="Arial"/>
          <w:sz w:val="20"/>
          <w:szCs w:val="20"/>
        </w:rPr>
        <w:t>u</w:t>
      </w:r>
      <w:r w:rsidRPr="00C24253">
        <w:rPr>
          <w:rFonts w:cs="Arial"/>
          <w:sz w:val="20"/>
          <w:szCs w:val="20"/>
        </w:rPr>
        <w:t>tí/nezahrnutí dlouhodobě přítomných cizinců apod.).</w:t>
      </w:r>
    </w:p>
    <w:p w:rsidR="00A617BC" w:rsidRPr="00C24253" w:rsidRDefault="00A617BC" w:rsidP="00A617BC">
      <w:pPr>
        <w:spacing w:after="120"/>
        <w:rPr>
          <w:rFonts w:cs="Arial"/>
          <w:sz w:val="20"/>
          <w:szCs w:val="20"/>
        </w:rPr>
      </w:pPr>
      <w:r w:rsidRPr="00C24253">
        <w:rPr>
          <w:rFonts w:cs="Arial"/>
          <w:sz w:val="20"/>
          <w:szCs w:val="20"/>
        </w:rPr>
        <w:t xml:space="preserve">První československé sčítání lidu, konané v roce </w:t>
      </w:r>
      <w:r w:rsidRPr="00C24253">
        <w:rPr>
          <w:rFonts w:cs="Arial"/>
          <w:b/>
          <w:sz w:val="20"/>
          <w:szCs w:val="20"/>
        </w:rPr>
        <w:t>1921</w:t>
      </w:r>
      <w:r w:rsidRPr="00C24253">
        <w:rPr>
          <w:rFonts w:cs="Arial"/>
          <w:sz w:val="20"/>
          <w:szCs w:val="20"/>
        </w:rPr>
        <w:t xml:space="preserve">, navázalo na předchozí sčítání z dob Rakouska - Uherska a bylo provedeno za tzv. </w:t>
      </w:r>
      <w:r w:rsidRPr="00C24253">
        <w:rPr>
          <w:rFonts w:cs="Arial"/>
          <w:b/>
          <w:sz w:val="20"/>
          <w:szCs w:val="20"/>
        </w:rPr>
        <w:t xml:space="preserve">přítomné obyvatelstvo. </w:t>
      </w:r>
      <w:r w:rsidRPr="00C24253">
        <w:rPr>
          <w:rFonts w:cs="Arial"/>
          <w:sz w:val="20"/>
          <w:szCs w:val="20"/>
        </w:rPr>
        <w:t xml:space="preserve">Osoby byly sečteny v místě, kde byly přítomny v rozhodný okamžik. Jednalo se tedy o osoby v daném místě bydlící a osoby dočasně přítomné. Kde osoba skutečně bydlí, nehrálo při sčítání 1921 roli. </w:t>
      </w:r>
    </w:p>
    <w:p w:rsidR="00A617BC" w:rsidRPr="00C24253" w:rsidRDefault="00A617BC" w:rsidP="00A617BC">
      <w:pPr>
        <w:spacing w:after="120"/>
        <w:rPr>
          <w:sz w:val="20"/>
          <w:szCs w:val="20"/>
        </w:rPr>
      </w:pPr>
      <w:r w:rsidRPr="00C24253">
        <w:rPr>
          <w:rFonts w:cs="Arial"/>
          <w:sz w:val="20"/>
          <w:szCs w:val="20"/>
        </w:rPr>
        <w:t xml:space="preserve">Hned v druhém československém sčítání v roce </w:t>
      </w:r>
      <w:r w:rsidRPr="00C24253">
        <w:rPr>
          <w:rFonts w:cs="Arial"/>
          <w:b/>
          <w:sz w:val="20"/>
          <w:szCs w:val="20"/>
        </w:rPr>
        <w:t>1930</w:t>
      </w:r>
      <w:r w:rsidRPr="00C24253">
        <w:rPr>
          <w:rFonts w:cs="Arial"/>
          <w:sz w:val="20"/>
          <w:szCs w:val="20"/>
        </w:rPr>
        <w:t xml:space="preserve"> došlo z pohledu místa pobytu k poměrně zásadnímu kroku. Poprvé bylo kromě přítomného obyvatelstva zjišťováno </w:t>
      </w:r>
      <w:r w:rsidRPr="00C24253">
        <w:rPr>
          <w:rFonts w:cs="Arial"/>
          <w:b/>
          <w:sz w:val="20"/>
          <w:szCs w:val="20"/>
        </w:rPr>
        <w:t>také obyvatelstvo bydlící</w:t>
      </w:r>
      <w:r w:rsidRPr="00C24253">
        <w:rPr>
          <w:rFonts w:cs="Arial"/>
          <w:sz w:val="20"/>
          <w:szCs w:val="20"/>
        </w:rPr>
        <w:t>. Ve sčítacím fo</w:t>
      </w:r>
      <w:r w:rsidRPr="00C24253">
        <w:rPr>
          <w:rFonts w:cs="Arial"/>
          <w:sz w:val="20"/>
          <w:szCs w:val="20"/>
        </w:rPr>
        <w:t>r</w:t>
      </w:r>
      <w:r w:rsidRPr="00C24253">
        <w:rPr>
          <w:rFonts w:cs="Arial"/>
          <w:sz w:val="20"/>
          <w:szCs w:val="20"/>
        </w:rPr>
        <w:t>muláři se zjišťovala dočasnost přítomných osob a doplňovaly se osoby dočasně nepřítomné, součet obyv</w:t>
      </w:r>
      <w:r w:rsidRPr="00C24253">
        <w:rPr>
          <w:rFonts w:cs="Arial"/>
          <w:sz w:val="20"/>
          <w:szCs w:val="20"/>
        </w:rPr>
        <w:t>a</w:t>
      </w:r>
      <w:r w:rsidRPr="00C24253">
        <w:rPr>
          <w:rFonts w:cs="Arial"/>
          <w:sz w:val="20"/>
          <w:szCs w:val="20"/>
        </w:rPr>
        <w:t xml:space="preserve">telstva trvale přítomného a dočasně nepřítomného vytvořil obyvatelstvo bydlící. Pravidla pro stanovení </w:t>
      </w:r>
      <w:r w:rsidRPr="00522702">
        <w:rPr>
          <w:rFonts w:cs="Arial"/>
          <w:sz w:val="20"/>
          <w:szCs w:val="20"/>
        </w:rPr>
        <w:t>d</w:t>
      </w:r>
      <w:r w:rsidRPr="00522702">
        <w:rPr>
          <w:rFonts w:cs="Arial"/>
          <w:sz w:val="20"/>
          <w:szCs w:val="20"/>
        </w:rPr>
        <w:t>o</w:t>
      </w:r>
      <w:r w:rsidRPr="00522702">
        <w:rPr>
          <w:rFonts w:cs="Arial"/>
          <w:sz w:val="20"/>
          <w:szCs w:val="20"/>
        </w:rPr>
        <w:t>časnosti/trvalosti</w:t>
      </w:r>
      <w:r w:rsidRPr="00C24253">
        <w:rPr>
          <w:rFonts w:cs="Arial"/>
          <w:sz w:val="20"/>
          <w:szCs w:val="20"/>
        </w:rPr>
        <w:t xml:space="preserve"> pobytu byla daná instrukcemi ve vysvětlivkách a v mnohém se shodují s dnešními kritérii pro zahrnutí do obvykle bydlících (např. za dočasně nepřítomné se měly označit osoby vzdálené pouze na sezónní práce či jinak krátkodobě nepřítomní, naopak za dlouhodobě nepřítomné (nebydlící) se považovali chovanci výchovných ústavů, vězňové apod.). Přes tento důležitý posun směřující ke snaze zjistit skutečný počet obyvatel územních celků bylo pramenné dílo i všechna ostatní publikovaná data stále založeny na přítomném obyvatelstvu jako na záruce úplnosti sčítání. Za </w:t>
      </w:r>
      <w:r w:rsidRPr="00C24253">
        <w:rPr>
          <w:sz w:val="20"/>
          <w:szCs w:val="20"/>
        </w:rPr>
        <w:t xml:space="preserve">bydlící obyvatelstvo byly zveřejněny jen celkové počty v územním třídění za jednotlivé země. I tyto omezené výstupy ale umožnily základní analýzu rozdílů mezi přítomným a bydlícím obyvatelstvem. V České a Moravskoslezské zemi (kde bylo nejvíce pracovních míst) bylo zjištěno poměrně více osob dočasně přítomných. Na Slovensku a v Podkarpatské Rusi naopak zvýšený počet osob dočasné nepřítomných. </w:t>
      </w:r>
    </w:p>
    <w:p w:rsidR="00A617BC" w:rsidRPr="00C24253" w:rsidRDefault="00A617BC" w:rsidP="00A617BC">
      <w:pPr>
        <w:spacing w:after="120"/>
        <w:rPr>
          <w:rFonts w:cs="Arial"/>
          <w:sz w:val="20"/>
          <w:szCs w:val="20"/>
        </w:rPr>
      </w:pPr>
      <w:r w:rsidRPr="00C24253">
        <w:rPr>
          <w:rFonts w:cs="Arial"/>
          <w:sz w:val="20"/>
          <w:szCs w:val="20"/>
        </w:rPr>
        <w:t xml:space="preserve">Sčítání v roce </w:t>
      </w:r>
      <w:r w:rsidRPr="00C24253">
        <w:rPr>
          <w:rFonts w:cs="Arial"/>
          <w:b/>
          <w:sz w:val="20"/>
          <w:szCs w:val="20"/>
        </w:rPr>
        <w:t>1950</w:t>
      </w:r>
      <w:r w:rsidRPr="00C24253">
        <w:rPr>
          <w:rFonts w:cs="Arial"/>
          <w:sz w:val="20"/>
          <w:szCs w:val="20"/>
        </w:rPr>
        <w:t xml:space="preserve"> nepřineslo žádnou podstatnou změnu, opět bylo zjišťováno jak obyvatelstvo přítomné, tak bydlící. Data byla nadále zpracovávána za přítomné obyvatelstvo.</w:t>
      </w:r>
    </w:p>
    <w:p w:rsidR="009D0488" w:rsidRPr="00C24253" w:rsidRDefault="00A617BC" w:rsidP="00A617BC">
      <w:pPr>
        <w:spacing w:after="120"/>
        <w:rPr>
          <w:rFonts w:cs="Arial"/>
          <w:sz w:val="20"/>
          <w:szCs w:val="20"/>
        </w:rPr>
      </w:pPr>
      <w:r w:rsidRPr="00C24253">
        <w:rPr>
          <w:rFonts w:cs="Arial"/>
          <w:sz w:val="20"/>
          <w:szCs w:val="20"/>
        </w:rPr>
        <w:t xml:space="preserve">Z mnoha pohledů bylo přelomovým sčítání uskutečněné </w:t>
      </w:r>
      <w:r w:rsidRPr="00C24253">
        <w:rPr>
          <w:rFonts w:cs="Arial"/>
          <w:b/>
          <w:sz w:val="20"/>
          <w:szCs w:val="20"/>
        </w:rPr>
        <w:t>v roce 1961</w:t>
      </w:r>
      <w:r w:rsidRPr="00C24253">
        <w:rPr>
          <w:rFonts w:cs="Arial"/>
          <w:sz w:val="20"/>
          <w:szCs w:val="20"/>
        </w:rPr>
        <w:t>. Jednou z významných změn předst</w:t>
      </w:r>
      <w:r w:rsidRPr="00C24253">
        <w:rPr>
          <w:rFonts w:cs="Arial"/>
          <w:sz w:val="20"/>
          <w:szCs w:val="20"/>
        </w:rPr>
        <w:t>a</w:t>
      </w:r>
      <w:r w:rsidRPr="00C24253">
        <w:rPr>
          <w:rFonts w:cs="Arial"/>
          <w:sz w:val="20"/>
          <w:szCs w:val="20"/>
        </w:rPr>
        <w:t xml:space="preserve">vovalo zpracování a publikování výstupů za </w:t>
      </w:r>
      <w:r w:rsidRPr="00C24253">
        <w:rPr>
          <w:rFonts w:cs="Arial"/>
          <w:b/>
          <w:sz w:val="20"/>
          <w:szCs w:val="20"/>
        </w:rPr>
        <w:t>trvale bydlící obyvatelstvo</w:t>
      </w:r>
      <w:r w:rsidRPr="00C24253">
        <w:rPr>
          <w:rFonts w:cs="Arial"/>
          <w:sz w:val="20"/>
          <w:szCs w:val="20"/>
        </w:rPr>
        <w:t xml:space="preserve">. Z předchozích cenzů bylo zřejmé, že zvyšující se mobilita obyvatel ovlivňuje stále více i počty přítomného obyvatelstva na daném území. Zjistit a hlavně zpracovat výsledky za obyvatelstvo bydlící se tedy ukázalo jako nutnost. Jedním z důvodů změny bylo také propojení sčítání lidu se soupisem bytů a zpracování údajů za domácnosti. </w:t>
      </w:r>
    </w:p>
    <w:p w:rsidR="00A617BC" w:rsidRPr="00C24253" w:rsidRDefault="00A617BC" w:rsidP="00A617BC">
      <w:pPr>
        <w:spacing w:after="120"/>
        <w:rPr>
          <w:rFonts w:cs="Arial"/>
          <w:sz w:val="20"/>
          <w:szCs w:val="20"/>
        </w:rPr>
      </w:pPr>
      <w:r w:rsidRPr="00C24253">
        <w:rPr>
          <w:rFonts w:cs="Arial"/>
          <w:sz w:val="20"/>
          <w:szCs w:val="20"/>
        </w:rPr>
        <w:t>Rovněž sílící poptávka po údajích a jejich zpracování za nižší územní celky mělo na rozhodnutí o trvalém pobytu vliv. Při porovnání přítomného a bydlícího obyvatelstva na úrovni obcí jsou totiž rozdíly nejmarkan</w:t>
      </w:r>
      <w:r w:rsidRPr="00C24253">
        <w:rPr>
          <w:rFonts w:cs="Arial"/>
          <w:sz w:val="20"/>
          <w:szCs w:val="20"/>
        </w:rPr>
        <w:t>t</w:t>
      </w:r>
      <w:r w:rsidRPr="00C24253">
        <w:rPr>
          <w:rFonts w:cs="Arial"/>
          <w:sz w:val="20"/>
          <w:szCs w:val="20"/>
        </w:rPr>
        <w:lastRenderedPageBreak/>
        <w:t>nější. Pro určení stálého bydliště byly zvažovány různé varianty. Deklaratorní způsob, kdy si každá osoba určí místo svého pobytu sama, nebo vyhodnocení objektivních znaků typu délka pobytu či zákonem evid</w:t>
      </w:r>
      <w:r w:rsidRPr="00C24253">
        <w:rPr>
          <w:rFonts w:cs="Arial"/>
          <w:sz w:val="20"/>
          <w:szCs w:val="20"/>
        </w:rPr>
        <w:t>o</w:t>
      </w:r>
      <w:r w:rsidRPr="00C24253">
        <w:rPr>
          <w:rFonts w:cs="Arial"/>
          <w:sz w:val="20"/>
          <w:szCs w:val="20"/>
        </w:rPr>
        <w:t xml:space="preserve">vané bydliště. Po zvážení všech možností bylo rozhodnuto, že za stálé bydliště osoby se bude považovat jeho </w:t>
      </w:r>
      <w:r w:rsidRPr="00C24253">
        <w:rPr>
          <w:rFonts w:cs="Arial"/>
          <w:b/>
          <w:sz w:val="20"/>
          <w:szCs w:val="20"/>
        </w:rPr>
        <w:t>trvalé bydliště</w:t>
      </w:r>
      <w:r w:rsidRPr="00C24253">
        <w:rPr>
          <w:rFonts w:cs="Arial"/>
          <w:sz w:val="20"/>
          <w:szCs w:val="20"/>
        </w:rPr>
        <w:t>. Z hlediska sčítání měl institut trvalého pobytu někol</w:t>
      </w:r>
      <w:r w:rsidR="00D423B3">
        <w:rPr>
          <w:rFonts w:cs="Arial"/>
          <w:sz w:val="20"/>
          <w:szCs w:val="20"/>
        </w:rPr>
        <w:t>ik výhod. Byl ošetřen zákonem a </w:t>
      </w:r>
      <w:r w:rsidRPr="00C24253">
        <w:rPr>
          <w:rFonts w:cs="Arial"/>
          <w:sz w:val="20"/>
          <w:szCs w:val="20"/>
        </w:rPr>
        <w:t xml:space="preserve">k trvalému pobytu musel být občan přihlášen pouze v jednom místě (což zajišťovalo úplnost sčítání). Podle místa trvalého pobytu byla také už zjišťována migrace a běžná demografická statistika. </w:t>
      </w:r>
    </w:p>
    <w:p w:rsidR="00A617BC" w:rsidRPr="00C24253" w:rsidRDefault="00A617BC" w:rsidP="00155F1F">
      <w:pPr>
        <w:spacing w:after="120"/>
        <w:rPr>
          <w:rFonts w:cs="Arial"/>
          <w:sz w:val="20"/>
          <w:szCs w:val="20"/>
        </w:rPr>
      </w:pPr>
      <w:r w:rsidRPr="00C24253">
        <w:rPr>
          <w:rFonts w:cs="Arial"/>
          <w:sz w:val="20"/>
          <w:szCs w:val="20"/>
        </w:rPr>
        <w:t xml:space="preserve">V následujících sčítáních </w:t>
      </w:r>
      <w:r w:rsidRPr="00C24253">
        <w:rPr>
          <w:rFonts w:cs="Arial"/>
          <w:b/>
          <w:sz w:val="20"/>
          <w:szCs w:val="20"/>
        </w:rPr>
        <w:t>1970, 1980 a 1991</w:t>
      </w:r>
      <w:r w:rsidRPr="00C24253">
        <w:rPr>
          <w:rFonts w:cs="Arial"/>
          <w:sz w:val="20"/>
          <w:szCs w:val="20"/>
        </w:rPr>
        <w:t xml:space="preserve"> byla dodržována </w:t>
      </w:r>
      <w:r w:rsidRPr="00C24253">
        <w:rPr>
          <w:rFonts w:cs="Arial"/>
          <w:b/>
          <w:sz w:val="20"/>
          <w:szCs w:val="20"/>
        </w:rPr>
        <w:t>metodika z roku 1961</w:t>
      </w:r>
      <w:r w:rsidRPr="00C24253">
        <w:rPr>
          <w:rFonts w:cs="Arial"/>
          <w:sz w:val="20"/>
          <w:szCs w:val="20"/>
        </w:rPr>
        <w:t xml:space="preserve"> a všechny údaje byly zpracovány a publikovány za trvale bydlící obyvatelstvo. Současně však díky zjišťování dočasné přítomnosti resp. nepřítomnosti osob v místě trvalého pobytu bylo možné vždy zkonstruovat i údaj o přítomném obyv</w:t>
      </w:r>
      <w:r w:rsidRPr="00C24253">
        <w:rPr>
          <w:rFonts w:cs="Arial"/>
          <w:sz w:val="20"/>
          <w:szCs w:val="20"/>
        </w:rPr>
        <w:t>a</w:t>
      </w:r>
      <w:r w:rsidRPr="00C24253">
        <w:rPr>
          <w:rFonts w:cs="Arial"/>
          <w:sz w:val="20"/>
          <w:szCs w:val="20"/>
        </w:rPr>
        <w:t>telstvu.</w:t>
      </w:r>
    </w:p>
    <w:p w:rsidR="00A617BC" w:rsidRPr="00C24253" w:rsidRDefault="00A617BC" w:rsidP="00155F1F">
      <w:pPr>
        <w:spacing w:after="120"/>
        <w:rPr>
          <w:rFonts w:cs="Arial"/>
          <w:sz w:val="20"/>
          <w:szCs w:val="20"/>
        </w:rPr>
      </w:pPr>
      <w:r w:rsidRPr="00C24253">
        <w:rPr>
          <w:rFonts w:cs="Arial"/>
          <w:sz w:val="20"/>
          <w:szCs w:val="20"/>
        </w:rPr>
        <w:t>Během devadesátých let minulého století došlo k významnému nárůstu migračních toků z a do České repu</w:t>
      </w:r>
      <w:r w:rsidRPr="00C24253">
        <w:rPr>
          <w:rFonts w:cs="Arial"/>
          <w:sz w:val="20"/>
          <w:szCs w:val="20"/>
        </w:rPr>
        <w:t>b</w:t>
      </w:r>
      <w:r w:rsidRPr="00C24253">
        <w:rPr>
          <w:rFonts w:cs="Arial"/>
          <w:sz w:val="20"/>
          <w:szCs w:val="20"/>
        </w:rPr>
        <w:t xml:space="preserve">liky. Na to reagovalo také </w:t>
      </w:r>
      <w:r w:rsidRPr="00C24253">
        <w:rPr>
          <w:rFonts w:cs="Arial"/>
          <w:b/>
          <w:sz w:val="20"/>
          <w:szCs w:val="20"/>
        </w:rPr>
        <w:t>sčítání v roce 2001</w:t>
      </w:r>
      <w:r w:rsidRPr="00C24253">
        <w:rPr>
          <w:rFonts w:cs="Arial"/>
          <w:sz w:val="20"/>
          <w:szCs w:val="20"/>
        </w:rPr>
        <w:t>. Do celkového počtu obyvatel České republiky proto byly z</w:t>
      </w:r>
      <w:r w:rsidRPr="00C24253">
        <w:rPr>
          <w:rFonts w:cs="Arial"/>
          <w:sz w:val="20"/>
          <w:szCs w:val="20"/>
        </w:rPr>
        <w:t>a</w:t>
      </w:r>
      <w:r w:rsidRPr="00C24253">
        <w:rPr>
          <w:rFonts w:cs="Arial"/>
          <w:sz w:val="20"/>
          <w:szCs w:val="20"/>
        </w:rPr>
        <w:t>hrnuty nově osoby s cizí státní příslušností s dlouhodobým pobytem na našem území (tj. přechodným pob</w:t>
      </w:r>
      <w:r w:rsidRPr="00C24253">
        <w:rPr>
          <w:rFonts w:cs="Arial"/>
          <w:sz w:val="20"/>
          <w:szCs w:val="20"/>
        </w:rPr>
        <w:t>y</w:t>
      </w:r>
      <w:r w:rsidRPr="00C24253">
        <w:rPr>
          <w:rFonts w:cs="Arial"/>
          <w:sz w:val="20"/>
          <w:szCs w:val="20"/>
        </w:rPr>
        <w:t>tem, pokud doba jejich pobytu přesáhla 90 dnů). Informace o dočasné př</w:t>
      </w:r>
      <w:r w:rsidR="00D423B3">
        <w:rPr>
          <w:rFonts w:cs="Arial"/>
          <w:sz w:val="20"/>
          <w:szCs w:val="20"/>
        </w:rPr>
        <w:t>ítomnosti byla zjištěna pouze u </w:t>
      </w:r>
      <w:r w:rsidRPr="00C24253">
        <w:rPr>
          <w:rFonts w:cs="Arial"/>
          <w:sz w:val="20"/>
          <w:szCs w:val="20"/>
        </w:rPr>
        <w:t>osob s trvalým pobytem, u kterých byla tedy zpracována jak adresa místa sečtení, tak adresa trvalého bydliště. V případě cizinců se dočasná přítomnost nezjišťovala, pouze dočasná nepřítomnost u dlouhodob</w:t>
      </w:r>
      <w:r w:rsidRPr="00C24253">
        <w:rPr>
          <w:rFonts w:cs="Arial"/>
          <w:sz w:val="20"/>
          <w:szCs w:val="20"/>
        </w:rPr>
        <w:t>é</w:t>
      </w:r>
      <w:r w:rsidRPr="00C24253">
        <w:rPr>
          <w:rFonts w:cs="Arial"/>
          <w:sz w:val="20"/>
          <w:szCs w:val="20"/>
        </w:rPr>
        <w:t>ho pobytu. Proto v roce 2001 nemohl být korektní údaj o přítomném obyvatelstvu v plném rozsahu vypočten.</w:t>
      </w:r>
    </w:p>
    <w:p w:rsidR="00155F1F" w:rsidRPr="00C24253" w:rsidRDefault="00A617BC" w:rsidP="00155F1F">
      <w:pPr>
        <w:spacing w:after="120"/>
        <w:rPr>
          <w:rFonts w:cs="Arial"/>
          <w:sz w:val="20"/>
          <w:szCs w:val="20"/>
        </w:rPr>
      </w:pPr>
      <w:r w:rsidRPr="00C24253">
        <w:rPr>
          <w:rFonts w:cs="Arial"/>
          <w:sz w:val="20"/>
          <w:szCs w:val="20"/>
        </w:rPr>
        <w:t xml:space="preserve">Další změnu z pohledu metodiky stanovení bydliště osoby přineslo </w:t>
      </w:r>
      <w:r w:rsidRPr="00C24253">
        <w:rPr>
          <w:rFonts w:cs="Arial"/>
          <w:b/>
          <w:sz w:val="20"/>
          <w:szCs w:val="20"/>
        </w:rPr>
        <w:t>sčítání 2011</w:t>
      </w:r>
      <w:r w:rsidRPr="00C24253">
        <w:rPr>
          <w:rFonts w:cs="Arial"/>
          <w:sz w:val="20"/>
          <w:szCs w:val="20"/>
        </w:rPr>
        <w:t xml:space="preserve">. Obdobně jako přechod od přítomného k trvale bydlícímu obyvatelstvu v roce 1961, byl také přechod od trvale bydlícího k </w:t>
      </w:r>
      <w:r w:rsidRPr="00C24253">
        <w:rPr>
          <w:rFonts w:cs="Arial"/>
          <w:b/>
          <w:sz w:val="20"/>
          <w:szCs w:val="20"/>
        </w:rPr>
        <w:t>obvykle by</w:t>
      </w:r>
      <w:r w:rsidRPr="00C24253">
        <w:rPr>
          <w:rFonts w:cs="Arial"/>
          <w:b/>
          <w:sz w:val="20"/>
          <w:szCs w:val="20"/>
        </w:rPr>
        <w:t>d</w:t>
      </w:r>
      <w:r w:rsidRPr="00C24253">
        <w:rPr>
          <w:rFonts w:cs="Arial"/>
          <w:b/>
          <w:sz w:val="20"/>
          <w:szCs w:val="20"/>
        </w:rPr>
        <w:t>lícímu obyvatelstvu</w:t>
      </w:r>
      <w:r w:rsidRPr="00C24253">
        <w:rPr>
          <w:rFonts w:cs="Arial"/>
          <w:sz w:val="20"/>
          <w:szCs w:val="20"/>
        </w:rPr>
        <w:t xml:space="preserve"> vyvolán snahou přiblížit se realitě. </w:t>
      </w:r>
    </w:p>
    <w:p w:rsidR="009D0488" w:rsidRPr="00C24253" w:rsidRDefault="00A617BC" w:rsidP="00155F1F">
      <w:pPr>
        <w:spacing w:after="120"/>
        <w:rPr>
          <w:rFonts w:cs="Arial"/>
          <w:sz w:val="20"/>
          <w:szCs w:val="20"/>
        </w:rPr>
      </w:pPr>
      <w:r w:rsidRPr="00C24253">
        <w:rPr>
          <w:rFonts w:cs="Arial"/>
          <w:sz w:val="20"/>
          <w:szCs w:val="20"/>
        </w:rPr>
        <w:t>V době, kdy má institut trvalého pobytu v řadě případů pouze evidenční charakter a mobilita nejen v rámci ČR, ale v rámci celé EU nabývá na významu, je tato změna nanejvýš opodstatněná. Přesto nelze pominout fakt, že veřejná správa České republiky operuje výlučně s pojmem trvalý pobyt, tento se také objevuje v</w:t>
      </w:r>
      <w:r w:rsidR="0085397F" w:rsidRPr="00C24253">
        <w:rPr>
          <w:rFonts w:cs="Arial"/>
          <w:sz w:val="20"/>
          <w:szCs w:val="20"/>
        </w:rPr>
        <w:t> </w:t>
      </w:r>
      <w:r w:rsidRPr="00C24253">
        <w:rPr>
          <w:rFonts w:cs="Arial"/>
          <w:sz w:val="20"/>
          <w:szCs w:val="20"/>
        </w:rPr>
        <w:t>zákonech</w:t>
      </w:r>
      <w:r w:rsidR="0085397F" w:rsidRPr="00C24253">
        <w:rPr>
          <w:rFonts w:cs="Arial"/>
          <w:sz w:val="20"/>
          <w:szCs w:val="20"/>
        </w:rPr>
        <w:t xml:space="preserve"> ČR</w:t>
      </w:r>
      <w:r w:rsidRPr="00C24253">
        <w:rPr>
          <w:rFonts w:cs="Arial"/>
          <w:sz w:val="20"/>
          <w:szCs w:val="20"/>
        </w:rPr>
        <w:t xml:space="preserve">. Jsou na něm postaveny rovněž časové řady a také běžná demografická statistika. Proto jsou ze sčítání 2011 k dispozici oba údaje, jak obvyklý, tak trvalý pobyt. </w:t>
      </w:r>
    </w:p>
    <w:p w:rsidR="00A617BC" w:rsidRPr="00C24253" w:rsidRDefault="00A617BC" w:rsidP="00155F1F">
      <w:pPr>
        <w:spacing w:after="120"/>
        <w:rPr>
          <w:rFonts w:cs="Arial"/>
          <w:sz w:val="20"/>
          <w:szCs w:val="20"/>
        </w:rPr>
      </w:pPr>
      <w:r w:rsidRPr="00C24253">
        <w:rPr>
          <w:rFonts w:cs="Arial"/>
          <w:sz w:val="20"/>
          <w:szCs w:val="20"/>
        </w:rPr>
        <w:t xml:space="preserve">Trvalý pobyt nebyl </w:t>
      </w:r>
      <w:r w:rsidR="00F1639C">
        <w:rPr>
          <w:rFonts w:cs="Arial"/>
          <w:sz w:val="20"/>
          <w:szCs w:val="20"/>
        </w:rPr>
        <w:t>z</w:t>
      </w:r>
      <w:r w:rsidRPr="00C24253">
        <w:rPr>
          <w:rFonts w:cs="Arial"/>
          <w:sz w:val="20"/>
          <w:szCs w:val="20"/>
        </w:rPr>
        <w:t>jišťován přímo ve sčítacím formuláři, ale byl doplněn v průběhu zpracování propojením s informacemi z Informačního systému evidence obyvatel Ministerstva vnitra. Podle trvalého bydliště byly také publikovány první výsledky ze sčítání 2011 - tabulky předběžných výsledků. Všechny definitivní výsle</w:t>
      </w:r>
      <w:r w:rsidRPr="00C24253">
        <w:rPr>
          <w:rFonts w:cs="Arial"/>
          <w:sz w:val="20"/>
          <w:szCs w:val="20"/>
        </w:rPr>
        <w:t>d</w:t>
      </w:r>
      <w:r w:rsidRPr="00C24253">
        <w:rPr>
          <w:rFonts w:cs="Arial"/>
          <w:sz w:val="20"/>
          <w:szCs w:val="20"/>
        </w:rPr>
        <w:t xml:space="preserve">ky byly ale již zpracovány za obvykle bydlící obyvatelstvo. </w:t>
      </w:r>
    </w:p>
    <w:p w:rsidR="00A617BC" w:rsidRPr="00C24253" w:rsidRDefault="00DF2A9C" w:rsidP="00642AC6">
      <w:pPr>
        <w:pStyle w:val="podkapitola11Styl19"/>
        <w:numPr>
          <w:ilvl w:val="1"/>
          <w:numId w:val="46"/>
        </w:numPr>
        <w:ind w:left="567" w:hanging="567"/>
      </w:pPr>
      <w:r w:rsidRPr="00C24253">
        <w:t>Místo obvyklého pobytu ve sčítání 2011</w:t>
      </w:r>
    </w:p>
    <w:p w:rsidR="00A617BC" w:rsidRPr="00C24253" w:rsidRDefault="00A617BC" w:rsidP="005D623D">
      <w:pPr>
        <w:pStyle w:val="Zkladntext"/>
        <w:spacing w:after="240"/>
        <w:ind w:firstLine="0"/>
        <w:rPr>
          <w:b/>
          <w:bCs/>
        </w:rPr>
      </w:pPr>
      <w:r w:rsidRPr="00C24253">
        <w:t xml:space="preserve">Definice místa obvyklého pobytu respektovala mezinárodní doporučení; důraz byl kladen zejména na vazbu respondenta na konkrétní domácnost.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71"/>
      </w:tblGrid>
      <w:tr w:rsidR="00CC5E50" w:rsidRPr="00C24253" w:rsidTr="00706051">
        <w:trPr>
          <w:trHeight w:val="1531"/>
          <w:jc w:val="center"/>
        </w:trPr>
        <w:tc>
          <w:tcPr>
            <w:tcW w:w="9071" w:type="dxa"/>
            <w:vAlign w:val="center"/>
          </w:tcPr>
          <w:p w:rsidR="00CC5E50" w:rsidRPr="00C24253" w:rsidRDefault="00CC5E50" w:rsidP="00706051">
            <w:pPr>
              <w:autoSpaceDE w:val="0"/>
              <w:autoSpaceDN w:val="0"/>
              <w:adjustRightInd w:val="0"/>
              <w:jc w:val="left"/>
              <w:rPr>
                <w:rFonts w:eastAsia="Calibri" w:cs="Arial"/>
                <w:i/>
                <w:sz w:val="20"/>
                <w:szCs w:val="20"/>
                <w:lang w:eastAsia="en-US"/>
              </w:rPr>
            </w:pPr>
            <w:r w:rsidRPr="00C24253">
              <w:rPr>
                <w:rFonts w:eastAsia="Calibri" w:cs="Arial"/>
                <w:i/>
                <w:sz w:val="20"/>
                <w:szCs w:val="20"/>
                <w:lang w:eastAsia="en-US"/>
              </w:rPr>
              <w:t>Obvyklý pobyt se nachází v místě, kde osoba obvykle tráví období svého každodenního odpočinku bez ohledu na dočasnou nepřítomnost z důvodu rekreace, návštěv, pracovních cest, pobytu ve zdravotnickém zařízení apod. a kde je členem konkrétní domácnosti.</w:t>
            </w:r>
          </w:p>
          <w:p w:rsidR="00CC5E50" w:rsidRPr="00C24253" w:rsidRDefault="00CC5E50" w:rsidP="00855589">
            <w:pPr>
              <w:autoSpaceDE w:val="0"/>
              <w:autoSpaceDN w:val="0"/>
              <w:adjustRightInd w:val="0"/>
              <w:jc w:val="left"/>
              <w:rPr>
                <w:rFonts w:eastAsia="Calibri" w:cs="Arial"/>
                <w:i/>
                <w:sz w:val="20"/>
                <w:szCs w:val="20"/>
                <w:lang w:eastAsia="en-US"/>
              </w:rPr>
            </w:pPr>
            <w:r w:rsidRPr="00C24253">
              <w:rPr>
                <w:rFonts w:eastAsia="Calibri" w:cs="Arial"/>
                <w:i/>
                <w:iCs/>
                <w:sz w:val="20"/>
                <w:szCs w:val="20"/>
                <w:lang w:eastAsia="en-US"/>
              </w:rPr>
              <w:t>Domácnost tvoří fyzické osoby, které spolu trvale žijí a společně uhrazují náklady na své potřeby</w:t>
            </w:r>
            <w:r w:rsidRPr="00C24253">
              <w:rPr>
                <w:rFonts w:eastAsia="Calibri" w:cs="Arial"/>
                <w:i/>
                <w:sz w:val="20"/>
                <w:szCs w:val="20"/>
                <w:lang w:eastAsia="en-US"/>
              </w:rPr>
              <w:t xml:space="preserve"> – </w:t>
            </w:r>
            <w:r w:rsidRPr="00C24253">
              <w:rPr>
                <w:rFonts w:eastAsia="Calibri" w:cs="Arial"/>
                <w:i/>
                <w:iCs/>
                <w:sz w:val="20"/>
                <w:szCs w:val="20"/>
                <w:lang w:eastAsia="en-US"/>
              </w:rPr>
              <w:t xml:space="preserve">viz § 115 </w:t>
            </w:r>
            <w:r w:rsidR="00855589">
              <w:rPr>
                <w:rFonts w:eastAsia="Calibri" w:cs="Arial"/>
                <w:i/>
                <w:iCs/>
                <w:sz w:val="20"/>
                <w:szCs w:val="20"/>
                <w:lang w:eastAsia="en-US"/>
              </w:rPr>
              <w:t>Z</w:t>
            </w:r>
            <w:r w:rsidRPr="00C24253">
              <w:rPr>
                <w:rFonts w:eastAsia="Calibri" w:cs="Arial"/>
                <w:i/>
                <w:iCs/>
                <w:sz w:val="20"/>
                <w:szCs w:val="20"/>
                <w:lang w:eastAsia="en-US"/>
              </w:rPr>
              <w:t xml:space="preserve">ákona č. 40/1964 Sb., Občanský zákoník. </w:t>
            </w:r>
          </w:p>
        </w:tc>
      </w:tr>
    </w:tbl>
    <w:p w:rsidR="005D623D" w:rsidRPr="004637CB" w:rsidRDefault="005D623D" w:rsidP="00CC5E50">
      <w:pPr>
        <w:pStyle w:val="Zkladntext"/>
        <w:spacing w:before="240"/>
        <w:ind w:firstLine="0"/>
      </w:pPr>
      <w:r w:rsidRPr="00C24253">
        <w:t>Při vytváření metodiky a definování místa obvyklého pobytu se vycházelo především z již zmíněného Nař</w:t>
      </w:r>
      <w:r w:rsidRPr="00C24253">
        <w:t>í</w:t>
      </w:r>
      <w:r w:rsidRPr="00C24253">
        <w:t>zení Evropského parlamentu a Rady o sčítání lidu, domů a bytů.</w:t>
      </w:r>
      <w:r w:rsidRPr="00C24253">
        <w:rPr>
          <w:b/>
        </w:rPr>
        <w:t xml:space="preserve"> </w:t>
      </w:r>
      <w:r w:rsidRPr="00C24253">
        <w:t xml:space="preserve">To definuje obvyklý pobyt jako </w:t>
      </w:r>
      <w:r w:rsidRPr="004637CB">
        <w:t>místo, kde osoba obvykle tráví období každodenního odpočinku bez ohledu na dočasnou nepřítomnost pro účely rekr</w:t>
      </w:r>
      <w:r w:rsidRPr="004637CB">
        <w:t>e</w:t>
      </w:r>
      <w:r w:rsidRPr="004637CB">
        <w:t xml:space="preserve">ace, dovolené, návštěv u přátel a příbuzných, služebních cest, léčení </w:t>
      </w:r>
      <w:r w:rsidR="004637CB">
        <w:t>aj.</w:t>
      </w:r>
    </w:p>
    <w:p w:rsidR="00A617BC" w:rsidRPr="004637CB" w:rsidRDefault="004637CB" w:rsidP="00CC5E50">
      <w:pPr>
        <w:autoSpaceDE w:val="0"/>
        <w:autoSpaceDN w:val="0"/>
        <w:adjustRightInd w:val="0"/>
        <w:spacing w:after="120"/>
        <w:rPr>
          <w:rFonts w:cs="Arial"/>
          <w:sz w:val="20"/>
          <w:szCs w:val="20"/>
        </w:rPr>
      </w:pPr>
      <w:proofErr w:type="gramStart"/>
      <w:r>
        <w:rPr>
          <w:rFonts w:cs="Arial"/>
          <w:sz w:val="20"/>
          <w:szCs w:val="20"/>
        </w:rPr>
        <w:t>Za</w:t>
      </w:r>
      <w:proofErr w:type="gramEnd"/>
      <w:r>
        <w:rPr>
          <w:rFonts w:cs="Arial"/>
          <w:sz w:val="20"/>
          <w:szCs w:val="20"/>
        </w:rPr>
        <w:t xml:space="preserve"> </w:t>
      </w:r>
      <w:r w:rsidR="00A617BC" w:rsidRPr="004637CB">
        <w:rPr>
          <w:rFonts w:cs="Arial"/>
          <w:sz w:val="20"/>
          <w:szCs w:val="20"/>
        </w:rPr>
        <w:t xml:space="preserve">osoby s místem obvyklého pobytu v dotčené zeměpisné oblasti se považují pouze osoby, </w:t>
      </w:r>
      <w:proofErr w:type="gramStart"/>
      <w:r>
        <w:rPr>
          <w:rFonts w:cs="Arial"/>
          <w:sz w:val="20"/>
          <w:szCs w:val="20"/>
        </w:rPr>
        <w:t>které</w:t>
      </w:r>
      <w:proofErr w:type="gramEnd"/>
      <w:r>
        <w:rPr>
          <w:rFonts w:cs="Arial"/>
          <w:sz w:val="20"/>
          <w:szCs w:val="20"/>
        </w:rPr>
        <w:t xml:space="preserve"> </w:t>
      </w:r>
    </w:p>
    <w:p w:rsidR="00A617BC" w:rsidRPr="004637CB" w:rsidRDefault="00A617BC" w:rsidP="004637CB">
      <w:pPr>
        <w:pStyle w:val="odrkyzlevaodsazeno0"/>
      </w:pPr>
      <w:r w:rsidRPr="004637CB">
        <w:t>bydlely v místě svého obvyklého pobytu nepřetržitě alespoň dvanáct měsíců před referenčním datem nebo</w:t>
      </w:r>
    </w:p>
    <w:p w:rsidR="00A617BC" w:rsidRPr="004637CB" w:rsidRDefault="00A617BC" w:rsidP="004637CB">
      <w:pPr>
        <w:pStyle w:val="odrkyzlevaodsazeno0"/>
      </w:pPr>
      <w:proofErr w:type="gramStart"/>
      <w:r w:rsidRPr="004637CB">
        <w:t>se přistěhovaly</w:t>
      </w:r>
      <w:proofErr w:type="gramEnd"/>
      <w:r w:rsidRPr="004637CB">
        <w:t xml:space="preserve"> do místa svého obvyklého pobytu během období dvanácti měsíců před referenčním datem s úmyslem zůstat tam alespoň jeden rok.</w:t>
      </w:r>
    </w:p>
    <w:p w:rsidR="00A617BC" w:rsidRPr="004637CB" w:rsidRDefault="00A617BC" w:rsidP="00A617BC">
      <w:pPr>
        <w:autoSpaceDE w:val="0"/>
        <w:autoSpaceDN w:val="0"/>
        <w:adjustRightInd w:val="0"/>
        <w:spacing w:after="120"/>
        <w:rPr>
          <w:rFonts w:cs="Arial"/>
          <w:sz w:val="20"/>
          <w:szCs w:val="20"/>
        </w:rPr>
      </w:pPr>
      <w:r w:rsidRPr="004637CB">
        <w:rPr>
          <w:rFonts w:cs="Arial"/>
          <w:sz w:val="20"/>
          <w:szCs w:val="20"/>
        </w:rPr>
        <w:t xml:space="preserve">Pokud </w:t>
      </w:r>
      <w:r w:rsidR="004637CB">
        <w:rPr>
          <w:rFonts w:cs="Arial"/>
          <w:sz w:val="20"/>
          <w:szCs w:val="20"/>
        </w:rPr>
        <w:t xml:space="preserve">tyto </w:t>
      </w:r>
      <w:r w:rsidRPr="004637CB">
        <w:rPr>
          <w:rFonts w:cs="Arial"/>
          <w:sz w:val="20"/>
          <w:szCs w:val="20"/>
        </w:rPr>
        <w:t>okolnosti nelze prokázat, rozumí se místem obvyklého pobytu místo zákonného nebo ohlášeného pobytu</w:t>
      </w:r>
      <w:r w:rsidR="00CC5E50" w:rsidRPr="004637CB">
        <w:rPr>
          <w:rFonts w:cs="Arial"/>
          <w:sz w:val="20"/>
          <w:szCs w:val="20"/>
        </w:rPr>
        <w:t>.</w:t>
      </w:r>
    </w:p>
    <w:p w:rsidR="005D20ED" w:rsidRPr="00C24253" w:rsidRDefault="00A617BC" w:rsidP="00A617BC">
      <w:pPr>
        <w:pStyle w:val="ParagraphIndent"/>
        <w:tabs>
          <w:tab w:val="clear" w:pos="720"/>
        </w:tabs>
        <w:ind w:left="0" w:firstLine="0"/>
        <w:jc w:val="both"/>
        <w:rPr>
          <w:rFonts w:ascii="Arial" w:hAnsi="Arial" w:cs="Arial"/>
          <w:sz w:val="20"/>
          <w:szCs w:val="20"/>
          <w:lang w:val="cs-CZ"/>
        </w:rPr>
      </w:pPr>
      <w:r w:rsidRPr="00C24253">
        <w:rPr>
          <w:rFonts w:ascii="Arial" w:hAnsi="Arial" w:cs="Arial"/>
          <w:sz w:val="20"/>
          <w:szCs w:val="20"/>
          <w:lang w:val="cs-CZ"/>
        </w:rPr>
        <w:t xml:space="preserve">Druhým neméně důležitým metodickým dokumentem byla </w:t>
      </w:r>
      <w:r w:rsidRPr="00C24253">
        <w:rPr>
          <w:rFonts w:ascii="Arial" w:hAnsi="Arial" w:cs="Arial"/>
          <w:b/>
          <w:bCs/>
          <w:sz w:val="20"/>
          <w:szCs w:val="20"/>
          <w:lang w:val="cs-CZ"/>
        </w:rPr>
        <w:t xml:space="preserve">Mezinárodní doporučení KES </w:t>
      </w:r>
      <w:r w:rsidRPr="00C24253">
        <w:rPr>
          <w:rFonts w:ascii="Arial" w:hAnsi="Arial" w:cs="Arial"/>
          <w:sz w:val="20"/>
          <w:szCs w:val="20"/>
          <w:lang w:val="cs-CZ"/>
        </w:rPr>
        <w:t>(</w:t>
      </w:r>
      <w:r w:rsidRPr="00C24253">
        <w:rPr>
          <w:rStyle w:val="StyleParagraphItalicChar"/>
          <w:rFonts w:ascii="Arial" w:hAnsi="Arial" w:cs="Arial"/>
          <w:sz w:val="20"/>
          <w:szCs w:val="20"/>
          <w:lang w:val="cs-CZ"/>
        </w:rPr>
        <w:t xml:space="preserve">CES </w:t>
      </w:r>
      <w:r w:rsidRPr="00C24253">
        <w:rPr>
          <w:rStyle w:val="StyleParagraphItalicChar"/>
          <w:rFonts w:ascii="Arial" w:hAnsi="Arial" w:cs="Arial"/>
          <w:sz w:val="20"/>
          <w:szCs w:val="20"/>
          <w:lang w:val="en-AU"/>
        </w:rPr>
        <w:t>Reco</w:t>
      </w:r>
      <w:r w:rsidRPr="00C24253">
        <w:rPr>
          <w:rStyle w:val="StyleParagraphItalicChar"/>
          <w:rFonts w:ascii="Arial" w:hAnsi="Arial" w:cs="Arial"/>
          <w:sz w:val="20"/>
          <w:szCs w:val="20"/>
          <w:lang w:val="en-AU"/>
        </w:rPr>
        <w:t>m</w:t>
      </w:r>
      <w:r w:rsidRPr="00C24253">
        <w:rPr>
          <w:rStyle w:val="StyleParagraphItalicChar"/>
          <w:rFonts w:ascii="Arial" w:hAnsi="Arial" w:cs="Arial"/>
          <w:sz w:val="20"/>
          <w:szCs w:val="20"/>
          <w:lang w:val="en-AU"/>
        </w:rPr>
        <w:t>mendations</w:t>
      </w:r>
      <w:r w:rsidRPr="00C24253">
        <w:rPr>
          <w:rFonts w:ascii="Arial" w:hAnsi="Arial" w:cs="Arial"/>
          <w:sz w:val="20"/>
          <w:szCs w:val="20"/>
          <w:lang w:val="en-AU"/>
        </w:rPr>
        <w:t xml:space="preserve"> </w:t>
      </w:r>
      <w:r w:rsidRPr="00C24253">
        <w:rPr>
          <w:rStyle w:val="StyleParagraphItalicChar"/>
          <w:rFonts w:ascii="Arial" w:hAnsi="Arial" w:cs="Arial"/>
          <w:sz w:val="20"/>
          <w:szCs w:val="20"/>
          <w:lang w:val="en-AU"/>
        </w:rPr>
        <w:t>for the 2010 Round of Population and Housing Censuses</w:t>
      </w:r>
      <w:r w:rsidRPr="00C24253">
        <w:rPr>
          <w:rFonts w:ascii="Arial" w:hAnsi="Arial" w:cs="Arial"/>
          <w:sz w:val="20"/>
          <w:szCs w:val="20"/>
          <w:lang w:val="cs-CZ"/>
        </w:rPr>
        <w:t xml:space="preserve">), kde kromě samotné definice byly popsány také nejednoznačné případy, resp. bylo sjednoceno jejich řešení jako např. </w:t>
      </w:r>
    </w:p>
    <w:p w:rsidR="005D20ED" w:rsidRPr="00C24253" w:rsidRDefault="00A617BC" w:rsidP="00EE6C11">
      <w:pPr>
        <w:pStyle w:val="odrkyzlevaodsazeno0"/>
      </w:pPr>
      <w:r w:rsidRPr="00C24253">
        <w:lastRenderedPageBreak/>
        <w:t>místem obvyklého pobytu osob pracujících v</w:t>
      </w:r>
      <w:r w:rsidR="00B26E83" w:rsidRPr="00C24253">
        <w:t xml:space="preserve"> </w:t>
      </w:r>
      <w:r w:rsidRPr="00C24253">
        <w:t>průběhu týdne mimo domov a vracejících se k</w:t>
      </w:r>
      <w:r w:rsidR="00B26E83" w:rsidRPr="00C24253">
        <w:t xml:space="preserve"> </w:t>
      </w:r>
      <w:r w:rsidR="00D423B3">
        <w:t>rodině o </w:t>
      </w:r>
      <w:r w:rsidRPr="00C24253">
        <w:t xml:space="preserve">víkendu, je bydliště jejich rodiny, a to bez ohledu na to, zda pracují jinde v zemi nebo v zahraničí; příp. místo sečtení je považováno za místo obvyklého pobytu bezdomovců, kočovníků, tuláků a osob bez stálého místa pobytu, </w:t>
      </w:r>
    </w:p>
    <w:p w:rsidR="00A617BC" w:rsidRPr="00C24253" w:rsidRDefault="00A617BC" w:rsidP="00EE6C11">
      <w:pPr>
        <w:pStyle w:val="odrkyzlevaodsazeno0"/>
      </w:pPr>
      <w:r w:rsidRPr="00C24253">
        <w:t>místem obvyklého pobytu studentů terciárního vzdělávání, kteří studují mimo domov na vysoké škole, je místo, kde studují, bez ohledu na to, zda žijí v ubytovacím zařízení (koleji) nebo jsou</w:t>
      </w:r>
      <w:r w:rsidR="00D423B3">
        <w:t xml:space="preserve"> ubytováni v </w:t>
      </w:r>
      <w:r w:rsidRPr="00C24253">
        <w:t>soukromí a nezávisle na tom, zda studují jinde ve své zemi nebo v zahraničí. Výjimečně, v případě, že navštěvovaná škola je v zemi bydliště rodiny, může být za místo obvyklého pobytu považováno bydliště rodiny studenta“ apod.</w:t>
      </w:r>
    </w:p>
    <w:p w:rsidR="00A617BC" w:rsidRPr="00C24253" w:rsidRDefault="00A617BC" w:rsidP="009D0488">
      <w:pPr>
        <w:pStyle w:val="Mujnadpis2"/>
        <w:spacing w:after="240"/>
        <w:jc w:val="both"/>
        <w:rPr>
          <w:rFonts w:cs="Arial"/>
          <w:b w:val="0"/>
          <w:bCs w:val="0"/>
          <w:sz w:val="20"/>
          <w:szCs w:val="20"/>
          <w:u w:val="none"/>
        </w:rPr>
      </w:pPr>
      <w:r w:rsidRPr="00C24253">
        <w:rPr>
          <w:b w:val="0"/>
          <w:sz w:val="20"/>
          <w:szCs w:val="20"/>
          <w:u w:val="none"/>
        </w:rPr>
        <w:t>Protože pojem „obvyklý pobyt“ nebyl – na rozdíl od trvalého pobytu - pro veřejnost obecně známý a srozum</w:t>
      </w:r>
      <w:r w:rsidRPr="00C24253">
        <w:rPr>
          <w:b w:val="0"/>
          <w:sz w:val="20"/>
          <w:szCs w:val="20"/>
          <w:u w:val="none"/>
        </w:rPr>
        <w:t>i</w:t>
      </w:r>
      <w:r w:rsidRPr="00C24253">
        <w:rPr>
          <w:b w:val="0"/>
          <w:sz w:val="20"/>
          <w:szCs w:val="20"/>
          <w:u w:val="none"/>
        </w:rPr>
        <w:t xml:space="preserve">telný, bylo rozhodnuto, že se nebude jednat o samostatnou otázku na sčítacím formuláři. Konkrétní adresa místa obvyklého pobytu jednotlivé osoby se tedy zpracovávala vyhodnocením deklarace sčítaného o bydlišti v rozhodný okamžik, bydlišti před rokem a informace o trvalém bydlišti, pokud byla k dispozici z administrativního zdroje. </w:t>
      </w:r>
    </w:p>
    <w:p w:rsidR="00A617BC" w:rsidRPr="00C24253" w:rsidRDefault="00A617BC" w:rsidP="00A617BC">
      <w:pPr>
        <w:spacing w:after="120"/>
        <w:rPr>
          <w:sz w:val="20"/>
          <w:szCs w:val="20"/>
        </w:rPr>
      </w:pPr>
      <w:r w:rsidRPr="00C24253">
        <w:rPr>
          <w:b/>
          <w:sz w:val="20"/>
          <w:szCs w:val="20"/>
        </w:rPr>
        <w:t>Osoba byla mezi obvykle bydlící v ČR zahrnuta, pokud</w:t>
      </w:r>
      <w:r w:rsidRPr="00C24253">
        <w:rPr>
          <w:sz w:val="20"/>
          <w:szCs w:val="20"/>
        </w:rPr>
        <w:t>:</w:t>
      </w:r>
    </w:p>
    <w:p w:rsidR="00A617BC" w:rsidRPr="00C24253" w:rsidRDefault="00A617BC" w:rsidP="00155F1F">
      <w:pPr>
        <w:pStyle w:val="odrkyzlevaodsazeno0"/>
      </w:pPr>
      <w:r w:rsidRPr="00C24253">
        <w:t xml:space="preserve">deklarovala, že její faktické bydliště je na území ČR a zároveň bydliště před rokem také, případně šlo o osobu trvale bydlící </w:t>
      </w:r>
    </w:p>
    <w:p w:rsidR="00A617BC" w:rsidRPr="00C24253" w:rsidRDefault="00A617BC" w:rsidP="00155F1F">
      <w:pPr>
        <w:pStyle w:val="odrkyzlevaodsazeno0"/>
      </w:pPr>
      <w:r w:rsidRPr="00C24253">
        <w:t>deklarovala, že momentálně žije v zahraničí, ale před rokem byla v ČR a zároveň měla v ČR trvalý pobyt. U těchto osob se předpokládalo, že jejich pobyt v jiném státě je pouze dočasný.</w:t>
      </w:r>
    </w:p>
    <w:p w:rsidR="00A617BC" w:rsidRPr="00C24253" w:rsidRDefault="00A617BC" w:rsidP="00155F1F">
      <w:pPr>
        <w:pStyle w:val="odrkyzlevaodsazeno0"/>
      </w:pPr>
      <w:r w:rsidRPr="00C24253">
        <w:t>nedeklarovala své faktické bydliště, ale podle údaje o trvalém bydlišti a podle podpůrných informací z administrativních zdrojů (poslední změna údajů v registru, bydliště na ohlašovně) se předpokládalo, že se osoba na území ČR zdržuje.</w:t>
      </w:r>
    </w:p>
    <w:p w:rsidR="00A617BC" w:rsidRPr="00C24253" w:rsidRDefault="00A617BC" w:rsidP="00A617BC">
      <w:pPr>
        <w:autoSpaceDE w:val="0"/>
        <w:autoSpaceDN w:val="0"/>
        <w:adjustRightInd w:val="0"/>
        <w:spacing w:after="120"/>
        <w:rPr>
          <w:rFonts w:eastAsia="TimesCE-Roman" w:cs="Arial"/>
          <w:sz w:val="20"/>
          <w:szCs w:val="20"/>
        </w:rPr>
      </w:pPr>
      <w:r w:rsidRPr="00C24253">
        <w:rPr>
          <w:rFonts w:eastAsia="TimesCE-Roman" w:cs="Arial"/>
          <w:sz w:val="20"/>
          <w:szCs w:val="20"/>
        </w:rPr>
        <w:t>Celý proces odvozování adresy místa obvyklého pobytu proběhl automatizovaně na začátku zpracování. Důvodem byla návaznost dalších činností a odvozování dalších ukazatelů, které již s místem obvyklého p</w:t>
      </w:r>
      <w:r w:rsidRPr="00C24253">
        <w:rPr>
          <w:rFonts w:eastAsia="TimesCE-Roman" w:cs="Arial"/>
          <w:sz w:val="20"/>
          <w:szCs w:val="20"/>
        </w:rPr>
        <w:t>o</w:t>
      </w:r>
      <w:r w:rsidRPr="00C24253">
        <w:rPr>
          <w:rFonts w:eastAsia="TimesCE-Roman" w:cs="Arial"/>
          <w:sz w:val="20"/>
          <w:szCs w:val="20"/>
        </w:rPr>
        <w:t xml:space="preserve">bytu pracovaly. Šlo především o konstrukci domácností, ukazatele </w:t>
      </w:r>
      <w:proofErr w:type="spellStart"/>
      <w:r w:rsidRPr="00C24253">
        <w:rPr>
          <w:rFonts w:eastAsia="TimesCE-Roman" w:cs="Arial"/>
          <w:sz w:val="20"/>
          <w:szCs w:val="20"/>
        </w:rPr>
        <w:t>obydlenosti</w:t>
      </w:r>
      <w:proofErr w:type="spellEnd"/>
      <w:r w:rsidRPr="00C24253">
        <w:rPr>
          <w:rFonts w:eastAsia="TimesCE-Roman" w:cs="Arial"/>
          <w:sz w:val="20"/>
          <w:szCs w:val="20"/>
        </w:rPr>
        <w:t xml:space="preserve">, lokalizace pracoviště ve vztahu k bydlišti, výpočet </w:t>
      </w:r>
      <w:proofErr w:type="spellStart"/>
      <w:r w:rsidRPr="00C24253">
        <w:rPr>
          <w:rFonts w:eastAsia="TimesCE-Roman" w:cs="Arial"/>
          <w:sz w:val="20"/>
          <w:szCs w:val="20"/>
        </w:rPr>
        <w:t>dojížďkových</w:t>
      </w:r>
      <w:proofErr w:type="spellEnd"/>
      <w:r w:rsidRPr="00C24253">
        <w:rPr>
          <w:rFonts w:eastAsia="TimesCE-Roman" w:cs="Arial"/>
          <w:sz w:val="20"/>
          <w:szCs w:val="20"/>
        </w:rPr>
        <w:t xml:space="preserve"> proudů a další. </w:t>
      </w:r>
    </w:p>
    <w:p w:rsidR="00A617BC" w:rsidRPr="00C24253" w:rsidRDefault="00A617BC" w:rsidP="00A617BC">
      <w:pPr>
        <w:spacing w:after="120"/>
        <w:rPr>
          <w:sz w:val="20"/>
          <w:szCs w:val="20"/>
        </w:rPr>
      </w:pPr>
      <w:r w:rsidRPr="00C24253">
        <w:rPr>
          <w:sz w:val="20"/>
          <w:szCs w:val="20"/>
        </w:rPr>
        <w:t>Před začátkem odvozování místa obvyklého pobytu bylo nutné provést kontroly korektního a logicky sprá</w:t>
      </w:r>
      <w:r w:rsidRPr="00C24253">
        <w:rPr>
          <w:sz w:val="20"/>
          <w:szCs w:val="20"/>
        </w:rPr>
        <w:t>v</w:t>
      </w:r>
      <w:r w:rsidRPr="00C24253">
        <w:rPr>
          <w:sz w:val="20"/>
          <w:szCs w:val="20"/>
        </w:rPr>
        <w:t>ného vyplnění otázek č. 5 a č. 6 na sčítacím formuláři, se kterými algoritmus odvozování pracoval. Mimo jiné se ověřovala správnost (existence) adresy bydliště v rozhodný okamžik s využitím údajů z Registru sčítacích obvodů a budov.</w:t>
      </w:r>
    </w:p>
    <w:p w:rsidR="00A617BC" w:rsidRPr="00C24253" w:rsidRDefault="00A617BC" w:rsidP="00A617BC">
      <w:pPr>
        <w:spacing w:after="120"/>
        <w:rPr>
          <w:sz w:val="20"/>
          <w:szCs w:val="20"/>
        </w:rPr>
      </w:pPr>
      <w:r w:rsidRPr="00C24253">
        <w:rPr>
          <w:sz w:val="20"/>
          <w:szCs w:val="20"/>
        </w:rPr>
        <w:t xml:space="preserve">V samotném procesu odvozování místa obvyklého pobytu bylo vytvořeno 5 nových územních identifikátorů, které jednoznačně určovaly adresu místa obvyklého pobytu osoby až do úrovně domu. Šlo o okres, obec, část obce, číslo domovní a statistický obvod. </w:t>
      </w:r>
    </w:p>
    <w:p w:rsidR="00A617BC" w:rsidRPr="00C24253" w:rsidRDefault="00A617BC" w:rsidP="00A617BC">
      <w:pPr>
        <w:spacing w:after="120"/>
        <w:rPr>
          <w:b/>
          <w:sz w:val="20"/>
          <w:szCs w:val="20"/>
        </w:rPr>
      </w:pPr>
      <w:r w:rsidRPr="00C24253">
        <w:rPr>
          <w:b/>
          <w:sz w:val="20"/>
          <w:szCs w:val="20"/>
        </w:rPr>
        <w:t xml:space="preserve">Algoritmus u každé osoby vyhodnocoval </w:t>
      </w:r>
    </w:p>
    <w:p w:rsidR="00A617BC" w:rsidRPr="00C24253" w:rsidRDefault="00A617BC" w:rsidP="00155F1F">
      <w:pPr>
        <w:pStyle w:val="odrkyzlevaodsazeno0"/>
      </w:pPr>
      <w:r w:rsidRPr="00C24253">
        <w:t xml:space="preserve">bydliště v rozhodný okamžik (otázka na sčítacím formuláři) </w:t>
      </w:r>
    </w:p>
    <w:p w:rsidR="00A617BC" w:rsidRPr="00C24253" w:rsidRDefault="00A617BC" w:rsidP="00155F1F">
      <w:pPr>
        <w:pStyle w:val="odrkyzlevaodsazeno0"/>
      </w:pPr>
      <w:r w:rsidRPr="00C24253">
        <w:t xml:space="preserve">místo sečtení (územní identifikace sčítacího formuláře), </w:t>
      </w:r>
    </w:p>
    <w:p w:rsidR="00A617BC" w:rsidRPr="00C24253" w:rsidRDefault="00A617BC" w:rsidP="00155F1F">
      <w:pPr>
        <w:pStyle w:val="odrkyzlevaodsazeno0"/>
        <w:spacing w:after="240"/>
      </w:pPr>
      <w:r w:rsidRPr="00C24253">
        <w:t>místo trvalého pobytu resp. místo pobytu cizince s povolením k pobytu (údaj z administrativního zdr</w:t>
      </w:r>
      <w:r w:rsidRPr="00C24253">
        <w:t>o</w:t>
      </w:r>
      <w:r w:rsidRPr="00C24253">
        <w:t>je)</w:t>
      </w:r>
      <w:r w:rsidRPr="00C24253">
        <w:rPr>
          <w:b/>
          <w:bCs/>
          <w:u w:val="single"/>
        </w:rPr>
        <w:t xml:space="preserve"> </w:t>
      </w:r>
    </w:p>
    <w:p w:rsidR="00A617BC" w:rsidRPr="00C24253" w:rsidRDefault="00A617BC" w:rsidP="00155F1F">
      <w:pPr>
        <w:pStyle w:val="Zkladntext"/>
        <w:spacing w:after="240"/>
        <w:ind w:firstLine="0"/>
        <w:rPr>
          <w:b/>
        </w:rPr>
      </w:pPr>
      <w:r w:rsidRPr="00C24253">
        <w:t>Největší váhu měla deklarace respondenta na sčítacím formuláři o místě jeho faktického bydliště k rozhodnému okamžiku. Kritérium dvanácti měsíců bylo vztahováno výhradně k </w:t>
      </w:r>
      <w:proofErr w:type="spellStart"/>
      <w:r w:rsidRPr="00C24253">
        <w:t>nápočtu</w:t>
      </w:r>
      <w:proofErr w:type="spellEnd"/>
      <w:r w:rsidRPr="00C24253">
        <w:t xml:space="preserve"> obvykle bydlících obyvatel ČR. Konkrétní bydliště rok před sčítáním nebylo pro odvozování adresy místa obvyklého pobytu zásadní. To znamená, že pokud osoba patřila do obvykle bydlících obyvat</w:t>
      </w:r>
      <w:r w:rsidR="00D423B3">
        <w:t>el ČR a v průběhu posledních 12 </w:t>
      </w:r>
      <w:r w:rsidRPr="00C24253">
        <w:t>měsíců před rozhodným okamžikem se v rámci území republiky přestěhovala, nebyla tato skutečnost pro stanovení adresy místa obvyklého pobytu významná. Pomocí informací z administrativního zdroje byly ro</w:t>
      </w:r>
      <w:r w:rsidRPr="00C24253">
        <w:t>v</w:t>
      </w:r>
      <w:r w:rsidRPr="00C24253">
        <w:t xml:space="preserve">něž eliminovány případy „bydliště“ na ohlašovnách pobytu. </w:t>
      </w:r>
    </w:p>
    <w:p w:rsidR="00437C46" w:rsidRPr="00C24253" w:rsidRDefault="00A617BC" w:rsidP="00A617BC">
      <w:pPr>
        <w:spacing w:after="120"/>
        <w:rPr>
          <w:b/>
          <w:sz w:val="20"/>
          <w:szCs w:val="20"/>
        </w:rPr>
      </w:pPr>
      <w:r w:rsidRPr="00C24253">
        <w:rPr>
          <w:b/>
          <w:sz w:val="20"/>
          <w:szCs w:val="20"/>
        </w:rPr>
        <w:t>Počet obvykle bydlících obyvatel Č</w:t>
      </w:r>
      <w:r w:rsidR="00437C46" w:rsidRPr="00C24253">
        <w:rPr>
          <w:b/>
          <w:sz w:val="20"/>
          <w:szCs w:val="20"/>
        </w:rPr>
        <w:t>eské republiky</w:t>
      </w:r>
      <w:r w:rsidRPr="00C24253">
        <w:rPr>
          <w:b/>
          <w:sz w:val="20"/>
          <w:szCs w:val="20"/>
        </w:rPr>
        <w:t xml:space="preserve"> k 26. 3. 2011 činil 10 436 560 osob</w:t>
      </w:r>
      <w:r w:rsidR="00437C46" w:rsidRPr="00C24253">
        <w:rPr>
          <w:b/>
          <w:sz w:val="20"/>
          <w:szCs w:val="20"/>
        </w:rPr>
        <w:t>.</w:t>
      </w:r>
    </w:p>
    <w:p w:rsidR="00A617BC" w:rsidRPr="00C24253" w:rsidRDefault="00A617BC" w:rsidP="00A617BC">
      <w:pPr>
        <w:spacing w:after="120"/>
        <w:rPr>
          <w:sz w:val="20"/>
          <w:szCs w:val="20"/>
        </w:rPr>
      </w:pPr>
      <w:r w:rsidRPr="00C24253">
        <w:rPr>
          <w:sz w:val="20"/>
          <w:szCs w:val="20"/>
        </w:rPr>
        <w:t xml:space="preserve">V celkovém počtu obvykle bydlících obyvatel jsou zahrnuty </w:t>
      </w:r>
    </w:p>
    <w:p w:rsidR="00A617BC" w:rsidRPr="00C24253" w:rsidRDefault="00A617BC" w:rsidP="00E87820">
      <w:pPr>
        <w:numPr>
          <w:ilvl w:val="0"/>
          <w:numId w:val="6"/>
        </w:numPr>
        <w:spacing w:after="120"/>
        <w:rPr>
          <w:sz w:val="20"/>
          <w:szCs w:val="20"/>
        </w:rPr>
      </w:pPr>
      <w:r w:rsidRPr="00C24253">
        <w:rPr>
          <w:sz w:val="20"/>
          <w:szCs w:val="20"/>
        </w:rPr>
        <w:t>osoby, které mají kromě obvyklého i trvalý pobyt (mají záznam v administrativním zdroji); jsou to</w:t>
      </w:r>
    </w:p>
    <w:p w:rsidR="00A617BC" w:rsidRPr="00C24253" w:rsidRDefault="00A617BC" w:rsidP="00E87820">
      <w:pPr>
        <w:pStyle w:val="h3"/>
        <w:numPr>
          <w:ilvl w:val="0"/>
          <w:numId w:val="5"/>
        </w:numPr>
        <w:spacing w:before="0" w:beforeAutospacing="0" w:after="120" w:afterAutospacing="0"/>
        <w:jc w:val="both"/>
        <w:rPr>
          <w:rFonts w:ascii="Arial" w:eastAsia="Times New Roman" w:hAnsi="Arial" w:cs="Arial"/>
        </w:rPr>
      </w:pPr>
      <w:bookmarkStart w:id="1" w:name="OLE_LINK2"/>
      <w:r w:rsidRPr="00C24253">
        <w:rPr>
          <w:rFonts w:ascii="Arial" w:eastAsia="Times New Roman" w:hAnsi="Arial" w:cs="Arial"/>
        </w:rPr>
        <w:t>občané ČR trvale bydlící - přítomní nebo méně než 12 měsíců nepřítomní na území ČR</w:t>
      </w:r>
      <w:bookmarkEnd w:id="1"/>
    </w:p>
    <w:p w:rsidR="00A617BC" w:rsidRPr="00C24253" w:rsidRDefault="00A617BC" w:rsidP="00E87820">
      <w:pPr>
        <w:pStyle w:val="h3"/>
        <w:numPr>
          <w:ilvl w:val="0"/>
          <w:numId w:val="5"/>
        </w:numPr>
        <w:spacing w:before="0" w:beforeAutospacing="0" w:after="120" w:afterAutospacing="0"/>
        <w:jc w:val="both"/>
        <w:rPr>
          <w:rFonts w:ascii="Arial" w:eastAsia="Times New Roman" w:hAnsi="Arial" w:cs="Arial"/>
        </w:rPr>
      </w:pPr>
      <w:r w:rsidRPr="00C24253">
        <w:rPr>
          <w:rFonts w:ascii="Arial" w:eastAsia="Times New Roman" w:hAnsi="Arial" w:cs="Arial"/>
        </w:rPr>
        <w:t>cizinci trvale bydlící - přítomní nebo méně než 12 měsíců nepřítomní na území ČR</w:t>
      </w:r>
    </w:p>
    <w:p w:rsidR="00A617BC" w:rsidRPr="00C24253" w:rsidRDefault="00A617BC" w:rsidP="00E87820">
      <w:pPr>
        <w:pStyle w:val="h3"/>
        <w:numPr>
          <w:ilvl w:val="0"/>
          <w:numId w:val="5"/>
        </w:numPr>
        <w:spacing w:before="0" w:beforeAutospacing="0" w:after="120" w:afterAutospacing="0"/>
        <w:jc w:val="both"/>
        <w:rPr>
          <w:rFonts w:ascii="Arial" w:eastAsia="Times New Roman" w:hAnsi="Arial" w:cs="Arial"/>
        </w:rPr>
      </w:pPr>
      <w:r w:rsidRPr="00C24253">
        <w:rPr>
          <w:rFonts w:ascii="Arial" w:hAnsi="Arial" w:cs="Arial"/>
        </w:rPr>
        <w:lastRenderedPageBreak/>
        <w:t xml:space="preserve">cizinci s povolením k přechodnému pobytu na dlouhodobá víza - </w:t>
      </w:r>
      <w:r w:rsidR="00D423B3">
        <w:rPr>
          <w:rFonts w:ascii="Arial" w:eastAsia="Times New Roman" w:hAnsi="Arial" w:cs="Arial"/>
        </w:rPr>
        <w:t>přítomní nebo méně než 12 </w:t>
      </w:r>
      <w:r w:rsidRPr="00C24253">
        <w:rPr>
          <w:rFonts w:ascii="Arial" w:eastAsia="Times New Roman" w:hAnsi="Arial" w:cs="Arial"/>
        </w:rPr>
        <w:t>měsíců nepřítomní na území ČR</w:t>
      </w:r>
    </w:p>
    <w:p w:rsidR="00A617BC" w:rsidRPr="00C24253" w:rsidRDefault="00A617BC" w:rsidP="00E87820">
      <w:pPr>
        <w:pStyle w:val="h3"/>
        <w:numPr>
          <w:ilvl w:val="0"/>
          <w:numId w:val="5"/>
        </w:numPr>
        <w:spacing w:before="0" w:beforeAutospacing="0" w:after="120" w:afterAutospacing="0"/>
        <w:ind w:left="1066" w:hanging="357"/>
        <w:jc w:val="both"/>
      </w:pPr>
      <w:r w:rsidRPr="00C24253">
        <w:rPr>
          <w:rFonts w:ascii="Arial" w:hAnsi="Arial" w:cs="Arial"/>
        </w:rPr>
        <w:t>azylanti</w:t>
      </w:r>
      <w:r w:rsidRPr="00C24253">
        <w:t xml:space="preserve"> </w:t>
      </w:r>
    </w:p>
    <w:p w:rsidR="00A617BC" w:rsidRPr="00C24253" w:rsidRDefault="00A617BC" w:rsidP="00E87820">
      <w:pPr>
        <w:numPr>
          <w:ilvl w:val="0"/>
          <w:numId w:val="6"/>
        </w:numPr>
        <w:spacing w:after="120"/>
        <w:ind w:hanging="357"/>
        <w:rPr>
          <w:rFonts w:cs="Arial"/>
          <w:sz w:val="20"/>
          <w:szCs w:val="20"/>
        </w:rPr>
      </w:pPr>
      <w:r w:rsidRPr="00C24253">
        <w:rPr>
          <w:sz w:val="20"/>
          <w:szCs w:val="20"/>
        </w:rPr>
        <w:t xml:space="preserve">osoby, které mají pouze obvyklý pobyt (nemají záznam v administrativním zdroji); jsou to  </w:t>
      </w:r>
    </w:p>
    <w:p w:rsidR="00A617BC" w:rsidRPr="00C24253" w:rsidRDefault="00A617BC" w:rsidP="00E87820">
      <w:pPr>
        <w:pStyle w:val="h3"/>
        <w:numPr>
          <w:ilvl w:val="0"/>
          <w:numId w:val="4"/>
        </w:numPr>
        <w:spacing w:before="0" w:beforeAutospacing="0" w:after="120" w:afterAutospacing="0"/>
        <w:ind w:hanging="357"/>
        <w:jc w:val="both"/>
        <w:rPr>
          <w:rFonts w:ascii="Arial" w:eastAsia="Times New Roman" w:hAnsi="Arial" w:cs="Arial"/>
        </w:rPr>
      </w:pPr>
      <w:r w:rsidRPr="00C24253">
        <w:rPr>
          <w:rFonts w:ascii="Arial" w:eastAsia="Times New Roman" w:hAnsi="Arial" w:cs="Arial"/>
        </w:rPr>
        <w:t>cizinci bez víz legálně pobývající v ČR (občané EU) - přítomní na území ČR 12 měsíců a déle</w:t>
      </w:r>
    </w:p>
    <w:p w:rsidR="00A617BC" w:rsidRPr="00C24253" w:rsidRDefault="00A617BC" w:rsidP="00E87820">
      <w:pPr>
        <w:numPr>
          <w:ilvl w:val="0"/>
          <w:numId w:val="4"/>
        </w:numPr>
        <w:spacing w:after="120"/>
        <w:ind w:hanging="357"/>
        <w:rPr>
          <w:sz w:val="20"/>
          <w:szCs w:val="20"/>
        </w:rPr>
      </w:pPr>
      <w:r w:rsidRPr="00C24253">
        <w:rPr>
          <w:rFonts w:cs="Arial"/>
          <w:sz w:val="20"/>
          <w:szCs w:val="20"/>
        </w:rPr>
        <w:t>cizinci nelegálně pobývající v ČR - přítomní na území ČR 12 měsíců a déle</w:t>
      </w:r>
    </w:p>
    <w:p w:rsidR="00A617BC" w:rsidRPr="00C24253" w:rsidRDefault="00A617BC" w:rsidP="00E87820">
      <w:pPr>
        <w:numPr>
          <w:ilvl w:val="0"/>
          <w:numId w:val="4"/>
        </w:numPr>
        <w:spacing w:after="360"/>
        <w:ind w:left="1066" w:hanging="357"/>
        <w:rPr>
          <w:sz w:val="20"/>
          <w:szCs w:val="20"/>
        </w:rPr>
      </w:pPr>
      <w:r w:rsidRPr="00C24253">
        <w:rPr>
          <w:rFonts w:cs="Arial"/>
          <w:sz w:val="20"/>
          <w:szCs w:val="20"/>
        </w:rPr>
        <w:t>žadatelé o azyl, jejichž řízení o udělení azylu trvá 12 měsíců a déle</w:t>
      </w:r>
      <w:r w:rsidR="00437C46" w:rsidRPr="00C24253">
        <w:rPr>
          <w:rFonts w:cs="Arial"/>
          <w:sz w:val="20"/>
          <w:szCs w:val="20"/>
        </w:rPr>
        <w:t>.</w:t>
      </w:r>
    </w:p>
    <w:p w:rsidR="00A617BC" w:rsidRPr="00C24253" w:rsidRDefault="00DF2A9C" w:rsidP="00642AC6">
      <w:pPr>
        <w:pStyle w:val="podkapitola11Styl19"/>
        <w:numPr>
          <w:ilvl w:val="1"/>
          <w:numId w:val="46"/>
        </w:numPr>
        <w:ind w:left="567" w:hanging="567"/>
      </w:pPr>
      <w:r w:rsidRPr="00C24253">
        <w:t>Porovnání obvykle a trvale bydlícího obyvatelstva</w:t>
      </w:r>
    </w:p>
    <w:p w:rsidR="00A617BC" w:rsidRPr="00C24253" w:rsidRDefault="00A617BC" w:rsidP="00155F1F">
      <w:pPr>
        <w:spacing w:after="360"/>
        <w:rPr>
          <w:rFonts w:cs="Arial"/>
          <w:sz w:val="20"/>
          <w:szCs w:val="20"/>
        </w:rPr>
      </w:pPr>
      <w:r w:rsidRPr="00C24253">
        <w:rPr>
          <w:rFonts w:cs="Arial"/>
          <w:sz w:val="20"/>
          <w:szCs w:val="20"/>
        </w:rPr>
        <w:t>Počet sečtených trvale bydlících obyvatel Č</w:t>
      </w:r>
      <w:r w:rsidR="00437C46" w:rsidRPr="00C24253">
        <w:rPr>
          <w:rFonts w:cs="Arial"/>
          <w:sz w:val="20"/>
          <w:szCs w:val="20"/>
        </w:rPr>
        <w:t>R</w:t>
      </w:r>
      <w:r w:rsidRPr="00C24253">
        <w:rPr>
          <w:rFonts w:cs="Arial"/>
          <w:sz w:val="20"/>
          <w:szCs w:val="20"/>
        </w:rPr>
        <w:t xml:space="preserve"> byl o 54 tisíc vyšší než počet obvykle bydlících. Mírně přev</w:t>
      </w:r>
      <w:r w:rsidRPr="00C24253">
        <w:rPr>
          <w:rFonts w:cs="Arial"/>
          <w:sz w:val="20"/>
          <w:szCs w:val="20"/>
        </w:rPr>
        <w:t>a</w:t>
      </w:r>
      <w:r w:rsidRPr="00C24253">
        <w:rPr>
          <w:rFonts w:cs="Arial"/>
          <w:sz w:val="20"/>
          <w:szCs w:val="20"/>
        </w:rPr>
        <w:t>žoval skoro ve všech krajích, nejvýrazněji v Karlovarském, Ústeckém a Moravskoslezském. Výjimku pře</w:t>
      </w:r>
      <w:r w:rsidRPr="00C24253">
        <w:rPr>
          <w:rFonts w:cs="Arial"/>
          <w:sz w:val="20"/>
          <w:szCs w:val="20"/>
        </w:rPr>
        <w:t>d</w:t>
      </w:r>
      <w:r w:rsidRPr="00C24253">
        <w:rPr>
          <w:rFonts w:cs="Arial"/>
          <w:sz w:val="20"/>
          <w:szCs w:val="20"/>
        </w:rPr>
        <w:t xml:space="preserve">stavovaly Praha a Středočeský kraj, v nichž bylo obvykle bydlících obyvatel dohromady o 53 tisíc více (podíl těchto krajů na obyvatelstvu státu byl tak o 0,6 procentního bodu vyšší). </w:t>
      </w:r>
    </w:p>
    <w:p w:rsidR="00A617BC" w:rsidRPr="00C24253" w:rsidRDefault="00A617BC" w:rsidP="00DF2A9C">
      <w:pPr>
        <w:spacing w:after="120"/>
        <w:ind w:left="993"/>
        <w:rPr>
          <w:rFonts w:cs="Arial"/>
          <w:b/>
          <w:sz w:val="20"/>
          <w:szCs w:val="20"/>
        </w:rPr>
      </w:pPr>
      <w:r w:rsidRPr="00C24253">
        <w:rPr>
          <w:rFonts w:cs="Arial"/>
          <w:b/>
          <w:sz w:val="20"/>
          <w:szCs w:val="20"/>
        </w:rPr>
        <w:t>Počty trvale a obvykle bydlících obyvatel krajů podle výsledků SLDB 2011</w:t>
      </w:r>
    </w:p>
    <w:tbl>
      <w:tblPr>
        <w:tblW w:w="7683" w:type="dxa"/>
        <w:jc w:val="center"/>
        <w:tblLayout w:type="fixed"/>
        <w:tblCellMar>
          <w:left w:w="70" w:type="dxa"/>
          <w:right w:w="70" w:type="dxa"/>
        </w:tblCellMar>
        <w:tblLook w:val="04A0"/>
      </w:tblPr>
      <w:tblGrid>
        <w:gridCol w:w="2098"/>
        <w:gridCol w:w="1346"/>
        <w:gridCol w:w="964"/>
        <w:gridCol w:w="1347"/>
        <w:gridCol w:w="964"/>
        <w:gridCol w:w="964"/>
      </w:tblGrid>
      <w:tr w:rsidR="00F40A13" w:rsidRPr="00C24253" w:rsidTr="00155F1F">
        <w:trPr>
          <w:trHeight w:val="340"/>
          <w:jc w:val="center"/>
        </w:trPr>
        <w:tc>
          <w:tcPr>
            <w:tcW w:w="2098" w:type="dxa"/>
            <w:vMerge w:val="restart"/>
            <w:tcBorders>
              <w:top w:val="single" w:sz="4" w:space="0" w:color="auto"/>
              <w:left w:val="single" w:sz="4" w:space="0" w:color="auto"/>
              <w:right w:val="single" w:sz="4" w:space="0" w:color="auto"/>
            </w:tcBorders>
            <w:shd w:val="clear" w:color="auto" w:fill="auto"/>
            <w:vAlign w:val="center"/>
            <w:hideMark/>
          </w:tcPr>
          <w:p w:rsidR="00F40A13" w:rsidRPr="00C24253" w:rsidRDefault="00F40A13" w:rsidP="00F40A13">
            <w:pPr>
              <w:jc w:val="left"/>
              <w:rPr>
                <w:rFonts w:cs="Arial"/>
                <w:sz w:val="16"/>
                <w:szCs w:val="16"/>
              </w:rPr>
            </w:pPr>
            <w:bookmarkStart w:id="2" w:name="_Hlk334433746"/>
            <w:r w:rsidRPr="00C24253">
              <w:rPr>
                <w:rFonts w:cs="Arial"/>
                <w:sz w:val="16"/>
                <w:szCs w:val="16"/>
              </w:rPr>
              <w:t>Kraj</w:t>
            </w:r>
          </w:p>
        </w:tc>
        <w:tc>
          <w:tcPr>
            <w:tcW w:w="4621" w:type="dxa"/>
            <w:gridSpan w:val="4"/>
            <w:tcBorders>
              <w:top w:val="single" w:sz="4" w:space="0" w:color="auto"/>
              <w:left w:val="nil"/>
              <w:right w:val="single" w:sz="4" w:space="0" w:color="auto"/>
            </w:tcBorders>
            <w:shd w:val="clear" w:color="auto" w:fill="auto"/>
            <w:vAlign w:val="center"/>
            <w:hideMark/>
          </w:tcPr>
          <w:p w:rsidR="00F40A13" w:rsidRPr="00C24253" w:rsidRDefault="00F40A13" w:rsidP="00F40A13">
            <w:pPr>
              <w:ind w:right="113"/>
              <w:jc w:val="center"/>
              <w:rPr>
                <w:rFonts w:cs="Arial"/>
                <w:sz w:val="16"/>
                <w:szCs w:val="16"/>
              </w:rPr>
            </w:pPr>
            <w:r w:rsidRPr="00C24253">
              <w:rPr>
                <w:rFonts w:cs="Arial"/>
                <w:sz w:val="16"/>
                <w:szCs w:val="16"/>
              </w:rPr>
              <w:t>Počet obyvatel</w:t>
            </w:r>
          </w:p>
        </w:tc>
        <w:tc>
          <w:tcPr>
            <w:tcW w:w="964" w:type="dxa"/>
            <w:vMerge w:val="restart"/>
            <w:tcBorders>
              <w:top w:val="single" w:sz="4" w:space="0" w:color="auto"/>
              <w:left w:val="single" w:sz="4" w:space="0" w:color="auto"/>
              <w:right w:val="single" w:sz="4" w:space="0" w:color="auto"/>
            </w:tcBorders>
            <w:vAlign w:val="center"/>
          </w:tcPr>
          <w:p w:rsidR="00F40A13" w:rsidRPr="00C24253" w:rsidRDefault="00F40A13" w:rsidP="00F40A13">
            <w:pPr>
              <w:jc w:val="center"/>
              <w:rPr>
                <w:rFonts w:cs="Arial"/>
                <w:sz w:val="16"/>
                <w:szCs w:val="16"/>
              </w:rPr>
            </w:pPr>
            <w:r w:rsidRPr="00C24253">
              <w:rPr>
                <w:rFonts w:cs="Arial"/>
                <w:sz w:val="16"/>
                <w:szCs w:val="16"/>
              </w:rPr>
              <w:t>Poměr obvykle a trvale bydlících</w:t>
            </w:r>
          </w:p>
          <w:p w:rsidR="00F40A13" w:rsidRPr="00C24253" w:rsidRDefault="00F40A13" w:rsidP="00F40A13">
            <w:pPr>
              <w:ind w:right="113"/>
              <w:jc w:val="center"/>
              <w:rPr>
                <w:rFonts w:cs="Arial"/>
                <w:sz w:val="16"/>
                <w:szCs w:val="16"/>
              </w:rPr>
            </w:pPr>
            <w:r w:rsidRPr="00C24253">
              <w:rPr>
                <w:rFonts w:cs="Arial"/>
                <w:sz w:val="16"/>
                <w:szCs w:val="16"/>
              </w:rPr>
              <w:t>v %</w:t>
            </w:r>
            <w:r w:rsidR="00225E22" w:rsidRPr="00C24253">
              <w:rPr>
                <w:rFonts w:cs="Arial"/>
                <w:sz w:val="16"/>
                <w:szCs w:val="16"/>
              </w:rPr>
              <w:t xml:space="preserve"> *</w:t>
            </w:r>
          </w:p>
        </w:tc>
      </w:tr>
      <w:tr w:rsidR="00F40A13" w:rsidRPr="00C24253" w:rsidTr="00155F1F">
        <w:trPr>
          <w:trHeight w:val="340"/>
          <w:jc w:val="center"/>
        </w:trPr>
        <w:tc>
          <w:tcPr>
            <w:tcW w:w="2098" w:type="dxa"/>
            <w:vMerge/>
            <w:tcBorders>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p>
        </w:tc>
        <w:tc>
          <w:tcPr>
            <w:tcW w:w="2310" w:type="dxa"/>
            <w:gridSpan w:val="2"/>
            <w:tcBorders>
              <w:top w:val="single" w:sz="4" w:space="0" w:color="auto"/>
              <w:left w:val="nil"/>
              <w:right w:val="single" w:sz="4" w:space="0" w:color="auto"/>
            </w:tcBorders>
            <w:shd w:val="clear" w:color="auto" w:fill="auto"/>
            <w:vAlign w:val="center"/>
            <w:hideMark/>
          </w:tcPr>
          <w:p w:rsidR="00F40A13" w:rsidRPr="00C24253" w:rsidRDefault="00F40A13" w:rsidP="00F40A13">
            <w:pPr>
              <w:ind w:right="113"/>
              <w:jc w:val="center"/>
              <w:rPr>
                <w:rFonts w:cs="Arial"/>
                <w:sz w:val="16"/>
                <w:szCs w:val="16"/>
              </w:rPr>
            </w:pPr>
            <w:r w:rsidRPr="00C24253">
              <w:rPr>
                <w:rFonts w:cs="Arial"/>
                <w:sz w:val="16"/>
                <w:szCs w:val="16"/>
              </w:rPr>
              <w:t>s trvalým pobytem</w:t>
            </w:r>
          </w:p>
        </w:tc>
        <w:tc>
          <w:tcPr>
            <w:tcW w:w="2311" w:type="dxa"/>
            <w:gridSpan w:val="2"/>
            <w:tcBorders>
              <w:top w:val="single" w:sz="4" w:space="0" w:color="auto"/>
              <w:left w:val="single" w:sz="4" w:space="0" w:color="auto"/>
              <w:right w:val="single" w:sz="4" w:space="0" w:color="auto"/>
            </w:tcBorders>
            <w:shd w:val="clear" w:color="auto" w:fill="auto"/>
            <w:noWrap/>
            <w:vAlign w:val="center"/>
            <w:hideMark/>
          </w:tcPr>
          <w:p w:rsidR="00F40A13" w:rsidRPr="00C24253" w:rsidRDefault="00F40A13" w:rsidP="00F40A13">
            <w:pPr>
              <w:ind w:right="113"/>
              <w:jc w:val="center"/>
              <w:rPr>
                <w:rFonts w:cs="Arial"/>
                <w:sz w:val="16"/>
                <w:szCs w:val="16"/>
              </w:rPr>
            </w:pPr>
            <w:r w:rsidRPr="00C24253">
              <w:rPr>
                <w:rFonts w:cs="Arial"/>
                <w:sz w:val="16"/>
                <w:szCs w:val="16"/>
              </w:rPr>
              <w:t>s obvyklým pobytem</w:t>
            </w:r>
          </w:p>
        </w:tc>
        <w:tc>
          <w:tcPr>
            <w:tcW w:w="964" w:type="dxa"/>
            <w:vMerge/>
            <w:tcBorders>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p>
        </w:tc>
      </w:tr>
      <w:tr w:rsidR="00F40A13" w:rsidRPr="00C24253" w:rsidTr="00F40A13">
        <w:trPr>
          <w:trHeight w:val="479"/>
          <w:jc w:val="center"/>
        </w:trPr>
        <w:tc>
          <w:tcPr>
            <w:tcW w:w="2098" w:type="dxa"/>
            <w:vMerge/>
            <w:tcBorders>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p>
        </w:tc>
        <w:tc>
          <w:tcPr>
            <w:tcW w:w="1346" w:type="dxa"/>
            <w:tcBorders>
              <w:top w:val="single" w:sz="4" w:space="0" w:color="auto"/>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proofErr w:type="spellStart"/>
            <w:r w:rsidRPr="00C24253">
              <w:rPr>
                <w:rFonts w:cs="Arial"/>
                <w:sz w:val="16"/>
                <w:szCs w:val="16"/>
              </w:rPr>
              <w:t>absol</w:t>
            </w:r>
            <w:proofErr w:type="spellEnd"/>
            <w:r w:rsidRPr="00C24253">
              <w:rPr>
                <w:rFonts w:cs="Arial"/>
                <w:sz w:val="16"/>
                <w:szCs w:val="16"/>
              </w:rPr>
              <w:t>.</w:t>
            </w:r>
          </w:p>
        </w:tc>
        <w:tc>
          <w:tcPr>
            <w:tcW w:w="964" w:type="dxa"/>
            <w:tcBorders>
              <w:top w:val="single" w:sz="4" w:space="0" w:color="auto"/>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v %</w:t>
            </w:r>
          </w:p>
        </w:tc>
        <w:tc>
          <w:tcPr>
            <w:tcW w:w="1347" w:type="dxa"/>
            <w:tcBorders>
              <w:top w:val="single" w:sz="4" w:space="0" w:color="auto"/>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proofErr w:type="spellStart"/>
            <w:r w:rsidRPr="00C24253">
              <w:rPr>
                <w:rFonts w:cs="Arial"/>
                <w:sz w:val="16"/>
                <w:szCs w:val="16"/>
              </w:rPr>
              <w:t>absol</w:t>
            </w:r>
            <w:proofErr w:type="spellEnd"/>
            <w:r w:rsidRPr="00C24253">
              <w:rPr>
                <w:rFonts w:cs="Arial"/>
                <w:sz w:val="16"/>
                <w:szCs w:val="16"/>
              </w:rPr>
              <w:t xml:space="preserve">. </w:t>
            </w:r>
          </w:p>
        </w:tc>
        <w:tc>
          <w:tcPr>
            <w:tcW w:w="964" w:type="dxa"/>
            <w:tcBorders>
              <w:top w:val="single" w:sz="4" w:space="0" w:color="auto"/>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v %</w:t>
            </w:r>
          </w:p>
        </w:tc>
        <w:tc>
          <w:tcPr>
            <w:tcW w:w="964" w:type="dxa"/>
            <w:vMerge/>
            <w:tcBorders>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p>
        </w:tc>
      </w:tr>
      <w:tr w:rsidR="00F40A13" w:rsidRPr="00C24253" w:rsidTr="003967EA">
        <w:trPr>
          <w:trHeight w:val="340"/>
          <w:jc w:val="center"/>
        </w:trPr>
        <w:tc>
          <w:tcPr>
            <w:tcW w:w="2098" w:type="dxa"/>
            <w:tcBorders>
              <w:top w:val="single" w:sz="4" w:space="0" w:color="auto"/>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bookmarkStart w:id="3" w:name="_Hlk333888325"/>
            <w:r w:rsidRPr="00C24253">
              <w:rPr>
                <w:rFonts w:cs="Arial"/>
                <w:sz w:val="16"/>
                <w:szCs w:val="16"/>
              </w:rPr>
              <w:t>Praha</w:t>
            </w:r>
          </w:p>
        </w:tc>
        <w:tc>
          <w:tcPr>
            <w:tcW w:w="1346" w:type="dxa"/>
            <w:tcBorders>
              <w:top w:val="single" w:sz="4" w:space="0" w:color="auto"/>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1 235 958</w:t>
            </w:r>
          </w:p>
        </w:tc>
        <w:tc>
          <w:tcPr>
            <w:tcW w:w="964" w:type="dxa"/>
            <w:tcBorders>
              <w:top w:val="single" w:sz="4" w:space="0" w:color="auto"/>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12,2</w:t>
            </w:r>
          </w:p>
        </w:tc>
        <w:tc>
          <w:tcPr>
            <w:tcW w:w="1347" w:type="dxa"/>
            <w:tcBorders>
              <w:top w:val="single" w:sz="4" w:space="0" w:color="auto"/>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1 268 796</w:t>
            </w:r>
          </w:p>
        </w:tc>
        <w:tc>
          <w:tcPr>
            <w:tcW w:w="964" w:type="dxa"/>
            <w:tcBorders>
              <w:top w:val="single" w:sz="4" w:space="0" w:color="auto"/>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11,8</w:t>
            </w:r>
          </w:p>
        </w:tc>
        <w:tc>
          <w:tcPr>
            <w:tcW w:w="964" w:type="dxa"/>
            <w:tcBorders>
              <w:top w:val="single" w:sz="4" w:space="0" w:color="auto"/>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102,7</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Středočeský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1 268 916</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12,4</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1 289 211</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12,1</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101,6</w:t>
            </w:r>
          </w:p>
        </w:tc>
      </w:tr>
      <w:bookmarkEnd w:id="3"/>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Jihočeský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635 750</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6,0</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628 336</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6,1</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98,8</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Plzeňský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571 357</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5,5</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570 401</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5,4</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99,8</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Karlovarský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303 609</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2,8</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295 595</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2,9</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97,4</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Ústecký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828 510</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7,8</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808 961</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7,9</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97,6</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Liberecký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437 894</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4,1</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432 439</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4,2</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98,8</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Královéhradecký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554 155</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5,2</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547 916</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5,3</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98,9</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Pardubický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516 123</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4,9</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511 627</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4,9</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99,1</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Vysočina</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512 019</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4,8</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505 565</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4,9</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98,7</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Jihomoravský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1 164 033</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11,1</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1 163 508</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11,1</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100,0</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Olomoucký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638 873</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6,0</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628 427</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6,1</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98,4</w:t>
            </w:r>
          </w:p>
        </w:tc>
      </w:tr>
      <w:tr w:rsidR="00F40A13" w:rsidRPr="00C24253" w:rsidTr="003967EA">
        <w:trPr>
          <w:trHeight w:val="340"/>
          <w:jc w:val="center"/>
        </w:trPr>
        <w:tc>
          <w:tcPr>
            <w:tcW w:w="2098" w:type="dxa"/>
            <w:tcBorders>
              <w:top w:val="nil"/>
              <w:left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Zlínský</w:t>
            </w:r>
          </w:p>
        </w:tc>
        <w:tc>
          <w:tcPr>
            <w:tcW w:w="1346" w:type="dxa"/>
            <w:tcBorders>
              <w:top w:val="nil"/>
              <w:left w:val="nil"/>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589 790</w:t>
            </w:r>
          </w:p>
        </w:tc>
        <w:tc>
          <w:tcPr>
            <w:tcW w:w="964" w:type="dxa"/>
            <w:tcBorders>
              <w:top w:val="nil"/>
              <w:left w:val="nil"/>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5,6</w:t>
            </w:r>
          </w:p>
        </w:tc>
        <w:tc>
          <w:tcPr>
            <w:tcW w:w="1347"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579 944</w:t>
            </w:r>
          </w:p>
        </w:tc>
        <w:tc>
          <w:tcPr>
            <w:tcW w:w="964" w:type="dxa"/>
            <w:tcBorders>
              <w:top w:val="nil"/>
              <w:left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5,6</w:t>
            </w:r>
          </w:p>
        </w:tc>
        <w:tc>
          <w:tcPr>
            <w:tcW w:w="964" w:type="dxa"/>
            <w:tcBorders>
              <w:top w:val="nil"/>
              <w:left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98,3</w:t>
            </w:r>
          </w:p>
        </w:tc>
      </w:tr>
      <w:tr w:rsidR="00F40A13" w:rsidRPr="00C24253" w:rsidTr="003967EA">
        <w:trPr>
          <w:trHeight w:val="340"/>
          <w:jc w:val="center"/>
        </w:trPr>
        <w:tc>
          <w:tcPr>
            <w:tcW w:w="2098" w:type="dxa"/>
            <w:tcBorders>
              <w:top w:val="nil"/>
              <w:left w:val="single" w:sz="4" w:space="0" w:color="auto"/>
              <w:bottom w:val="single" w:sz="4" w:space="0" w:color="auto"/>
              <w:right w:val="single" w:sz="4" w:space="0" w:color="auto"/>
            </w:tcBorders>
            <w:shd w:val="clear" w:color="auto" w:fill="auto"/>
            <w:vAlign w:val="center"/>
            <w:hideMark/>
          </w:tcPr>
          <w:p w:rsidR="00F40A13" w:rsidRPr="00C24253" w:rsidRDefault="00F40A13" w:rsidP="00437C46">
            <w:pPr>
              <w:jc w:val="left"/>
              <w:rPr>
                <w:rFonts w:cs="Arial"/>
                <w:sz w:val="16"/>
                <w:szCs w:val="16"/>
              </w:rPr>
            </w:pPr>
            <w:r w:rsidRPr="00C24253">
              <w:rPr>
                <w:rFonts w:cs="Arial"/>
                <w:sz w:val="16"/>
                <w:szCs w:val="16"/>
              </w:rPr>
              <w:t>Moravskoslezský</w:t>
            </w:r>
          </w:p>
        </w:tc>
        <w:tc>
          <w:tcPr>
            <w:tcW w:w="1346" w:type="dxa"/>
            <w:tcBorders>
              <w:top w:val="nil"/>
              <w:left w:val="nil"/>
              <w:bottom w:val="single" w:sz="4" w:space="0" w:color="auto"/>
              <w:right w:val="single" w:sz="4" w:space="0" w:color="auto"/>
            </w:tcBorders>
            <w:shd w:val="clear" w:color="auto" w:fill="auto"/>
            <w:vAlign w:val="center"/>
            <w:hideMark/>
          </w:tcPr>
          <w:p w:rsidR="00F40A13" w:rsidRPr="00C24253" w:rsidRDefault="00F40A13" w:rsidP="00F40A13">
            <w:pPr>
              <w:ind w:right="113"/>
              <w:jc w:val="right"/>
              <w:rPr>
                <w:rFonts w:cs="Arial"/>
                <w:sz w:val="16"/>
                <w:szCs w:val="16"/>
              </w:rPr>
            </w:pPr>
            <w:r w:rsidRPr="00C24253">
              <w:rPr>
                <w:rFonts w:cs="Arial"/>
                <w:sz w:val="16"/>
                <w:szCs w:val="16"/>
              </w:rPr>
              <w:t>1 233 622</w:t>
            </w:r>
          </w:p>
        </w:tc>
        <w:tc>
          <w:tcPr>
            <w:tcW w:w="964" w:type="dxa"/>
            <w:tcBorders>
              <w:top w:val="nil"/>
              <w:left w:val="nil"/>
              <w:bottom w:val="single" w:sz="4" w:space="0" w:color="auto"/>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11,6</w:t>
            </w:r>
          </w:p>
        </w:tc>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1 205 834</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11,8</w:t>
            </w:r>
          </w:p>
        </w:tc>
        <w:tc>
          <w:tcPr>
            <w:tcW w:w="964" w:type="dxa"/>
            <w:tcBorders>
              <w:top w:val="nil"/>
              <w:left w:val="single" w:sz="4" w:space="0" w:color="auto"/>
              <w:bottom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97,7</w:t>
            </w:r>
          </w:p>
        </w:tc>
      </w:tr>
      <w:tr w:rsidR="00F40A13" w:rsidRPr="00C24253" w:rsidTr="00F40A13">
        <w:trPr>
          <w:trHeight w:val="510"/>
          <w:jc w:val="center"/>
        </w:trPr>
        <w:tc>
          <w:tcPr>
            <w:tcW w:w="2098" w:type="dxa"/>
            <w:tcBorders>
              <w:top w:val="nil"/>
              <w:left w:val="single" w:sz="4" w:space="0" w:color="auto"/>
              <w:bottom w:val="single" w:sz="4" w:space="0" w:color="auto"/>
              <w:right w:val="single" w:sz="4" w:space="0" w:color="auto"/>
            </w:tcBorders>
            <w:shd w:val="clear" w:color="auto" w:fill="auto"/>
            <w:noWrap/>
            <w:vAlign w:val="center"/>
            <w:hideMark/>
          </w:tcPr>
          <w:p w:rsidR="00F40A13" w:rsidRPr="00C24253" w:rsidRDefault="00F40A13" w:rsidP="00437C46">
            <w:pPr>
              <w:jc w:val="left"/>
              <w:rPr>
                <w:rFonts w:cs="Arial"/>
                <w:b/>
                <w:sz w:val="16"/>
                <w:szCs w:val="16"/>
              </w:rPr>
            </w:pPr>
            <w:r w:rsidRPr="00C24253">
              <w:rPr>
                <w:rFonts w:cs="Arial"/>
                <w:b/>
                <w:sz w:val="16"/>
                <w:szCs w:val="16"/>
              </w:rPr>
              <w:t>Česká republika</w:t>
            </w:r>
          </w:p>
        </w:tc>
        <w:tc>
          <w:tcPr>
            <w:tcW w:w="1346" w:type="dxa"/>
            <w:tcBorders>
              <w:top w:val="nil"/>
              <w:left w:val="nil"/>
              <w:bottom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b/>
                <w:bCs/>
                <w:sz w:val="16"/>
                <w:szCs w:val="16"/>
              </w:rPr>
            </w:pPr>
            <w:r w:rsidRPr="00C24253">
              <w:rPr>
                <w:rFonts w:cs="Arial"/>
                <w:b/>
                <w:bCs/>
                <w:sz w:val="16"/>
                <w:szCs w:val="16"/>
              </w:rPr>
              <w:t>10 490 609</w:t>
            </w:r>
          </w:p>
        </w:tc>
        <w:tc>
          <w:tcPr>
            <w:tcW w:w="964" w:type="dxa"/>
            <w:tcBorders>
              <w:top w:val="nil"/>
              <w:left w:val="nil"/>
              <w:bottom w:val="single" w:sz="4" w:space="0" w:color="auto"/>
              <w:right w:val="single" w:sz="4" w:space="0" w:color="auto"/>
            </w:tcBorders>
            <w:vAlign w:val="center"/>
          </w:tcPr>
          <w:p w:rsidR="00F40A13" w:rsidRPr="00C24253" w:rsidRDefault="00F40A13" w:rsidP="00F40A13">
            <w:pPr>
              <w:ind w:right="113"/>
              <w:jc w:val="right"/>
              <w:rPr>
                <w:rFonts w:cs="Arial"/>
                <w:sz w:val="16"/>
                <w:szCs w:val="16"/>
              </w:rPr>
            </w:pPr>
            <w:r w:rsidRPr="00C24253">
              <w:rPr>
                <w:rFonts w:cs="Arial"/>
                <w:sz w:val="16"/>
                <w:szCs w:val="16"/>
              </w:rPr>
              <w:t>100,0</w:t>
            </w:r>
          </w:p>
        </w:tc>
        <w:tc>
          <w:tcPr>
            <w:tcW w:w="1347" w:type="dxa"/>
            <w:tcBorders>
              <w:top w:val="nil"/>
              <w:left w:val="single" w:sz="4" w:space="0" w:color="auto"/>
              <w:bottom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b/>
                <w:bCs/>
                <w:sz w:val="16"/>
                <w:szCs w:val="16"/>
              </w:rPr>
            </w:pPr>
            <w:r w:rsidRPr="00C24253">
              <w:rPr>
                <w:rFonts w:cs="Arial"/>
                <w:b/>
                <w:bCs/>
                <w:sz w:val="16"/>
                <w:szCs w:val="16"/>
              </w:rPr>
              <w:t>10 436 560</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F40A13" w:rsidRPr="00C24253" w:rsidRDefault="00F40A13" w:rsidP="00F40A13">
            <w:pPr>
              <w:ind w:right="113"/>
              <w:jc w:val="right"/>
              <w:rPr>
                <w:rFonts w:cs="Arial"/>
                <w:sz w:val="16"/>
                <w:szCs w:val="16"/>
              </w:rPr>
            </w:pPr>
            <w:r w:rsidRPr="00C24253">
              <w:rPr>
                <w:rFonts w:cs="Arial"/>
                <w:sz w:val="16"/>
                <w:szCs w:val="16"/>
              </w:rPr>
              <w:t>100,0</w:t>
            </w:r>
          </w:p>
        </w:tc>
        <w:tc>
          <w:tcPr>
            <w:tcW w:w="964" w:type="dxa"/>
            <w:tcBorders>
              <w:top w:val="nil"/>
              <w:left w:val="single" w:sz="4" w:space="0" w:color="auto"/>
              <w:bottom w:val="single" w:sz="4" w:space="0" w:color="auto"/>
              <w:right w:val="single" w:sz="4" w:space="0" w:color="auto"/>
            </w:tcBorders>
            <w:vAlign w:val="center"/>
          </w:tcPr>
          <w:p w:rsidR="00F40A13" w:rsidRPr="00C24253" w:rsidRDefault="00F40A13" w:rsidP="009D0488">
            <w:pPr>
              <w:ind w:right="113"/>
              <w:jc w:val="right"/>
              <w:rPr>
                <w:rFonts w:cs="Arial"/>
                <w:sz w:val="16"/>
                <w:szCs w:val="16"/>
              </w:rPr>
            </w:pPr>
            <w:r w:rsidRPr="00C24253">
              <w:rPr>
                <w:rFonts w:cs="Arial"/>
                <w:sz w:val="16"/>
                <w:szCs w:val="16"/>
              </w:rPr>
              <w:t>99,5</w:t>
            </w:r>
          </w:p>
        </w:tc>
      </w:tr>
    </w:tbl>
    <w:bookmarkEnd w:id="2"/>
    <w:p w:rsidR="00A617BC" w:rsidRPr="00C24253" w:rsidRDefault="0028500B" w:rsidP="006538EC">
      <w:pPr>
        <w:spacing w:before="60" w:after="360"/>
        <w:ind w:left="709" w:firstLine="284"/>
        <w:rPr>
          <w:rFonts w:cs="Arial"/>
          <w:szCs w:val="20"/>
          <w:vertAlign w:val="subscript"/>
        </w:rPr>
      </w:pPr>
      <w:r w:rsidRPr="00C24253">
        <w:rPr>
          <w:rFonts w:cs="Arial"/>
          <w:sz w:val="16"/>
          <w:szCs w:val="16"/>
        </w:rPr>
        <w:t xml:space="preserve">* </w:t>
      </w:r>
      <w:r w:rsidR="00F40A13" w:rsidRPr="00C24253">
        <w:rPr>
          <w:rFonts w:cs="Arial"/>
          <w:sz w:val="16"/>
          <w:szCs w:val="16"/>
        </w:rPr>
        <w:t>t</w:t>
      </w:r>
      <w:r w:rsidRPr="00C24253">
        <w:rPr>
          <w:rFonts w:cs="Arial"/>
          <w:sz w:val="16"/>
          <w:szCs w:val="16"/>
        </w:rPr>
        <w:t>rvale bydlící = 100 %</w:t>
      </w:r>
    </w:p>
    <w:p w:rsidR="00A617BC" w:rsidRPr="00C24253" w:rsidRDefault="00A617BC" w:rsidP="00D01676">
      <w:pPr>
        <w:spacing w:after="120"/>
        <w:rPr>
          <w:rFonts w:cs="Arial"/>
          <w:sz w:val="20"/>
          <w:szCs w:val="20"/>
        </w:rPr>
      </w:pPr>
      <w:r w:rsidRPr="00C24253">
        <w:rPr>
          <w:rFonts w:cs="Arial"/>
          <w:sz w:val="20"/>
          <w:szCs w:val="20"/>
        </w:rPr>
        <w:t>Výraznější disproporce byly na nižších územních úrovních. Zhruba v každé čtvrté obci byla odchylka větší než 5 obvykle bydlících obyvatel na 100 trvale bydlících, v 5 % obcí to bylo více než 10 obyvatel. Celkově byl u 69 % obcí zaznamenán nižší počet obvykle bydlících obyvatel než trvale bydlících.</w:t>
      </w:r>
    </w:p>
    <w:p w:rsidR="006734E1" w:rsidRPr="00C24253" w:rsidRDefault="00A617BC" w:rsidP="00D01676">
      <w:pPr>
        <w:spacing w:after="120"/>
        <w:rPr>
          <w:rFonts w:cs="Arial"/>
          <w:sz w:val="20"/>
          <w:szCs w:val="20"/>
        </w:rPr>
      </w:pPr>
      <w:r w:rsidRPr="00C24253">
        <w:rPr>
          <w:rFonts w:cs="Arial"/>
          <w:sz w:val="20"/>
          <w:szCs w:val="20"/>
        </w:rPr>
        <w:t>Podle údajů o obvyklém pobytu bylo obyvatelstvo rozmístěno mírně nerovnoměrněji, než ukazují data za trvalý pobyt. Bylo více soustředěno v největších metropolitních areálech (kromě Ostravska) – především v </w:t>
      </w:r>
      <w:proofErr w:type="spellStart"/>
      <w:r w:rsidRPr="00C24253">
        <w:rPr>
          <w:rFonts w:cs="Arial"/>
          <w:sz w:val="20"/>
          <w:szCs w:val="20"/>
        </w:rPr>
        <w:t>suburbánních</w:t>
      </w:r>
      <w:proofErr w:type="spellEnd"/>
      <w:r w:rsidRPr="00C24253">
        <w:rPr>
          <w:rFonts w:cs="Arial"/>
          <w:sz w:val="20"/>
          <w:szCs w:val="20"/>
        </w:rPr>
        <w:t xml:space="preserve"> zónách, ale i v samotných centrech. </w:t>
      </w:r>
    </w:p>
    <w:p w:rsidR="00A617BC" w:rsidRPr="00C24253" w:rsidRDefault="00A617BC" w:rsidP="00D01676">
      <w:pPr>
        <w:spacing w:after="120"/>
        <w:rPr>
          <w:rFonts w:cs="Arial"/>
          <w:sz w:val="20"/>
          <w:szCs w:val="20"/>
        </w:rPr>
      </w:pPr>
      <w:r w:rsidRPr="00C24253">
        <w:rPr>
          <w:rFonts w:cs="Arial"/>
          <w:sz w:val="20"/>
          <w:szCs w:val="20"/>
        </w:rPr>
        <w:t>Mimořádně vysoké byly počty obvykle bydlících hlavně v zázemí Prahy. V obvodech obcí s rozšířenou p</w:t>
      </w:r>
      <w:r w:rsidRPr="00C24253">
        <w:rPr>
          <w:rFonts w:cs="Arial"/>
          <w:sz w:val="20"/>
          <w:szCs w:val="20"/>
        </w:rPr>
        <w:t>ů</w:t>
      </w:r>
      <w:r w:rsidRPr="00C24253">
        <w:rPr>
          <w:rFonts w:cs="Arial"/>
          <w:sz w:val="20"/>
          <w:szCs w:val="20"/>
        </w:rPr>
        <w:t>sobností (ORP) sousedících s Prahou bylo pouze 18 obcí (ze 189), kde obvykle bydlící nepřevažovali nad trvale bydlícími. Relativně vysoké byly počty obvykle bydlících také v některých rekreačně atraktivních lokal</w:t>
      </w:r>
      <w:r w:rsidRPr="00C24253">
        <w:rPr>
          <w:rFonts w:cs="Arial"/>
          <w:sz w:val="20"/>
          <w:szCs w:val="20"/>
        </w:rPr>
        <w:t>i</w:t>
      </w:r>
      <w:r w:rsidRPr="00C24253">
        <w:rPr>
          <w:rFonts w:cs="Arial"/>
          <w:sz w:val="20"/>
          <w:szCs w:val="20"/>
        </w:rPr>
        <w:t>tách, především krkonošských střediscích (Špindlerův Mlýn, Pec pod Sněžkou).</w:t>
      </w:r>
    </w:p>
    <w:p w:rsidR="00A617BC" w:rsidRPr="00C24253" w:rsidRDefault="004471FA" w:rsidP="00D01676">
      <w:pPr>
        <w:spacing w:after="120"/>
        <w:rPr>
          <w:rFonts w:cs="Arial"/>
          <w:sz w:val="20"/>
          <w:szCs w:val="20"/>
        </w:rPr>
      </w:pPr>
      <w:r w:rsidRPr="00C24253">
        <w:rPr>
          <w:rFonts w:cs="Arial"/>
          <w:sz w:val="20"/>
          <w:szCs w:val="20"/>
        </w:rPr>
        <w:lastRenderedPageBreak/>
        <w:t xml:space="preserve">Naopak výrazně nižší byl </w:t>
      </w:r>
      <w:proofErr w:type="gramStart"/>
      <w:r w:rsidRPr="00C24253">
        <w:rPr>
          <w:rFonts w:cs="Arial"/>
          <w:sz w:val="20"/>
          <w:szCs w:val="20"/>
        </w:rPr>
        <w:t xml:space="preserve">podíl </w:t>
      </w:r>
      <w:r w:rsidR="00A617BC" w:rsidRPr="00C24253">
        <w:rPr>
          <w:rFonts w:cs="Arial"/>
          <w:sz w:val="20"/>
          <w:szCs w:val="20"/>
        </w:rPr>
        <w:t xml:space="preserve"> obvykle</w:t>
      </w:r>
      <w:proofErr w:type="gramEnd"/>
      <w:r w:rsidR="00A617BC" w:rsidRPr="00C24253">
        <w:rPr>
          <w:rFonts w:cs="Arial"/>
          <w:sz w:val="20"/>
          <w:szCs w:val="20"/>
        </w:rPr>
        <w:t xml:space="preserve"> bydlících v některých horských a pří</w:t>
      </w:r>
      <w:r w:rsidR="00A96EA8">
        <w:rPr>
          <w:rFonts w:cs="Arial"/>
          <w:sz w:val="20"/>
          <w:szCs w:val="20"/>
        </w:rPr>
        <w:t>hraničních oblastech, zejména v </w:t>
      </w:r>
      <w:r w:rsidR="00A617BC" w:rsidRPr="00C24253">
        <w:rPr>
          <w:rFonts w:cs="Arial"/>
          <w:sz w:val="20"/>
          <w:szCs w:val="20"/>
        </w:rPr>
        <w:t xml:space="preserve">Jeseníkách, jihozápadní části Krušných hor, v hlavních výběžcích území </w:t>
      </w:r>
      <w:r w:rsidR="005748D9" w:rsidRPr="00C24253">
        <w:rPr>
          <w:rFonts w:cs="Arial"/>
          <w:sz w:val="20"/>
          <w:szCs w:val="20"/>
        </w:rPr>
        <w:t>ČR</w:t>
      </w:r>
      <w:r w:rsidR="00A617BC" w:rsidRPr="00C24253">
        <w:rPr>
          <w:rFonts w:cs="Arial"/>
          <w:sz w:val="20"/>
          <w:szCs w:val="20"/>
        </w:rPr>
        <w:t xml:space="preserve"> (především v Osoblažském). Vysokým absolutním i relativním rozdílem se vyznačovala ostravsko-karvinská oblast, hlavně její východní část.</w:t>
      </w:r>
    </w:p>
    <w:p w:rsidR="006734E1" w:rsidRPr="00C24253" w:rsidRDefault="00A617BC" w:rsidP="00D01676">
      <w:pPr>
        <w:spacing w:after="120"/>
        <w:rPr>
          <w:rFonts w:cs="Arial"/>
          <w:sz w:val="20"/>
          <w:szCs w:val="20"/>
        </w:rPr>
      </w:pPr>
      <w:r w:rsidRPr="00C24253">
        <w:rPr>
          <w:rFonts w:cs="Arial"/>
          <w:sz w:val="20"/>
          <w:szCs w:val="20"/>
        </w:rPr>
        <w:t>Zcela specifickou kategorii představují obce, na jejichž území jsou situována velká hromadná zařízení slo</w:t>
      </w:r>
      <w:r w:rsidRPr="00C24253">
        <w:rPr>
          <w:rFonts w:cs="Arial"/>
          <w:sz w:val="20"/>
          <w:szCs w:val="20"/>
        </w:rPr>
        <w:t>u</w:t>
      </w:r>
      <w:r w:rsidRPr="00C24253">
        <w:rPr>
          <w:rFonts w:cs="Arial"/>
          <w:sz w:val="20"/>
          <w:szCs w:val="20"/>
        </w:rPr>
        <w:t xml:space="preserve">žící k dlouhodobému pobytu, především věznice. V případě delšího pobytu byli respondenti sečteni jako obvykle bydlící v daném zařízení, čímž někdy markantně navýšili počet obyvatel obce. </w:t>
      </w:r>
    </w:p>
    <w:p w:rsidR="00A617BC" w:rsidRPr="00C24253" w:rsidRDefault="00A617BC" w:rsidP="00D01676">
      <w:pPr>
        <w:spacing w:after="120"/>
        <w:rPr>
          <w:rFonts w:cs="Arial"/>
          <w:sz w:val="20"/>
          <w:szCs w:val="20"/>
        </w:rPr>
      </w:pPr>
      <w:r w:rsidRPr="00C24253">
        <w:rPr>
          <w:rFonts w:cs="Arial"/>
          <w:sz w:val="20"/>
          <w:szCs w:val="20"/>
        </w:rPr>
        <w:t xml:space="preserve">Z prvních deseti obcí s největší relativní převahou obvykle bydlících mají všechny na svém katastru věznici (nepočítáme-li vojenský újezd Březina s pouze dvěma trvale a třemi obvykle bydlícími obyvateli). Jsou to většinou menší obce, ale jsou mezi nimi i </w:t>
      </w:r>
      <w:proofErr w:type="spellStart"/>
      <w:r w:rsidRPr="00C24253">
        <w:rPr>
          <w:rFonts w:cs="Arial"/>
          <w:sz w:val="20"/>
          <w:szCs w:val="20"/>
        </w:rPr>
        <w:t>Valdice</w:t>
      </w:r>
      <w:proofErr w:type="spellEnd"/>
      <w:r w:rsidRPr="00C24253">
        <w:rPr>
          <w:rFonts w:cs="Arial"/>
          <w:sz w:val="20"/>
          <w:szCs w:val="20"/>
        </w:rPr>
        <w:t xml:space="preserve"> se 1480 trvale a 2412 obvykle bydlícími obyvateli. </w:t>
      </w:r>
      <w:proofErr w:type="spellStart"/>
      <w:r w:rsidRPr="00C24253">
        <w:rPr>
          <w:rFonts w:cs="Arial"/>
          <w:sz w:val="20"/>
          <w:szCs w:val="20"/>
        </w:rPr>
        <w:t>Valdice</w:t>
      </w:r>
      <w:proofErr w:type="spellEnd"/>
      <w:r w:rsidRPr="00C24253">
        <w:rPr>
          <w:rFonts w:cs="Arial"/>
          <w:sz w:val="20"/>
          <w:szCs w:val="20"/>
        </w:rPr>
        <w:t xml:space="preserve"> se tak staly obcí s nejvyšší hustotou zalidnění v Česku (2693 obvykle bydlících obyvatel / km</w:t>
      </w:r>
      <w:r w:rsidRPr="00C24253">
        <w:rPr>
          <w:rFonts w:cs="Arial"/>
          <w:sz w:val="20"/>
          <w:szCs w:val="20"/>
          <w:vertAlign w:val="superscript"/>
        </w:rPr>
        <w:t>2</w:t>
      </w:r>
      <w:r w:rsidRPr="00C24253">
        <w:rPr>
          <w:rFonts w:cs="Arial"/>
          <w:sz w:val="20"/>
          <w:szCs w:val="20"/>
        </w:rPr>
        <w:t xml:space="preserve">, to je o 136 více než v Praze). </w:t>
      </w:r>
    </w:p>
    <w:p w:rsidR="00155F1F" w:rsidRPr="00C24253" w:rsidRDefault="00A617BC" w:rsidP="00155F1F">
      <w:pPr>
        <w:spacing w:after="120"/>
        <w:rPr>
          <w:rFonts w:cs="Arial"/>
          <w:sz w:val="20"/>
          <w:szCs w:val="20"/>
        </w:rPr>
      </w:pPr>
      <w:r w:rsidRPr="00C24253">
        <w:rPr>
          <w:rFonts w:cs="Arial"/>
          <w:b/>
          <w:sz w:val="20"/>
          <w:szCs w:val="20"/>
        </w:rPr>
        <w:t xml:space="preserve">Velikost rozdílů </w:t>
      </w:r>
      <w:r w:rsidRPr="00C24253">
        <w:rPr>
          <w:rFonts w:cs="Arial"/>
          <w:sz w:val="20"/>
          <w:szCs w:val="20"/>
        </w:rPr>
        <w:t xml:space="preserve">v počtech trvale a obvykle bydlících obyvatel byla </w:t>
      </w:r>
      <w:r w:rsidRPr="00C24253">
        <w:rPr>
          <w:rFonts w:cs="Arial"/>
          <w:b/>
          <w:sz w:val="20"/>
          <w:szCs w:val="20"/>
        </w:rPr>
        <w:t>značně diferencovaná podle věku</w:t>
      </w:r>
      <w:r w:rsidRPr="00C24253">
        <w:rPr>
          <w:rFonts w:cs="Arial"/>
          <w:sz w:val="20"/>
          <w:szCs w:val="20"/>
        </w:rPr>
        <w:t>.</w:t>
      </w:r>
    </w:p>
    <w:p w:rsidR="00A617BC" w:rsidRPr="00C24253" w:rsidRDefault="00A617BC" w:rsidP="00155F1F">
      <w:pPr>
        <w:spacing w:after="120"/>
        <w:rPr>
          <w:rFonts w:cs="Arial"/>
          <w:sz w:val="20"/>
          <w:szCs w:val="20"/>
        </w:rPr>
      </w:pPr>
      <w:r w:rsidRPr="00C24253">
        <w:rPr>
          <w:rFonts w:cs="Arial"/>
          <w:sz w:val="20"/>
          <w:szCs w:val="20"/>
        </w:rPr>
        <w:t xml:space="preserve">V mladších věkových skupinách, zejména ve skupině 20 – 29 let, bylo obvykle bydlící obyvatelstvo více územně koncentrováno než obyvatelstvo trvale bydlící. Zmíněná věková kategorie se také nejvíce podílela na výše popsaných celkových </w:t>
      </w:r>
      <w:r w:rsidR="00D06732" w:rsidRPr="00C24253">
        <w:rPr>
          <w:rFonts w:cs="Arial"/>
          <w:sz w:val="20"/>
          <w:szCs w:val="20"/>
        </w:rPr>
        <w:t>rozdílech</w:t>
      </w:r>
      <w:r w:rsidRPr="00C24253">
        <w:rPr>
          <w:rFonts w:cs="Arial"/>
          <w:sz w:val="20"/>
          <w:szCs w:val="20"/>
        </w:rPr>
        <w:t>. Obvykle bydlící v ní převažovali pouze v Praze a v 18 obvodech ORP, téměř výhradně obvodech krajských měst nebo v jejich těsném sousedství. Ve srovnání s celou pop</w:t>
      </w:r>
      <w:r w:rsidRPr="00C24253">
        <w:rPr>
          <w:rFonts w:cs="Arial"/>
          <w:sz w:val="20"/>
          <w:szCs w:val="20"/>
        </w:rPr>
        <w:t>u</w:t>
      </w:r>
      <w:r w:rsidRPr="00C24253">
        <w:rPr>
          <w:rFonts w:cs="Arial"/>
          <w:sz w:val="20"/>
          <w:szCs w:val="20"/>
        </w:rPr>
        <w:t xml:space="preserve">lací byly v této kategorii vysoké </w:t>
      </w:r>
      <w:r w:rsidR="004471FA" w:rsidRPr="00C24253">
        <w:rPr>
          <w:rFonts w:cs="Arial"/>
          <w:sz w:val="20"/>
          <w:szCs w:val="20"/>
        </w:rPr>
        <w:t>podíly</w:t>
      </w:r>
      <w:r w:rsidRPr="00C24253">
        <w:rPr>
          <w:rFonts w:cs="Arial"/>
          <w:sz w:val="20"/>
          <w:szCs w:val="20"/>
        </w:rPr>
        <w:t xml:space="preserve"> obvykle bydlících spíše v samotných velkých městech než v zázemích (zřejmě často dočasné pobyty, předcházející nalezení stálého bydlení) a </w:t>
      </w:r>
      <w:r w:rsidR="004471FA" w:rsidRPr="00C24253">
        <w:rPr>
          <w:rFonts w:cs="Arial"/>
          <w:sz w:val="20"/>
          <w:szCs w:val="20"/>
        </w:rPr>
        <w:t xml:space="preserve">naopak </w:t>
      </w:r>
      <w:r w:rsidRPr="00C24253">
        <w:rPr>
          <w:rFonts w:cs="Arial"/>
          <w:sz w:val="20"/>
          <w:szCs w:val="20"/>
        </w:rPr>
        <w:t xml:space="preserve">výrazně </w:t>
      </w:r>
      <w:r w:rsidR="004471FA" w:rsidRPr="00C24253">
        <w:rPr>
          <w:rFonts w:cs="Arial"/>
          <w:sz w:val="20"/>
          <w:szCs w:val="20"/>
        </w:rPr>
        <w:t>nižší</w:t>
      </w:r>
      <w:r w:rsidRPr="00C24253">
        <w:rPr>
          <w:rFonts w:cs="Arial"/>
          <w:sz w:val="20"/>
          <w:szCs w:val="20"/>
        </w:rPr>
        <w:t xml:space="preserve"> na většině území </w:t>
      </w:r>
      <w:proofErr w:type="spellStart"/>
      <w:r w:rsidRPr="00C24253">
        <w:rPr>
          <w:rFonts w:cs="Arial"/>
          <w:sz w:val="20"/>
          <w:szCs w:val="20"/>
        </w:rPr>
        <w:t>Moravskolezského</w:t>
      </w:r>
      <w:proofErr w:type="spellEnd"/>
      <w:r w:rsidRPr="00C24253">
        <w:rPr>
          <w:rFonts w:cs="Arial"/>
          <w:sz w:val="20"/>
          <w:szCs w:val="20"/>
        </w:rPr>
        <w:t xml:space="preserve"> kraje, na Jesenicku, </w:t>
      </w:r>
      <w:proofErr w:type="spellStart"/>
      <w:r w:rsidRPr="00C24253">
        <w:rPr>
          <w:rFonts w:cs="Arial"/>
          <w:sz w:val="20"/>
          <w:szCs w:val="20"/>
        </w:rPr>
        <w:t>Broumovsku</w:t>
      </w:r>
      <w:proofErr w:type="spellEnd"/>
      <w:r w:rsidRPr="00C24253">
        <w:rPr>
          <w:rFonts w:cs="Arial"/>
          <w:sz w:val="20"/>
          <w:szCs w:val="20"/>
        </w:rPr>
        <w:t xml:space="preserve"> a v dalších periferních oblastech.  </w:t>
      </w:r>
    </w:p>
    <w:p w:rsidR="00A617BC" w:rsidRDefault="00A617BC" w:rsidP="00155F1F">
      <w:pPr>
        <w:spacing w:after="240"/>
        <w:rPr>
          <w:rFonts w:cs="Arial"/>
          <w:sz w:val="20"/>
          <w:szCs w:val="20"/>
        </w:rPr>
      </w:pPr>
      <w:r w:rsidRPr="00C24253">
        <w:rPr>
          <w:rFonts w:cs="Arial"/>
          <w:sz w:val="20"/>
          <w:szCs w:val="20"/>
        </w:rPr>
        <w:t>Odlišná byla situace u staršího obyvatelstva, hlavně u seniorů nad 65 let. Na rozdíl od celé populace byla jejich územní koncentrace podle obvyklého pobytu nepatrně nižší než podle pobytu trvalého. Ve všech mě</w:t>
      </w:r>
      <w:r w:rsidRPr="00C24253">
        <w:rPr>
          <w:rFonts w:cs="Arial"/>
          <w:sz w:val="20"/>
          <w:szCs w:val="20"/>
        </w:rPr>
        <w:t>s</w:t>
      </w:r>
      <w:r w:rsidRPr="00C24253">
        <w:rPr>
          <w:rFonts w:cs="Arial"/>
          <w:sz w:val="20"/>
          <w:szCs w:val="20"/>
        </w:rPr>
        <w:t>tech nad 45 tisíc obyvatel jich obvykle žilo méně než trvale, naopak převažovali v populačně malých obcích, ve městech do 10 tisíc obyvatel a mnohdy právě v periferních regionech, kde byly celkové rozdíly mezi o</w:t>
      </w:r>
      <w:r w:rsidRPr="00C24253">
        <w:rPr>
          <w:rFonts w:cs="Arial"/>
          <w:sz w:val="20"/>
          <w:szCs w:val="20"/>
        </w:rPr>
        <w:t>b</w:t>
      </w:r>
      <w:r w:rsidRPr="00C24253">
        <w:rPr>
          <w:rFonts w:cs="Arial"/>
          <w:sz w:val="20"/>
          <w:szCs w:val="20"/>
        </w:rPr>
        <w:t xml:space="preserve">vykle a trvale bydlícím záporné (Jeseník, Rumburk, Aš, </w:t>
      </w:r>
      <w:proofErr w:type="spellStart"/>
      <w:r w:rsidRPr="00C24253">
        <w:rPr>
          <w:rFonts w:cs="Arial"/>
          <w:sz w:val="20"/>
          <w:szCs w:val="20"/>
        </w:rPr>
        <w:t>Dačice</w:t>
      </w:r>
      <w:proofErr w:type="spellEnd"/>
      <w:r w:rsidRPr="00C24253">
        <w:rPr>
          <w:rFonts w:cs="Arial"/>
          <w:sz w:val="20"/>
          <w:szCs w:val="20"/>
        </w:rPr>
        <w:t>). Relativně nejvyšší počty obvykle bydlících seniorů však byl</w:t>
      </w:r>
      <w:r w:rsidR="00155F1F" w:rsidRPr="00C24253">
        <w:rPr>
          <w:rFonts w:cs="Arial"/>
          <w:sz w:val="20"/>
          <w:szCs w:val="20"/>
        </w:rPr>
        <w:t xml:space="preserve">y stejně jako u celé populace v </w:t>
      </w:r>
      <w:r w:rsidRPr="00C24253">
        <w:rPr>
          <w:rFonts w:cs="Arial"/>
          <w:sz w:val="20"/>
          <w:szCs w:val="20"/>
        </w:rPr>
        <w:t xml:space="preserve">zázemí Prahy. </w:t>
      </w:r>
    </w:p>
    <w:p w:rsidR="004F21A3" w:rsidRPr="00C24253" w:rsidRDefault="003145B5" w:rsidP="004F21A3">
      <w:pPr>
        <w:spacing w:after="240"/>
        <w:jc w:val="center"/>
        <w:rPr>
          <w:rFonts w:cs="Arial"/>
          <w:sz w:val="20"/>
          <w:szCs w:val="20"/>
        </w:rPr>
      </w:pPr>
      <w:r w:rsidRPr="00E946DF">
        <w:rPr>
          <w:rFonts w:cs="Arial"/>
          <w:sz w:val="20"/>
          <w:szCs w:val="20"/>
        </w:rPr>
        <w:fldChar w:fldCharType="begin"/>
      </w:r>
      <w:r w:rsidR="00485FDE" w:rsidRPr="00E946DF">
        <w:rPr>
          <w:rFonts w:cs="Arial"/>
          <w:sz w:val="20"/>
          <w:szCs w:val="20"/>
        </w:rPr>
        <w:instrText xml:space="preserve"> LINK Excel.Sheet.8 "D:\\RŮŽKOVÁ\\ALLSČÍTÁNÍ LIDU - VŠE O sl\\PRAMENNÉ dílo\\A KOMPLETACE PD\\Šanda podklad ke grafuObr2.xlsx!List1![Šanda podklad ke grafuObr2.xlsx]List1 Graf 2" "" \a \p \* MERGEFORMAT </w:instrText>
      </w:r>
      <w:r w:rsidRPr="00E946DF">
        <w:rPr>
          <w:rFonts w:cs="Arial"/>
          <w:sz w:val="20"/>
          <w:szCs w:val="20"/>
        </w:rPr>
        <w:fldChar w:fldCharType="separate"/>
      </w:r>
      <w:r w:rsidR="00642AC6" w:rsidRPr="003145B5">
        <w:rPr>
          <w:rFonts w:cs="Arial"/>
          <w:sz w:val="20"/>
          <w:szCs w:val="20"/>
        </w:rPr>
        <w:object w:dxaOrig="8235" w:dyaOrig="6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327pt">
            <v:imagedata r:id="rId8" o:title=""/>
          </v:shape>
        </w:object>
      </w:r>
      <w:r w:rsidRPr="00E946DF">
        <w:rPr>
          <w:rFonts w:cs="Arial"/>
          <w:sz w:val="20"/>
          <w:szCs w:val="20"/>
        </w:rPr>
        <w:fldChar w:fldCharType="end"/>
      </w:r>
    </w:p>
    <w:p w:rsidR="003228B7" w:rsidRPr="00C24253" w:rsidRDefault="003228B7" w:rsidP="003228B7">
      <w:pPr>
        <w:spacing w:after="240"/>
        <w:jc w:val="center"/>
        <w:rPr>
          <w:rFonts w:cs="Arial"/>
          <w:sz w:val="20"/>
          <w:szCs w:val="20"/>
        </w:rPr>
      </w:pPr>
    </w:p>
    <w:p w:rsidR="006E3AFE" w:rsidRPr="00C24253" w:rsidRDefault="004F21A3" w:rsidP="00D01676">
      <w:pPr>
        <w:spacing w:after="120"/>
        <w:rPr>
          <w:rFonts w:cs="Arial"/>
          <w:b/>
          <w:sz w:val="20"/>
          <w:szCs w:val="20"/>
        </w:rPr>
      </w:pPr>
      <w:r>
        <w:rPr>
          <w:rFonts w:cs="Arial"/>
          <w:b/>
          <w:sz w:val="20"/>
          <w:szCs w:val="20"/>
        </w:rPr>
        <w:br w:type="page"/>
      </w:r>
      <w:r w:rsidR="00A617BC" w:rsidRPr="00C24253">
        <w:rPr>
          <w:rFonts w:cs="Arial"/>
          <w:b/>
          <w:sz w:val="20"/>
          <w:szCs w:val="20"/>
        </w:rPr>
        <w:lastRenderedPageBreak/>
        <w:t>Osoby trvale i obvykle bydlící na území Česk</w:t>
      </w:r>
      <w:r w:rsidR="006E3AFE" w:rsidRPr="00C24253">
        <w:rPr>
          <w:rFonts w:cs="Arial"/>
          <w:b/>
          <w:sz w:val="20"/>
          <w:szCs w:val="20"/>
        </w:rPr>
        <w:t>é republiky</w:t>
      </w:r>
    </w:p>
    <w:p w:rsidR="001F519D" w:rsidRPr="004637CB" w:rsidRDefault="00A617BC" w:rsidP="001F519D">
      <w:pPr>
        <w:spacing w:after="120"/>
        <w:rPr>
          <w:rFonts w:cs="Arial"/>
          <w:sz w:val="20"/>
          <w:szCs w:val="20"/>
        </w:rPr>
      </w:pPr>
      <w:r w:rsidRPr="004637CB">
        <w:rPr>
          <w:rFonts w:cs="Arial"/>
          <w:sz w:val="20"/>
          <w:szCs w:val="20"/>
        </w:rPr>
        <w:t>Z celkového počtu obyvatel s trvalým i obvyklým pobytem v Č</w:t>
      </w:r>
      <w:r w:rsidR="006E3AFE" w:rsidRPr="004637CB">
        <w:rPr>
          <w:rFonts w:cs="Arial"/>
          <w:sz w:val="20"/>
          <w:szCs w:val="20"/>
        </w:rPr>
        <w:t>R</w:t>
      </w:r>
      <w:r w:rsidRPr="004637CB">
        <w:rPr>
          <w:rFonts w:cs="Arial"/>
          <w:sz w:val="20"/>
          <w:szCs w:val="20"/>
        </w:rPr>
        <w:t xml:space="preserve"> (</w:t>
      </w:r>
      <w:r w:rsidRPr="004637CB">
        <w:rPr>
          <w:rFonts w:cs="Arial"/>
          <w:bCs/>
          <w:sz w:val="20"/>
          <w:szCs w:val="20"/>
        </w:rPr>
        <w:t>10 386,1 tis.)</w:t>
      </w:r>
      <w:r w:rsidRPr="004637CB">
        <w:rPr>
          <w:rFonts w:cs="Arial"/>
          <w:b/>
          <w:bCs/>
          <w:sz w:val="20"/>
          <w:szCs w:val="20"/>
        </w:rPr>
        <w:t xml:space="preserve"> </w:t>
      </w:r>
      <w:r w:rsidRPr="004637CB">
        <w:rPr>
          <w:rFonts w:cs="Arial"/>
          <w:sz w:val="20"/>
          <w:szCs w:val="20"/>
        </w:rPr>
        <w:t>mělo 558,2 tisíc (5,4 %) ro</w:t>
      </w:r>
      <w:r w:rsidRPr="004637CB">
        <w:rPr>
          <w:rFonts w:cs="Arial"/>
          <w:sz w:val="20"/>
          <w:szCs w:val="20"/>
        </w:rPr>
        <w:t>z</w:t>
      </w:r>
      <w:r w:rsidRPr="004637CB">
        <w:rPr>
          <w:rFonts w:cs="Arial"/>
          <w:sz w:val="20"/>
          <w:szCs w:val="20"/>
        </w:rPr>
        <w:t>dílné obce pobytů, 407,4 tisíc (3,9 %) i rozdílné ORP a 250,4 tisíc (2,4 %) i rozdílné kraje</w:t>
      </w:r>
      <w:r w:rsidR="001F519D" w:rsidRPr="004637CB">
        <w:rPr>
          <w:rFonts w:cs="Arial"/>
          <w:sz w:val="20"/>
          <w:szCs w:val="20"/>
        </w:rPr>
        <w:t>:</w:t>
      </w:r>
    </w:p>
    <w:p w:rsidR="001F519D" w:rsidRPr="00C24253" w:rsidRDefault="001F519D" w:rsidP="001F519D">
      <w:pPr>
        <w:pStyle w:val="odrkyzlevaodsazeno0"/>
      </w:pPr>
      <w:r w:rsidRPr="00C24253">
        <w:t>v</w:t>
      </w:r>
      <w:r w:rsidR="00A617BC" w:rsidRPr="00C24253">
        <w:t xml:space="preserve">íce než polovinu rozdílů na úrovni krajů tvořily osoby, které měly jeden z pobytů v Praze, častá byla zejména kombinace Praha – Středočeský kraj (přičemž ve Středočeském kraji fakticky žilo zhruba dvakrát tolik Pražanů, než kolik Středočechů žilo fakticky v Praze). Území Prahy se Středočeským krajem mělo se všemi ostatními kraji kladnou „bilanci“ (ovšem pouze díky obyvatelům ve věku zhruba 20 – 40 let, v ostatních věkových kategoriích tomu bylo naopak). </w:t>
      </w:r>
    </w:p>
    <w:p w:rsidR="001F519D" w:rsidRPr="00C24253" w:rsidRDefault="001F519D" w:rsidP="001F519D">
      <w:pPr>
        <w:pStyle w:val="odrkyzlevaodsazeno0"/>
      </w:pPr>
      <w:r w:rsidRPr="00C24253">
        <w:t>r</w:t>
      </w:r>
      <w:r w:rsidR="00A617BC" w:rsidRPr="00C24253">
        <w:t xml:space="preserve">elativně výrazně ziskový byl také Jihomoravský kraj, kde ve větším počtu žili obyvatelé hlášení k pobytu hlavně v Moravskoslezském a Zlínském kraji. </w:t>
      </w:r>
    </w:p>
    <w:p w:rsidR="00A617BC" w:rsidRPr="00C24253" w:rsidRDefault="001F519D" w:rsidP="00155F1F">
      <w:pPr>
        <w:pStyle w:val="odrkyzlevaodsazeno0"/>
        <w:spacing w:after="240"/>
      </w:pPr>
      <w:r w:rsidRPr="00C24253">
        <w:t>n</w:t>
      </w:r>
      <w:r w:rsidR="00A617BC" w:rsidRPr="00C24253">
        <w:t>ejvíce „rozptýleným“ trvale bydlícím obyvatelstvem do ostatních krajů se v absolutním vyjádření v</w:t>
      </w:r>
      <w:r w:rsidR="00A617BC" w:rsidRPr="00C24253">
        <w:t>y</w:t>
      </w:r>
      <w:r w:rsidR="00A617BC" w:rsidRPr="00C24253">
        <w:t>značovaly kraje Moravskoslezský (do Prahy a do Jihomoravského kraje) a Ústecký (do Prahy a Stř</w:t>
      </w:r>
      <w:r w:rsidR="00A617BC" w:rsidRPr="00C24253">
        <w:t>e</w:t>
      </w:r>
      <w:r w:rsidR="00A617BC" w:rsidRPr="00C24253">
        <w:t>dočeského), v relativním vyjádření Karlovarský kraj (do Prahy a do Plzeňského kraje).</w:t>
      </w:r>
    </w:p>
    <w:p w:rsidR="00A617BC" w:rsidRPr="00C24253" w:rsidRDefault="00D06732" w:rsidP="00D01676">
      <w:pPr>
        <w:spacing w:after="120"/>
        <w:rPr>
          <w:rFonts w:cs="Arial"/>
          <w:sz w:val="20"/>
          <w:szCs w:val="20"/>
        </w:rPr>
      </w:pPr>
      <w:r w:rsidRPr="00C24253">
        <w:rPr>
          <w:rFonts w:cs="Arial"/>
          <w:sz w:val="20"/>
          <w:szCs w:val="20"/>
        </w:rPr>
        <w:t>Rozdíly mezi obvyklým a trvalým pobytem</w:t>
      </w:r>
      <w:r w:rsidR="00A617BC" w:rsidRPr="00C24253">
        <w:rPr>
          <w:rFonts w:cs="Arial"/>
          <w:sz w:val="20"/>
          <w:szCs w:val="20"/>
        </w:rPr>
        <w:t xml:space="preserve"> se nejčastěji vyskytovaly u obyva</w:t>
      </w:r>
      <w:r w:rsidR="00A96EA8">
        <w:rPr>
          <w:rFonts w:cs="Arial"/>
          <w:sz w:val="20"/>
          <w:szCs w:val="20"/>
        </w:rPr>
        <w:t>tel okolo 25 – 30 roku věku a u </w:t>
      </w:r>
      <w:r w:rsidR="00A617BC" w:rsidRPr="00C24253">
        <w:rPr>
          <w:rFonts w:cs="Arial"/>
          <w:sz w:val="20"/>
          <w:szCs w:val="20"/>
        </w:rPr>
        <w:t>malých dětí (stěhování s rodiči) a také u osob v nejvyšším věku (stěhování z důvodu zhoršení finanční situace či snížení soběstačnosti, např. k příbuzným nebo do zařízení zdravotní či sociální péče).</w:t>
      </w:r>
    </w:p>
    <w:p w:rsidR="00A617BC" w:rsidRPr="00C24253" w:rsidRDefault="00A617BC" w:rsidP="00561119">
      <w:pPr>
        <w:spacing w:before="360" w:after="120"/>
        <w:rPr>
          <w:rFonts w:cs="Arial"/>
          <w:b/>
          <w:sz w:val="20"/>
          <w:szCs w:val="20"/>
        </w:rPr>
      </w:pPr>
      <w:r w:rsidRPr="00C24253">
        <w:rPr>
          <w:rFonts w:cs="Arial"/>
          <w:b/>
          <w:sz w:val="20"/>
          <w:szCs w:val="20"/>
        </w:rPr>
        <w:t>Obvykle bydlící obyvatelé bez trvalého pobytu</w:t>
      </w:r>
    </w:p>
    <w:p w:rsidR="00A617BC" w:rsidRPr="00C24253" w:rsidRDefault="00A617BC" w:rsidP="001F519D">
      <w:pPr>
        <w:spacing w:after="120"/>
        <w:rPr>
          <w:rFonts w:cs="Arial"/>
          <w:sz w:val="20"/>
          <w:szCs w:val="20"/>
        </w:rPr>
      </w:pPr>
      <w:r w:rsidRPr="00C24253">
        <w:rPr>
          <w:rFonts w:cs="Arial"/>
          <w:sz w:val="20"/>
          <w:szCs w:val="20"/>
        </w:rPr>
        <w:t>Obvykle bydlících obyvatel bez trvalého pobytu na území České republiky, tj. neregistrovaných v evidenci obyvatel (a tedy zřejmě ani nepodchycených ve většině statistických údajů), bylo sečteno 50,4 tisíc. Pře</w:t>
      </w:r>
      <w:r w:rsidRPr="00C24253">
        <w:rPr>
          <w:rFonts w:cs="Arial"/>
          <w:sz w:val="20"/>
          <w:szCs w:val="20"/>
        </w:rPr>
        <w:t>d</w:t>
      </w:r>
      <w:r w:rsidRPr="00C24253">
        <w:rPr>
          <w:rFonts w:cs="Arial"/>
          <w:sz w:val="20"/>
          <w:szCs w:val="20"/>
        </w:rPr>
        <w:t xml:space="preserve">stavovali zhruba 0,5 % všech obvykle bydlících. Byli to většinou cizinci, ale vyskytovali se mezi nimi i občané České republiky, kteří měli na našem území ukončený trvalý pobyt, ale fakticky zde žili. </w:t>
      </w:r>
    </w:p>
    <w:p w:rsidR="00A617BC" w:rsidRPr="00C24253" w:rsidRDefault="00A617BC" w:rsidP="001F519D">
      <w:pPr>
        <w:spacing w:after="120"/>
        <w:rPr>
          <w:rFonts w:cs="Arial"/>
          <w:sz w:val="20"/>
          <w:szCs w:val="20"/>
        </w:rPr>
      </w:pPr>
      <w:r w:rsidRPr="00C24253">
        <w:rPr>
          <w:rFonts w:cs="Arial"/>
          <w:sz w:val="20"/>
          <w:szCs w:val="20"/>
        </w:rPr>
        <w:t xml:space="preserve">Rozmístění obyvatel bez trvalého pobytu korespondovalo s rozmístěním cizinců. Ve východní části republiky bylo jejich absolutní i relativní zastoupení nižší než v západní polovině, výjimkou bylo Brno se 4 tisíci osob (mírně přes 1 % obvykle bydlících). Zdaleka nejvíce (44 %) těchto obyvatel bylo sečteno v Praze, kde tvořili necelá 2 % obvykle bydlícího obyvatelstva. Vysoké počty byly dále zaznamenány v obvodech ORP Mladá Boleslav, Pardubice a Plzeň (regiony charakteristické vyššími stavy přímých zahraničních investic a s tím souvisejícími vyššími počty cizinců). </w:t>
      </w:r>
    </w:p>
    <w:p w:rsidR="003A0DC2" w:rsidRPr="00C24253" w:rsidRDefault="00A617BC" w:rsidP="003A0DC2">
      <w:pPr>
        <w:spacing w:after="120"/>
        <w:rPr>
          <w:rFonts w:cs="Arial"/>
          <w:sz w:val="20"/>
          <w:szCs w:val="20"/>
        </w:rPr>
      </w:pPr>
      <w:r w:rsidRPr="00C24253">
        <w:rPr>
          <w:rFonts w:cs="Arial"/>
          <w:sz w:val="20"/>
          <w:szCs w:val="20"/>
        </w:rPr>
        <w:t xml:space="preserve">I svými </w:t>
      </w:r>
      <w:proofErr w:type="spellStart"/>
      <w:r w:rsidRPr="00C24253">
        <w:rPr>
          <w:rFonts w:cs="Arial"/>
          <w:sz w:val="20"/>
          <w:szCs w:val="20"/>
        </w:rPr>
        <w:t>socio</w:t>
      </w:r>
      <w:proofErr w:type="spellEnd"/>
      <w:r w:rsidR="001F519D" w:rsidRPr="00C24253">
        <w:rPr>
          <w:rFonts w:cs="Arial"/>
          <w:sz w:val="20"/>
          <w:szCs w:val="20"/>
        </w:rPr>
        <w:t>-</w:t>
      </w:r>
      <w:r w:rsidRPr="00C24253">
        <w:rPr>
          <w:rFonts w:cs="Arial"/>
          <w:sz w:val="20"/>
          <w:szCs w:val="20"/>
        </w:rPr>
        <w:t xml:space="preserve">demografickými charakteristikami tato skupina obyvatel víceméně odpovídala charakteristikám přistěhovalých cizinců. Ve srovnání s celou populací byli výrazněji zastoupeni muži. Početně velmi výrazná byla zejména věková kategorie 20 – 29 let, u mužů i vyšší věkové skupiny. Na rozdíl od evidovaných cizinců nebyli nejvýrazněji zastoupeni občané Ukrajiny, ale Slovenska. </w:t>
      </w:r>
    </w:p>
    <w:p w:rsidR="00A617BC" w:rsidRPr="006F360C" w:rsidRDefault="00A617BC" w:rsidP="003A0DC2">
      <w:pPr>
        <w:spacing w:after="120"/>
        <w:rPr>
          <w:rFonts w:cs="Arial"/>
          <w:sz w:val="20"/>
          <w:szCs w:val="20"/>
        </w:rPr>
      </w:pPr>
      <w:r w:rsidRPr="006F360C">
        <w:rPr>
          <w:rFonts w:cs="Arial"/>
          <w:sz w:val="20"/>
          <w:szCs w:val="20"/>
        </w:rPr>
        <w:t>Úroveň vzdělanosti osob bez trvalého pobytu byla výrazně vyšší než u zbytku obvykle bydlícího obyvatelstva (i po odstranění vlivu věkové struktury). Relativně velkou část tvořili ekonomicky neaktivní zahraniční stude</w:t>
      </w:r>
      <w:r w:rsidRPr="006F360C">
        <w:rPr>
          <w:rFonts w:cs="Arial"/>
          <w:sz w:val="20"/>
          <w:szCs w:val="20"/>
        </w:rPr>
        <w:t>n</w:t>
      </w:r>
      <w:r w:rsidRPr="006F360C">
        <w:rPr>
          <w:rFonts w:cs="Arial"/>
          <w:sz w:val="20"/>
          <w:szCs w:val="20"/>
        </w:rPr>
        <w:t xml:space="preserve">ti. </w:t>
      </w:r>
    </w:p>
    <w:p w:rsidR="00A617BC" w:rsidRPr="00C24253" w:rsidRDefault="00A617BC" w:rsidP="00155F1F">
      <w:pPr>
        <w:spacing w:after="120"/>
        <w:rPr>
          <w:rFonts w:cs="Arial"/>
          <w:b/>
          <w:sz w:val="20"/>
          <w:szCs w:val="20"/>
        </w:rPr>
      </w:pPr>
      <w:r w:rsidRPr="00C24253">
        <w:rPr>
          <w:rFonts w:cs="Arial"/>
          <w:b/>
          <w:sz w:val="20"/>
          <w:szCs w:val="20"/>
        </w:rPr>
        <w:t>Trvale bydlící obyvatelé bez obvyklého pobytu</w:t>
      </w:r>
    </w:p>
    <w:p w:rsidR="004471FA" w:rsidRPr="00C24253" w:rsidRDefault="00A617BC" w:rsidP="004471FA">
      <w:pPr>
        <w:spacing w:after="120"/>
        <w:rPr>
          <w:rFonts w:cs="Arial"/>
          <w:sz w:val="20"/>
          <w:szCs w:val="20"/>
        </w:rPr>
      </w:pPr>
      <w:r w:rsidRPr="00C24253">
        <w:rPr>
          <w:rFonts w:cs="Arial"/>
          <w:sz w:val="20"/>
          <w:szCs w:val="20"/>
        </w:rPr>
        <w:t>Poněkud problematickou skupinou z hlediska spolehlivosti výsledků jsou trvale bydlící obyvatelé, kteří podle metodiky neměli v</w:t>
      </w:r>
      <w:r w:rsidR="004471FA" w:rsidRPr="00C24253">
        <w:rPr>
          <w:rFonts w:cs="Arial"/>
          <w:sz w:val="20"/>
          <w:szCs w:val="20"/>
        </w:rPr>
        <w:t> České republice</w:t>
      </w:r>
      <w:r w:rsidRPr="00C24253">
        <w:rPr>
          <w:rFonts w:cs="Arial"/>
          <w:sz w:val="20"/>
          <w:szCs w:val="20"/>
        </w:rPr>
        <w:t xml:space="preserve"> obvyklý pobyt. Bylo jich zjištěno 104 tisíc, převážně českých občanů. </w:t>
      </w:r>
    </w:p>
    <w:p w:rsidR="00A617BC" w:rsidRPr="00C24253" w:rsidRDefault="00A617BC" w:rsidP="00A617BC">
      <w:pPr>
        <w:rPr>
          <w:rFonts w:cs="Arial"/>
          <w:sz w:val="20"/>
          <w:szCs w:val="20"/>
        </w:rPr>
      </w:pPr>
      <w:r w:rsidRPr="00C24253">
        <w:rPr>
          <w:rFonts w:cs="Arial"/>
          <w:sz w:val="20"/>
          <w:szCs w:val="20"/>
        </w:rPr>
        <w:t>Stejně jako u předchozích popisovaných skupin výrazněji dominovaly věkové kategorie od 20 do 40 let. Byli soustředěni hlavně na severozápadě území, a to zejména v Karlovarském kraji a na Chomutovsku. Ve sk</w:t>
      </w:r>
      <w:r w:rsidRPr="00C24253">
        <w:rPr>
          <w:rFonts w:cs="Arial"/>
          <w:sz w:val="20"/>
          <w:szCs w:val="20"/>
        </w:rPr>
        <w:t>u</w:t>
      </w:r>
      <w:r w:rsidRPr="00C24253">
        <w:rPr>
          <w:rFonts w:cs="Arial"/>
          <w:sz w:val="20"/>
          <w:szCs w:val="20"/>
        </w:rPr>
        <w:t xml:space="preserve">tečnosti však pouze necelých 40 tisíc z těchto osob odevzdalo sčítací formulář, v němž deklarovali obvyklý pobyt mimo území </w:t>
      </w:r>
      <w:r w:rsidR="004471FA" w:rsidRPr="00C24253">
        <w:rPr>
          <w:rFonts w:cs="Arial"/>
          <w:sz w:val="20"/>
          <w:szCs w:val="20"/>
        </w:rPr>
        <w:t>České republiky</w:t>
      </w:r>
      <w:r w:rsidRPr="00C24253">
        <w:rPr>
          <w:rFonts w:cs="Arial"/>
          <w:sz w:val="20"/>
          <w:szCs w:val="20"/>
        </w:rPr>
        <w:t>. Většinu představovaly osoby fyzicky nesečtené, ale doplněné z evidence obyvatel a hlášené na adrese ohlašovny pobytu. Ty podle metodiky nebyly zařazeny mezi obvy</w:t>
      </w:r>
      <w:r w:rsidRPr="00C24253">
        <w:rPr>
          <w:rFonts w:cs="Arial"/>
          <w:sz w:val="20"/>
          <w:szCs w:val="20"/>
        </w:rPr>
        <w:t>k</w:t>
      </w:r>
      <w:r w:rsidRPr="00C24253">
        <w:rPr>
          <w:rFonts w:cs="Arial"/>
          <w:sz w:val="20"/>
          <w:szCs w:val="20"/>
        </w:rPr>
        <w:t>le bydlící.</w:t>
      </w:r>
    </w:p>
    <w:p w:rsidR="00A617BC" w:rsidRPr="00C24253" w:rsidRDefault="00A617BC">
      <w:pPr>
        <w:rPr>
          <w:sz w:val="20"/>
          <w:szCs w:val="20"/>
        </w:rPr>
      </w:pPr>
    </w:p>
    <w:sectPr w:rsidR="00A617BC" w:rsidRPr="00C24253" w:rsidSect="00FC6FDC">
      <w:footerReference w:type="even" r:id="rId9"/>
      <w:type w:val="continuous"/>
      <w:pgSz w:w="11906" w:h="16838" w:code="9"/>
      <w:pgMar w:top="1134" w:right="1134" w:bottom="1134"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9D9" w:rsidRDefault="00F939D9">
      <w:r>
        <w:separator/>
      </w:r>
    </w:p>
    <w:p w:rsidR="00F939D9" w:rsidRDefault="00F939D9"/>
  </w:endnote>
  <w:endnote w:type="continuationSeparator" w:id="0">
    <w:p w:rsidR="00F939D9" w:rsidRDefault="00F939D9">
      <w:r>
        <w:continuationSeparator/>
      </w:r>
    </w:p>
    <w:p w:rsidR="00F939D9" w:rsidRDefault="00F939D9"/>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T1FDo00">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00000287" w:usb1="00000000" w:usb2="00000000" w:usb3="00000000" w:csb0="0000009F" w:csb1="00000000"/>
  </w:font>
  <w:font w:name="TimesCE-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5C3" w:rsidRDefault="003145B5">
    <w:pPr>
      <w:pStyle w:val="Zpat"/>
      <w:framePr w:wrap="around" w:vAnchor="text" w:hAnchor="margin" w:xAlign="center" w:y="1"/>
      <w:rPr>
        <w:rStyle w:val="slostrnky"/>
      </w:rPr>
    </w:pPr>
    <w:r>
      <w:rPr>
        <w:rStyle w:val="slostrnky"/>
      </w:rPr>
      <w:fldChar w:fldCharType="begin"/>
    </w:r>
    <w:r w:rsidR="00D055C3">
      <w:rPr>
        <w:rStyle w:val="slostrnky"/>
      </w:rPr>
      <w:instrText xml:space="preserve">PAGE  </w:instrText>
    </w:r>
    <w:r>
      <w:rPr>
        <w:rStyle w:val="slostrnky"/>
      </w:rPr>
      <w:fldChar w:fldCharType="end"/>
    </w:r>
  </w:p>
  <w:p w:rsidR="00D055C3" w:rsidRDefault="00D055C3">
    <w:pPr>
      <w:pStyle w:val="Zpat"/>
    </w:pPr>
  </w:p>
  <w:p w:rsidR="00D055C3" w:rsidRDefault="00D055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9D9" w:rsidRDefault="00F939D9">
      <w:r>
        <w:separator/>
      </w:r>
    </w:p>
    <w:p w:rsidR="00F939D9" w:rsidRDefault="00F939D9"/>
  </w:footnote>
  <w:footnote w:type="continuationSeparator" w:id="0">
    <w:p w:rsidR="00F939D9" w:rsidRDefault="00F939D9">
      <w:r>
        <w:continuationSeparator/>
      </w:r>
    </w:p>
    <w:p w:rsidR="00F939D9" w:rsidRDefault="00F939D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5372"/>
    <w:multiLevelType w:val="multilevel"/>
    <w:tmpl w:val="0405001D"/>
    <w:styleLink w:val="Styl13"/>
    <w:lvl w:ilvl="0">
      <w:start w:val="2"/>
      <w:numFmt w:val="decimal"/>
      <w:lvlText w:val="%1)"/>
      <w:lvlJc w:val="left"/>
      <w:pPr>
        <w:ind w:left="360" w:hanging="360"/>
      </w:pPr>
    </w:lvl>
    <w:lvl w:ilvl="1">
      <w:start w:val="1"/>
      <w:numFmt w:val="lowerLetter"/>
      <w:lvlText w:val="%2)"/>
      <w:lvlJc w:val="left"/>
      <w:pPr>
        <w:ind w:left="720" w:hanging="360"/>
      </w:pPr>
      <w:rPr>
        <w:rFonts w:ascii="Arial" w:hAnsi="Arial"/>
        <w:sz w:val="3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6A75AB0"/>
    <w:multiLevelType w:val="multilevel"/>
    <w:tmpl w:val="625E03DE"/>
    <w:lvl w:ilvl="0">
      <w:start w:val="4"/>
      <w:numFmt w:val="decimal"/>
      <w:pStyle w:val="Dilonadpis1"/>
      <w:lvlText w:val="%1."/>
      <w:lvlJc w:val="left"/>
      <w:pPr>
        <w:ind w:left="927"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2106" w:hanging="1080"/>
      </w:pPr>
      <w:rPr>
        <w:rFonts w:hint="default"/>
      </w:rPr>
    </w:lvl>
    <w:lvl w:ilvl="4">
      <w:start w:val="1"/>
      <w:numFmt w:val="decimal"/>
      <w:isLgl/>
      <w:lvlText w:val="%1.%2.%3.%4.%5."/>
      <w:lvlJc w:val="left"/>
      <w:pPr>
        <w:ind w:left="2619" w:hanging="1440"/>
      </w:pPr>
      <w:rPr>
        <w:rFonts w:hint="default"/>
      </w:rPr>
    </w:lvl>
    <w:lvl w:ilvl="5">
      <w:start w:val="1"/>
      <w:numFmt w:val="decimal"/>
      <w:isLgl/>
      <w:lvlText w:val="%1.%2.%3.%4.%5.%6."/>
      <w:lvlJc w:val="left"/>
      <w:pPr>
        <w:ind w:left="2772" w:hanging="1440"/>
      </w:pPr>
      <w:rPr>
        <w:rFonts w:hint="default"/>
      </w:rPr>
    </w:lvl>
    <w:lvl w:ilvl="6">
      <w:start w:val="1"/>
      <w:numFmt w:val="decimal"/>
      <w:isLgl/>
      <w:lvlText w:val="%1.%2.%3.%4.%5.%6.%7."/>
      <w:lvlJc w:val="left"/>
      <w:pPr>
        <w:ind w:left="3285" w:hanging="1800"/>
      </w:pPr>
      <w:rPr>
        <w:rFonts w:hint="default"/>
      </w:rPr>
    </w:lvl>
    <w:lvl w:ilvl="7">
      <w:start w:val="1"/>
      <w:numFmt w:val="decimal"/>
      <w:isLgl/>
      <w:lvlText w:val="%1.%2.%3.%4.%5.%6.%7.%8."/>
      <w:lvlJc w:val="left"/>
      <w:pPr>
        <w:ind w:left="3798" w:hanging="2160"/>
      </w:pPr>
      <w:rPr>
        <w:rFonts w:hint="default"/>
      </w:rPr>
    </w:lvl>
    <w:lvl w:ilvl="8">
      <w:start w:val="1"/>
      <w:numFmt w:val="decimal"/>
      <w:isLgl/>
      <w:lvlText w:val="%1.%2.%3.%4.%5.%6.%7.%8.%9."/>
      <w:lvlJc w:val="left"/>
      <w:pPr>
        <w:ind w:left="3951" w:hanging="2160"/>
      </w:pPr>
      <w:rPr>
        <w:rFonts w:hint="default"/>
      </w:rPr>
    </w:lvl>
  </w:abstractNum>
  <w:abstractNum w:abstractNumId="2">
    <w:nsid w:val="0C1664EE"/>
    <w:multiLevelType w:val="multilevel"/>
    <w:tmpl w:val="CF4E77C0"/>
    <w:styleLink w:val="Styl4"/>
    <w:lvl w:ilvl="0">
      <w:start w:val="7"/>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
    <w:nsid w:val="0CAE1A6B"/>
    <w:multiLevelType w:val="multilevel"/>
    <w:tmpl w:val="2C401CCC"/>
    <w:numStyleLink w:val="Styl8"/>
  </w:abstractNum>
  <w:abstractNum w:abstractNumId="4">
    <w:nsid w:val="0E016256"/>
    <w:multiLevelType w:val="multilevel"/>
    <w:tmpl w:val="0405001D"/>
    <w:styleLink w:val="Styl15"/>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1FE6A4E"/>
    <w:multiLevelType w:val="multilevel"/>
    <w:tmpl w:val="03D4418A"/>
    <w:lvl w:ilvl="0">
      <w:start w:val="1"/>
      <w:numFmt w:val="decimal"/>
      <w:lvlText w:val="%1."/>
      <w:lvlJc w:val="left"/>
      <w:pPr>
        <w:ind w:left="480" w:hanging="480"/>
      </w:pPr>
      <w:rPr>
        <w:rFonts w:hint="default"/>
      </w:rPr>
    </w:lvl>
    <w:lvl w:ilvl="1">
      <w:start w:val="1"/>
      <w:numFmt w:val="decimal"/>
      <w:lvlText w:val="%1.%2."/>
      <w:lvlJc w:val="left"/>
      <w:pPr>
        <w:ind w:left="213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nsid w:val="1660190E"/>
    <w:multiLevelType w:val="multilevel"/>
    <w:tmpl w:val="070810C0"/>
    <w:styleLink w:val="Styl2"/>
    <w:lvl w:ilvl="0">
      <w:start w:val="2"/>
      <w:numFmt w:val="decimal"/>
      <w:lvlText w:val="%1.1."/>
      <w:lvlJc w:val="left"/>
      <w:pPr>
        <w:ind w:left="567" w:hanging="567"/>
      </w:pPr>
      <w:rPr>
        <w:rFonts w:hint="default"/>
      </w:rPr>
    </w:lvl>
    <w:lvl w:ilvl="1">
      <w:start w:val="2"/>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7472F0C"/>
    <w:multiLevelType w:val="hybridMultilevel"/>
    <w:tmpl w:val="4B1E2190"/>
    <w:lvl w:ilvl="0" w:tplc="B914C9F4">
      <w:start w:val="17"/>
      <w:numFmt w:val="bullet"/>
      <w:lvlText w:val="-"/>
      <w:lvlJc w:val="left"/>
      <w:pPr>
        <w:ind w:left="1080" w:hanging="360"/>
      </w:pPr>
      <w:rPr>
        <w:rFonts w:ascii="Arial" w:eastAsia="Times New Roman" w:hAnsi="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nsid w:val="1A5F5F7F"/>
    <w:multiLevelType w:val="hybridMultilevel"/>
    <w:tmpl w:val="9C444472"/>
    <w:lvl w:ilvl="0" w:tplc="5456EEB4">
      <w:start w:val="1"/>
      <w:numFmt w:val="decimal"/>
      <w:lvlText w:val="%1)"/>
      <w:lvlJc w:val="left"/>
      <w:pPr>
        <w:tabs>
          <w:tab w:val="num" w:pos="397"/>
        </w:tabs>
        <w:ind w:left="397" w:hanging="397"/>
      </w:pPr>
      <w:rPr>
        <w:rFonts w:ascii="Arial" w:hAnsi="Arial" w:hint="default"/>
        <w:b w:val="0"/>
        <w:i w:val="0"/>
        <w:color w:val="auto"/>
        <w:sz w:val="16"/>
      </w:rPr>
    </w:lvl>
    <w:lvl w:ilvl="1" w:tplc="530C8A14">
      <w:start w:val="10"/>
      <w:numFmt w:val="decimal"/>
      <w:lvlText w:val="%2"/>
      <w:lvlJc w:val="left"/>
      <w:pPr>
        <w:ind w:left="1440" w:hanging="360"/>
      </w:pPr>
      <w:rPr>
        <w:rFonts w:hint="default"/>
      </w:rPr>
    </w:lvl>
    <w:lvl w:ilvl="2" w:tplc="2348E64C" w:tentative="1">
      <w:start w:val="1"/>
      <w:numFmt w:val="lowerRoman"/>
      <w:lvlText w:val="%3."/>
      <w:lvlJc w:val="right"/>
      <w:pPr>
        <w:tabs>
          <w:tab w:val="num" w:pos="2160"/>
        </w:tabs>
        <w:ind w:left="2160" w:hanging="180"/>
      </w:pPr>
    </w:lvl>
    <w:lvl w:ilvl="3" w:tplc="B8D2C9F4" w:tentative="1">
      <w:start w:val="1"/>
      <w:numFmt w:val="decimal"/>
      <w:lvlText w:val="%4."/>
      <w:lvlJc w:val="left"/>
      <w:pPr>
        <w:tabs>
          <w:tab w:val="num" w:pos="2880"/>
        </w:tabs>
        <w:ind w:left="2880" w:hanging="360"/>
      </w:pPr>
    </w:lvl>
    <w:lvl w:ilvl="4" w:tplc="0B7E2BAE" w:tentative="1">
      <w:start w:val="1"/>
      <w:numFmt w:val="lowerLetter"/>
      <w:lvlText w:val="%5."/>
      <w:lvlJc w:val="left"/>
      <w:pPr>
        <w:tabs>
          <w:tab w:val="num" w:pos="3600"/>
        </w:tabs>
        <w:ind w:left="3600" w:hanging="360"/>
      </w:pPr>
    </w:lvl>
    <w:lvl w:ilvl="5" w:tplc="4062505E" w:tentative="1">
      <w:start w:val="1"/>
      <w:numFmt w:val="lowerRoman"/>
      <w:lvlText w:val="%6."/>
      <w:lvlJc w:val="right"/>
      <w:pPr>
        <w:tabs>
          <w:tab w:val="num" w:pos="4320"/>
        </w:tabs>
        <w:ind w:left="4320" w:hanging="180"/>
      </w:pPr>
    </w:lvl>
    <w:lvl w:ilvl="6" w:tplc="799E3B98" w:tentative="1">
      <w:start w:val="1"/>
      <w:numFmt w:val="decimal"/>
      <w:lvlText w:val="%7."/>
      <w:lvlJc w:val="left"/>
      <w:pPr>
        <w:tabs>
          <w:tab w:val="num" w:pos="5040"/>
        </w:tabs>
        <w:ind w:left="5040" w:hanging="360"/>
      </w:pPr>
    </w:lvl>
    <w:lvl w:ilvl="7" w:tplc="B8702D2A" w:tentative="1">
      <w:start w:val="1"/>
      <w:numFmt w:val="lowerLetter"/>
      <w:lvlText w:val="%8."/>
      <w:lvlJc w:val="left"/>
      <w:pPr>
        <w:tabs>
          <w:tab w:val="num" w:pos="5760"/>
        </w:tabs>
        <w:ind w:left="5760" w:hanging="360"/>
      </w:pPr>
    </w:lvl>
    <w:lvl w:ilvl="8" w:tplc="0DF24DBA" w:tentative="1">
      <w:start w:val="1"/>
      <w:numFmt w:val="lowerRoman"/>
      <w:lvlText w:val="%9."/>
      <w:lvlJc w:val="right"/>
      <w:pPr>
        <w:tabs>
          <w:tab w:val="num" w:pos="6480"/>
        </w:tabs>
        <w:ind w:left="6480" w:hanging="180"/>
      </w:pPr>
    </w:lvl>
  </w:abstractNum>
  <w:abstractNum w:abstractNumId="9">
    <w:nsid w:val="25630679"/>
    <w:multiLevelType w:val="multilevel"/>
    <w:tmpl w:val="2C401CCC"/>
    <w:styleLink w:val="Styl8"/>
    <w:lvl w:ilvl="0">
      <w:start w:val="8"/>
      <w:numFmt w:val="decimal"/>
      <w:lvlText w:val="%1."/>
      <w:lvlJc w:val="left"/>
      <w:pPr>
        <w:ind w:left="36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25877537"/>
    <w:multiLevelType w:val="hybridMultilevel"/>
    <w:tmpl w:val="1F1E20C6"/>
    <w:lvl w:ilvl="0" w:tplc="33EC40F4">
      <w:start w:val="1"/>
      <w:numFmt w:val="lowerLetter"/>
      <w:lvlText w:val="%1)"/>
      <w:lvlJc w:val="left"/>
      <w:pPr>
        <w:ind w:left="720" w:hanging="360"/>
      </w:pPr>
      <w:rPr>
        <w:rFonts w:hint="default"/>
      </w:rPr>
    </w:lvl>
    <w:lvl w:ilvl="1" w:tplc="B91E55B6">
      <w:start w:val="10"/>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8C679A8"/>
    <w:multiLevelType w:val="multilevel"/>
    <w:tmpl w:val="0405001D"/>
    <w:styleLink w:val="Styl18"/>
    <w:lvl w:ilvl="0">
      <w:start w:val="2"/>
      <w:numFmt w:val="decimal"/>
      <w:lvlText w:val="%1)"/>
      <w:lvlJc w:val="left"/>
      <w:pPr>
        <w:ind w:left="360" w:hanging="360"/>
      </w:pPr>
      <w:rPr>
        <w:rFonts w:ascii="Arial" w:hAnsi="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DE3188B"/>
    <w:multiLevelType w:val="multilevel"/>
    <w:tmpl w:val="AA760272"/>
    <w:styleLink w:val="Styl3"/>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303222AE"/>
    <w:multiLevelType w:val="hybridMultilevel"/>
    <w:tmpl w:val="42E235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20932AB"/>
    <w:multiLevelType w:val="hybridMultilevel"/>
    <w:tmpl w:val="B5FAAFC0"/>
    <w:lvl w:ilvl="0" w:tplc="046287AE">
      <w:start w:val="1"/>
      <w:numFmt w:val="bullet"/>
      <w:pStyle w:val="Seznamsodrkami3"/>
      <w:lvlText w:val=""/>
      <w:lvlJc w:val="left"/>
      <w:pPr>
        <w:tabs>
          <w:tab w:val="num" w:pos="720"/>
        </w:tabs>
        <w:ind w:left="720" w:hanging="360"/>
      </w:pPr>
      <w:rPr>
        <w:rFonts w:ascii="Wingdings" w:hAnsi="Wingdings" w:hint="default"/>
      </w:rPr>
    </w:lvl>
    <w:lvl w:ilvl="1" w:tplc="9BFA5D36">
      <w:start w:val="4"/>
      <w:numFmt w:val="bullet"/>
      <w:lvlText w:val="-"/>
      <w:lvlJc w:val="left"/>
      <w:pPr>
        <w:tabs>
          <w:tab w:val="num" w:pos="1440"/>
        </w:tabs>
        <w:ind w:left="1440" w:hanging="360"/>
      </w:pPr>
      <w:rPr>
        <w:rFonts w:ascii="Times New Roman" w:eastAsia="Times New Roman" w:hAnsi="Times New Roman" w:cs="Times New Roman" w:hint="default"/>
      </w:rPr>
    </w:lvl>
    <w:lvl w:ilvl="2" w:tplc="7D10342A">
      <w:start w:val="1"/>
      <w:numFmt w:val="bullet"/>
      <w:lvlText w:val=""/>
      <w:lvlJc w:val="left"/>
      <w:pPr>
        <w:tabs>
          <w:tab w:val="num" w:pos="2160"/>
        </w:tabs>
        <w:ind w:left="2160" w:hanging="360"/>
      </w:pPr>
      <w:rPr>
        <w:rFonts w:ascii="Wingdings" w:hAnsi="Wingdings" w:hint="default"/>
      </w:rPr>
    </w:lvl>
    <w:lvl w:ilvl="3" w:tplc="7966D18A" w:tentative="1">
      <w:start w:val="1"/>
      <w:numFmt w:val="bullet"/>
      <w:lvlText w:val=""/>
      <w:lvlJc w:val="left"/>
      <w:pPr>
        <w:tabs>
          <w:tab w:val="num" w:pos="2880"/>
        </w:tabs>
        <w:ind w:left="2880" w:hanging="360"/>
      </w:pPr>
      <w:rPr>
        <w:rFonts w:ascii="Symbol" w:hAnsi="Symbol" w:hint="default"/>
      </w:rPr>
    </w:lvl>
    <w:lvl w:ilvl="4" w:tplc="3794B44A" w:tentative="1">
      <w:start w:val="1"/>
      <w:numFmt w:val="bullet"/>
      <w:lvlText w:val="o"/>
      <w:lvlJc w:val="left"/>
      <w:pPr>
        <w:tabs>
          <w:tab w:val="num" w:pos="3600"/>
        </w:tabs>
        <w:ind w:left="3600" w:hanging="360"/>
      </w:pPr>
      <w:rPr>
        <w:rFonts w:ascii="Courier New" w:hAnsi="Courier New" w:hint="default"/>
      </w:rPr>
    </w:lvl>
    <w:lvl w:ilvl="5" w:tplc="F63863A8" w:tentative="1">
      <w:start w:val="1"/>
      <w:numFmt w:val="bullet"/>
      <w:lvlText w:val=""/>
      <w:lvlJc w:val="left"/>
      <w:pPr>
        <w:tabs>
          <w:tab w:val="num" w:pos="4320"/>
        </w:tabs>
        <w:ind w:left="4320" w:hanging="360"/>
      </w:pPr>
      <w:rPr>
        <w:rFonts w:ascii="Wingdings" w:hAnsi="Wingdings" w:hint="default"/>
      </w:rPr>
    </w:lvl>
    <w:lvl w:ilvl="6" w:tplc="A184DEB2" w:tentative="1">
      <w:start w:val="1"/>
      <w:numFmt w:val="bullet"/>
      <w:lvlText w:val=""/>
      <w:lvlJc w:val="left"/>
      <w:pPr>
        <w:tabs>
          <w:tab w:val="num" w:pos="5040"/>
        </w:tabs>
        <w:ind w:left="5040" w:hanging="360"/>
      </w:pPr>
      <w:rPr>
        <w:rFonts w:ascii="Symbol" w:hAnsi="Symbol" w:hint="default"/>
      </w:rPr>
    </w:lvl>
    <w:lvl w:ilvl="7" w:tplc="D1CE61DE" w:tentative="1">
      <w:start w:val="1"/>
      <w:numFmt w:val="bullet"/>
      <w:lvlText w:val="o"/>
      <w:lvlJc w:val="left"/>
      <w:pPr>
        <w:tabs>
          <w:tab w:val="num" w:pos="5760"/>
        </w:tabs>
        <w:ind w:left="5760" w:hanging="360"/>
      </w:pPr>
      <w:rPr>
        <w:rFonts w:ascii="Courier New" w:hAnsi="Courier New" w:hint="default"/>
      </w:rPr>
    </w:lvl>
    <w:lvl w:ilvl="8" w:tplc="FADC8E74" w:tentative="1">
      <w:start w:val="1"/>
      <w:numFmt w:val="bullet"/>
      <w:lvlText w:val=""/>
      <w:lvlJc w:val="left"/>
      <w:pPr>
        <w:tabs>
          <w:tab w:val="num" w:pos="6480"/>
        </w:tabs>
        <w:ind w:left="6480" w:hanging="360"/>
      </w:pPr>
      <w:rPr>
        <w:rFonts w:ascii="Wingdings" w:hAnsi="Wingdings" w:hint="default"/>
      </w:rPr>
    </w:lvl>
  </w:abstractNum>
  <w:abstractNum w:abstractNumId="15">
    <w:nsid w:val="32355AC0"/>
    <w:multiLevelType w:val="multilevel"/>
    <w:tmpl w:val="CF4E77C0"/>
    <w:styleLink w:val="Styl6"/>
    <w:lvl w:ilvl="0">
      <w:start w:val="8"/>
      <w:numFmt w:val="decimal"/>
      <w:lvlText w:val="%1."/>
      <w:lvlJc w:val="left"/>
      <w:pPr>
        <w:ind w:left="720" w:hanging="360"/>
      </w:pPr>
      <w:rPr>
        <w:rFonts w:ascii="Arial" w:hAnsi="Arial"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351C27A4"/>
    <w:multiLevelType w:val="multilevel"/>
    <w:tmpl w:val="4F0E4C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pStyle w:val="Nadpis5"/>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366617A7"/>
    <w:multiLevelType w:val="hybridMultilevel"/>
    <w:tmpl w:val="1CE00E5E"/>
    <w:lvl w:ilvl="0" w:tplc="61E893EA">
      <w:start w:val="3"/>
      <w:numFmt w:val="bullet"/>
      <w:lvlText w:val="-"/>
      <w:lvlJc w:val="left"/>
      <w:pPr>
        <w:tabs>
          <w:tab w:val="num" w:pos="1068"/>
        </w:tabs>
        <w:ind w:left="1068" w:hanging="360"/>
      </w:pPr>
      <w:rPr>
        <w:rFonts w:ascii="Times New Roman" w:eastAsia="Times New Roman" w:hAnsi="Times New Roman" w:cs="Times New Roman" w:hint="default"/>
      </w:rPr>
    </w:lvl>
    <w:lvl w:ilvl="1" w:tplc="DEFE4868" w:tentative="1">
      <w:start w:val="1"/>
      <w:numFmt w:val="bullet"/>
      <w:lvlText w:val="o"/>
      <w:lvlJc w:val="left"/>
      <w:pPr>
        <w:tabs>
          <w:tab w:val="num" w:pos="1788"/>
        </w:tabs>
        <w:ind w:left="1788" w:hanging="360"/>
      </w:pPr>
      <w:rPr>
        <w:rFonts w:ascii="Courier New" w:hAnsi="Courier New" w:hint="default"/>
      </w:rPr>
    </w:lvl>
    <w:lvl w:ilvl="2" w:tplc="19762D3C" w:tentative="1">
      <w:start w:val="1"/>
      <w:numFmt w:val="bullet"/>
      <w:lvlText w:val=""/>
      <w:lvlJc w:val="left"/>
      <w:pPr>
        <w:tabs>
          <w:tab w:val="num" w:pos="2508"/>
        </w:tabs>
        <w:ind w:left="2508" w:hanging="360"/>
      </w:pPr>
      <w:rPr>
        <w:rFonts w:ascii="Wingdings" w:hAnsi="Wingdings" w:hint="default"/>
      </w:rPr>
    </w:lvl>
    <w:lvl w:ilvl="3" w:tplc="AD4601C6" w:tentative="1">
      <w:start w:val="1"/>
      <w:numFmt w:val="bullet"/>
      <w:lvlText w:val=""/>
      <w:lvlJc w:val="left"/>
      <w:pPr>
        <w:tabs>
          <w:tab w:val="num" w:pos="3228"/>
        </w:tabs>
        <w:ind w:left="3228" w:hanging="360"/>
      </w:pPr>
      <w:rPr>
        <w:rFonts w:ascii="Symbol" w:hAnsi="Symbol" w:hint="default"/>
      </w:rPr>
    </w:lvl>
    <w:lvl w:ilvl="4" w:tplc="4E708514" w:tentative="1">
      <w:start w:val="1"/>
      <w:numFmt w:val="bullet"/>
      <w:lvlText w:val="o"/>
      <w:lvlJc w:val="left"/>
      <w:pPr>
        <w:tabs>
          <w:tab w:val="num" w:pos="3948"/>
        </w:tabs>
        <w:ind w:left="3948" w:hanging="360"/>
      </w:pPr>
      <w:rPr>
        <w:rFonts w:ascii="Courier New" w:hAnsi="Courier New" w:hint="default"/>
      </w:rPr>
    </w:lvl>
    <w:lvl w:ilvl="5" w:tplc="EEFCC05E" w:tentative="1">
      <w:start w:val="1"/>
      <w:numFmt w:val="bullet"/>
      <w:lvlText w:val=""/>
      <w:lvlJc w:val="left"/>
      <w:pPr>
        <w:tabs>
          <w:tab w:val="num" w:pos="4668"/>
        </w:tabs>
        <w:ind w:left="4668" w:hanging="360"/>
      </w:pPr>
      <w:rPr>
        <w:rFonts w:ascii="Wingdings" w:hAnsi="Wingdings" w:hint="default"/>
      </w:rPr>
    </w:lvl>
    <w:lvl w:ilvl="6" w:tplc="83A4C5D2" w:tentative="1">
      <w:start w:val="1"/>
      <w:numFmt w:val="bullet"/>
      <w:lvlText w:val=""/>
      <w:lvlJc w:val="left"/>
      <w:pPr>
        <w:tabs>
          <w:tab w:val="num" w:pos="5388"/>
        </w:tabs>
        <w:ind w:left="5388" w:hanging="360"/>
      </w:pPr>
      <w:rPr>
        <w:rFonts w:ascii="Symbol" w:hAnsi="Symbol" w:hint="default"/>
      </w:rPr>
    </w:lvl>
    <w:lvl w:ilvl="7" w:tplc="99B2C240" w:tentative="1">
      <w:start w:val="1"/>
      <w:numFmt w:val="bullet"/>
      <w:lvlText w:val="o"/>
      <w:lvlJc w:val="left"/>
      <w:pPr>
        <w:tabs>
          <w:tab w:val="num" w:pos="6108"/>
        </w:tabs>
        <w:ind w:left="6108" w:hanging="360"/>
      </w:pPr>
      <w:rPr>
        <w:rFonts w:ascii="Courier New" w:hAnsi="Courier New" w:hint="default"/>
      </w:rPr>
    </w:lvl>
    <w:lvl w:ilvl="8" w:tplc="B350A714" w:tentative="1">
      <w:start w:val="1"/>
      <w:numFmt w:val="bullet"/>
      <w:lvlText w:val=""/>
      <w:lvlJc w:val="left"/>
      <w:pPr>
        <w:tabs>
          <w:tab w:val="num" w:pos="6828"/>
        </w:tabs>
        <w:ind w:left="6828" w:hanging="360"/>
      </w:pPr>
      <w:rPr>
        <w:rFonts w:ascii="Wingdings" w:hAnsi="Wingdings" w:hint="default"/>
      </w:rPr>
    </w:lvl>
  </w:abstractNum>
  <w:abstractNum w:abstractNumId="18">
    <w:nsid w:val="369D7471"/>
    <w:multiLevelType w:val="hybridMultilevel"/>
    <w:tmpl w:val="BADAED88"/>
    <w:lvl w:ilvl="0" w:tplc="4C12AC06">
      <w:start w:val="3"/>
      <w:numFmt w:val="bullet"/>
      <w:lvlText w:val="-"/>
      <w:lvlJc w:val="left"/>
      <w:pPr>
        <w:tabs>
          <w:tab w:val="num" w:pos="1068"/>
        </w:tabs>
        <w:ind w:left="1068" w:hanging="360"/>
      </w:pPr>
      <w:rPr>
        <w:rFonts w:ascii="Times New Roman" w:eastAsia="Times New Roman" w:hAnsi="Times New Roman" w:cs="Times New Roman" w:hint="default"/>
      </w:rPr>
    </w:lvl>
    <w:lvl w:ilvl="1" w:tplc="FE4C622A" w:tentative="1">
      <w:start w:val="1"/>
      <w:numFmt w:val="bullet"/>
      <w:lvlText w:val="o"/>
      <w:lvlJc w:val="left"/>
      <w:pPr>
        <w:tabs>
          <w:tab w:val="num" w:pos="1788"/>
        </w:tabs>
        <w:ind w:left="1788" w:hanging="360"/>
      </w:pPr>
      <w:rPr>
        <w:rFonts w:ascii="Courier New" w:hAnsi="Courier New" w:hint="default"/>
      </w:rPr>
    </w:lvl>
    <w:lvl w:ilvl="2" w:tplc="5EF8E9B2" w:tentative="1">
      <w:start w:val="1"/>
      <w:numFmt w:val="bullet"/>
      <w:lvlText w:val=""/>
      <w:lvlJc w:val="left"/>
      <w:pPr>
        <w:tabs>
          <w:tab w:val="num" w:pos="2508"/>
        </w:tabs>
        <w:ind w:left="2508" w:hanging="360"/>
      </w:pPr>
      <w:rPr>
        <w:rFonts w:ascii="Wingdings" w:hAnsi="Wingdings" w:hint="default"/>
      </w:rPr>
    </w:lvl>
    <w:lvl w:ilvl="3" w:tplc="035C246C" w:tentative="1">
      <w:start w:val="1"/>
      <w:numFmt w:val="bullet"/>
      <w:lvlText w:val=""/>
      <w:lvlJc w:val="left"/>
      <w:pPr>
        <w:tabs>
          <w:tab w:val="num" w:pos="3228"/>
        </w:tabs>
        <w:ind w:left="3228" w:hanging="360"/>
      </w:pPr>
      <w:rPr>
        <w:rFonts w:ascii="Symbol" w:hAnsi="Symbol" w:hint="default"/>
      </w:rPr>
    </w:lvl>
    <w:lvl w:ilvl="4" w:tplc="B70E1170" w:tentative="1">
      <w:start w:val="1"/>
      <w:numFmt w:val="bullet"/>
      <w:lvlText w:val="o"/>
      <w:lvlJc w:val="left"/>
      <w:pPr>
        <w:tabs>
          <w:tab w:val="num" w:pos="3948"/>
        </w:tabs>
        <w:ind w:left="3948" w:hanging="360"/>
      </w:pPr>
      <w:rPr>
        <w:rFonts w:ascii="Courier New" w:hAnsi="Courier New" w:hint="default"/>
      </w:rPr>
    </w:lvl>
    <w:lvl w:ilvl="5" w:tplc="5ABA1C6A" w:tentative="1">
      <w:start w:val="1"/>
      <w:numFmt w:val="bullet"/>
      <w:lvlText w:val=""/>
      <w:lvlJc w:val="left"/>
      <w:pPr>
        <w:tabs>
          <w:tab w:val="num" w:pos="4668"/>
        </w:tabs>
        <w:ind w:left="4668" w:hanging="360"/>
      </w:pPr>
      <w:rPr>
        <w:rFonts w:ascii="Wingdings" w:hAnsi="Wingdings" w:hint="default"/>
      </w:rPr>
    </w:lvl>
    <w:lvl w:ilvl="6" w:tplc="7884DEDA" w:tentative="1">
      <w:start w:val="1"/>
      <w:numFmt w:val="bullet"/>
      <w:lvlText w:val=""/>
      <w:lvlJc w:val="left"/>
      <w:pPr>
        <w:tabs>
          <w:tab w:val="num" w:pos="5388"/>
        </w:tabs>
        <w:ind w:left="5388" w:hanging="360"/>
      </w:pPr>
      <w:rPr>
        <w:rFonts w:ascii="Symbol" w:hAnsi="Symbol" w:hint="default"/>
      </w:rPr>
    </w:lvl>
    <w:lvl w:ilvl="7" w:tplc="D11E021C" w:tentative="1">
      <w:start w:val="1"/>
      <w:numFmt w:val="bullet"/>
      <w:lvlText w:val="o"/>
      <w:lvlJc w:val="left"/>
      <w:pPr>
        <w:tabs>
          <w:tab w:val="num" w:pos="6108"/>
        </w:tabs>
        <w:ind w:left="6108" w:hanging="360"/>
      </w:pPr>
      <w:rPr>
        <w:rFonts w:ascii="Courier New" w:hAnsi="Courier New" w:hint="default"/>
      </w:rPr>
    </w:lvl>
    <w:lvl w:ilvl="8" w:tplc="5D7254C0" w:tentative="1">
      <w:start w:val="1"/>
      <w:numFmt w:val="bullet"/>
      <w:lvlText w:val=""/>
      <w:lvlJc w:val="left"/>
      <w:pPr>
        <w:tabs>
          <w:tab w:val="num" w:pos="6828"/>
        </w:tabs>
        <w:ind w:left="6828" w:hanging="360"/>
      </w:pPr>
      <w:rPr>
        <w:rFonts w:ascii="Wingdings" w:hAnsi="Wingdings" w:hint="default"/>
      </w:rPr>
    </w:lvl>
  </w:abstractNum>
  <w:abstractNum w:abstractNumId="19">
    <w:nsid w:val="3BBB3039"/>
    <w:multiLevelType w:val="multilevel"/>
    <w:tmpl w:val="0405001D"/>
    <w:styleLink w:val="Sty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E1273B5"/>
    <w:multiLevelType w:val="multilevel"/>
    <w:tmpl w:val="0405001D"/>
    <w:styleLink w:val="Styl9"/>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EE1007C"/>
    <w:multiLevelType w:val="multilevel"/>
    <w:tmpl w:val="D2F22594"/>
    <w:styleLink w:val="Styl5"/>
    <w:lvl w:ilvl="0">
      <w:start w:val="7"/>
      <w:numFmt w:val="decimal"/>
      <w:lvlText w:val="%1."/>
      <w:lvlJc w:val="left"/>
      <w:pPr>
        <w:ind w:left="720" w:hanging="360"/>
      </w:pPr>
      <w:rPr>
        <w:rFonts w:ascii="Arial" w:hAnsi="Arial" w:hint="default"/>
        <w:sz w:val="28"/>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3F58531E"/>
    <w:multiLevelType w:val="hybridMultilevel"/>
    <w:tmpl w:val="419AFC7C"/>
    <w:lvl w:ilvl="0" w:tplc="0405000F">
      <w:start w:val="1"/>
      <w:numFmt w:val="decimal"/>
      <w:lvlText w:val="%1."/>
      <w:lvlJc w:val="left"/>
      <w:pPr>
        <w:ind w:left="68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152228F"/>
    <w:multiLevelType w:val="hybridMultilevel"/>
    <w:tmpl w:val="E5DCC5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3E605BA"/>
    <w:multiLevelType w:val="hybridMultilevel"/>
    <w:tmpl w:val="06B841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A607915"/>
    <w:multiLevelType w:val="multilevel"/>
    <w:tmpl w:val="D1261EF4"/>
    <w:lvl w:ilvl="0">
      <w:start w:val="1"/>
      <w:numFmt w:val="none"/>
      <w:lvlText w:val="1."/>
      <w:lvlJc w:val="left"/>
      <w:pPr>
        <w:ind w:left="720" w:hanging="720"/>
      </w:pPr>
      <w:rPr>
        <w:rFonts w:ascii="Arial" w:hAnsi="Arial" w:hint="default"/>
        <w:b/>
        <w:i w:val="0"/>
        <w:sz w:val="32"/>
      </w:rPr>
    </w:lvl>
    <w:lvl w:ilvl="1">
      <w:start w:val="1"/>
      <w:numFmt w:val="decimal"/>
      <w:pStyle w:val="Podtitu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6">
    <w:nsid w:val="4D9800EE"/>
    <w:multiLevelType w:val="multilevel"/>
    <w:tmpl w:val="C6BE134C"/>
    <w:lvl w:ilvl="0">
      <w:start w:val="1"/>
      <w:numFmt w:val="decimal"/>
      <w:lvlText w:val="%1."/>
      <w:lvlJc w:val="left"/>
      <w:pPr>
        <w:ind w:left="720" w:hanging="360"/>
      </w:pPr>
      <w:rPr>
        <w:rFonts w:hint="default"/>
        <w:b w:val="0"/>
        <w:sz w:val="32"/>
        <w:szCs w:val="32"/>
      </w:rPr>
    </w:lvl>
    <w:lvl w:ilvl="1">
      <w:start w:val="1"/>
      <w:numFmt w:val="decimal"/>
      <w:pStyle w:val="Nadpis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4FD31589"/>
    <w:multiLevelType w:val="multilevel"/>
    <w:tmpl w:val="DE10C832"/>
    <w:styleLink w:val="Styl1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51B67423"/>
    <w:multiLevelType w:val="multilevel"/>
    <w:tmpl w:val="10224122"/>
    <w:styleLink w:val="Styl14"/>
    <w:lvl w:ilvl="0">
      <w:start w:val="1"/>
      <w:numFmt w:val="upperRoman"/>
      <w:lvlText w:val="%1."/>
      <w:lvlJc w:val="right"/>
      <w:pPr>
        <w:ind w:left="862"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29">
    <w:nsid w:val="52E900A6"/>
    <w:multiLevelType w:val="multilevel"/>
    <w:tmpl w:val="7F1A8332"/>
    <w:styleLink w:val="Styl10"/>
    <w:lvl w:ilvl="0">
      <w:start w:val="11"/>
      <w:numFmt w:val="decimal"/>
      <w:lvlText w:val="%1."/>
      <w:lvlJc w:val="left"/>
      <w:pPr>
        <w:ind w:left="360" w:hanging="360"/>
      </w:pPr>
      <w:rPr>
        <w:rFonts w:ascii="Arial" w:hAnsi="Arial" w:hint="default"/>
        <w:b/>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555E47DF"/>
    <w:multiLevelType w:val="hybridMultilevel"/>
    <w:tmpl w:val="FD207BDA"/>
    <w:lvl w:ilvl="0" w:tplc="07208F32">
      <w:start w:val="8"/>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7B46308"/>
    <w:multiLevelType w:val="multilevel"/>
    <w:tmpl w:val="CB74B57A"/>
    <w:lvl w:ilvl="0">
      <w:start w:val="1"/>
      <w:numFmt w:val="decimal"/>
      <w:lvlText w:val="%1."/>
      <w:lvlJc w:val="left"/>
      <w:pPr>
        <w:ind w:left="502" w:hanging="360"/>
      </w:pPr>
      <w:rPr>
        <w:rFonts w:hint="default"/>
        <w:b/>
        <w:sz w:val="32"/>
        <w:szCs w:val="32"/>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2">
    <w:nsid w:val="588A6AB8"/>
    <w:multiLevelType w:val="hybridMultilevel"/>
    <w:tmpl w:val="82EE5704"/>
    <w:lvl w:ilvl="0" w:tplc="B914C9F4">
      <w:start w:val="17"/>
      <w:numFmt w:val="bullet"/>
      <w:lvlText w:val="-"/>
      <w:lvlJc w:val="left"/>
      <w:pPr>
        <w:ind w:left="360" w:hanging="360"/>
      </w:pPr>
      <w:rPr>
        <w:rFonts w:ascii="Arial" w:eastAsia="Times New Roman" w:hAnsi="Arial" w:cs="Arial" w:hint="default"/>
      </w:rPr>
    </w:lvl>
    <w:lvl w:ilvl="1" w:tplc="26B2F4F8" w:tentative="1">
      <w:start w:val="1"/>
      <w:numFmt w:val="bullet"/>
      <w:lvlText w:val="o"/>
      <w:lvlJc w:val="left"/>
      <w:pPr>
        <w:ind w:left="1080" w:hanging="360"/>
      </w:pPr>
      <w:rPr>
        <w:rFonts w:ascii="Courier New" w:hAnsi="Courier New" w:cs="Courier New" w:hint="default"/>
      </w:rPr>
    </w:lvl>
    <w:lvl w:ilvl="2" w:tplc="5410466E" w:tentative="1">
      <w:start w:val="1"/>
      <w:numFmt w:val="bullet"/>
      <w:lvlText w:val=""/>
      <w:lvlJc w:val="left"/>
      <w:pPr>
        <w:ind w:left="1800" w:hanging="360"/>
      </w:pPr>
      <w:rPr>
        <w:rFonts w:ascii="Wingdings" w:hAnsi="Wingdings" w:hint="default"/>
      </w:rPr>
    </w:lvl>
    <w:lvl w:ilvl="3" w:tplc="51AA4A20" w:tentative="1">
      <w:start w:val="1"/>
      <w:numFmt w:val="bullet"/>
      <w:lvlText w:val=""/>
      <w:lvlJc w:val="left"/>
      <w:pPr>
        <w:ind w:left="2520" w:hanging="360"/>
      </w:pPr>
      <w:rPr>
        <w:rFonts w:ascii="Symbol" w:hAnsi="Symbol" w:hint="default"/>
      </w:rPr>
    </w:lvl>
    <w:lvl w:ilvl="4" w:tplc="3A0E74AC" w:tentative="1">
      <w:start w:val="1"/>
      <w:numFmt w:val="bullet"/>
      <w:lvlText w:val="o"/>
      <w:lvlJc w:val="left"/>
      <w:pPr>
        <w:ind w:left="3240" w:hanging="360"/>
      </w:pPr>
      <w:rPr>
        <w:rFonts w:ascii="Courier New" w:hAnsi="Courier New" w:cs="Courier New" w:hint="default"/>
      </w:rPr>
    </w:lvl>
    <w:lvl w:ilvl="5" w:tplc="4AE0E53E" w:tentative="1">
      <w:start w:val="1"/>
      <w:numFmt w:val="bullet"/>
      <w:lvlText w:val=""/>
      <w:lvlJc w:val="left"/>
      <w:pPr>
        <w:ind w:left="3960" w:hanging="360"/>
      </w:pPr>
      <w:rPr>
        <w:rFonts w:ascii="Wingdings" w:hAnsi="Wingdings" w:hint="default"/>
      </w:rPr>
    </w:lvl>
    <w:lvl w:ilvl="6" w:tplc="3E10757C" w:tentative="1">
      <w:start w:val="1"/>
      <w:numFmt w:val="bullet"/>
      <w:lvlText w:val=""/>
      <w:lvlJc w:val="left"/>
      <w:pPr>
        <w:ind w:left="4680" w:hanging="360"/>
      </w:pPr>
      <w:rPr>
        <w:rFonts w:ascii="Symbol" w:hAnsi="Symbol" w:hint="default"/>
      </w:rPr>
    </w:lvl>
    <w:lvl w:ilvl="7" w:tplc="B4FCC00A" w:tentative="1">
      <w:start w:val="1"/>
      <w:numFmt w:val="bullet"/>
      <w:lvlText w:val="o"/>
      <w:lvlJc w:val="left"/>
      <w:pPr>
        <w:ind w:left="5400" w:hanging="360"/>
      </w:pPr>
      <w:rPr>
        <w:rFonts w:ascii="Courier New" w:hAnsi="Courier New" w:cs="Courier New" w:hint="default"/>
      </w:rPr>
    </w:lvl>
    <w:lvl w:ilvl="8" w:tplc="BA42299C" w:tentative="1">
      <w:start w:val="1"/>
      <w:numFmt w:val="bullet"/>
      <w:lvlText w:val=""/>
      <w:lvlJc w:val="left"/>
      <w:pPr>
        <w:ind w:left="6120" w:hanging="360"/>
      </w:pPr>
      <w:rPr>
        <w:rFonts w:ascii="Wingdings" w:hAnsi="Wingdings" w:hint="default"/>
      </w:rPr>
    </w:lvl>
  </w:abstractNum>
  <w:abstractNum w:abstractNumId="33">
    <w:nsid w:val="67945AC8"/>
    <w:multiLevelType w:val="multilevel"/>
    <w:tmpl w:val="E9DC32DE"/>
    <w:styleLink w:val="Styl11"/>
    <w:lvl w:ilvl="0">
      <w:numFmt w:val="none"/>
      <w:lvlText w:val="1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738C128D"/>
    <w:multiLevelType w:val="hybridMultilevel"/>
    <w:tmpl w:val="DBE6BD38"/>
    <w:lvl w:ilvl="0" w:tplc="04050005">
      <w:start w:val="2"/>
      <w:numFmt w:val="bullet"/>
      <w:pStyle w:val="odrkyzlevaodsazeno0"/>
      <w:lvlText w:val="-"/>
      <w:lvlJc w:val="left"/>
      <w:pPr>
        <w:ind w:left="720" w:hanging="360"/>
      </w:pPr>
      <w:rPr>
        <w:rFonts w:ascii="Arial" w:eastAsia="Calibri" w:hAnsi="Arial" w:cs="Aria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35">
    <w:nsid w:val="789B2EEE"/>
    <w:multiLevelType w:val="multilevel"/>
    <w:tmpl w:val="DEF6302C"/>
    <w:styleLink w:val="Styl12"/>
    <w:lvl w:ilvl="0">
      <w:start w:val="1"/>
      <w:numFmt w:val="decimal"/>
      <w:lvlText w:val="%11.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4"/>
  </w:num>
  <w:num w:numId="3">
    <w:abstractNumId w:val="14"/>
  </w:num>
  <w:num w:numId="4">
    <w:abstractNumId w:val="17"/>
  </w:num>
  <w:num w:numId="5">
    <w:abstractNumId w:val="18"/>
  </w:num>
  <w:num w:numId="6">
    <w:abstractNumId w:val="10"/>
  </w:num>
  <w:num w:numId="7">
    <w:abstractNumId w:val="32"/>
  </w:num>
  <w:num w:numId="8">
    <w:abstractNumId w:val="6"/>
  </w:num>
  <w:num w:numId="9">
    <w:abstractNumId w:val="12"/>
  </w:num>
  <w:num w:numId="10">
    <w:abstractNumId w:val="2"/>
  </w:num>
  <w:num w:numId="11">
    <w:abstractNumId w:val="21"/>
  </w:num>
  <w:num w:numId="12">
    <w:abstractNumId w:val="15"/>
  </w:num>
  <w:num w:numId="13">
    <w:abstractNumId w:val="19"/>
  </w:num>
  <w:num w:numId="14">
    <w:abstractNumId w:val="3"/>
  </w:num>
  <w:num w:numId="15">
    <w:abstractNumId w:val="9"/>
  </w:num>
  <w:num w:numId="16">
    <w:abstractNumId w:val="20"/>
  </w:num>
  <w:num w:numId="17">
    <w:abstractNumId w:val="29"/>
  </w:num>
  <w:num w:numId="18">
    <w:abstractNumId w:val="33"/>
  </w:num>
  <w:num w:numId="19">
    <w:abstractNumId w:val="35"/>
  </w:num>
  <w:num w:numId="20">
    <w:abstractNumId w:val="0"/>
  </w:num>
  <w:num w:numId="21">
    <w:abstractNumId w:val="28"/>
  </w:num>
  <w:num w:numId="22">
    <w:abstractNumId w:val="4"/>
  </w:num>
  <w:num w:numId="23">
    <w:abstractNumId w:val="25"/>
  </w:num>
  <w:num w:numId="24">
    <w:abstractNumId w:val="27"/>
  </w:num>
  <w:num w:numId="25">
    <w:abstractNumId w:val="11"/>
  </w:num>
  <w:num w:numId="26">
    <w:abstractNumId w:val="31"/>
  </w:num>
  <w:num w:numId="27">
    <w:abstractNumId w:val="16"/>
  </w:num>
  <w:num w:numId="28">
    <w:abstractNumId w:val="24"/>
  </w:num>
  <w:num w:numId="29">
    <w:abstractNumId w:val="22"/>
  </w:num>
  <w:num w:numId="30">
    <w:abstractNumId w:val="13"/>
  </w:num>
  <w:num w:numId="31">
    <w:abstractNumId w:val="5"/>
  </w:num>
  <w:num w:numId="32">
    <w:abstractNumId w:val="26"/>
  </w:num>
  <w:num w:numId="33">
    <w:abstractNumId w:val="31"/>
    <w:lvlOverride w:ilvl="0">
      <w:startOverride w:val="3"/>
    </w:lvlOverride>
    <w:lvlOverride w:ilvl="1">
      <w:startOverride w:val="1"/>
    </w:lvlOverride>
  </w:num>
  <w:num w:numId="34">
    <w:abstractNumId w:val="31"/>
    <w:lvlOverride w:ilvl="0">
      <w:startOverride w:val="4"/>
    </w:lvlOverride>
    <w:lvlOverride w:ilvl="1">
      <w:startOverride w:val="1"/>
    </w:lvlOverride>
  </w:num>
  <w:num w:numId="35">
    <w:abstractNumId w:val="31"/>
    <w:lvlOverride w:ilvl="0">
      <w:startOverride w:val="5"/>
    </w:lvlOverride>
    <w:lvlOverride w:ilvl="1">
      <w:startOverride w:val="1"/>
    </w:lvlOverride>
  </w:num>
  <w:num w:numId="36">
    <w:abstractNumId w:val="31"/>
    <w:lvlOverride w:ilvl="0">
      <w:startOverride w:val="6"/>
    </w:lvlOverride>
    <w:lvlOverride w:ilvl="1">
      <w:startOverride w:val="1"/>
    </w:lvlOverride>
  </w:num>
  <w:num w:numId="37">
    <w:abstractNumId w:val="31"/>
    <w:lvlOverride w:ilvl="0">
      <w:startOverride w:val="9"/>
    </w:lvlOverride>
    <w:lvlOverride w:ilvl="1">
      <w:startOverride w:val="1"/>
    </w:lvlOverride>
  </w:num>
  <w:num w:numId="38">
    <w:abstractNumId w:val="31"/>
    <w:lvlOverride w:ilvl="0">
      <w:startOverride w:val="13"/>
    </w:lvlOverride>
    <w:lvlOverride w:ilvl="1">
      <w:startOverride w:val="1"/>
    </w:lvlOverride>
  </w:num>
  <w:num w:numId="39">
    <w:abstractNumId w:val="31"/>
    <w:lvlOverride w:ilvl="0">
      <w:startOverride w:val="15"/>
    </w:lvlOverride>
    <w:lvlOverride w:ilvl="1">
      <w:startOverride w:val="1"/>
    </w:lvlOverride>
  </w:num>
  <w:num w:numId="40">
    <w:abstractNumId w:val="23"/>
  </w:num>
  <w:num w:numId="41">
    <w:abstractNumId w:val="30"/>
  </w:num>
  <w:num w:numId="42">
    <w:abstractNumId w:val="7"/>
  </w:num>
  <w:num w:numId="43">
    <w:abstractNumId w:val="31"/>
    <w:lvlOverride w:ilvl="0">
      <w:startOverride w:val="1"/>
    </w:lvlOverride>
    <w:lvlOverride w:ilvl="1">
      <w:startOverride w:val="1"/>
    </w:lvlOverride>
  </w:num>
  <w:num w:numId="44">
    <w:abstractNumId w:val="31"/>
    <w:lvlOverride w:ilvl="0">
      <w:startOverride w:val="10"/>
    </w:lvlOverride>
    <w:lvlOverride w:ilvl="1">
      <w:startOverride w:val="1"/>
    </w:lvlOverride>
  </w:num>
  <w:num w:numId="45">
    <w:abstractNumId w:val="31"/>
    <w:lvlOverride w:ilvl="0">
      <w:startOverride w:val="11"/>
    </w:lvlOverride>
    <w:lvlOverride w:ilvl="1">
      <w:startOverride w:val="1"/>
    </w:lvlOverride>
  </w:num>
  <w:num w:numId="46">
    <w:abstractNumId w:val="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425"/>
  <w:drawingGridHorizontalSpacing w:val="110"/>
  <w:displayHorizontalDrawingGridEvery w:val="2"/>
  <w:noPunctuationKerning/>
  <w:characterSpacingControl w:val="doNotCompress"/>
  <w:hdrShapeDefaults>
    <o:shapedefaults v:ext="edit" spidmax="17408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7D6C"/>
    <w:rsid w:val="00001106"/>
    <w:rsid w:val="0000141F"/>
    <w:rsid w:val="000020B7"/>
    <w:rsid w:val="0000307A"/>
    <w:rsid w:val="0000337E"/>
    <w:rsid w:val="000038B4"/>
    <w:rsid w:val="00005508"/>
    <w:rsid w:val="0001570D"/>
    <w:rsid w:val="00017076"/>
    <w:rsid w:val="000204F9"/>
    <w:rsid w:val="000271AB"/>
    <w:rsid w:val="000277C5"/>
    <w:rsid w:val="000325B5"/>
    <w:rsid w:val="00035B9A"/>
    <w:rsid w:val="00037E13"/>
    <w:rsid w:val="00043751"/>
    <w:rsid w:val="00043FB9"/>
    <w:rsid w:val="00045912"/>
    <w:rsid w:val="00045B2E"/>
    <w:rsid w:val="00052602"/>
    <w:rsid w:val="0005263E"/>
    <w:rsid w:val="00052BEF"/>
    <w:rsid w:val="000565D6"/>
    <w:rsid w:val="000602ED"/>
    <w:rsid w:val="00061298"/>
    <w:rsid w:val="00061E01"/>
    <w:rsid w:val="000623EF"/>
    <w:rsid w:val="00064260"/>
    <w:rsid w:val="00070EC3"/>
    <w:rsid w:val="00072E6D"/>
    <w:rsid w:val="000752F4"/>
    <w:rsid w:val="00076FB4"/>
    <w:rsid w:val="00077BA7"/>
    <w:rsid w:val="00080EA1"/>
    <w:rsid w:val="00083612"/>
    <w:rsid w:val="00084534"/>
    <w:rsid w:val="00086668"/>
    <w:rsid w:val="000928DB"/>
    <w:rsid w:val="00092C19"/>
    <w:rsid w:val="00094255"/>
    <w:rsid w:val="000950F8"/>
    <w:rsid w:val="00095921"/>
    <w:rsid w:val="00095A45"/>
    <w:rsid w:val="00096A9F"/>
    <w:rsid w:val="00097093"/>
    <w:rsid w:val="000A028C"/>
    <w:rsid w:val="000A04A6"/>
    <w:rsid w:val="000A0863"/>
    <w:rsid w:val="000A27C7"/>
    <w:rsid w:val="000A3839"/>
    <w:rsid w:val="000A7B7E"/>
    <w:rsid w:val="000B0E27"/>
    <w:rsid w:val="000B2742"/>
    <w:rsid w:val="000B2F55"/>
    <w:rsid w:val="000B4A54"/>
    <w:rsid w:val="000B7632"/>
    <w:rsid w:val="000C3274"/>
    <w:rsid w:val="000C4E2D"/>
    <w:rsid w:val="000C6D69"/>
    <w:rsid w:val="000C6E81"/>
    <w:rsid w:val="000C73FB"/>
    <w:rsid w:val="000D11A9"/>
    <w:rsid w:val="000D2CD7"/>
    <w:rsid w:val="000D312D"/>
    <w:rsid w:val="000D45EF"/>
    <w:rsid w:val="000D55BE"/>
    <w:rsid w:val="000D6A89"/>
    <w:rsid w:val="000E39B9"/>
    <w:rsid w:val="000E3E20"/>
    <w:rsid w:val="000E449D"/>
    <w:rsid w:val="000E525A"/>
    <w:rsid w:val="000E68E7"/>
    <w:rsid w:val="000E6995"/>
    <w:rsid w:val="000F0492"/>
    <w:rsid w:val="000F051C"/>
    <w:rsid w:val="000F0705"/>
    <w:rsid w:val="000F0968"/>
    <w:rsid w:val="00102F39"/>
    <w:rsid w:val="00103B54"/>
    <w:rsid w:val="00103CF6"/>
    <w:rsid w:val="00105EF5"/>
    <w:rsid w:val="00110DCF"/>
    <w:rsid w:val="00112A2F"/>
    <w:rsid w:val="001154CD"/>
    <w:rsid w:val="001154EA"/>
    <w:rsid w:val="00116B03"/>
    <w:rsid w:val="00117C59"/>
    <w:rsid w:val="00120F34"/>
    <w:rsid w:val="0012397A"/>
    <w:rsid w:val="001239B3"/>
    <w:rsid w:val="001242C1"/>
    <w:rsid w:val="0013222D"/>
    <w:rsid w:val="00135B2F"/>
    <w:rsid w:val="00135C2B"/>
    <w:rsid w:val="001404EF"/>
    <w:rsid w:val="00140EBA"/>
    <w:rsid w:val="00143192"/>
    <w:rsid w:val="00143825"/>
    <w:rsid w:val="00143F9D"/>
    <w:rsid w:val="00146F9D"/>
    <w:rsid w:val="00153388"/>
    <w:rsid w:val="00155F1F"/>
    <w:rsid w:val="00160022"/>
    <w:rsid w:val="001600C3"/>
    <w:rsid w:val="00161CBC"/>
    <w:rsid w:val="00163E5B"/>
    <w:rsid w:val="00164387"/>
    <w:rsid w:val="001664BB"/>
    <w:rsid w:val="00167EB9"/>
    <w:rsid w:val="00167F78"/>
    <w:rsid w:val="00170D18"/>
    <w:rsid w:val="001719E5"/>
    <w:rsid w:val="00175702"/>
    <w:rsid w:val="00176EDB"/>
    <w:rsid w:val="0018038C"/>
    <w:rsid w:val="00185E58"/>
    <w:rsid w:val="001868E9"/>
    <w:rsid w:val="00193514"/>
    <w:rsid w:val="001972BA"/>
    <w:rsid w:val="001A031F"/>
    <w:rsid w:val="001A1A05"/>
    <w:rsid w:val="001A1D59"/>
    <w:rsid w:val="001A58C5"/>
    <w:rsid w:val="001A5B6D"/>
    <w:rsid w:val="001B3D79"/>
    <w:rsid w:val="001B55BB"/>
    <w:rsid w:val="001B7ED8"/>
    <w:rsid w:val="001C4F18"/>
    <w:rsid w:val="001C71A0"/>
    <w:rsid w:val="001D1270"/>
    <w:rsid w:val="001D2BEA"/>
    <w:rsid w:val="001E0EB0"/>
    <w:rsid w:val="001E18A8"/>
    <w:rsid w:val="001E2B1E"/>
    <w:rsid w:val="001E3C17"/>
    <w:rsid w:val="001E52EC"/>
    <w:rsid w:val="001E660F"/>
    <w:rsid w:val="001E67E6"/>
    <w:rsid w:val="001E6A30"/>
    <w:rsid w:val="001F003D"/>
    <w:rsid w:val="001F12E8"/>
    <w:rsid w:val="001F519D"/>
    <w:rsid w:val="001F5768"/>
    <w:rsid w:val="001F6B70"/>
    <w:rsid w:val="001F71BA"/>
    <w:rsid w:val="001F724C"/>
    <w:rsid w:val="002003C2"/>
    <w:rsid w:val="00202DD0"/>
    <w:rsid w:val="002032AD"/>
    <w:rsid w:val="0020380C"/>
    <w:rsid w:val="00204179"/>
    <w:rsid w:val="00206078"/>
    <w:rsid w:val="00207AEC"/>
    <w:rsid w:val="0021071C"/>
    <w:rsid w:val="00211E64"/>
    <w:rsid w:val="002135DF"/>
    <w:rsid w:val="00214EC2"/>
    <w:rsid w:val="0021577F"/>
    <w:rsid w:val="00217BE5"/>
    <w:rsid w:val="002205D0"/>
    <w:rsid w:val="00221438"/>
    <w:rsid w:val="002223F9"/>
    <w:rsid w:val="002228B7"/>
    <w:rsid w:val="00224BFA"/>
    <w:rsid w:val="00225E22"/>
    <w:rsid w:val="002311FE"/>
    <w:rsid w:val="00231F90"/>
    <w:rsid w:val="00237F88"/>
    <w:rsid w:val="00240BF3"/>
    <w:rsid w:val="00240CEA"/>
    <w:rsid w:val="002416EF"/>
    <w:rsid w:val="00241D60"/>
    <w:rsid w:val="00244BD3"/>
    <w:rsid w:val="00246A1F"/>
    <w:rsid w:val="0025009E"/>
    <w:rsid w:val="0025176B"/>
    <w:rsid w:val="002518C4"/>
    <w:rsid w:val="002538EE"/>
    <w:rsid w:val="0025450E"/>
    <w:rsid w:val="002619FA"/>
    <w:rsid w:val="00262DF0"/>
    <w:rsid w:val="00263209"/>
    <w:rsid w:val="0026395F"/>
    <w:rsid w:val="00270E5A"/>
    <w:rsid w:val="00272452"/>
    <w:rsid w:val="0027247F"/>
    <w:rsid w:val="00277A0E"/>
    <w:rsid w:val="00280B3D"/>
    <w:rsid w:val="00281FD6"/>
    <w:rsid w:val="00283AF8"/>
    <w:rsid w:val="0028500B"/>
    <w:rsid w:val="00285A5B"/>
    <w:rsid w:val="002861A9"/>
    <w:rsid w:val="00286EC5"/>
    <w:rsid w:val="0029106B"/>
    <w:rsid w:val="00291788"/>
    <w:rsid w:val="00295E32"/>
    <w:rsid w:val="002A0A83"/>
    <w:rsid w:val="002A18C0"/>
    <w:rsid w:val="002A30BE"/>
    <w:rsid w:val="002A6910"/>
    <w:rsid w:val="002A6B48"/>
    <w:rsid w:val="002B1145"/>
    <w:rsid w:val="002B21BC"/>
    <w:rsid w:val="002B299E"/>
    <w:rsid w:val="002B2B9F"/>
    <w:rsid w:val="002B4087"/>
    <w:rsid w:val="002B4317"/>
    <w:rsid w:val="002B4390"/>
    <w:rsid w:val="002B5506"/>
    <w:rsid w:val="002B61CE"/>
    <w:rsid w:val="002B6BF8"/>
    <w:rsid w:val="002C18C5"/>
    <w:rsid w:val="002C1D44"/>
    <w:rsid w:val="002C1F3D"/>
    <w:rsid w:val="002C2DE4"/>
    <w:rsid w:val="002C5797"/>
    <w:rsid w:val="002C7E55"/>
    <w:rsid w:val="002D30D0"/>
    <w:rsid w:val="002D32DA"/>
    <w:rsid w:val="002D4B27"/>
    <w:rsid w:val="002D7A4E"/>
    <w:rsid w:val="002E02C6"/>
    <w:rsid w:val="002E272A"/>
    <w:rsid w:val="002E2B31"/>
    <w:rsid w:val="002E2BD1"/>
    <w:rsid w:val="002E4032"/>
    <w:rsid w:val="002E7AF0"/>
    <w:rsid w:val="002F086B"/>
    <w:rsid w:val="002F175F"/>
    <w:rsid w:val="002F29A3"/>
    <w:rsid w:val="002F2F8A"/>
    <w:rsid w:val="002F30DA"/>
    <w:rsid w:val="002F4E29"/>
    <w:rsid w:val="002F5448"/>
    <w:rsid w:val="002F5CF5"/>
    <w:rsid w:val="002F63C6"/>
    <w:rsid w:val="002F7AF4"/>
    <w:rsid w:val="00300889"/>
    <w:rsid w:val="003022B4"/>
    <w:rsid w:val="0030354A"/>
    <w:rsid w:val="00303B53"/>
    <w:rsid w:val="003074A0"/>
    <w:rsid w:val="00310F90"/>
    <w:rsid w:val="00312A7B"/>
    <w:rsid w:val="003132ED"/>
    <w:rsid w:val="003145B5"/>
    <w:rsid w:val="00314DE5"/>
    <w:rsid w:val="00316FAF"/>
    <w:rsid w:val="00322530"/>
    <w:rsid w:val="003228B7"/>
    <w:rsid w:val="003231B1"/>
    <w:rsid w:val="00324A19"/>
    <w:rsid w:val="00325D67"/>
    <w:rsid w:val="00326A51"/>
    <w:rsid w:val="0033086D"/>
    <w:rsid w:val="00331F6F"/>
    <w:rsid w:val="003322CA"/>
    <w:rsid w:val="00332D21"/>
    <w:rsid w:val="00334268"/>
    <w:rsid w:val="003342E7"/>
    <w:rsid w:val="003359DC"/>
    <w:rsid w:val="00335B71"/>
    <w:rsid w:val="00336431"/>
    <w:rsid w:val="00342FC9"/>
    <w:rsid w:val="00343A64"/>
    <w:rsid w:val="003456C3"/>
    <w:rsid w:val="0034718E"/>
    <w:rsid w:val="003513E0"/>
    <w:rsid w:val="0035627B"/>
    <w:rsid w:val="00356542"/>
    <w:rsid w:val="00357E44"/>
    <w:rsid w:val="00361700"/>
    <w:rsid w:val="00361943"/>
    <w:rsid w:val="00363508"/>
    <w:rsid w:val="00363C27"/>
    <w:rsid w:val="003647DC"/>
    <w:rsid w:val="0037087B"/>
    <w:rsid w:val="0037144F"/>
    <w:rsid w:val="00373BE8"/>
    <w:rsid w:val="00374095"/>
    <w:rsid w:val="00377601"/>
    <w:rsid w:val="0038146A"/>
    <w:rsid w:val="00386C30"/>
    <w:rsid w:val="00386C4A"/>
    <w:rsid w:val="0039014E"/>
    <w:rsid w:val="00390A69"/>
    <w:rsid w:val="00390BCE"/>
    <w:rsid w:val="00391208"/>
    <w:rsid w:val="003912AD"/>
    <w:rsid w:val="00391B20"/>
    <w:rsid w:val="00391FA6"/>
    <w:rsid w:val="003967EA"/>
    <w:rsid w:val="00396E70"/>
    <w:rsid w:val="00396EDB"/>
    <w:rsid w:val="00397C6C"/>
    <w:rsid w:val="003A0DC2"/>
    <w:rsid w:val="003A1694"/>
    <w:rsid w:val="003A3586"/>
    <w:rsid w:val="003A3808"/>
    <w:rsid w:val="003A3A3D"/>
    <w:rsid w:val="003A6A00"/>
    <w:rsid w:val="003A7B42"/>
    <w:rsid w:val="003B0292"/>
    <w:rsid w:val="003B03EE"/>
    <w:rsid w:val="003B4641"/>
    <w:rsid w:val="003C0EA8"/>
    <w:rsid w:val="003C5ADA"/>
    <w:rsid w:val="003C5F53"/>
    <w:rsid w:val="003C665B"/>
    <w:rsid w:val="003D7D12"/>
    <w:rsid w:val="003E6409"/>
    <w:rsid w:val="003F0F14"/>
    <w:rsid w:val="003F1949"/>
    <w:rsid w:val="003F1D27"/>
    <w:rsid w:val="003F7978"/>
    <w:rsid w:val="003F7FB1"/>
    <w:rsid w:val="00401A37"/>
    <w:rsid w:val="00402FD0"/>
    <w:rsid w:val="004039E2"/>
    <w:rsid w:val="00405755"/>
    <w:rsid w:val="00405D02"/>
    <w:rsid w:val="00410BBC"/>
    <w:rsid w:val="00415538"/>
    <w:rsid w:val="00416AE7"/>
    <w:rsid w:val="00416C9D"/>
    <w:rsid w:val="00417DC1"/>
    <w:rsid w:val="00423A30"/>
    <w:rsid w:val="004243C7"/>
    <w:rsid w:val="00427F1E"/>
    <w:rsid w:val="00432A2F"/>
    <w:rsid w:val="0043341E"/>
    <w:rsid w:val="0043393C"/>
    <w:rsid w:val="00434D35"/>
    <w:rsid w:val="00435A58"/>
    <w:rsid w:val="004376D1"/>
    <w:rsid w:val="00437979"/>
    <w:rsid w:val="00437C46"/>
    <w:rsid w:val="0044158F"/>
    <w:rsid w:val="00441ACA"/>
    <w:rsid w:val="00442454"/>
    <w:rsid w:val="004457B5"/>
    <w:rsid w:val="00445DEF"/>
    <w:rsid w:val="004471FA"/>
    <w:rsid w:val="00452700"/>
    <w:rsid w:val="00453073"/>
    <w:rsid w:val="00453D49"/>
    <w:rsid w:val="00455146"/>
    <w:rsid w:val="004561FF"/>
    <w:rsid w:val="00460C80"/>
    <w:rsid w:val="00462422"/>
    <w:rsid w:val="004627EE"/>
    <w:rsid w:val="004637CB"/>
    <w:rsid w:val="00465C3F"/>
    <w:rsid w:val="00467221"/>
    <w:rsid w:val="00467420"/>
    <w:rsid w:val="004708E0"/>
    <w:rsid w:val="00473C74"/>
    <w:rsid w:val="004763C6"/>
    <w:rsid w:val="00477299"/>
    <w:rsid w:val="00477ED2"/>
    <w:rsid w:val="00480A20"/>
    <w:rsid w:val="00483515"/>
    <w:rsid w:val="004859DF"/>
    <w:rsid w:val="00485FDE"/>
    <w:rsid w:val="004875F4"/>
    <w:rsid w:val="00487BC7"/>
    <w:rsid w:val="0049103B"/>
    <w:rsid w:val="0049127F"/>
    <w:rsid w:val="0049164B"/>
    <w:rsid w:val="00492B70"/>
    <w:rsid w:val="00496DB9"/>
    <w:rsid w:val="004A0179"/>
    <w:rsid w:val="004A5521"/>
    <w:rsid w:val="004A6C50"/>
    <w:rsid w:val="004A7C11"/>
    <w:rsid w:val="004A7D4E"/>
    <w:rsid w:val="004B2479"/>
    <w:rsid w:val="004B2C7F"/>
    <w:rsid w:val="004B5B82"/>
    <w:rsid w:val="004B65CF"/>
    <w:rsid w:val="004B70F4"/>
    <w:rsid w:val="004C15A2"/>
    <w:rsid w:val="004C26A2"/>
    <w:rsid w:val="004C3D2C"/>
    <w:rsid w:val="004C472E"/>
    <w:rsid w:val="004D05AC"/>
    <w:rsid w:val="004D11DC"/>
    <w:rsid w:val="004D14AA"/>
    <w:rsid w:val="004D3DC1"/>
    <w:rsid w:val="004D46E6"/>
    <w:rsid w:val="004D7BB7"/>
    <w:rsid w:val="004E4CC7"/>
    <w:rsid w:val="004E60E7"/>
    <w:rsid w:val="004F004E"/>
    <w:rsid w:val="004F13C6"/>
    <w:rsid w:val="004F1401"/>
    <w:rsid w:val="004F21A3"/>
    <w:rsid w:val="004F31B0"/>
    <w:rsid w:val="004F5027"/>
    <w:rsid w:val="004F5F1B"/>
    <w:rsid w:val="004F66D9"/>
    <w:rsid w:val="004F6980"/>
    <w:rsid w:val="00500473"/>
    <w:rsid w:val="005014E0"/>
    <w:rsid w:val="005018E6"/>
    <w:rsid w:val="005027C5"/>
    <w:rsid w:val="00505084"/>
    <w:rsid w:val="00506111"/>
    <w:rsid w:val="005123E5"/>
    <w:rsid w:val="00513233"/>
    <w:rsid w:val="00515501"/>
    <w:rsid w:val="005155A7"/>
    <w:rsid w:val="00517E12"/>
    <w:rsid w:val="00522702"/>
    <w:rsid w:val="00523BF0"/>
    <w:rsid w:val="00526E5C"/>
    <w:rsid w:val="00530C1B"/>
    <w:rsid w:val="00530CBE"/>
    <w:rsid w:val="00533F76"/>
    <w:rsid w:val="00534B2F"/>
    <w:rsid w:val="005364DB"/>
    <w:rsid w:val="00541047"/>
    <w:rsid w:val="005412ED"/>
    <w:rsid w:val="005413B5"/>
    <w:rsid w:val="0054592C"/>
    <w:rsid w:val="00545B5C"/>
    <w:rsid w:val="005513EF"/>
    <w:rsid w:val="005535F3"/>
    <w:rsid w:val="00554F54"/>
    <w:rsid w:val="005609B4"/>
    <w:rsid w:val="00561119"/>
    <w:rsid w:val="00563169"/>
    <w:rsid w:val="0056378C"/>
    <w:rsid w:val="005662A0"/>
    <w:rsid w:val="005675DB"/>
    <w:rsid w:val="00567DFC"/>
    <w:rsid w:val="00572410"/>
    <w:rsid w:val="00572741"/>
    <w:rsid w:val="00572AEC"/>
    <w:rsid w:val="00572C51"/>
    <w:rsid w:val="005748D9"/>
    <w:rsid w:val="0058007C"/>
    <w:rsid w:val="00581183"/>
    <w:rsid w:val="00581C3B"/>
    <w:rsid w:val="00583120"/>
    <w:rsid w:val="00585ADB"/>
    <w:rsid w:val="00586C59"/>
    <w:rsid w:val="00591FAB"/>
    <w:rsid w:val="0059270C"/>
    <w:rsid w:val="00594105"/>
    <w:rsid w:val="005A60E0"/>
    <w:rsid w:val="005B0568"/>
    <w:rsid w:val="005B0955"/>
    <w:rsid w:val="005B1745"/>
    <w:rsid w:val="005B4223"/>
    <w:rsid w:val="005B60E8"/>
    <w:rsid w:val="005C1D3A"/>
    <w:rsid w:val="005C26B7"/>
    <w:rsid w:val="005C4C1C"/>
    <w:rsid w:val="005C4FF0"/>
    <w:rsid w:val="005C6054"/>
    <w:rsid w:val="005C61B6"/>
    <w:rsid w:val="005C655B"/>
    <w:rsid w:val="005C6747"/>
    <w:rsid w:val="005D184D"/>
    <w:rsid w:val="005D1EFD"/>
    <w:rsid w:val="005D20ED"/>
    <w:rsid w:val="005D33E2"/>
    <w:rsid w:val="005D4291"/>
    <w:rsid w:val="005D623D"/>
    <w:rsid w:val="005D683D"/>
    <w:rsid w:val="005E0BE1"/>
    <w:rsid w:val="005F01B4"/>
    <w:rsid w:val="005F1930"/>
    <w:rsid w:val="005F3166"/>
    <w:rsid w:val="005F3652"/>
    <w:rsid w:val="005F5683"/>
    <w:rsid w:val="005F5B2D"/>
    <w:rsid w:val="005F600D"/>
    <w:rsid w:val="00600041"/>
    <w:rsid w:val="006022A0"/>
    <w:rsid w:val="006027A7"/>
    <w:rsid w:val="00602B8F"/>
    <w:rsid w:val="00610DBA"/>
    <w:rsid w:val="00615F00"/>
    <w:rsid w:val="0061677D"/>
    <w:rsid w:val="00616843"/>
    <w:rsid w:val="00616966"/>
    <w:rsid w:val="00617043"/>
    <w:rsid w:val="006210F3"/>
    <w:rsid w:val="00622398"/>
    <w:rsid w:val="006238C1"/>
    <w:rsid w:val="0062687D"/>
    <w:rsid w:val="00626D81"/>
    <w:rsid w:val="00631791"/>
    <w:rsid w:val="0063240D"/>
    <w:rsid w:val="00632E94"/>
    <w:rsid w:val="00633264"/>
    <w:rsid w:val="00637145"/>
    <w:rsid w:val="00641B36"/>
    <w:rsid w:val="0064250E"/>
    <w:rsid w:val="00642AC6"/>
    <w:rsid w:val="00643B3C"/>
    <w:rsid w:val="00646E82"/>
    <w:rsid w:val="00650A13"/>
    <w:rsid w:val="00651796"/>
    <w:rsid w:val="00652FE2"/>
    <w:rsid w:val="006538EC"/>
    <w:rsid w:val="006544B4"/>
    <w:rsid w:val="00655908"/>
    <w:rsid w:val="00655E12"/>
    <w:rsid w:val="0065793B"/>
    <w:rsid w:val="00661D75"/>
    <w:rsid w:val="0066255D"/>
    <w:rsid w:val="00662F08"/>
    <w:rsid w:val="00663406"/>
    <w:rsid w:val="00663C4A"/>
    <w:rsid w:val="00664139"/>
    <w:rsid w:val="00666EF8"/>
    <w:rsid w:val="00667D6C"/>
    <w:rsid w:val="006706FF"/>
    <w:rsid w:val="006734E1"/>
    <w:rsid w:val="006768F6"/>
    <w:rsid w:val="00677ABF"/>
    <w:rsid w:val="006812B5"/>
    <w:rsid w:val="00687020"/>
    <w:rsid w:val="006907D9"/>
    <w:rsid w:val="006948CC"/>
    <w:rsid w:val="006949BF"/>
    <w:rsid w:val="00696285"/>
    <w:rsid w:val="006976B8"/>
    <w:rsid w:val="006A0A08"/>
    <w:rsid w:val="006A0BAB"/>
    <w:rsid w:val="006A23E6"/>
    <w:rsid w:val="006A2BF9"/>
    <w:rsid w:val="006A3346"/>
    <w:rsid w:val="006A7457"/>
    <w:rsid w:val="006B0D14"/>
    <w:rsid w:val="006B7610"/>
    <w:rsid w:val="006C1BFA"/>
    <w:rsid w:val="006C5955"/>
    <w:rsid w:val="006C5F63"/>
    <w:rsid w:val="006C632C"/>
    <w:rsid w:val="006C6892"/>
    <w:rsid w:val="006D1EA5"/>
    <w:rsid w:val="006D39B0"/>
    <w:rsid w:val="006D3E55"/>
    <w:rsid w:val="006D57DB"/>
    <w:rsid w:val="006D5B64"/>
    <w:rsid w:val="006D7C57"/>
    <w:rsid w:val="006E1508"/>
    <w:rsid w:val="006E3AFE"/>
    <w:rsid w:val="006E4DC9"/>
    <w:rsid w:val="006E50FB"/>
    <w:rsid w:val="006F1FD3"/>
    <w:rsid w:val="006F2AB9"/>
    <w:rsid w:val="006F2C17"/>
    <w:rsid w:val="006F32E5"/>
    <w:rsid w:val="006F360C"/>
    <w:rsid w:val="006F6331"/>
    <w:rsid w:val="006F6B54"/>
    <w:rsid w:val="006F7033"/>
    <w:rsid w:val="0070077D"/>
    <w:rsid w:val="00703456"/>
    <w:rsid w:val="00703BFA"/>
    <w:rsid w:val="00705291"/>
    <w:rsid w:val="00706051"/>
    <w:rsid w:val="00707689"/>
    <w:rsid w:val="00710166"/>
    <w:rsid w:val="00712D80"/>
    <w:rsid w:val="00713052"/>
    <w:rsid w:val="00717500"/>
    <w:rsid w:val="007200D3"/>
    <w:rsid w:val="00722127"/>
    <w:rsid w:val="00723431"/>
    <w:rsid w:val="007236A5"/>
    <w:rsid w:val="00725A9A"/>
    <w:rsid w:val="00731B18"/>
    <w:rsid w:val="00731FBA"/>
    <w:rsid w:val="00732A15"/>
    <w:rsid w:val="00732D01"/>
    <w:rsid w:val="00732F3C"/>
    <w:rsid w:val="00734216"/>
    <w:rsid w:val="0073515D"/>
    <w:rsid w:val="00737684"/>
    <w:rsid w:val="00741F5A"/>
    <w:rsid w:val="00742879"/>
    <w:rsid w:val="00742DE1"/>
    <w:rsid w:val="00743BAF"/>
    <w:rsid w:val="00744F63"/>
    <w:rsid w:val="007475DB"/>
    <w:rsid w:val="007505CD"/>
    <w:rsid w:val="0075306C"/>
    <w:rsid w:val="0075311A"/>
    <w:rsid w:val="00754629"/>
    <w:rsid w:val="007552A1"/>
    <w:rsid w:val="007552BF"/>
    <w:rsid w:val="00755DAF"/>
    <w:rsid w:val="00757AF1"/>
    <w:rsid w:val="007604F1"/>
    <w:rsid w:val="00760CE6"/>
    <w:rsid w:val="007625A9"/>
    <w:rsid w:val="007625F7"/>
    <w:rsid w:val="0076469C"/>
    <w:rsid w:val="00766540"/>
    <w:rsid w:val="007668A7"/>
    <w:rsid w:val="00766F29"/>
    <w:rsid w:val="007670FE"/>
    <w:rsid w:val="00767CC5"/>
    <w:rsid w:val="00771B70"/>
    <w:rsid w:val="00771ECD"/>
    <w:rsid w:val="0077322B"/>
    <w:rsid w:val="00780396"/>
    <w:rsid w:val="00780634"/>
    <w:rsid w:val="00781C23"/>
    <w:rsid w:val="00783360"/>
    <w:rsid w:val="00797297"/>
    <w:rsid w:val="007A12C1"/>
    <w:rsid w:val="007A196F"/>
    <w:rsid w:val="007A3EDE"/>
    <w:rsid w:val="007B2C10"/>
    <w:rsid w:val="007B439E"/>
    <w:rsid w:val="007B6BA9"/>
    <w:rsid w:val="007C1EA9"/>
    <w:rsid w:val="007C1F91"/>
    <w:rsid w:val="007C25A7"/>
    <w:rsid w:val="007C2E61"/>
    <w:rsid w:val="007C51E0"/>
    <w:rsid w:val="007C5BE3"/>
    <w:rsid w:val="007D243B"/>
    <w:rsid w:val="007D6211"/>
    <w:rsid w:val="007D7C1B"/>
    <w:rsid w:val="007E16B0"/>
    <w:rsid w:val="007F4159"/>
    <w:rsid w:val="007F43EB"/>
    <w:rsid w:val="007F4EEC"/>
    <w:rsid w:val="007F69DC"/>
    <w:rsid w:val="007F6EBD"/>
    <w:rsid w:val="0080127B"/>
    <w:rsid w:val="00801C57"/>
    <w:rsid w:val="00804543"/>
    <w:rsid w:val="00806098"/>
    <w:rsid w:val="008062FE"/>
    <w:rsid w:val="0081224A"/>
    <w:rsid w:val="008140BF"/>
    <w:rsid w:val="00815638"/>
    <w:rsid w:val="008161F7"/>
    <w:rsid w:val="00816D46"/>
    <w:rsid w:val="008173FD"/>
    <w:rsid w:val="008209EE"/>
    <w:rsid w:val="00820F25"/>
    <w:rsid w:val="0082303F"/>
    <w:rsid w:val="00825D11"/>
    <w:rsid w:val="008262A5"/>
    <w:rsid w:val="0082671E"/>
    <w:rsid w:val="008278FC"/>
    <w:rsid w:val="00830717"/>
    <w:rsid w:val="008308A4"/>
    <w:rsid w:val="00831159"/>
    <w:rsid w:val="008338BF"/>
    <w:rsid w:val="00835171"/>
    <w:rsid w:val="008357F1"/>
    <w:rsid w:val="00836399"/>
    <w:rsid w:val="00842B9E"/>
    <w:rsid w:val="00845BA9"/>
    <w:rsid w:val="00852693"/>
    <w:rsid w:val="00853361"/>
    <w:rsid w:val="0085397F"/>
    <w:rsid w:val="00854F50"/>
    <w:rsid w:val="00855589"/>
    <w:rsid w:val="00855CFC"/>
    <w:rsid w:val="008570F8"/>
    <w:rsid w:val="00861299"/>
    <w:rsid w:val="008648D7"/>
    <w:rsid w:val="00867469"/>
    <w:rsid w:val="00870F2F"/>
    <w:rsid w:val="008761B5"/>
    <w:rsid w:val="00876CFE"/>
    <w:rsid w:val="00877C30"/>
    <w:rsid w:val="00881A7D"/>
    <w:rsid w:val="00881E0C"/>
    <w:rsid w:val="00885D49"/>
    <w:rsid w:val="00885EB3"/>
    <w:rsid w:val="00891188"/>
    <w:rsid w:val="008942CB"/>
    <w:rsid w:val="008953D2"/>
    <w:rsid w:val="008967CB"/>
    <w:rsid w:val="00897553"/>
    <w:rsid w:val="008A1E7A"/>
    <w:rsid w:val="008A1E92"/>
    <w:rsid w:val="008A2011"/>
    <w:rsid w:val="008A4144"/>
    <w:rsid w:val="008A538C"/>
    <w:rsid w:val="008A723C"/>
    <w:rsid w:val="008B0FB0"/>
    <w:rsid w:val="008B2F02"/>
    <w:rsid w:val="008B47A5"/>
    <w:rsid w:val="008B499B"/>
    <w:rsid w:val="008B54B2"/>
    <w:rsid w:val="008B5551"/>
    <w:rsid w:val="008C0466"/>
    <w:rsid w:val="008C15F0"/>
    <w:rsid w:val="008C34BC"/>
    <w:rsid w:val="008C4643"/>
    <w:rsid w:val="008C5359"/>
    <w:rsid w:val="008C5437"/>
    <w:rsid w:val="008C6C2C"/>
    <w:rsid w:val="008D1659"/>
    <w:rsid w:val="008D226D"/>
    <w:rsid w:val="008D3C30"/>
    <w:rsid w:val="008D4293"/>
    <w:rsid w:val="008D5AB3"/>
    <w:rsid w:val="008D5CBA"/>
    <w:rsid w:val="008E119F"/>
    <w:rsid w:val="008E28C8"/>
    <w:rsid w:val="008E37B2"/>
    <w:rsid w:val="008E5605"/>
    <w:rsid w:val="008E5979"/>
    <w:rsid w:val="008E68C8"/>
    <w:rsid w:val="008F4A1C"/>
    <w:rsid w:val="008F623D"/>
    <w:rsid w:val="00900B1D"/>
    <w:rsid w:val="00902C3D"/>
    <w:rsid w:val="00902E01"/>
    <w:rsid w:val="00911085"/>
    <w:rsid w:val="0091172B"/>
    <w:rsid w:val="009137F4"/>
    <w:rsid w:val="00921D5D"/>
    <w:rsid w:val="00923902"/>
    <w:rsid w:val="0092499F"/>
    <w:rsid w:val="00924D67"/>
    <w:rsid w:val="00925DA8"/>
    <w:rsid w:val="00926E82"/>
    <w:rsid w:val="00927F72"/>
    <w:rsid w:val="009358FD"/>
    <w:rsid w:val="00937505"/>
    <w:rsid w:val="00937761"/>
    <w:rsid w:val="00937C52"/>
    <w:rsid w:val="00940248"/>
    <w:rsid w:val="009432C0"/>
    <w:rsid w:val="0094564C"/>
    <w:rsid w:val="00946985"/>
    <w:rsid w:val="00954615"/>
    <w:rsid w:val="009554C4"/>
    <w:rsid w:val="00955ADD"/>
    <w:rsid w:val="00956230"/>
    <w:rsid w:val="00957860"/>
    <w:rsid w:val="00962804"/>
    <w:rsid w:val="00963F1A"/>
    <w:rsid w:val="00964043"/>
    <w:rsid w:val="00964EA0"/>
    <w:rsid w:val="00965C4E"/>
    <w:rsid w:val="009669AE"/>
    <w:rsid w:val="009708FE"/>
    <w:rsid w:val="00972085"/>
    <w:rsid w:val="00974752"/>
    <w:rsid w:val="00981D62"/>
    <w:rsid w:val="009869F9"/>
    <w:rsid w:val="009909ED"/>
    <w:rsid w:val="00991106"/>
    <w:rsid w:val="009928E6"/>
    <w:rsid w:val="00993520"/>
    <w:rsid w:val="00994F6E"/>
    <w:rsid w:val="00995B12"/>
    <w:rsid w:val="0099749F"/>
    <w:rsid w:val="009A4269"/>
    <w:rsid w:val="009A487A"/>
    <w:rsid w:val="009B0387"/>
    <w:rsid w:val="009B0843"/>
    <w:rsid w:val="009B1D86"/>
    <w:rsid w:val="009B3110"/>
    <w:rsid w:val="009B375A"/>
    <w:rsid w:val="009B3820"/>
    <w:rsid w:val="009B4D0E"/>
    <w:rsid w:val="009B638F"/>
    <w:rsid w:val="009C0C50"/>
    <w:rsid w:val="009C1C31"/>
    <w:rsid w:val="009C2268"/>
    <w:rsid w:val="009C373D"/>
    <w:rsid w:val="009C4B97"/>
    <w:rsid w:val="009D0488"/>
    <w:rsid w:val="009D06D1"/>
    <w:rsid w:val="009D1069"/>
    <w:rsid w:val="009D1B17"/>
    <w:rsid w:val="009D5C53"/>
    <w:rsid w:val="009E2909"/>
    <w:rsid w:val="009E403F"/>
    <w:rsid w:val="009E59A3"/>
    <w:rsid w:val="009E5F48"/>
    <w:rsid w:val="009E7787"/>
    <w:rsid w:val="009F4051"/>
    <w:rsid w:val="009F41CA"/>
    <w:rsid w:val="009F4642"/>
    <w:rsid w:val="009F7F2C"/>
    <w:rsid w:val="00A00C9C"/>
    <w:rsid w:val="00A01D9B"/>
    <w:rsid w:val="00A06370"/>
    <w:rsid w:val="00A0789D"/>
    <w:rsid w:val="00A162D6"/>
    <w:rsid w:val="00A16C33"/>
    <w:rsid w:val="00A202EA"/>
    <w:rsid w:val="00A2160C"/>
    <w:rsid w:val="00A2202B"/>
    <w:rsid w:val="00A247B1"/>
    <w:rsid w:val="00A275F5"/>
    <w:rsid w:val="00A3201A"/>
    <w:rsid w:val="00A323AA"/>
    <w:rsid w:val="00A3241E"/>
    <w:rsid w:val="00A34712"/>
    <w:rsid w:val="00A3514D"/>
    <w:rsid w:val="00A37E9E"/>
    <w:rsid w:val="00A420B8"/>
    <w:rsid w:val="00A42F85"/>
    <w:rsid w:val="00A432B5"/>
    <w:rsid w:val="00A43E80"/>
    <w:rsid w:val="00A508DC"/>
    <w:rsid w:val="00A53049"/>
    <w:rsid w:val="00A53678"/>
    <w:rsid w:val="00A53AF7"/>
    <w:rsid w:val="00A54572"/>
    <w:rsid w:val="00A6058E"/>
    <w:rsid w:val="00A606F5"/>
    <w:rsid w:val="00A617BC"/>
    <w:rsid w:val="00A67758"/>
    <w:rsid w:val="00A67766"/>
    <w:rsid w:val="00A75094"/>
    <w:rsid w:val="00A75F6F"/>
    <w:rsid w:val="00A76207"/>
    <w:rsid w:val="00A80BEC"/>
    <w:rsid w:val="00A819ED"/>
    <w:rsid w:val="00A81E26"/>
    <w:rsid w:val="00A83B72"/>
    <w:rsid w:val="00A8520C"/>
    <w:rsid w:val="00A87CF3"/>
    <w:rsid w:val="00A87EF6"/>
    <w:rsid w:val="00A90B64"/>
    <w:rsid w:val="00A92AFF"/>
    <w:rsid w:val="00A95619"/>
    <w:rsid w:val="00A9639F"/>
    <w:rsid w:val="00A965C4"/>
    <w:rsid w:val="00A96EA8"/>
    <w:rsid w:val="00A97DD9"/>
    <w:rsid w:val="00AA194B"/>
    <w:rsid w:val="00AA3148"/>
    <w:rsid w:val="00AB0B1B"/>
    <w:rsid w:val="00AB1A9D"/>
    <w:rsid w:val="00AB2200"/>
    <w:rsid w:val="00AB7E41"/>
    <w:rsid w:val="00AC0AD6"/>
    <w:rsid w:val="00AC12C6"/>
    <w:rsid w:val="00AC4671"/>
    <w:rsid w:val="00AC5846"/>
    <w:rsid w:val="00AC6863"/>
    <w:rsid w:val="00AC74BF"/>
    <w:rsid w:val="00AD07A7"/>
    <w:rsid w:val="00AD0B69"/>
    <w:rsid w:val="00AD1340"/>
    <w:rsid w:val="00AD148E"/>
    <w:rsid w:val="00AD1B18"/>
    <w:rsid w:val="00AD3167"/>
    <w:rsid w:val="00AD4568"/>
    <w:rsid w:val="00AD605E"/>
    <w:rsid w:val="00AD6B28"/>
    <w:rsid w:val="00AD7AC4"/>
    <w:rsid w:val="00AE0267"/>
    <w:rsid w:val="00AE047B"/>
    <w:rsid w:val="00AE151D"/>
    <w:rsid w:val="00AE23FC"/>
    <w:rsid w:val="00AE280A"/>
    <w:rsid w:val="00AE31D0"/>
    <w:rsid w:val="00AE5C40"/>
    <w:rsid w:val="00AE61F3"/>
    <w:rsid w:val="00AE66C3"/>
    <w:rsid w:val="00AE7C4B"/>
    <w:rsid w:val="00AF4404"/>
    <w:rsid w:val="00AF542A"/>
    <w:rsid w:val="00B01460"/>
    <w:rsid w:val="00B01773"/>
    <w:rsid w:val="00B01EE5"/>
    <w:rsid w:val="00B053B4"/>
    <w:rsid w:val="00B0586D"/>
    <w:rsid w:val="00B065FC"/>
    <w:rsid w:val="00B06DE2"/>
    <w:rsid w:val="00B11812"/>
    <w:rsid w:val="00B15A93"/>
    <w:rsid w:val="00B15E3A"/>
    <w:rsid w:val="00B16CA1"/>
    <w:rsid w:val="00B20CCF"/>
    <w:rsid w:val="00B2268F"/>
    <w:rsid w:val="00B26E83"/>
    <w:rsid w:val="00B3156F"/>
    <w:rsid w:val="00B3327E"/>
    <w:rsid w:val="00B34E93"/>
    <w:rsid w:val="00B41191"/>
    <w:rsid w:val="00B41D45"/>
    <w:rsid w:val="00B42DB2"/>
    <w:rsid w:val="00B43325"/>
    <w:rsid w:val="00B44D6C"/>
    <w:rsid w:val="00B45498"/>
    <w:rsid w:val="00B46D8E"/>
    <w:rsid w:val="00B47ABA"/>
    <w:rsid w:val="00B51B1F"/>
    <w:rsid w:val="00B5221B"/>
    <w:rsid w:val="00B546CF"/>
    <w:rsid w:val="00B556A1"/>
    <w:rsid w:val="00B567BE"/>
    <w:rsid w:val="00B576AA"/>
    <w:rsid w:val="00B57AEB"/>
    <w:rsid w:val="00B604A7"/>
    <w:rsid w:val="00B60AC7"/>
    <w:rsid w:val="00B62044"/>
    <w:rsid w:val="00B65C12"/>
    <w:rsid w:val="00B660D6"/>
    <w:rsid w:val="00B66650"/>
    <w:rsid w:val="00B67737"/>
    <w:rsid w:val="00B7656D"/>
    <w:rsid w:val="00B7680F"/>
    <w:rsid w:val="00B80502"/>
    <w:rsid w:val="00B80567"/>
    <w:rsid w:val="00B81070"/>
    <w:rsid w:val="00B81095"/>
    <w:rsid w:val="00B823EB"/>
    <w:rsid w:val="00B875EE"/>
    <w:rsid w:val="00B925A6"/>
    <w:rsid w:val="00B9401C"/>
    <w:rsid w:val="00BA03EB"/>
    <w:rsid w:val="00BA1309"/>
    <w:rsid w:val="00BA1616"/>
    <w:rsid w:val="00BA2227"/>
    <w:rsid w:val="00BA2C39"/>
    <w:rsid w:val="00BA3924"/>
    <w:rsid w:val="00BA621E"/>
    <w:rsid w:val="00BB2042"/>
    <w:rsid w:val="00BC0BCA"/>
    <w:rsid w:val="00BC42A6"/>
    <w:rsid w:val="00BC608B"/>
    <w:rsid w:val="00BD6811"/>
    <w:rsid w:val="00BE14D7"/>
    <w:rsid w:val="00BE2574"/>
    <w:rsid w:val="00BE328C"/>
    <w:rsid w:val="00BE52B2"/>
    <w:rsid w:val="00BE576A"/>
    <w:rsid w:val="00BE6A70"/>
    <w:rsid w:val="00BE7AB3"/>
    <w:rsid w:val="00BF1FDB"/>
    <w:rsid w:val="00BF2C3C"/>
    <w:rsid w:val="00BF5063"/>
    <w:rsid w:val="00C00640"/>
    <w:rsid w:val="00C00C3C"/>
    <w:rsid w:val="00C029E2"/>
    <w:rsid w:val="00C02B5F"/>
    <w:rsid w:val="00C04AF8"/>
    <w:rsid w:val="00C05083"/>
    <w:rsid w:val="00C052E4"/>
    <w:rsid w:val="00C0635E"/>
    <w:rsid w:val="00C07396"/>
    <w:rsid w:val="00C125E8"/>
    <w:rsid w:val="00C149C5"/>
    <w:rsid w:val="00C1712E"/>
    <w:rsid w:val="00C173CF"/>
    <w:rsid w:val="00C202CE"/>
    <w:rsid w:val="00C20569"/>
    <w:rsid w:val="00C2237E"/>
    <w:rsid w:val="00C23ECB"/>
    <w:rsid w:val="00C24208"/>
    <w:rsid w:val="00C24253"/>
    <w:rsid w:val="00C30910"/>
    <w:rsid w:val="00C32B2A"/>
    <w:rsid w:val="00C336B7"/>
    <w:rsid w:val="00C33947"/>
    <w:rsid w:val="00C34CC0"/>
    <w:rsid w:val="00C42605"/>
    <w:rsid w:val="00C450B5"/>
    <w:rsid w:val="00C47F68"/>
    <w:rsid w:val="00C55868"/>
    <w:rsid w:val="00C6134F"/>
    <w:rsid w:val="00C626A9"/>
    <w:rsid w:val="00C62D58"/>
    <w:rsid w:val="00C66521"/>
    <w:rsid w:val="00C72C64"/>
    <w:rsid w:val="00C731B1"/>
    <w:rsid w:val="00C731FB"/>
    <w:rsid w:val="00C75AA9"/>
    <w:rsid w:val="00C75C25"/>
    <w:rsid w:val="00C801A2"/>
    <w:rsid w:val="00C808CC"/>
    <w:rsid w:val="00C812AF"/>
    <w:rsid w:val="00C84497"/>
    <w:rsid w:val="00C84685"/>
    <w:rsid w:val="00C909D5"/>
    <w:rsid w:val="00C9207B"/>
    <w:rsid w:val="00C931F1"/>
    <w:rsid w:val="00C933A9"/>
    <w:rsid w:val="00C940A6"/>
    <w:rsid w:val="00C95B83"/>
    <w:rsid w:val="00C961EE"/>
    <w:rsid w:val="00CA0AD7"/>
    <w:rsid w:val="00CA2187"/>
    <w:rsid w:val="00CA2AD0"/>
    <w:rsid w:val="00CA3676"/>
    <w:rsid w:val="00CA7084"/>
    <w:rsid w:val="00CB1844"/>
    <w:rsid w:val="00CB377B"/>
    <w:rsid w:val="00CB509C"/>
    <w:rsid w:val="00CB609F"/>
    <w:rsid w:val="00CC17F6"/>
    <w:rsid w:val="00CC3A15"/>
    <w:rsid w:val="00CC3FC4"/>
    <w:rsid w:val="00CC4C95"/>
    <w:rsid w:val="00CC5E50"/>
    <w:rsid w:val="00CC6D89"/>
    <w:rsid w:val="00CC7477"/>
    <w:rsid w:val="00CD12C7"/>
    <w:rsid w:val="00CD15F2"/>
    <w:rsid w:val="00CD26A3"/>
    <w:rsid w:val="00CD282C"/>
    <w:rsid w:val="00CD6AAC"/>
    <w:rsid w:val="00CE051F"/>
    <w:rsid w:val="00CE0785"/>
    <w:rsid w:val="00CE0AA5"/>
    <w:rsid w:val="00CE3A95"/>
    <w:rsid w:val="00CE3C28"/>
    <w:rsid w:val="00CE5753"/>
    <w:rsid w:val="00CE5810"/>
    <w:rsid w:val="00CE6493"/>
    <w:rsid w:val="00CF081E"/>
    <w:rsid w:val="00CF1385"/>
    <w:rsid w:val="00CF4D5B"/>
    <w:rsid w:val="00CF661A"/>
    <w:rsid w:val="00D01676"/>
    <w:rsid w:val="00D01B4B"/>
    <w:rsid w:val="00D055C3"/>
    <w:rsid w:val="00D06732"/>
    <w:rsid w:val="00D07B21"/>
    <w:rsid w:val="00D07D61"/>
    <w:rsid w:val="00D1306A"/>
    <w:rsid w:val="00D15268"/>
    <w:rsid w:val="00D16856"/>
    <w:rsid w:val="00D22528"/>
    <w:rsid w:val="00D237C9"/>
    <w:rsid w:val="00D24757"/>
    <w:rsid w:val="00D25955"/>
    <w:rsid w:val="00D26259"/>
    <w:rsid w:val="00D30B32"/>
    <w:rsid w:val="00D341A3"/>
    <w:rsid w:val="00D423B3"/>
    <w:rsid w:val="00D4269E"/>
    <w:rsid w:val="00D440CB"/>
    <w:rsid w:val="00D46399"/>
    <w:rsid w:val="00D509C1"/>
    <w:rsid w:val="00D52425"/>
    <w:rsid w:val="00D5267A"/>
    <w:rsid w:val="00D52E59"/>
    <w:rsid w:val="00D54C6F"/>
    <w:rsid w:val="00D57AF7"/>
    <w:rsid w:val="00D61D64"/>
    <w:rsid w:val="00D63378"/>
    <w:rsid w:val="00D66B79"/>
    <w:rsid w:val="00D678D5"/>
    <w:rsid w:val="00D72A61"/>
    <w:rsid w:val="00D82C68"/>
    <w:rsid w:val="00D85ED7"/>
    <w:rsid w:val="00D86F34"/>
    <w:rsid w:val="00D8737C"/>
    <w:rsid w:val="00D873EF"/>
    <w:rsid w:val="00D90066"/>
    <w:rsid w:val="00D906DD"/>
    <w:rsid w:val="00D90DE9"/>
    <w:rsid w:val="00D912FA"/>
    <w:rsid w:val="00D925BC"/>
    <w:rsid w:val="00D92993"/>
    <w:rsid w:val="00D93588"/>
    <w:rsid w:val="00D93D1C"/>
    <w:rsid w:val="00D961D2"/>
    <w:rsid w:val="00D96A64"/>
    <w:rsid w:val="00DA1E8E"/>
    <w:rsid w:val="00DA5169"/>
    <w:rsid w:val="00DA5385"/>
    <w:rsid w:val="00DA7346"/>
    <w:rsid w:val="00DB0475"/>
    <w:rsid w:val="00DB0826"/>
    <w:rsid w:val="00DB4FC3"/>
    <w:rsid w:val="00DB5C48"/>
    <w:rsid w:val="00DB6941"/>
    <w:rsid w:val="00DB7C03"/>
    <w:rsid w:val="00DB7DD0"/>
    <w:rsid w:val="00DC4A93"/>
    <w:rsid w:val="00DC6715"/>
    <w:rsid w:val="00DC7501"/>
    <w:rsid w:val="00DD0D45"/>
    <w:rsid w:val="00DD1157"/>
    <w:rsid w:val="00DD1556"/>
    <w:rsid w:val="00DD4180"/>
    <w:rsid w:val="00DD53DB"/>
    <w:rsid w:val="00DD54E0"/>
    <w:rsid w:val="00DD6747"/>
    <w:rsid w:val="00DD6C7F"/>
    <w:rsid w:val="00DE04BC"/>
    <w:rsid w:val="00DE69B0"/>
    <w:rsid w:val="00DE7F5C"/>
    <w:rsid w:val="00DF1420"/>
    <w:rsid w:val="00DF23D5"/>
    <w:rsid w:val="00DF2A9C"/>
    <w:rsid w:val="00DF3C1C"/>
    <w:rsid w:val="00DF6785"/>
    <w:rsid w:val="00DF6C16"/>
    <w:rsid w:val="00E03A12"/>
    <w:rsid w:val="00E05493"/>
    <w:rsid w:val="00E11326"/>
    <w:rsid w:val="00E116A6"/>
    <w:rsid w:val="00E1186C"/>
    <w:rsid w:val="00E125AB"/>
    <w:rsid w:val="00E13B65"/>
    <w:rsid w:val="00E20310"/>
    <w:rsid w:val="00E21B24"/>
    <w:rsid w:val="00E21D3F"/>
    <w:rsid w:val="00E24374"/>
    <w:rsid w:val="00E244B6"/>
    <w:rsid w:val="00E276DC"/>
    <w:rsid w:val="00E31348"/>
    <w:rsid w:val="00E32211"/>
    <w:rsid w:val="00E33CD8"/>
    <w:rsid w:val="00E429A3"/>
    <w:rsid w:val="00E52256"/>
    <w:rsid w:val="00E52787"/>
    <w:rsid w:val="00E538D4"/>
    <w:rsid w:val="00E544D9"/>
    <w:rsid w:val="00E546E1"/>
    <w:rsid w:val="00E56695"/>
    <w:rsid w:val="00E57315"/>
    <w:rsid w:val="00E57B95"/>
    <w:rsid w:val="00E60852"/>
    <w:rsid w:val="00E62194"/>
    <w:rsid w:val="00E66BF9"/>
    <w:rsid w:val="00E70BEA"/>
    <w:rsid w:val="00E71B74"/>
    <w:rsid w:val="00E72EB9"/>
    <w:rsid w:val="00E76164"/>
    <w:rsid w:val="00E76D78"/>
    <w:rsid w:val="00E76F7D"/>
    <w:rsid w:val="00E77036"/>
    <w:rsid w:val="00E77900"/>
    <w:rsid w:val="00E82969"/>
    <w:rsid w:val="00E82F19"/>
    <w:rsid w:val="00E84725"/>
    <w:rsid w:val="00E87820"/>
    <w:rsid w:val="00E903C5"/>
    <w:rsid w:val="00E90825"/>
    <w:rsid w:val="00E9082C"/>
    <w:rsid w:val="00E9275B"/>
    <w:rsid w:val="00E92EA5"/>
    <w:rsid w:val="00E946DF"/>
    <w:rsid w:val="00E97043"/>
    <w:rsid w:val="00EA387F"/>
    <w:rsid w:val="00EA5FB2"/>
    <w:rsid w:val="00EA7526"/>
    <w:rsid w:val="00EB22BF"/>
    <w:rsid w:val="00EB24A8"/>
    <w:rsid w:val="00EB2F21"/>
    <w:rsid w:val="00EB48F8"/>
    <w:rsid w:val="00EB4AD9"/>
    <w:rsid w:val="00EB4BD4"/>
    <w:rsid w:val="00EC2823"/>
    <w:rsid w:val="00EC4A7D"/>
    <w:rsid w:val="00EC4ECE"/>
    <w:rsid w:val="00EC7BFD"/>
    <w:rsid w:val="00ED6658"/>
    <w:rsid w:val="00ED6DE0"/>
    <w:rsid w:val="00EE01D8"/>
    <w:rsid w:val="00EE0B09"/>
    <w:rsid w:val="00EE1D47"/>
    <w:rsid w:val="00EE2C7C"/>
    <w:rsid w:val="00EE6C11"/>
    <w:rsid w:val="00EF0C32"/>
    <w:rsid w:val="00EF105C"/>
    <w:rsid w:val="00EF2C1D"/>
    <w:rsid w:val="00EF3710"/>
    <w:rsid w:val="00EF39E5"/>
    <w:rsid w:val="00EF4CF3"/>
    <w:rsid w:val="00EF63AB"/>
    <w:rsid w:val="00EF777C"/>
    <w:rsid w:val="00F0047F"/>
    <w:rsid w:val="00F02F5E"/>
    <w:rsid w:val="00F041A4"/>
    <w:rsid w:val="00F0565F"/>
    <w:rsid w:val="00F079E7"/>
    <w:rsid w:val="00F13D2E"/>
    <w:rsid w:val="00F1639C"/>
    <w:rsid w:val="00F166F6"/>
    <w:rsid w:val="00F16BDF"/>
    <w:rsid w:val="00F1778E"/>
    <w:rsid w:val="00F2160F"/>
    <w:rsid w:val="00F246D1"/>
    <w:rsid w:val="00F247E5"/>
    <w:rsid w:val="00F26470"/>
    <w:rsid w:val="00F317E9"/>
    <w:rsid w:val="00F31BF5"/>
    <w:rsid w:val="00F324A6"/>
    <w:rsid w:val="00F3589F"/>
    <w:rsid w:val="00F400C3"/>
    <w:rsid w:val="00F40176"/>
    <w:rsid w:val="00F40531"/>
    <w:rsid w:val="00F40A13"/>
    <w:rsid w:val="00F4171E"/>
    <w:rsid w:val="00F43784"/>
    <w:rsid w:val="00F45BDB"/>
    <w:rsid w:val="00F46DC4"/>
    <w:rsid w:val="00F46E3A"/>
    <w:rsid w:val="00F5066A"/>
    <w:rsid w:val="00F5084B"/>
    <w:rsid w:val="00F52A14"/>
    <w:rsid w:val="00F52D24"/>
    <w:rsid w:val="00F63F16"/>
    <w:rsid w:val="00F657A1"/>
    <w:rsid w:val="00F6605F"/>
    <w:rsid w:val="00F66D3C"/>
    <w:rsid w:val="00F7208B"/>
    <w:rsid w:val="00F7211C"/>
    <w:rsid w:val="00F737AC"/>
    <w:rsid w:val="00F74EB5"/>
    <w:rsid w:val="00F75869"/>
    <w:rsid w:val="00F75E12"/>
    <w:rsid w:val="00F80ECC"/>
    <w:rsid w:val="00F81D2E"/>
    <w:rsid w:val="00F8270C"/>
    <w:rsid w:val="00F83788"/>
    <w:rsid w:val="00F83A84"/>
    <w:rsid w:val="00F8591F"/>
    <w:rsid w:val="00F85EC8"/>
    <w:rsid w:val="00F861AB"/>
    <w:rsid w:val="00F86777"/>
    <w:rsid w:val="00F9172E"/>
    <w:rsid w:val="00F939D9"/>
    <w:rsid w:val="00F9438C"/>
    <w:rsid w:val="00F9587B"/>
    <w:rsid w:val="00F96531"/>
    <w:rsid w:val="00FA2CA3"/>
    <w:rsid w:val="00FA3A7D"/>
    <w:rsid w:val="00FA6BE4"/>
    <w:rsid w:val="00FB2B79"/>
    <w:rsid w:val="00FB60FC"/>
    <w:rsid w:val="00FB6C0C"/>
    <w:rsid w:val="00FC0175"/>
    <w:rsid w:val="00FC1412"/>
    <w:rsid w:val="00FC3296"/>
    <w:rsid w:val="00FC38FB"/>
    <w:rsid w:val="00FC3CAC"/>
    <w:rsid w:val="00FC4488"/>
    <w:rsid w:val="00FC6551"/>
    <w:rsid w:val="00FC655E"/>
    <w:rsid w:val="00FC6FDC"/>
    <w:rsid w:val="00FC7973"/>
    <w:rsid w:val="00FD5C55"/>
    <w:rsid w:val="00FD79D0"/>
    <w:rsid w:val="00FE571F"/>
    <w:rsid w:val="00FE7752"/>
    <w:rsid w:val="00FF2641"/>
    <w:rsid w:val="00FF33EB"/>
    <w:rsid w:val="00FF466D"/>
    <w:rsid w:val="00FF6C3B"/>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3D2C"/>
    <w:pPr>
      <w:jc w:val="both"/>
    </w:pPr>
    <w:rPr>
      <w:sz w:val="22"/>
      <w:szCs w:val="24"/>
    </w:rPr>
  </w:style>
  <w:style w:type="paragraph" w:styleId="Nadpis1">
    <w:name w:val="heading 1"/>
    <w:basedOn w:val="Normln"/>
    <w:next w:val="Normln"/>
    <w:link w:val="Nadpis1Char"/>
    <w:uiPriority w:val="9"/>
    <w:qFormat/>
    <w:rsid w:val="001E18A8"/>
    <w:pPr>
      <w:keepNext/>
      <w:spacing w:before="4800"/>
      <w:ind w:left="720"/>
      <w:outlineLvl w:val="0"/>
    </w:pPr>
    <w:rPr>
      <w:rFonts w:cs="Arial"/>
      <w:b/>
      <w:bCs/>
      <w:caps/>
      <w:kern w:val="32"/>
      <w:sz w:val="40"/>
      <w:szCs w:val="40"/>
    </w:rPr>
  </w:style>
  <w:style w:type="paragraph" w:styleId="Nadpis2">
    <w:name w:val="heading 2"/>
    <w:basedOn w:val="Nadpis1"/>
    <w:next w:val="Normln"/>
    <w:link w:val="Nadpis2Char"/>
    <w:autoRedefine/>
    <w:uiPriority w:val="9"/>
    <w:qFormat/>
    <w:rsid w:val="00CE6493"/>
    <w:pPr>
      <w:spacing w:before="0" w:after="360"/>
      <w:ind w:left="709" w:hanging="709"/>
      <w:jc w:val="left"/>
      <w:outlineLvl w:val="1"/>
    </w:pPr>
    <w:rPr>
      <w:sz w:val="32"/>
      <w:szCs w:val="32"/>
      <w:lang w:eastAsia="ar-SA"/>
    </w:rPr>
  </w:style>
  <w:style w:type="paragraph" w:styleId="Nadpis3">
    <w:name w:val="heading 3"/>
    <w:aliases w:val="2.1."/>
    <w:basedOn w:val="Podtitul"/>
    <w:next w:val="Normln"/>
    <w:autoRedefine/>
    <w:uiPriority w:val="9"/>
    <w:qFormat/>
    <w:rsid w:val="00FB2B79"/>
    <w:pPr>
      <w:numPr>
        <w:numId w:val="32"/>
      </w:numPr>
      <w:ind w:left="720"/>
      <w:jc w:val="left"/>
      <w:outlineLvl w:val="2"/>
    </w:pPr>
    <w:rPr>
      <w:rFonts w:cs="Arial"/>
    </w:rPr>
  </w:style>
  <w:style w:type="paragraph" w:styleId="Nadpis4">
    <w:name w:val="heading 4"/>
    <w:basedOn w:val="Normln"/>
    <w:next w:val="Normln"/>
    <w:uiPriority w:val="9"/>
    <w:qFormat/>
    <w:rsid w:val="00742879"/>
    <w:pPr>
      <w:keepNext/>
      <w:autoSpaceDE w:val="0"/>
      <w:autoSpaceDN w:val="0"/>
      <w:adjustRightInd w:val="0"/>
      <w:spacing w:before="360" w:after="240"/>
      <w:jc w:val="left"/>
      <w:outlineLvl w:val="3"/>
    </w:pPr>
    <w:rPr>
      <w:rFonts w:eastAsia="Calibri"/>
      <w:b/>
      <w:bCs/>
      <w:sz w:val="24"/>
    </w:rPr>
  </w:style>
  <w:style w:type="paragraph" w:styleId="Nadpis5">
    <w:name w:val="heading 5"/>
    <w:basedOn w:val="Nadpis4arial12bold"/>
    <w:next w:val="Normln"/>
    <w:link w:val="Nadpis5Char"/>
    <w:uiPriority w:val="9"/>
    <w:qFormat/>
    <w:rsid w:val="009E2909"/>
    <w:pPr>
      <w:numPr>
        <w:ilvl w:val="2"/>
        <w:numId w:val="27"/>
      </w:numPr>
      <w:outlineLvl w:val="4"/>
    </w:pPr>
  </w:style>
  <w:style w:type="paragraph" w:styleId="Nadpis6">
    <w:name w:val="heading 6"/>
    <w:basedOn w:val="Normln"/>
    <w:next w:val="Normln"/>
    <w:link w:val="Nadpis6Char"/>
    <w:uiPriority w:val="9"/>
    <w:qFormat/>
    <w:rsid w:val="00A76207"/>
    <w:pPr>
      <w:keepNext/>
      <w:autoSpaceDE w:val="0"/>
      <w:autoSpaceDN w:val="0"/>
      <w:adjustRightInd w:val="0"/>
      <w:jc w:val="left"/>
      <w:outlineLvl w:val="5"/>
    </w:pPr>
    <w:rPr>
      <w:rFonts w:cs="Arial"/>
      <w:b/>
      <w:bCs/>
      <w:sz w:val="32"/>
      <w:szCs w:val="28"/>
    </w:rPr>
  </w:style>
  <w:style w:type="paragraph" w:styleId="Nadpis7">
    <w:name w:val="heading 7"/>
    <w:basedOn w:val="Normln"/>
    <w:next w:val="Normln"/>
    <w:uiPriority w:val="9"/>
    <w:qFormat/>
    <w:rsid w:val="00A76207"/>
    <w:pPr>
      <w:keepNext/>
      <w:autoSpaceDE w:val="0"/>
      <w:autoSpaceDN w:val="0"/>
      <w:adjustRightInd w:val="0"/>
      <w:jc w:val="left"/>
      <w:outlineLvl w:val="6"/>
    </w:pPr>
    <w:rPr>
      <w:rFonts w:cs="Arial"/>
      <w:sz w:val="28"/>
      <w:szCs w:val="28"/>
    </w:rPr>
  </w:style>
  <w:style w:type="paragraph" w:styleId="Nadpis8">
    <w:name w:val="heading 8"/>
    <w:basedOn w:val="Normln"/>
    <w:next w:val="Normln"/>
    <w:link w:val="Nadpis8Char"/>
    <w:uiPriority w:val="9"/>
    <w:qFormat/>
    <w:rsid w:val="00A76207"/>
    <w:pPr>
      <w:keepNext/>
      <w:autoSpaceDE w:val="0"/>
      <w:autoSpaceDN w:val="0"/>
      <w:adjustRightInd w:val="0"/>
      <w:spacing w:after="120"/>
      <w:outlineLvl w:val="7"/>
    </w:pPr>
    <w:rPr>
      <w:rFonts w:cs="Arial"/>
      <w:b/>
      <w:bCs/>
      <w:sz w:val="28"/>
      <w:szCs w:val="28"/>
    </w:rPr>
  </w:style>
  <w:style w:type="paragraph" w:styleId="Nadpis9">
    <w:name w:val="heading 9"/>
    <w:basedOn w:val="Normln"/>
    <w:next w:val="Normln"/>
    <w:link w:val="Nadpis9Char"/>
    <w:uiPriority w:val="9"/>
    <w:qFormat/>
    <w:rsid w:val="00A76207"/>
    <w:pPr>
      <w:keepNext/>
      <w:jc w:val="center"/>
      <w:outlineLvl w:val="8"/>
    </w:pPr>
    <w:rPr>
      <w:rFonts w:cs="Arial"/>
      <w:b/>
      <w:bCs/>
      <w:cap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E18A8"/>
    <w:rPr>
      <w:rFonts w:cs="Arial"/>
      <w:b/>
      <w:bCs/>
      <w:caps/>
      <w:kern w:val="32"/>
      <w:sz w:val="40"/>
      <w:szCs w:val="40"/>
    </w:rPr>
  </w:style>
  <w:style w:type="character" w:customStyle="1" w:styleId="Nadpis2Char">
    <w:name w:val="Nadpis 2 Char"/>
    <w:basedOn w:val="Standardnpsmoodstavce"/>
    <w:link w:val="Nadpis2"/>
    <w:uiPriority w:val="9"/>
    <w:rsid w:val="00CE6493"/>
    <w:rPr>
      <w:rFonts w:cs="Arial"/>
      <w:b/>
      <w:bCs/>
      <w:caps/>
      <w:kern w:val="32"/>
      <w:sz w:val="32"/>
      <w:szCs w:val="32"/>
      <w:lang w:eastAsia="ar-SA"/>
    </w:rPr>
  </w:style>
  <w:style w:type="character" w:customStyle="1" w:styleId="Nadpis9Char">
    <w:name w:val="Nadpis 9 Char"/>
    <w:basedOn w:val="Standardnpsmoodstavce"/>
    <w:link w:val="Nadpis9"/>
    <w:uiPriority w:val="9"/>
    <w:rsid w:val="00754629"/>
    <w:rPr>
      <w:rFonts w:ascii="Arial" w:hAnsi="Arial" w:cs="Arial"/>
      <w:b/>
      <w:bCs/>
      <w:caps/>
      <w:sz w:val="22"/>
    </w:rPr>
  </w:style>
  <w:style w:type="paragraph" w:styleId="Nzev">
    <w:name w:val="Title"/>
    <w:basedOn w:val="Normln"/>
    <w:link w:val="NzevChar"/>
    <w:uiPriority w:val="10"/>
    <w:qFormat/>
    <w:rsid w:val="00A76207"/>
    <w:pPr>
      <w:spacing w:before="240" w:after="240"/>
      <w:jc w:val="center"/>
      <w:outlineLvl w:val="0"/>
    </w:pPr>
    <w:rPr>
      <w:rFonts w:cs="Arial"/>
      <w:b/>
      <w:bCs/>
      <w:kern w:val="28"/>
      <w:sz w:val="28"/>
      <w:szCs w:val="32"/>
    </w:rPr>
  </w:style>
  <w:style w:type="paragraph" w:customStyle="1" w:styleId="normalnsodrkami">
    <w:name w:val="normalní s odrážkami"/>
    <w:basedOn w:val="Normln"/>
    <w:rsid w:val="00A76207"/>
    <w:pPr>
      <w:tabs>
        <w:tab w:val="num" w:pos="720"/>
      </w:tabs>
      <w:ind w:left="720" w:hanging="360"/>
    </w:pPr>
  </w:style>
  <w:style w:type="paragraph" w:styleId="Zpat">
    <w:name w:val="footer"/>
    <w:basedOn w:val="Normln"/>
    <w:link w:val="ZpatChar"/>
    <w:uiPriority w:val="99"/>
    <w:rsid w:val="00A76207"/>
    <w:pPr>
      <w:tabs>
        <w:tab w:val="center" w:pos="4536"/>
        <w:tab w:val="right" w:pos="9072"/>
      </w:tabs>
    </w:pPr>
  </w:style>
  <w:style w:type="character" w:customStyle="1" w:styleId="ZpatChar">
    <w:name w:val="Zápatí Char"/>
    <w:basedOn w:val="Standardnpsmoodstavce"/>
    <w:link w:val="Zpat"/>
    <w:uiPriority w:val="99"/>
    <w:rsid w:val="006D3E55"/>
    <w:rPr>
      <w:rFonts w:ascii="Arial" w:hAnsi="Arial"/>
      <w:sz w:val="22"/>
      <w:szCs w:val="24"/>
    </w:rPr>
  </w:style>
  <w:style w:type="character" w:styleId="slostrnky">
    <w:name w:val="page number"/>
    <w:basedOn w:val="Standardnpsmoodstavce"/>
    <w:uiPriority w:val="99"/>
    <w:semiHidden/>
    <w:rsid w:val="00A76207"/>
  </w:style>
  <w:style w:type="paragraph" w:styleId="Zkladntext">
    <w:name w:val="Body Text"/>
    <w:basedOn w:val="Normln"/>
    <w:link w:val="ZkladntextChar1"/>
    <w:uiPriority w:val="99"/>
    <w:rsid w:val="00A76207"/>
    <w:pPr>
      <w:autoSpaceDE w:val="0"/>
      <w:autoSpaceDN w:val="0"/>
      <w:adjustRightInd w:val="0"/>
      <w:spacing w:after="120"/>
      <w:ind w:firstLine="709"/>
    </w:pPr>
    <w:rPr>
      <w:rFonts w:cs="Arial"/>
      <w:sz w:val="20"/>
      <w:szCs w:val="20"/>
    </w:rPr>
  </w:style>
  <w:style w:type="paragraph" w:styleId="Zhlav">
    <w:name w:val="header"/>
    <w:basedOn w:val="Normln"/>
    <w:uiPriority w:val="99"/>
    <w:unhideWhenUsed/>
    <w:rsid w:val="00A76207"/>
    <w:pPr>
      <w:tabs>
        <w:tab w:val="center" w:pos="4536"/>
        <w:tab w:val="right" w:pos="9072"/>
      </w:tabs>
    </w:pPr>
  </w:style>
  <w:style w:type="character" w:customStyle="1" w:styleId="ZhlavChar">
    <w:name w:val="Záhlaví Char"/>
    <w:basedOn w:val="Standardnpsmoodstavce"/>
    <w:uiPriority w:val="99"/>
    <w:rsid w:val="00A76207"/>
    <w:rPr>
      <w:rFonts w:ascii="Arial" w:hAnsi="Arial"/>
      <w:sz w:val="22"/>
      <w:szCs w:val="24"/>
    </w:rPr>
  </w:style>
  <w:style w:type="paragraph" w:styleId="Zkladntextodsazen">
    <w:name w:val="Body Text Indent"/>
    <w:basedOn w:val="Normln"/>
    <w:uiPriority w:val="99"/>
    <w:semiHidden/>
    <w:rsid w:val="00A76207"/>
    <w:pPr>
      <w:spacing w:after="240"/>
      <w:ind w:left="720" w:hanging="360"/>
    </w:pPr>
    <w:rPr>
      <w:rFonts w:eastAsia="Calibri" w:cs="Arial"/>
      <w:sz w:val="20"/>
      <w:szCs w:val="22"/>
      <w:lang w:eastAsia="en-US"/>
    </w:rPr>
  </w:style>
  <w:style w:type="character" w:customStyle="1" w:styleId="ZkladntextodsazenChar">
    <w:name w:val="Základní text odsazený Char"/>
    <w:basedOn w:val="Standardnpsmoodstavce"/>
    <w:uiPriority w:val="99"/>
    <w:semiHidden/>
    <w:rsid w:val="00A76207"/>
    <w:rPr>
      <w:rFonts w:eastAsia="Calibri"/>
      <w:sz w:val="22"/>
      <w:szCs w:val="22"/>
      <w:lang w:eastAsia="en-US"/>
    </w:rPr>
  </w:style>
  <w:style w:type="character" w:styleId="Hypertextovodkaz">
    <w:name w:val="Hyperlink"/>
    <w:basedOn w:val="Standardnpsmoodstavce"/>
    <w:uiPriority w:val="99"/>
    <w:rsid w:val="00A76207"/>
    <w:rPr>
      <w:b w:val="0"/>
      <w:bCs w:val="0"/>
      <w:color w:val="000066"/>
      <w:sz w:val="20"/>
      <w:szCs w:val="20"/>
      <w:u w:val="single"/>
    </w:rPr>
  </w:style>
  <w:style w:type="paragraph" w:styleId="Normlnweb">
    <w:name w:val="Normal (Web)"/>
    <w:basedOn w:val="Normln"/>
    <w:uiPriority w:val="99"/>
    <w:semiHidden/>
    <w:rsid w:val="00A76207"/>
    <w:pPr>
      <w:spacing w:before="100" w:beforeAutospacing="1" w:after="100" w:afterAutospacing="1"/>
      <w:jc w:val="left"/>
    </w:pPr>
    <w:rPr>
      <w:rFonts w:cs="Arial"/>
      <w:color w:val="000000"/>
      <w:sz w:val="20"/>
      <w:szCs w:val="20"/>
    </w:rPr>
  </w:style>
  <w:style w:type="paragraph" w:styleId="Zkladntext2">
    <w:name w:val="Body Text 2"/>
    <w:basedOn w:val="Normln"/>
    <w:uiPriority w:val="99"/>
    <w:semiHidden/>
    <w:rsid w:val="00A76207"/>
    <w:pPr>
      <w:autoSpaceDE w:val="0"/>
      <w:autoSpaceDN w:val="0"/>
      <w:adjustRightInd w:val="0"/>
      <w:jc w:val="left"/>
    </w:pPr>
    <w:rPr>
      <w:color w:val="FF0000"/>
    </w:rPr>
  </w:style>
  <w:style w:type="paragraph" w:styleId="Zkladntextodsazen2">
    <w:name w:val="Body Text Indent 2"/>
    <w:basedOn w:val="Normln"/>
    <w:uiPriority w:val="99"/>
    <w:semiHidden/>
    <w:rsid w:val="00A76207"/>
    <w:pPr>
      <w:spacing w:after="240"/>
      <w:ind w:firstLine="709"/>
    </w:pPr>
    <w:rPr>
      <w:rFonts w:cs="Arial"/>
      <w:color w:val="000000"/>
    </w:rPr>
  </w:style>
  <w:style w:type="paragraph" w:styleId="Zkladntextodsazen3">
    <w:name w:val="Body Text Indent 3"/>
    <w:basedOn w:val="Normln"/>
    <w:uiPriority w:val="99"/>
    <w:rsid w:val="00A76207"/>
    <w:pPr>
      <w:spacing w:after="240"/>
      <w:ind w:firstLine="709"/>
    </w:pPr>
    <w:rPr>
      <w:rFonts w:cs="Arial"/>
      <w:b/>
      <w:bCs/>
      <w:color w:val="000080"/>
    </w:rPr>
  </w:style>
  <w:style w:type="paragraph" w:styleId="Zkladntext3">
    <w:name w:val="Body Text 3"/>
    <w:basedOn w:val="Normln"/>
    <w:link w:val="Zkladntext3Char"/>
    <w:uiPriority w:val="99"/>
    <w:semiHidden/>
    <w:rsid w:val="00A76207"/>
    <w:pPr>
      <w:autoSpaceDE w:val="0"/>
      <w:autoSpaceDN w:val="0"/>
      <w:adjustRightInd w:val="0"/>
      <w:jc w:val="left"/>
    </w:pPr>
    <w:rPr>
      <w:b/>
      <w:bCs/>
      <w:color w:val="800000"/>
    </w:rPr>
  </w:style>
  <w:style w:type="paragraph" w:styleId="Textpoznpodarou">
    <w:name w:val="footnote text"/>
    <w:basedOn w:val="Normln"/>
    <w:uiPriority w:val="99"/>
    <w:rsid w:val="00A76207"/>
    <w:rPr>
      <w:i/>
      <w:iCs/>
      <w:sz w:val="18"/>
      <w:szCs w:val="20"/>
    </w:rPr>
  </w:style>
  <w:style w:type="character" w:styleId="Znakapoznpodarou">
    <w:name w:val="footnote reference"/>
    <w:basedOn w:val="Standardnpsmoodstavce"/>
    <w:uiPriority w:val="99"/>
    <w:rsid w:val="00A76207"/>
    <w:rPr>
      <w:vertAlign w:val="superscript"/>
    </w:rPr>
  </w:style>
  <w:style w:type="character" w:customStyle="1" w:styleId="mw-headline">
    <w:name w:val="mw-headline"/>
    <w:basedOn w:val="Standardnpsmoodstavce"/>
    <w:rsid w:val="00A76207"/>
  </w:style>
  <w:style w:type="character" w:customStyle="1" w:styleId="doplnte-zdroj">
    <w:name w:val="doplnte-zdroj"/>
    <w:basedOn w:val="Standardnpsmoodstavce"/>
    <w:rsid w:val="00A76207"/>
  </w:style>
  <w:style w:type="character" w:customStyle="1" w:styleId="Zkladntextodsazen3Char">
    <w:name w:val="Základní text odsazený 3 Char"/>
    <w:basedOn w:val="Standardnpsmoodstavce"/>
    <w:uiPriority w:val="99"/>
    <w:rsid w:val="00A76207"/>
    <w:rPr>
      <w:rFonts w:ascii="Arial" w:hAnsi="Arial" w:cs="Arial"/>
      <w:b/>
      <w:bCs/>
      <w:color w:val="000080"/>
      <w:sz w:val="22"/>
      <w:szCs w:val="24"/>
    </w:rPr>
  </w:style>
  <w:style w:type="character" w:customStyle="1" w:styleId="Zkladntext2Char">
    <w:name w:val="Základní text 2 Char"/>
    <w:basedOn w:val="Standardnpsmoodstavce"/>
    <w:uiPriority w:val="99"/>
    <w:semiHidden/>
    <w:rsid w:val="00A76207"/>
    <w:rPr>
      <w:rFonts w:ascii="Arial" w:hAnsi="Arial"/>
      <w:color w:val="FF0000"/>
      <w:sz w:val="22"/>
      <w:szCs w:val="24"/>
    </w:rPr>
  </w:style>
  <w:style w:type="character" w:customStyle="1" w:styleId="Nadpis7Char">
    <w:name w:val="Nadpis 7 Char"/>
    <w:basedOn w:val="Standardnpsmoodstavce"/>
    <w:uiPriority w:val="9"/>
    <w:rsid w:val="00A76207"/>
    <w:rPr>
      <w:rFonts w:ascii="Arial" w:hAnsi="Arial" w:cs="Arial"/>
      <w:sz w:val="28"/>
      <w:szCs w:val="28"/>
    </w:rPr>
  </w:style>
  <w:style w:type="character" w:styleId="Siln">
    <w:name w:val="Strong"/>
    <w:basedOn w:val="Standardnpsmoodstavce"/>
    <w:uiPriority w:val="22"/>
    <w:qFormat/>
    <w:rsid w:val="00A76207"/>
    <w:rPr>
      <w:b/>
      <w:bCs/>
    </w:rPr>
  </w:style>
  <w:style w:type="character" w:styleId="Zvraznn">
    <w:name w:val="Emphasis"/>
    <w:basedOn w:val="Standardnpsmoodstavce"/>
    <w:uiPriority w:val="20"/>
    <w:qFormat/>
    <w:rsid w:val="00A76207"/>
    <w:rPr>
      <w:i/>
      <w:iCs/>
    </w:rPr>
  </w:style>
  <w:style w:type="character" w:customStyle="1" w:styleId="ZkladntextChar">
    <w:name w:val="Základní text Char"/>
    <w:basedOn w:val="Standardnpsmoodstavce"/>
    <w:uiPriority w:val="99"/>
    <w:rsid w:val="00A76207"/>
    <w:rPr>
      <w:rFonts w:ascii="Arial" w:hAnsi="Arial" w:cs="Arial"/>
    </w:rPr>
  </w:style>
  <w:style w:type="character" w:customStyle="1" w:styleId="Zkladntextodsazen2Char">
    <w:name w:val="Základní text odsazený 2 Char"/>
    <w:basedOn w:val="Standardnpsmoodstavce"/>
    <w:uiPriority w:val="99"/>
    <w:semiHidden/>
    <w:rsid w:val="00A76207"/>
    <w:rPr>
      <w:rFonts w:ascii="Arial" w:hAnsi="Arial" w:cs="Arial"/>
      <w:color w:val="000000"/>
      <w:sz w:val="22"/>
      <w:szCs w:val="24"/>
    </w:rPr>
  </w:style>
  <w:style w:type="character" w:customStyle="1" w:styleId="Nadpis3Char">
    <w:name w:val="Nadpis 3 Char"/>
    <w:aliases w:val="2.1. Char"/>
    <w:basedOn w:val="Standardnpsmoodstavce"/>
    <w:uiPriority w:val="9"/>
    <w:rsid w:val="00A76207"/>
    <w:rPr>
      <w:rFonts w:ascii="Arial" w:hAnsi="Arial" w:cs="Arial"/>
      <w:b/>
      <w:bCs/>
      <w:sz w:val="22"/>
      <w:szCs w:val="26"/>
    </w:rPr>
  </w:style>
  <w:style w:type="character" w:customStyle="1" w:styleId="Nadpis4Char">
    <w:name w:val="Nadpis 4 Char"/>
    <w:basedOn w:val="Standardnpsmoodstavce"/>
    <w:uiPriority w:val="9"/>
    <w:rsid w:val="00A76207"/>
    <w:rPr>
      <w:rFonts w:ascii="TT1FDo00" w:hAnsi="TT1FDo00"/>
      <w:b/>
      <w:bCs/>
      <w:sz w:val="22"/>
      <w:szCs w:val="22"/>
    </w:rPr>
  </w:style>
  <w:style w:type="character" w:customStyle="1" w:styleId="TextpoznpodarouChar">
    <w:name w:val="Text pozn. pod čarou Char"/>
    <w:basedOn w:val="Standardnpsmoodstavce"/>
    <w:uiPriority w:val="99"/>
    <w:rsid w:val="00A76207"/>
    <w:rPr>
      <w:rFonts w:ascii="Arial" w:hAnsi="Arial"/>
    </w:rPr>
  </w:style>
  <w:style w:type="character" w:styleId="Sledovanodkaz">
    <w:name w:val="FollowedHyperlink"/>
    <w:basedOn w:val="Standardnpsmoodstavce"/>
    <w:uiPriority w:val="99"/>
    <w:semiHidden/>
    <w:rsid w:val="00A76207"/>
    <w:rPr>
      <w:color w:val="800080"/>
      <w:u w:val="single"/>
    </w:rPr>
  </w:style>
  <w:style w:type="paragraph" w:styleId="Obsah1">
    <w:name w:val="toc 1"/>
    <w:basedOn w:val="Normln"/>
    <w:next w:val="Normln"/>
    <w:autoRedefine/>
    <w:uiPriority w:val="39"/>
    <w:rsid w:val="00760CE6"/>
    <w:pPr>
      <w:tabs>
        <w:tab w:val="left" w:pos="660"/>
        <w:tab w:val="right" w:leader="dot" w:pos="9628"/>
      </w:tabs>
      <w:spacing w:before="360" w:after="240"/>
      <w:jc w:val="left"/>
    </w:pPr>
    <w:rPr>
      <w:rFonts w:cs="Arial"/>
      <w:b/>
      <w:noProof/>
      <w:sz w:val="24"/>
    </w:rPr>
  </w:style>
  <w:style w:type="paragraph" w:styleId="Obsah2">
    <w:name w:val="toc 2"/>
    <w:basedOn w:val="Normln"/>
    <w:next w:val="Normln"/>
    <w:autoRedefine/>
    <w:uiPriority w:val="39"/>
    <w:rsid w:val="00D01B4B"/>
    <w:pPr>
      <w:tabs>
        <w:tab w:val="right" w:leader="dot" w:pos="9628"/>
      </w:tabs>
      <w:spacing w:before="120"/>
      <w:ind w:left="221"/>
    </w:pPr>
  </w:style>
  <w:style w:type="paragraph" w:styleId="Obsah3">
    <w:name w:val="toc 3"/>
    <w:basedOn w:val="Normln"/>
    <w:next w:val="Normln"/>
    <w:autoRedefine/>
    <w:uiPriority w:val="39"/>
    <w:rsid w:val="00A76207"/>
    <w:pPr>
      <w:ind w:left="440"/>
    </w:pPr>
  </w:style>
  <w:style w:type="paragraph" w:styleId="Obsah4">
    <w:name w:val="toc 4"/>
    <w:basedOn w:val="Normln"/>
    <w:next w:val="Normln"/>
    <w:autoRedefine/>
    <w:uiPriority w:val="39"/>
    <w:semiHidden/>
    <w:rsid w:val="00A76207"/>
    <w:pPr>
      <w:ind w:left="660"/>
    </w:pPr>
  </w:style>
  <w:style w:type="paragraph" w:styleId="Obsah5">
    <w:name w:val="toc 5"/>
    <w:basedOn w:val="Normln"/>
    <w:next w:val="Normln"/>
    <w:autoRedefine/>
    <w:uiPriority w:val="39"/>
    <w:semiHidden/>
    <w:rsid w:val="00A76207"/>
    <w:pPr>
      <w:ind w:left="880"/>
    </w:pPr>
  </w:style>
  <w:style w:type="paragraph" w:styleId="Obsah6">
    <w:name w:val="toc 6"/>
    <w:basedOn w:val="Normln"/>
    <w:next w:val="Normln"/>
    <w:autoRedefine/>
    <w:uiPriority w:val="39"/>
    <w:semiHidden/>
    <w:rsid w:val="00A76207"/>
    <w:pPr>
      <w:ind w:left="1100"/>
    </w:pPr>
  </w:style>
  <w:style w:type="paragraph" w:styleId="Obsah7">
    <w:name w:val="toc 7"/>
    <w:basedOn w:val="Normln"/>
    <w:next w:val="Normln"/>
    <w:autoRedefine/>
    <w:uiPriority w:val="39"/>
    <w:semiHidden/>
    <w:rsid w:val="00A76207"/>
    <w:pPr>
      <w:ind w:left="1320"/>
    </w:pPr>
  </w:style>
  <w:style w:type="paragraph" w:styleId="Obsah8">
    <w:name w:val="toc 8"/>
    <w:basedOn w:val="Normln"/>
    <w:next w:val="Normln"/>
    <w:autoRedefine/>
    <w:uiPriority w:val="39"/>
    <w:semiHidden/>
    <w:rsid w:val="00A76207"/>
    <w:pPr>
      <w:ind w:left="1540"/>
    </w:pPr>
  </w:style>
  <w:style w:type="paragraph" w:styleId="Obsah9">
    <w:name w:val="toc 9"/>
    <w:basedOn w:val="Normln"/>
    <w:next w:val="Normln"/>
    <w:autoRedefine/>
    <w:uiPriority w:val="39"/>
    <w:semiHidden/>
    <w:rsid w:val="00A76207"/>
    <w:pPr>
      <w:ind w:left="1760"/>
    </w:pPr>
  </w:style>
  <w:style w:type="paragraph" w:customStyle="1" w:styleId="Default">
    <w:name w:val="Default"/>
    <w:rsid w:val="00A76207"/>
    <w:pPr>
      <w:autoSpaceDE w:val="0"/>
      <w:autoSpaceDN w:val="0"/>
      <w:adjustRightInd w:val="0"/>
    </w:pPr>
    <w:rPr>
      <w:rFonts w:ascii="Calibri" w:hAnsi="Calibri"/>
      <w:color w:val="000000"/>
      <w:sz w:val="24"/>
      <w:szCs w:val="24"/>
    </w:rPr>
  </w:style>
  <w:style w:type="character" w:customStyle="1" w:styleId="st">
    <w:name w:val="st"/>
    <w:basedOn w:val="Standardnpsmoodstavce"/>
    <w:rsid w:val="00A76207"/>
    <w:rPr>
      <w:rFonts w:ascii="Times New Roman" w:hAnsi="Times New Roman" w:cs="Times New Roman"/>
    </w:rPr>
  </w:style>
  <w:style w:type="paragraph" w:styleId="Nadpisobsahu">
    <w:name w:val="TOC Heading"/>
    <w:basedOn w:val="Nadpis1"/>
    <w:next w:val="Normln"/>
    <w:uiPriority w:val="39"/>
    <w:unhideWhenUsed/>
    <w:qFormat/>
    <w:rsid w:val="00103B54"/>
    <w:pPr>
      <w:keepLines/>
      <w:spacing w:before="480" w:line="276" w:lineRule="auto"/>
      <w:outlineLvl w:val="9"/>
    </w:pPr>
    <w:rPr>
      <w:rFonts w:ascii="Cambria" w:hAnsi="Cambria" w:cs="Times New Roman"/>
      <w:caps w:val="0"/>
      <w:color w:val="365F91"/>
      <w:kern w:val="0"/>
      <w:sz w:val="28"/>
      <w:lang w:eastAsia="en-US"/>
    </w:rPr>
  </w:style>
  <w:style w:type="paragraph" w:styleId="Textvysvtlivek">
    <w:name w:val="endnote text"/>
    <w:basedOn w:val="Normln"/>
    <w:link w:val="TextvysvtlivekChar"/>
    <w:uiPriority w:val="99"/>
    <w:semiHidden/>
    <w:unhideWhenUsed/>
    <w:rsid w:val="0029106B"/>
    <w:rPr>
      <w:sz w:val="20"/>
      <w:szCs w:val="20"/>
    </w:rPr>
  </w:style>
  <w:style w:type="character" w:customStyle="1" w:styleId="TextvysvtlivekChar">
    <w:name w:val="Text vysvětlivek Char"/>
    <w:basedOn w:val="Standardnpsmoodstavce"/>
    <w:link w:val="Textvysvtlivek"/>
    <w:uiPriority w:val="99"/>
    <w:semiHidden/>
    <w:rsid w:val="0029106B"/>
    <w:rPr>
      <w:rFonts w:ascii="Arial" w:hAnsi="Arial"/>
    </w:rPr>
  </w:style>
  <w:style w:type="character" w:styleId="Odkaznavysvtlivky">
    <w:name w:val="endnote reference"/>
    <w:basedOn w:val="Standardnpsmoodstavce"/>
    <w:uiPriority w:val="99"/>
    <w:semiHidden/>
    <w:unhideWhenUsed/>
    <w:rsid w:val="0029106B"/>
    <w:rPr>
      <w:vertAlign w:val="superscript"/>
    </w:rPr>
  </w:style>
  <w:style w:type="paragraph" w:customStyle="1" w:styleId="Nadpis4arial12bold">
    <w:name w:val="Nadpis 4 arial 12 bold"/>
    <w:basedOn w:val="Nadpis4"/>
    <w:link w:val="Nadpis4arial12boldChar"/>
    <w:qFormat/>
    <w:rsid w:val="00F8591F"/>
  </w:style>
  <w:style w:type="character" w:customStyle="1" w:styleId="Nadpis4arial12boldChar">
    <w:name w:val="Nadpis 4 arial 12 bold Char"/>
    <w:basedOn w:val="Standardnpsmoodstavce"/>
    <w:link w:val="Nadpis4arial12bold"/>
    <w:rsid w:val="00F8591F"/>
    <w:rPr>
      <w:rFonts w:eastAsia="Calibri"/>
      <w:b/>
      <w:bCs/>
      <w:sz w:val="24"/>
      <w:szCs w:val="24"/>
    </w:rPr>
  </w:style>
  <w:style w:type="character" w:customStyle="1" w:styleId="ata11y">
    <w:name w:val="at_a11y"/>
    <w:basedOn w:val="Standardnpsmoodstavce"/>
    <w:rsid w:val="006D3E55"/>
  </w:style>
  <w:style w:type="paragraph" w:styleId="Odstavecseseznamem">
    <w:name w:val="List Paragraph"/>
    <w:basedOn w:val="Normln"/>
    <w:link w:val="OdstavecseseznamemChar"/>
    <w:uiPriority w:val="34"/>
    <w:qFormat/>
    <w:rsid w:val="006D3E55"/>
    <w:pPr>
      <w:spacing w:after="240"/>
      <w:ind w:left="720"/>
      <w:contextualSpacing/>
      <w:jc w:val="left"/>
    </w:pPr>
    <w:rPr>
      <w:rFonts w:eastAsia="Calibri" w:cs="Arial"/>
      <w:b/>
      <w:sz w:val="28"/>
      <w:szCs w:val="28"/>
      <w:lang w:eastAsia="en-US"/>
    </w:rPr>
  </w:style>
  <w:style w:type="paragraph" w:customStyle="1" w:styleId="para">
    <w:name w:val="para"/>
    <w:basedOn w:val="Normln"/>
    <w:rsid w:val="006D3E55"/>
    <w:pPr>
      <w:spacing w:before="100" w:beforeAutospacing="1" w:after="100" w:afterAutospacing="1"/>
      <w:jc w:val="left"/>
    </w:pPr>
    <w:rPr>
      <w:rFonts w:ascii="Times New Roman" w:hAnsi="Times New Roman"/>
      <w:sz w:val="24"/>
    </w:rPr>
  </w:style>
  <w:style w:type="paragraph" w:customStyle="1" w:styleId="go">
    <w:name w:val="go"/>
    <w:basedOn w:val="Normln"/>
    <w:rsid w:val="006D3E55"/>
    <w:pPr>
      <w:spacing w:before="100" w:beforeAutospacing="1" w:after="100" w:afterAutospacing="1"/>
      <w:jc w:val="left"/>
    </w:pPr>
    <w:rPr>
      <w:rFonts w:ascii="Times New Roman" w:hAnsi="Times New Roman"/>
      <w:sz w:val="24"/>
    </w:rPr>
  </w:style>
  <w:style w:type="character" w:customStyle="1" w:styleId="h1a">
    <w:name w:val="h1a"/>
    <w:basedOn w:val="Standardnpsmoodstavce"/>
    <w:rsid w:val="006D3E55"/>
  </w:style>
  <w:style w:type="paragraph" w:customStyle="1" w:styleId="Style8">
    <w:name w:val="Style8"/>
    <w:basedOn w:val="Normln"/>
    <w:rsid w:val="006D3E55"/>
    <w:pPr>
      <w:widowControl w:val="0"/>
      <w:autoSpaceDE w:val="0"/>
      <w:autoSpaceDN w:val="0"/>
      <w:adjustRightInd w:val="0"/>
      <w:jc w:val="left"/>
    </w:pPr>
    <w:rPr>
      <w:rFonts w:cs="Arial"/>
      <w:sz w:val="24"/>
    </w:rPr>
  </w:style>
  <w:style w:type="character" w:customStyle="1" w:styleId="FontStyle19">
    <w:name w:val="Font Style19"/>
    <w:basedOn w:val="Standardnpsmoodstavce"/>
    <w:rsid w:val="006D3E55"/>
    <w:rPr>
      <w:rFonts w:ascii="Arial Narrow" w:hAnsi="Arial Narrow" w:cs="Arial Narrow" w:hint="default"/>
      <w:color w:val="000000"/>
      <w:sz w:val="18"/>
      <w:szCs w:val="18"/>
    </w:rPr>
  </w:style>
  <w:style w:type="character" w:customStyle="1" w:styleId="FontStyle18">
    <w:name w:val="Font Style18"/>
    <w:basedOn w:val="Standardnpsmoodstavce"/>
    <w:rsid w:val="006D3E55"/>
    <w:rPr>
      <w:rFonts w:ascii="Arial Narrow" w:hAnsi="Arial Narrow" w:cs="Arial Narrow" w:hint="default"/>
      <w:b/>
      <w:bCs/>
      <w:color w:val="000000"/>
      <w:sz w:val="18"/>
      <w:szCs w:val="18"/>
    </w:rPr>
  </w:style>
  <w:style w:type="paragraph" w:customStyle="1" w:styleId="Style10">
    <w:name w:val="Style10"/>
    <w:basedOn w:val="Normln"/>
    <w:rsid w:val="006D3E55"/>
    <w:pPr>
      <w:widowControl w:val="0"/>
      <w:autoSpaceDE w:val="0"/>
      <w:autoSpaceDN w:val="0"/>
      <w:adjustRightInd w:val="0"/>
      <w:spacing w:line="220" w:lineRule="exact"/>
    </w:pPr>
    <w:rPr>
      <w:rFonts w:cs="Arial"/>
      <w:sz w:val="24"/>
    </w:rPr>
  </w:style>
  <w:style w:type="paragraph" w:customStyle="1" w:styleId="GroupWiseView">
    <w:name w:val="GroupWiseView"/>
    <w:rsid w:val="00096A9F"/>
    <w:pPr>
      <w:widowControl w:val="0"/>
      <w:autoSpaceDE w:val="0"/>
      <w:autoSpaceDN w:val="0"/>
      <w:adjustRightInd w:val="0"/>
    </w:pPr>
    <w:rPr>
      <w:rFonts w:ascii="Tahoma" w:hAnsi="Tahoma" w:cs="Tahoma"/>
      <w:sz w:val="16"/>
      <w:szCs w:val="16"/>
    </w:rPr>
  </w:style>
  <w:style w:type="paragraph" w:styleId="Textbubliny">
    <w:name w:val="Balloon Text"/>
    <w:basedOn w:val="Normln"/>
    <w:link w:val="TextbublinyChar"/>
    <w:uiPriority w:val="99"/>
    <w:unhideWhenUsed/>
    <w:rsid w:val="00096A9F"/>
    <w:pPr>
      <w:jc w:val="left"/>
    </w:pPr>
    <w:rPr>
      <w:rFonts w:ascii="Tahoma" w:eastAsia="Calibri" w:hAnsi="Tahoma" w:cs="Tahoma"/>
      <w:sz w:val="16"/>
      <w:szCs w:val="16"/>
      <w:lang w:eastAsia="en-US"/>
    </w:rPr>
  </w:style>
  <w:style w:type="character" w:customStyle="1" w:styleId="TextbublinyChar">
    <w:name w:val="Text bubliny Char"/>
    <w:basedOn w:val="Standardnpsmoodstavce"/>
    <w:link w:val="Textbubliny"/>
    <w:uiPriority w:val="99"/>
    <w:rsid w:val="00096A9F"/>
    <w:rPr>
      <w:rFonts w:ascii="Tahoma" w:eastAsia="Calibri" w:hAnsi="Tahoma" w:cs="Tahoma"/>
      <w:sz w:val="16"/>
      <w:szCs w:val="16"/>
      <w:lang w:eastAsia="en-US"/>
    </w:rPr>
  </w:style>
  <w:style w:type="table" w:styleId="Mkatabulky">
    <w:name w:val="Table Grid"/>
    <w:basedOn w:val="Normlntabulka"/>
    <w:uiPriority w:val="59"/>
    <w:rsid w:val="00096A9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name">
    <w:name w:val="p1name"/>
    <w:basedOn w:val="Standardnpsmoodstavce"/>
    <w:rsid w:val="00096A9F"/>
  </w:style>
  <w:style w:type="character" w:customStyle="1" w:styleId="pnname">
    <w:name w:val="pnname"/>
    <w:basedOn w:val="Standardnpsmoodstavce"/>
    <w:rsid w:val="00096A9F"/>
  </w:style>
  <w:style w:type="character" w:styleId="Odkaznakoment">
    <w:name w:val="annotation reference"/>
    <w:basedOn w:val="Standardnpsmoodstavce"/>
    <w:uiPriority w:val="99"/>
    <w:unhideWhenUsed/>
    <w:rsid w:val="00096A9F"/>
    <w:rPr>
      <w:sz w:val="16"/>
      <w:szCs w:val="16"/>
    </w:rPr>
  </w:style>
  <w:style w:type="paragraph" w:styleId="Textkomente">
    <w:name w:val="annotation text"/>
    <w:basedOn w:val="Normln"/>
    <w:link w:val="TextkomenteChar"/>
    <w:uiPriority w:val="99"/>
    <w:unhideWhenUsed/>
    <w:rsid w:val="00096A9F"/>
    <w:pPr>
      <w:spacing w:after="200"/>
      <w:jc w:val="left"/>
    </w:pPr>
    <w:rPr>
      <w:rFonts w:ascii="Calibri" w:eastAsia="Calibri" w:hAnsi="Calibri"/>
      <w:sz w:val="20"/>
      <w:szCs w:val="20"/>
      <w:lang w:eastAsia="en-US"/>
    </w:rPr>
  </w:style>
  <w:style w:type="character" w:customStyle="1" w:styleId="TextkomenteChar">
    <w:name w:val="Text komentáře Char"/>
    <w:basedOn w:val="Standardnpsmoodstavce"/>
    <w:link w:val="Textkomente"/>
    <w:uiPriority w:val="99"/>
    <w:rsid w:val="00096A9F"/>
    <w:rPr>
      <w:rFonts w:ascii="Calibri" w:eastAsia="Calibri" w:hAnsi="Calibri"/>
      <w:lang w:eastAsia="en-US"/>
    </w:rPr>
  </w:style>
  <w:style w:type="paragraph" w:styleId="Pedmtkomente">
    <w:name w:val="annotation subject"/>
    <w:basedOn w:val="Textkomente"/>
    <w:next w:val="Textkomente"/>
    <w:link w:val="PedmtkomenteChar"/>
    <w:uiPriority w:val="99"/>
    <w:unhideWhenUsed/>
    <w:rsid w:val="00096A9F"/>
    <w:rPr>
      <w:b/>
      <w:bCs/>
    </w:rPr>
  </w:style>
  <w:style w:type="character" w:customStyle="1" w:styleId="PedmtkomenteChar">
    <w:name w:val="Předmět komentáře Char"/>
    <w:basedOn w:val="TextkomenteChar"/>
    <w:link w:val="Pedmtkomente"/>
    <w:uiPriority w:val="99"/>
    <w:rsid w:val="00096A9F"/>
    <w:rPr>
      <w:b/>
      <w:bCs/>
    </w:rPr>
  </w:style>
  <w:style w:type="paragraph" w:styleId="Seznamsodrkami3">
    <w:name w:val="List Bullet 3"/>
    <w:basedOn w:val="Normln"/>
    <w:autoRedefine/>
    <w:uiPriority w:val="99"/>
    <w:semiHidden/>
    <w:rsid w:val="00096A9F"/>
    <w:pPr>
      <w:numPr>
        <w:numId w:val="3"/>
      </w:numPr>
      <w:ind w:left="714" w:hanging="357"/>
    </w:pPr>
    <w:rPr>
      <w:rFonts w:ascii="Times New Roman" w:hAnsi="Times New Roman"/>
      <w:sz w:val="24"/>
    </w:rPr>
  </w:style>
  <w:style w:type="paragraph" w:styleId="Seznamsodrkami4">
    <w:name w:val="List Bullet 4"/>
    <w:basedOn w:val="Normln"/>
    <w:autoRedefine/>
    <w:uiPriority w:val="99"/>
    <w:semiHidden/>
    <w:rsid w:val="00096A9F"/>
    <w:pPr>
      <w:tabs>
        <w:tab w:val="num" w:pos="1440"/>
      </w:tabs>
      <w:ind w:left="1434" w:hanging="357"/>
    </w:pPr>
    <w:rPr>
      <w:rFonts w:ascii="Times New Roman" w:hAnsi="Times New Roman"/>
      <w:sz w:val="24"/>
    </w:rPr>
  </w:style>
  <w:style w:type="paragraph" w:styleId="Seznam2">
    <w:name w:val="List 2"/>
    <w:basedOn w:val="Normln"/>
    <w:uiPriority w:val="99"/>
    <w:semiHidden/>
    <w:rsid w:val="00096A9F"/>
    <w:pPr>
      <w:ind w:left="566" w:hanging="283"/>
      <w:jc w:val="left"/>
    </w:pPr>
    <w:rPr>
      <w:rFonts w:ascii="Times New Roman" w:hAnsi="Times New Roman"/>
      <w:sz w:val="24"/>
    </w:rPr>
  </w:style>
  <w:style w:type="paragraph" w:styleId="Pokraovnseznamu">
    <w:name w:val="List Continue"/>
    <w:basedOn w:val="Normln"/>
    <w:uiPriority w:val="99"/>
    <w:semiHidden/>
    <w:unhideWhenUsed/>
    <w:rsid w:val="00096A9F"/>
    <w:pPr>
      <w:spacing w:after="120"/>
      <w:ind w:left="283"/>
      <w:contextualSpacing/>
    </w:pPr>
    <w:rPr>
      <w:rFonts w:ascii="Calibri" w:eastAsia="Calibri" w:hAnsi="Calibri"/>
      <w:szCs w:val="22"/>
      <w:lang w:eastAsia="en-US"/>
    </w:rPr>
  </w:style>
  <w:style w:type="paragraph" w:customStyle="1" w:styleId="Normln0">
    <w:name w:val="Normln"/>
    <w:rsid w:val="00096A9F"/>
    <w:pPr>
      <w:autoSpaceDE w:val="0"/>
      <w:autoSpaceDN w:val="0"/>
      <w:adjustRightInd w:val="0"/>
    </w:pPr>
    <w:rPr>
      <w:sz w:val="24"/>
      <w:szCs w:val="24"/>
    </w:rPr>
  </w:style>
  <w:style w:type="paragraph" w:styleId="Pokraovnseznamu2">
    <w:name w:val="List Continue 2"/>
    <w:basedOn w:val="Normln"/>
    <w:uiPriority w:val="99"/>
    <w:semiHidden/>
    <w:unhideWhenUsed/>
    <w:rsid w:val="00096A9F"/>
    <w:pPr>
      <w:spacing w:after="120"/>
      <w:ind w:left="566"/>
      <w:contextualSpacing/>
    </w:pPr>
    <w:rPr>
      <w:rFonts w:ascii="Calibri" w:eastAsia="Calibri" w:hAnsi="Calibri"/>
      <w:szCs w:val="22"/>
      <w:lang w:eastAsia="en-US"/>
    </w:rPr>
  </w:style>
  <w:style w:type="paragraph" w:customStyle="1" w:styleId="odrkyzlevaodsazeno0">
    <w:name w:val="odrážky zleva odsazení o 0"/>
    <w:aliases w:val="6 cm"/>
    <w:basedOn w:val="Normln"/>
    <w:link w:val="odrkyzlevaodsazeno0Char"/>
    <w:qFormat/>
    <w:rsid w:val="00377601"/>
    <w:pPr>
      <w:numPr>
        <w:numId w:val="2"/>
      </w:numPr>
      <w:spacing w:after="120"/>
      <w:ind w:left="584" w:hanging="227"/>
    </w:pPr>
    <w:rPr>
      <w:sz w:val="20"/>
      <w:szCs w:val="20"/>
    </w:rPr>
  </w:style>
  <w:style w:type="character" w:customStyle="1" w:styleId="OdstavecseseznamemChar">
    <w:name w:val="Odstavec se seznamem Char"/>
    <w:basedOn w:val="Standardnpsmoodstavce"/>
    <w:link w:val="Odstavecseseznamem"/>
    <w:uiPriority w:val="34"/>
    <w:rsid w:val="002311FE"/>
    <w:rPr>
      <w:rFonts w:ascii="Arial" w:eastAsia="Calibri" w:hAnsi="Arial" w:cs="Arial"/>
      <w:b/>
      <w:sz w:val="28"/>
      <w:szCs w:val="28"/>
      <w:lang w:eastAsia="en-US"/>
    </w:rPr>
  </w:style>
  <w:style w:type="character" w:customStyle="1" w:styleId="odrkyzlevaodsazeno0Char">
    <w:name w:val="odrážky zleva odsazení o 0 Char"/>
    <w:aliases w:val="6 cm Char"/>
    <w:basedOn w:val="OdstavecseseznamemChar"/>
    <w:link w:val="odrkyzlevaodsazeno0"/>
    <w:rsid w:val="00377601"/>
  </w:style>
  <w:style w:type="paragraph" w:customStyle="1" w:styleId="Styl1">
    <w:name w:val="Styl1"/>
    <w:basedOn w:val="Normln"/>
    <w:rsid w:val="005C61B6"/>
    <w:pPr>
      <w:spacing w:after="60"/>
      <w:ind w:firstLine="567"/>
    </w:pPr>
    <w:rPr>
      <w:rFonts w:cs="Arial"/>
      <w:sz w:val="20"/>
    </w:rPr>
  </w:style>
  <w:style w:type="paragraph" w:customStyle="1" w:styleId="obycA10">
    <w:name w:val="obyc_A10"/>
    <w:basedOn w:val="Normln"/>
    <w:rsid w:val="005C61B6"/>
    <w:pPr>
      <w:jc w:val="left"/>
    </w:pPr>
    <w:rPr>
      <w:sz w:val="20"/>
    </w:rPr>
  </w:style>
  <w:style w:type="paragraph" w:styleId="Bezmezer">
    <w:name w:val="No Spacing"/>
    <w:link w:val="BezmezerChar"/>
    <w:uiPriority w:val="1"/>
    <w:qFormat/>
    <w:rsid w:val="002B4317"/>
    <w:rPr>
      <w:rFonts w:ascii="Calibri" w:hAnsi="Calibri"/>
      <w:sz w:val="22"/>
      <w:szCs w:val="22"/>
      <w:lang w:eastAsia="en-US"/>
    </w:rPr>
  </w:style>
  <w:style w:type="character" w:customStyle="1" w:styleId="BezmezerChar">
    <w:name w:val="Bez mezer Char"/>
    <w:basedOn w:val="Standardnpsmoodstavce"/>
    <w:link w:val="Bezmezer"/>
    <w:uiPriority w:val="1"/>
    <w:rsid w:val="002B4317"/>
    <w:rPr>
      <w:rFonts w:ascii="Calibri" w:hAnsi="Calibri"/>
      <w:sz w:val="22"/>
      <w:szCs w:val="22"/>
      <w:lang w:val="cs-CZ" w:eastAsia="en-US" w:bidi="ar-SA"/>
    </w:rPr>
  </w:style>
  <w:style w:type="paragraph" w:customStyle="1" w:styleId="odrkybezmezer">
    <w:name w:val="odrážky bez mezer"/>
    <w:aliases w:val="vlevo kraj 6 mm"/>
    <w:basedOn w:val="odrkyzlevaodsazeno0"/>
    <w:link w:val="odrkybezmezerChar"/>
    <w:qFormat/>
    <w:rsid w:val="004A0179"/>
    <w:pPr>
      <w:spacing w:after="240"/>
      <w:ind w:left="340" w:hanging="340"/>
    </w:pPr>
  </w:style>
  <w:style w:type="character" w:customStyle="1" w:styleId="odrkybezmezerChar">
    <w:name w:val="odrážky bez mezer Char"/>
    <w:aliases w:val="vlevo kraj 6 mm Char"/>
    <w:basedOn w:val="odrkyzlevaodsazeno0Char"/>
    <w:link w:val="odrkybezmezer"/>
    <w:rsid w:val="004A0179"/>
  </w:style>
  <w:style w:type="paragraph" w:styleId="Podtitul">
    <w:name w:val="Subtitle"/>
    <w:aliases w:val="2.1"/>
    <w:basedOn w:val="Normln"/>
    <w:next w:val="Normln"/>
    <w:link w:val="PodtitulChar"/>
    <w:uiPriority w:val="11"/>
    <w:qFormat/>
    <w:rsid w:val="00BE14D7"/>
    <w:pPr>
      <w:numPr>
        <w:ilvl w:val="1"/>
        <w:numId w:val="23"/>
      </w:numPr>
      <w:spacing w:before="360" w:after="240"/>
    </w:pPr>
    <w:rPr>
      <w:b/>
      <w:sz w:val="28"/>
      <w:szCs w:val="28"/>
    </w:rPr>
  </w:style>
  <w:style w:type="character" w:customStyle="1" w:styleId="PodtitulChar">
    <w:name w:val="Podtitul Char"/>
    <w:aliases w:val="2.1 Char"/>
    <w:basedOn w:val="Standardnpsmoodstavce"/>
    <w:link w:val="Podtitul"/>
    <w:uiPriority w:val="11"/>
    <w:rsid w:val="00BE14D7"/>
    <w:rPr>
      <w:b/>
      <w:sz w:val="28"/>
      <w:szCs w:val="28"/>
    </w:rPr>
  </w:style>
  <w:style w:type="character" w:customStyle="1" w:styleId="StyleParagraphItalicChar">
    <w:name w:val="Style Paragraph + Italic Char"/>
    <w:basedOn w:val="Standardnpsmoodstavce"/>
    <w:rsid w:val="00A617BC"/>
    <w:rPr>
      <w:i/>
      <w:iCs/>
      <w:sz w:val="24"/>
      <w:szCs w:val="24"/>
      <w:lang w:val="en-GB" w:eastAsia="en-US" w:bidi="ar-SA"/>
    </w:rPr>
  </w:style>
  <w:style w:type="paragraph" w:customStyle="1" w:styleId="Mujnadpis2">
    <w:name w:val="Mujnadpis2"/>
    <w:basedOn w:val="Normln"/>
    <w:rsid w:val="00A617BC"/>
    <w:pPr>
      <w:jc w:val="left"/>
    </w:pPr>
    <w:rPr>
      <w:b/>
      <w:bCs/>
      <w:sz w:val="24"/>
      <w:u w:val="single"/>
    </w:rPr>
  </w:style>
  <w:style w:type="paragraph" w:customStyle="1" w:styleId="ParagraphIndent">
    <w:name w:val="ParagraphIndent"/>
    <w:basedOn w:val="Normln"/>
    <w:rsid w:val="00A617BC"/>
    <w:pPr>
      <w:tabs>
        <w:tab w:val="num" w:pos="720"/>
        <w:tab w:val="num" w:pos="1260"/>
      </w:tabs>
      <w:spacing w:after="120"/>
      <w:ind w:left="720" w:hanging="360"/>
      <w:jc w:val="left"/>
    </w:pPr>
    <w:rPr>
      <w:rFonts w:ascii="Times New Roman" w:hAnsi="Times New Roman"/>
      <w:sz w:val="24"/>
      <w:lang w:val="en-GB" w:eastAsia="en-US"/>
    </w:rPr>
  </w:style>
  <w:style w:type="paragraph" w:customStyle="1" w:styleId="h3">
    <w:name w:val="h3"/>
    <w:basedOn w:val="Normln"/>
    <w:rsid w:val="00A617BC"/>
    <w:pPr>
      <w:spacing w:before="100" w:beforeAutospacing="1" w:after="100" w:afterAutospacing="1"/>
      <w:jc w:val="left"/>
    </w:pPr>
    <w:rPr>
      <w:rFonts w:ascii="Verdana" w:eastAsia="Arial Unicode MS" w:hAnsi="Verdana" w:cs="Arial Unicode MS"/>
      <w:sz w:val="20"/>
      <w:szCs w:val="20"/>
    </w:rPr>
  </w:style>
  <w:style w:type="character" w:customStyle="1" w:styleId="NzevChar">
    <w:name w:val="Název Char"/>
    <w:basedOn w:val="Standardnpsmoodstavce"/>
    <w:link w:val="Nzev"/>
    <w:uiPriority w:val="10"/>
    <w:rsid w:val="002518C4"/>
    <w:rPr>
      <w:rFonts w:ascii="Arial" w:hAnsi="Arial" w:cs="Arial"/>
      <w:b/>
      <w:bCs/>
      <w:kern w:val="28"/>
      <w:sz w:val="28"/>
      <w:szCs w:val="32"/>
    </w:rPr>
  </w:style>
  <w:style w:type="character" w:customStyle="1" w:styleId="Zkladntext3Char">
    <w:name w:val="Základní text 3 Char"/>
    <w:basedOn w:val="Standardnpsmoodstavce"/>
    <w:link w:val="Zkladntext3"/>
    <w:uiPriority w:val="99"/>
    <w:semiHidden/>
    <w:rsid w:val="002518C4"/>
    <w:rPr>
      <w:rFonts w:ascii="Arial" w:hAnsi="Arial"/>
      <w:b/>
      <w:bCs/>
      <w:color w:val="800000"/>
      <w:sz w:val="22"/>
      <w:szCs w:val="24"/>
    </w:rPr>
  </w:style>
  <w:style w:type="paragraph" w:styleId="Rozvrendokumentu">
    <w:name w:val="Document Map"/>
    <w:basedOn w:val="Normln"/>
    <w:link w:val="RozvrendokumentuChar"/>
    <w:uiPriority w:val="99"/>
    <w:semiHidden/>
    <w:unhideWhenUsed/>
    <w:rsid w:val="002518C4"/>
    <w:pPr>
      <w:jc w:val="right"/>
    </w:pPr>
    <w:rPr>
      <w:rFonts w:ascii="Tahoma" w:eastAsia="Calibri" w:hAnsi="Tahoma" w:cs="Tahoma"/>
      <w:sz w:val="16"/>
      <w:szCs w:val="16"/>
      <w:lang w:eastAsia="en-US"/>
    </w:rPr>
  </w:style>
  <w:style w:type="character" w:customStyle="1" w:styleId="RozvrendokumentuChar">
    <w:name w:val="Rozvržení dokumentu Char"/>
    <w:basedOn w:val="Standardnpsmoodstavce"/>
    <w:link w:val="Rozvrendokumentu"/>
    <w:uiPriority w:val="99"/>
    <w:semiHidden/>
    <w:rsid w:val="002518C4"/>
    <w:rPr>
      <w:rFonts w:ascii="Tahoma" w:eastAsia="Calibri" w:hAnsi="Tahoma" w:cs="Tahoma"/>
      <w:sz w:val="16"/>
      <w:szCs w:val="16"/>
      <w:lang w:eastAsia="en-US"/>
    </w:rPr>
  </w:style>
  <w:style w:type="paragraph" w:styleId="Textvbloku">
    <w:name w:val="Block Text"/>
    <w:basedOn w:val="Normln"/>
    <w:uiPriority w:val="99"/>
    <w:unhideWhenUsed/>
    <w:rsid w:val="002518C4"/>
    <w:pPr>
      <w:widowControl w:val="0"/>
      <w:pBdr>
        <w:top w:val="single" w:sz="2" w:space="10" w:color="4F81BD" w:shadow="1"/>
        <w:left w:val="single" w:sz="2" w:space="10" w:color="4F81BD" w:shadow="1"/>
        <w:bottom w:val="single" w:sz="2" w:space="10" w:color="4F81BD" w:shadow="1"/>
        <w:right w:val="single" w:sz="2" w:space="10" w:color="4F81BD" w:shadow="1"/>
      </w:pBdr>
      <w:autoSpaceDE w:val="0"/>
      <w:autoSpaceDN w:val="0"/>
      <w:adjustRightInd w:val="0"/>
      <w:ind w:left="1152" w:right="1152"/>
      <w:jc w:val="right"/>
    </w:pPr>
    <w:rPr>
      <w:rFonts w:ascii="Calibri" w:hAnsi="Calibri"/>
      <w:i/>
      <w:iCs/>
      <w:color w:val="4F81BD"/>
      <w:sz w:val="20"/>
      <w:szCs w:val="20"/>
    </w:rPr>
  </w:style>
  <w:style w:type="character" w:customStyle="1" w:styleId="ZkladntextChar1">
    <w:name w:val="Základní text Char1"/>
    <w:basedOn w:val="Standardnpsmoodstavce"/>
    <w:link w:val="Zkladntext"/>
    <w:uiPriority w:val="99"/>
    <w:rsid w:val="002518C4"/>
    <w:rPr>
      <w:rFonts w:ascii="Arial" w:hAnsi="Arial" w:cs="Arial"/>
    </w:rPr>
  </w:style>
  <w:style w:type="numbering" w:customStyle="1" w:styleId="Styl2">
    <w:name w:val="Styl2"/>
    <w:rsid w:val="00617043"/>
    <w:pPr>
      <w:numPr>
        <w:numId w:val="8"/>
      </w:numPr>
    </w:pPr>
  </w:style>
  <w:style w:type="character" w:customStyle="1" w:styleId="Nzvyobrzku">
    <w:name w:val="Názvy obrázku"/>
    <w:basedOn w:val="Siln"/>
    <w:uiPriority w:val="1"/>
    <w:qFormat/>
    <w:rsid w:val="000A3839"/>
    <w:rPr>
      <w:rFonts w:ascii="Arial Black" w:hAnsi="Arial Black"/>
      <w:i/>
    </w:rPr>
  </w:style>
  <w:style w:type="paragraph" w:customStyle="1" w:styleId="Dilonadpis1">
    <w:name w:val="Dilo_nadpis_1"/>
    <w:basedOn w:val="Nadpis2"/>
    <w:link w:val="Dilonadpis1Char"/>
    <w:autoRedefine/>
    <w:rsid w:val="00642AC6"/>
    <w:pPr>
      <w:numPr>
        <w:numId w:val="46"/>
      </w:numPr>
      <w:ind w:left="567" w:hanging="567"/>
    </w:pPr>
  </w:style>
  <w:style w:type="paragraph" w:customStyle="1" w:styleId="Dilotext">
    <w:name w:val="Dilo_text"/>
    <w:basedOn w:val="Dilonadpis1"/>
    <w:autoRedefine/>
    <w:qFormat/>
    <w:rsid w:val="009B1D86"/>
    <w:pPr>
      <w:spacing w:after="120"/>
      <w:ind w:left="142" w:firstLine="0"/>
    </w:pPr>
    <w:rPr>
      <w:sz w:val="20"/>
    </w:rPr>
  </w:style>
  <w:style w:type="paragraph" w:customStyle="1" w:styleId="Nadpis">
    <w:name w:val="Nadpis"/>
    <w:basedOn w:val="Normln"/>
    <w:next w:val="Zkladntext"/>
    <w:rsid w:val="00EE2C7C"/>
    <w:pPr>
      <w:keepNext/>
      <w:suppressAutoHyphens/>
      <w:spacing w:before="240" w:after="120"/>
      <w:jc w:val="left"/>
    </w:pPr>
    <w:rPr>
      <w:rFonts w:eastAsia="Arial Unicode MS" w:cs="Tahoma"/>
      <w:bCs/>
      <w:sz w:val="28"/>
      <w:szCs w:val="28"/>
      <w:lang w:eastAsia="ar-SA"/>
    </w:rPr>
  </w:style>
  <w:style w:type="character" w:styleId="Zdraznnjemn">
    <w:name w:val="Subtle Emphasis"/>
    <w:basedOn w:val="Standardnpsmoodstavce"/>
    <w:uiPriority w:val="19"/>
    <w:qFormat/>
    <w:rsid w:val="008D4293"/>
    <w:rPr>
      <w:i/>
      <w:iCs/>
      <w:color w:val="808080"/>
    </w:rPr>
  </w:style>
  <w:style w:type="paragraph" w:styleId="Revize">
    <w:name w:val="Revision"/>
    <w:hidden/>
    <w:uiPriority w:val="99"/>
    <w:semiHidden/>
    <w:rsid w:val="008D4293"/>
    <w:rPr>
      <w:rFonts w:ascii="Times New Roman" w:hAnsi="Times New Roman"/>
      <w:sz w:val="24"/>
      <w:szCs w:val="24"/>
      <w:lang w:eastAsia="ar-SA"/>
    </w:rPr>
  </w:style>
  <w:style w:type="paragraph" w:customStyle="1" w:styleId="Rbntext">
    <w:name w:val="R běžný text"/>
    <w:rsid w:val="008D4293"/>
    <w:pPr>
      <w:spacing w:after="120"/>
      <w:jc w:val="both"/>
    </w:pPr>
  </w:style>
  <w:style w:type="numbering" w:customStyle="1" w:styleId="Styl3">
    <w:name w:val="Styl3"/>
    <w:rsid w:val="00FA6BE4"/>
    <w:pPr>
      <w:numPr>
        <w:numId w:val="9"/>
      </w:numPr>
    </w:pPr>
  </w:style>
  <w:style w:type="numbering" w:customStyle="1" w:styleId="Styl4">
    <w:name w:val="Styl4"/>
    <w:rsid w:val="00852693"/>
    <w:pPr>
      <w:numPr>
        <w:numId w:val="10"/>
      </w:numPr>
    </w:pPr>
  </w:style>
  <w:style w:type="numbering" w:customStyle="1" w:styleId="Styl5">
    <w:name w:val="Styl5"/>
    <w:rsid w:val="00852693"/>
    <w:pPr>
      <w:numPr>
        <w:numId w:val="11"/>
      </w:numPr>
    </w:pPr>
  </w:style>
  <w:style w:type="numbering" w:customStyle="1" w:styleId="Styl6">
    <w:name w:val="Styl6"/>
    <w:rsid w:val="00852693"/>
    <w:pPr>
      <w:numPr>
        <w:numId w:val="12"/>
      </w:numPr>
    </w:pPr>
  </w:style>
  <w:style w:type="numbering" w:customStyle="1" w:styleId="Styl7">
    <w:name w:val="Styl7"/>
    <w:rsid w:val="00852693"/>
    <w:pPr>
      <w:numPr>
        <w:numId w:val="13"/>
      </w:numPr>
    </w:pPr>
  </w:style>
  <w:style w:type="numbering" w:customStyle="1" w:styleId="Styl8">
    <w:name w:val="Styl8"/>
    <w:rsid w:val="00852693"/>
    <w:pPr>
      <w:numPr>
        <w:numId w:val="15"/>
      </w:numPr>
    </w:pPr>
  </w:style>
  <w:style w:type="numbering" w:customStyle="1" w:styleId="Styl9">
    <w:name w:val="Styl9"/>
    <w:rsid w:val="00852693"/>
    <w:pPr>
      <w:numPr>
        <w:numId w:val="16"/>
      </w:numPr>
    </w:pPr>
  </w:style>
  <w:style w:type="numbering" w:customStyle="1" w:styleId="Styl10">
    <w:name w:val="Styl10"/>
    <w:rsid w:val="00852693"/>
    <w:pPr>
      <w:numPr>
        <w:numId w:val="17"/>
      </w:numPr>
    </w:pPr>
  </w:style>
  <w:style w:type="numbering" w:customStyle="1" w:styleId="Styl11">
    <w:name w:val="Styl11"/>
    <w:rsid w:val="00852693"/>
    <w:pPr>
      <w:numPr>
        <w:numId w:val="18"/>
      </w:numPr>
    </w:pPr>
  </w:style>
  <w:style w:type="numbering" w:customStyle="1" w:styleId="Styl12">
    <w:name w:val="Styl12"/>
    <w:rsid w:val="00B823EB"/>
    <w:pPr>
      <w:numPr>
        <w:numId w:val="19"/>
      </w:numPr>
    </w:pPr>
  </w:style>
  <w:style w:type="numbering" w:customStyle="1" w:styleId="Styl13">
    <w:name w:val="Styl13"/>
    <w:rsid w:val="00926E82"/>
    <w:pPr>
      <w:numPr>
        <w:numId w:val="20"/>
      </w:numPr>
    </w:pPr>
  </w:style>
  <w:style w:type="numbering" w:customStyle="1" w:styleId="Styl14">
    <w:name w:val="Styl14"/>
    <w:rsid w:val="001E0EB0"/>
    <w:pPr>
      <w:numPr>
        <w:numId w:val="21"/>
      </w:numPr>
    </w:pPr>
  </w:style>
  <w:style w:type="character" w:customStyle="1" w:styleId="Nadpis5Char">
    <w:name w:val="Nadpis 5 Char"/>
    <w:basedOn w:val="Standardnpsmoodstavce"/>
    <w:link w:val="Nadpis5"/>
    <w:uiPriority w:val="9"/>
    <w:rsid w:val="009E2909"/>
    <w:rPr>
      <w:rFonts w:eastAsia="Calibri"/>
      <w:b/>
      <w:bCs/>
      <w:sz w:val="24"/>
      <w:szCs w:val="24"/>
    </w:rPr>
  </w:style>
  <w:style w:type="character" w:customStyle="1" w:styleId="Nadpis6Char">
    <w:name w:val="Nadpis 6 Char"/>
    <w:basedOn w:val="Standardnpsmoodstavce"/>
    <w:link w:val="Nadpis6"/>
    <w:uiPriority w:val="9"/>
    <w:rsid w:val="001E0EB0"/>
    <w:rPr>
      <w:rFonts w:cs="Arial"/>
      <w:b/>
      <w:bCs/>
      <w:sz w:val="32"/>
      <w:szCs w:val="28"/>
    </w:rPr>
  </w:style>
  <w:style w:type="character" w:customStyle="1" w:styleId="Nadpis8Char">
    <w:name w:val="Nadpis 8 Char"/>
    <w:basedOn w:val="Standardnpsmoodstavce"/>
    <w:link w:val="Nadpis8"/>
    <w:uiPriority w:val="9"/>
    <w:rsid w:val="001E0EB0"/>
    <w:rPr>
      <w:rFonts w:cs="Arial"/>
      <w:b/>
      <w:bCs/>
      <w:sz w:val="28"/>
      <w:szCs w:val="28"/>
    </w:rPr>
  </w:style>
  <w:style w:type="numbering" w:customStyle="1" w:styleId="Styl15">
    <w:name w:val="Styl15"/>
    <w:rsid w:val="000C73FB"/>
    <w:pPr>
      <w:numPr>
        <w:numId w:val="22"/>
      </w:numPr>
    </w:pPr>
  </w:style>
  <w:style w:type="numbering" w:customStyle="1" w:styleId="Styl16">
    <w:name w:val="Styl16"/>
    <w:rsid w:val="00742879"/>
    <w:pPr>
      <w:numPr>
        <w:numId w:val="24"/>
      </w:numPr>
    </w:pPr>
  </w:style>
  <w:style w:type="paragraph" w:customStyle="1" w:styleId="Styl17">
    <w:name w:val="Styl17"/>
    <w:basedOn w:val="Podtitul"/>
    <w:link w:val="Styl17Char"/>
    <w:qFormat/>
    <w:rsid w:val="00742879"/>
    <w:pPr>
      <w:numPr>
        <w:ilvl w:val="0"/>
        <w:numId w:val="0"/>
      </w:numPr>
      <w:ind w:left="709" w:hanging="709"/>
    </w:pPr>
  </w:style>
  <w:style w:type="numbering" w:customStyle="1" w:styleId="Styl18">
    <w:name w:val="Styl18"/>
    <w:rsid w:val="00CE6493"/>
    <w:pPr>
      <w:numPr>
        <w:numId w:val="25"/>
      </w:numPr>
    </w:pPr>
  </w:style>
  <w:style w:type="character" w:customStyle="1" w:styleId="Styl17Char">
    <w:name w:val="Styl17 Char"/>
    <w:basedOn w:val="PodtitulChar"/>
    <w:link w:val="Styl17"/>
    <w:rsid w:val="00742879"/>
    <w:rPr>
      <w:b/>
    </w:rPr>
  </w:style>
  <w:style w:type="paragraph" w:customStyle="1" w:styleId="Stylkapitola1">
    <w:name w:val="Styl kapitola 1"/>
    <w:basedOn w:val="Dilonadpis1"/>
    <w:link w:val="Stylkapitola1Char"/>
    <w:qFormat/>
    <w:rsid w:val="00513233"/>
    <w:rPr>
      <w:rFonts w:eastAsia="Calibri"/>
    </w:rPr>
  </w:style>
  <w:style w:type="paragraph" w:customStyle="1" w:styleId="podkapitola11Styl19">
    <w:name w:val="podkapitola 1.1.Styl19"/>
    <w:basedOn w:val="Podtitul"/>
    <w:link w:val="podkapitola11Styl19Char"/>
    <w:qFormat/>
    <w:rsid w:val="00513233"/>
    <w:pPr>
      <w:numPr>
        <w:ilvl w:val="0"/>
        <w:numId w:val="0"/>
      </w:numPr>
      <w:ind w:left="709" w:hanging="709"/>
    </w:pPr>
  </w:style>
  <w:style w:type="character" w:customStyle="1" w:styleId="Stylkapitola1Char">
    <w:name w:val="Styl kapitola 1 Char"/>
    <w:basedOn w:val="PodtitulChar"/>
    <w:link w:val="Stylkapitola1"/>
    <w:rsid w:val="00513233"/>
    <w:rPr>
      <w:rFonts w:eastAsia="Calibri" w:cs="Arial"/>
      <w:bCs/>
      <w:caps/>
      <w:kern w:val="32"/>
      <w:sz w:val="32"/>
      <w:szCs w:val="32"/>
      <w:lang w:eastAsia="ar-SA"/>
    </w:rPr>
  </w:style>
  <w:style w:type="paragraph" w:customStyle="1" w:styleId="podkapitola21">
    <w:name w:val="podkapitola 2.1."/>
    <w:basedOn w:val="podkapitola11Styl19"/>
    <w:link w:val="podkapitola21Char"/>
    <w:qFormat/>
    <w:rsid w:val="00650A13"/>
  </w:style>
  <w:style w:type="character" w:customStyle="1" w:styleId="podkapitola11Styl19Char">
    <w:name w:val="podkapitola 1.1.Styl19 Char"/>
    <w:basedOn w:val="PodtitulChar"/>
    <w:link w:val="podkapitola11Styl19"/>
    <w:rsid w:val="00513233"/>
    <w:rPr>
      <w:b/>
    </w:rPr>
  </w:style>
  <w:style w:type="paragraph" w:customStyle="1" w:styleId="3kapitola">
    <w:name w:val="3. kapitola"/>
    <w:basedOn w:val="Dilonadpis1"/>
    <w:link w:val="3kapitolaChar"/>
    <w:qFormat/>
    <w:rsid w:val="00650A13"/>
  </w:style>
  <w:style w:type="character" w:customStyle="1" w:styleId="podkapitola21Char">
    <w:name w:val="podkapitola 2.1. Char"/>
    <w:basedOn w:val="podkapitola11Styl19Char"/>
    <w:link w:val="podkapitola21"/>
    <w:rsid w:val="00650A13"/>
  </w:style>
  <w:style w:type="paragraph" w:customStyle="1" w:styleId="31">
    <w:name w:val="3.1."/>
    <w:basedOn w:val="Styl17"/>
    <w:link w:val="31Char"/>
    <w:qFormat/>
    <w:rsid w:val="00650A13"/>
    <w:pPr>
      <w:ind w:left="360" w:hanging="360"/>
    </w:pPr>
  </w:style>
  <w:style w:type="character" w:customStyle="1" w:styleId="Dilonadpis1Char">
    <w:name w:val="Dilo_nadpis_1 Char"/>
    <w:basedOn w:val="Nadpis2Char"/>
    <w:link w:val="Dilonadpis1"/>
    <w:rsid w:val="00642AC6"/>
    <w:rPr>
      <w:b/>
      <w:bCs/>
      <w:caps/>
    </w:rPr>
  </w:style>
  <w:style w:type="character" w:customStyle="1" w:styleId="3kapitolaChar">
    <w:name w:val="3. kapitola Char"/>
    <w:basedOn w:val="Dilonadpis1Char"/>
    <w:link w:val="3kapitola"/>
    <w:rsid w:val="00650A13"/>
  </w:style>
  <w:style w:type="character" w:customStyle="1" w:styleId="31Char">
    <w:name w:val="3.1. Char"/>
    <w:basedOn w:val="podkapitola11Styl19Char"/>
    <w:link w:val="31"/>
    <w:rsid w:val="00650A13"/>
    <w:rPr>
      <w:b/>
    </w:rPr>
  </w:style>
  <w:style w:type="paragraph" w:customStyle="1" w:styleId="11">
    <w:name w:val="1.1."/>
    <w:basedOn w:val="Styl17"/>
    <w:link w:val="11Char"/>
    <w:qFormat/>
    <w:rsid w:val="007C5BE3"/>
    <w:pPr>
      <w:ind w:left="1440" w:hanging="360"/>
    </w:pPr>
  </w:style>
  <w:style w:type="character" w:customStyle="1" w:styleId="11Char">
    <w:name w:val="1.1. Char"/>
    <w:basedOn w:val="podkapitola11Styl19Char"/>
    <w:link w:val="11"/>
    <w:locked/>
    <w:rsid w:val="007C5BE3"/>
    <w:rPr>
      <w:b/>
    </w:rPr>
  </w:style>
</w:styles>
</file>

<file path=word/webSettings.xml><?xml version="1.0" encoding="utf-8"?>
<w:webSettings xmlns:r="http://schemas.openxmlformats.org/officeDocument/2006/relationships" xmlns:w="http://schemas.openxmlformats.org/wordprocessingml/2006/main">
  <w:divs>
    <w:div w:id="27804367">
      <w:bodyDiv w:val="1"/>
      <w:marLeft w:val="0"/>
      <w:marRight w:val="0"/>
      <w:marTop w:val="0"/>
      <w:marBottom w:val="0"/>
      <w:divBdr>
        <w:top w:val="none" w:sz="0" w:space="0" w:color="auto"/>
        <w:left w:val="none" w:sz="0" w:space="0" w:color="auto"/>
        <w:bottom w:val="none" w:sz="0" w:space="0" w:color="auto"/>
        <w:right w:val="none" w:sz="0" w:space="0" w:color="auto"/>
      </w:divBdr>
    </w:div>
    <w:div w:id="42826998">
      <w:bodyDiv w:val="1"/>
      <w:marLeft w:val="0"/>
      <w:marRight w:val="0"/>
      <w:marTop w:val="0"/>
      <w:marBottom w:val="0"/>
      <w:divBdr>
        <w:top w:val="none" w:sz="0" w:space="0" w:color="auto"/>
        <w:left w:val="none" w:sz="0" w:space="0" w:color="auto"/>
        <w:bottom w:val="none" w:sz="0" w:space="0" w:color="auto"/>
        <w:right w:val="none" w:sz="0" w:space="0" w:color="auto"/>
      </w:divBdr>
    </w:div>
    <w:div w:id="44185850">
      <w:bodyDiv w:val="1"/>
      <w:marLeft w:val="0"/>
      <w:marRight w:val="0"/>
      <w:marTop w:val="0"/>
      <w:marBottom w:val="0"/>
      <w:divBdr>
        <w:top w:val="none" w:sz="0" w:space="0" w:color="auto"/>
        <w:left w:val="none" w:sz="0" w:space="0" w:color="auto"/>
        <w:bottom w:val="none" w:sz="0" w:space="0" w:color="auto"/>
        <w:right w:val="none" w:sz="0" w:space="0" w:color="auto"/>
      </w:divBdr>
    </w:div>
    <w:div w:id="74936367">
      <w:bodyDiv w:val="1"/>
      <w:marLeft w:val="0"/>
      <w:marRight w:val="0"/>
      <w:marTop w:val="0"/>
      <w:marBottom w:val="0"/>
      <w:divBdr>
        <w:top w:val="none" w:sz="0" w:space="0" w:color="auto"/>
        <w:left w:val="none" w:sz="0" w:space="0" w:color="auto"/>
        <w:bottom w:val="none" w:sz="0" w:space="0" w:color="auto"/>
        <w:right w:val="none" w:sz="0" w:space="0" w:color="auto"/>
      </w:divBdr>
    </w:div>
    <w:div w:id="75904817">
      <w:bodyDiv w:val="1"/>
      <w:marLeft w:val="0"/>
      <w:marRight w:val="0"/>
      <w:marTop w:val="0"/>
      <w:marBottom w:val="0"/>
      <w:divBdr>
        <w:top w:val="none" w:sz="0" w:space="0" w:color="auto"/>
        <w:left w:val="none" w:sz="0" w:space="0" w:color="auto"/>
        <w:bottom w:val="none" w:sz="0" w:space="0" w:color="auto"/>
        <w:right w:val="none" w:sz="0" w:space="0" w:color="auto"/>
      </w:divBdr>
    </w:div>
    <w:div w:id="103577305">
      <w:bodyDiv w:val="1"/>
      <w:marLeft w:val="0"/>
      <w:marRight w:val="0"/>
      <w:marTop w:val="0"/>
      <w:marBottom w:val="0"/>
      <w:divBdr>
        <w:top w:val="none" w:sz="0" w:space="0" w:color="auto"/>
        <w:left w:val="none" w:sz="0" w:space="0" w:color="auto"/>
        <w:bottom w:val="none" w:sz="0" w:space="0" w:color="auto"/>
        <w:right w:val="none" w:sz="0" w:space="0" w:color="auto"/>
      </w:divBdr>
    </w:div>
    <w:div w:id="114568953">
      <w:bodyDiv w:val="1"/>
      <w:marLeft w:val="0"/>
      <w:marRight w:val="0"/>
      <w:marTop w:val="0"/>
      <w:marBottom w:val="0"/>
      <w:divBdr>
        <w:top w:val="none" w:sz="0" w:space="0" w:color="auto"/>
        <w:left w:val="none" w:sz="0" w:space="0" w:color="auto"/>
        <w:bottom w:val="none" w:sz="0" w:space="0" w:color="auto"/>
        <w:right w:val="none" w:sz="0" w:space="0" w:color="auto"/>
      </w:divBdr>
    </w:div>
    <w:div w:id="115607951">
      <w:bodyDiv w:val="1"/>
      <w:marLeft w:val="0"/>
      <w:marRight w:val="0"/>
      <w:marTop w:val="0"/>
      <w:marBottom w:val="0"/>
      <w:divBdr>
        <w:top w:val="none" w:sz="0" w:space="0" w:color="auto"/>
        <w:left w:val="none" w:sz="0" w:space="0" w:color="auto"/>
        <w:bottom w:val="none" w:sz="0" w:space="0" w:color="auto"/>
        <w:right w:val="none" w:sz="0" w:space="0" w:color="auto"/>
      </w:divBdr>
    </w:div>
    <w:div w:id="192499739">
      <w:bodyDiv w:val="1"/>
      <w:marLeft w:val="0"/>
      <w:marRight w:val="0"/>
      <w:marTop w:val="0"/>
      <w:marBottom w:val="0"/>
      <w:divBdr>
        <w:top w:val="none" w:sz="0" w:space="0" w:color="auto"/>
        <w:left w:val="none" w:sz="0" w:space="0" w:color="auto"/>
        <w:bottom w:val="none" w:sz="0" w:space="0" w:color="auto"/>
        <w:right w:val="none" w:sz="0" w:space="0" w:color="auto"/>
      </w:divBdr>
    </w:div>
    <w:div w:id="224339498">
      <w:bodyDiv w:val="1"/>
      <w:marLeft w:val="0"/>
      <w:marRight w:val="0"/>
      <w:marTop w:val="0"/>
      <w:marBottom w:val="0"/>
      <w:divBdr>
        <w:top w:val="none" w:sz="0" w:space="0" w:color="auto"/>
        <w:left w:val="none" w:sz="0" w:space="0" w:color="auto"/>
        <w:bottom w:val="none" w:sz="0" w:space="0" w:color="auto"/>
        <w:right w:val="none" w:sz="0" w:space="0" w:color="auto"/>
      </w:divBdr>
    </w:div>
    <w:div w:id="227768091">
      <w:bodyDiv w:val="1"/>
      <w:marLeft w:val="0"/>
      <w:marRight w:val="0"/>
      <w:marTop w:val="0"/>
      <w:marBottom w:val="0"/>
      <w:divBdr>
        <w:top w:val="none" w:sz="0" w:space="0" w:color="auto"/>
        <w:left w:val="none" w:sz="0" w:space="0" w:color="auto"/>
        <w:bottom w:val="none" w:sz="0" w:space="0" w:color="auto"/>
        <w:right w:val="none" w:sz="0" w:space="0" w:color="auto"/>
      </w:divBdr>
    </w:div>
    <w:div w:id="230775350">
      <w:bodyDiv w:val="1"/>
      <w:marLeft w:val="0"/>
      <w:marRight w:val="0"/>
      <w:marTop w:val="0"/>
      <w:marBottom w:val="0"/>
      <w:divBdr>
        <w:top w:val="none" w:sz="0" w:space="0" w:color="auto"/>
        <w:left w:val="none" w:sz="0" w:space="0" w:color="auto"/>
        <w:bottom w:val="none" w:sz="0" w:space="0" w:color="auto"/>
        <w:right w:val="none" w:sz="0" w:space="0" w:color="auto"/>
      </w:divBdr>
    </w:div>
    <w:div w:id="281619050">
      <w:bodyDiv w:val="1"/>
      <w:marLeft w:val="0"/>
      <w:marRight w:val="0"/>
      <w:marTop w:val="0"/>
      <w:marBottom w:val="0"/>
      <w:divBdr>
        <w:top w:val="none" w:sz="0" w:space="0" w:color="auto"/>
        <w:left w:val="none" w:sz="0" w:space="0" w:color="auto"/>
        <w:bottom w:val="none" w:sz="0" w:space="0" w:color="auto"/>
        <w:right w:val="none" w:sz="0" w:space="0" w:color="auto"/>
      </w:divBdr>
    </w:div>
    <w:div w:id="345444582">
      <w:bodyDiv w:val="1"/>
      <w:marLeft w:val="0"/>
      <w:marRight w:val="0"/>
      <w:marTop w:val="0"/>
      <w:marBottom w:val="0"/>
      <w:divBdr>
        <w:top w:val="none" w:sz="0" w:space="0" w:color="auto"/>
        <w:left w:val="none" w:sz="0" w:space="0" w:color="auto"/>
        <w:bottom w:val="none" w:sz="0" w:space="0" w:color="auto"/>
        <w:right w:val="none" w:sz="0" w:space="0" w:color="auto"/>
      </w:divBdr>
    </w:div>
    <w:div w:id="388698841">
      <w:bodyDiv w:val="1"/>
      <w:marLeft w:val="0"/>
      <w:marRight w:val="0"/>
      <w:marTop w:val="0"/>
      <w:marBottom w:val="0"/>
      <w:divBdr>
        <w:top w:val="none" w:sz="0" w:space="0" w:color="auto"/>
        <w:left w:val="none" w:sz="0" w:space="0" w:color="auto"/>
        <w:bottom w:val="none" w:sz="0" w:space="0" w:color="auto"/>
        <w:right w:val="none" w:sz="0" w:space="0" w:color="auto"/>
      </w:divBdr>
    </w:div>
    <w:div w:id="432943583">
      <w:bodyDiv w:val="1"/>
      <w:marLeft w:val="0"/>
      <w:marRight w:val="0"/>
      <w:marTop w:val="0"/>
      <w:marBottom w:val="0"/>
      <w:divBdr>
        <w:top w:val="none" w:sz="0" w:space="0" w:color="auto"/>
        <w:left w:val="none" w:sz="0" w:space="0" w:color="auto"/>
        <w:bottom w:val="none" w:sz="0" w:space="0" w:color="auto"/>
        <w:right w:val="none" w:sz="0" w:space="0" w:color="auto"/>
      </w:divBdr>
    </w:div>
    <w:div w:id="492648888">
      <w:bodyDiv w:val="1"/>
      <w:marLeft w:val="0"/>
      <w:marRight w:val="0"/>
      <w:marTop w:val="0"/>
      <w:marBottom w:val="0"/>
      <w:divBdr>
        <w:top w:val="none" w:sz="0" w:space="0" w:color="auto"/>
        <w:left w:val="none" w:sz="0" w:space="0" w:color="auto"/>
        <w:bottom w:val="none" w:sz="0" w:space="0" w:color="auto"/>
        <w:right w:val="none" w:sz="0" w:space="0" w:color="auto"/>
      </w:divBdr>
    </w:div>
    <w:div w:id="554202696">
      <w:bodyDiv w:val="1"/>
      <w:marLeft w:val="0"/>
      <w:marRight w:val="0"/>
      <w:marTop w:val="0"/>
      <w:marBottom w:val="0"/>
      <w:divBdr>
        <w:top w:val="none" w:sz="0" w:space="0" w:color="auto"/>
        <w:left w:val="none" w:sz="0" w:space="0" w:color="auto"/>
        <w:bottom w:val="none" w:sz="0" w:space="0" w:color="auto"/>
        <w:right w:val="none" w:sz="0" w:space="0" w:color="auto"/>
      </w:divBdr>
    </w:div>
    <w:div w:id="643386736">
      <w:bodyDiv w:val="1"/>
      <w:marLeft w:val="0"/>
      <w:marRight w:val="0"/>
      <w:marTop w:val="0"/>
      <w:marBottom w:val="0"/>
      <w:divBdr>
        <w:top w:val="none" w:sz="0" w:space="0" w:color="auto"/>
        <w:left w:val="none" w:sz="0" w:space="0" w:color="auto"/>
        <w:bottom w:val="none" w:sz="0" w:space="0" w:color="auto"/>
        <w:right w:val="none" w:sz="0" w:space="0" w:color="auto"/>
      </w:divBdr>
    </w:div>
    <w:div w:id="644091133">
      <w:bodyDiv w:val="1"/>
      <w:marLeft w:val="0"/>
      <w:marRight w:val="0"/>
      <w:marTop w:val="0"/>
      <w:marBottom w:val="0"/>
      <w:divBdr>
        <w:top w:val="none" w:sz="0" w:space="0" w:color="auto"/>
        <w:left w:val="none" w:sz="0" w:space="0" w:color="auto"/>
        <w:bottom w:val="none" w:sz="0" w:space="0" w:color="auto"/>
        <w:right w:val="none" w:sz="0" w:space="0" w:color="auto"/>
      </w:divBdr>
    </w:div>
    <w:div w:id="692459919">
      <w:bodyDiv w:val="1"/>
      <w:marLeft w:val="0"/>
      <w:marRight w:val="0"/>
      <w:marTop w:val="0"/>
      <w:marBottom w:val="0"/>
      <w:divBdr>
        <w:top w:val="none" w:sz="0" w:space="0" w:color="auto"/>
        <w:left w:val="none" w:sz="0" w:space="0" w:color="auto"/>
        <w:bottom w:val="none" w:sz="0" w:space="0" w:color="auto"/>
        <w:right w:val="none" w:sz="0" w:space="0" w:color="auto"/>
      </w:divBdr>
    </w:div>
    <w:div w:id="704596729">
      <w:bodyDiv w:val="1"/>
      <w:marLeft w:val="0"/>
      <w:marRight w:val="0"/>
      <w:marTop w:val="0"/>
      <w:marBottom w:val="0"/>
      <w:divBdr>
        <w:top w:val="none" w:sz="0" w:space="0" w:color="auto"/>
        <w:left w:val="none" w:sz="0" w:space="0" w:color="auto"/>
        <w:bottom w:val="none" w:sz="0" w:space="0" w:color="auto"/>
        <w:right w:val="none" w:sz="0" w:space="0" w:color="auto"/>
      </w:divBdr>
    </w:div>
    <w:div w:id="754784416">
      <w:bodyDiv w:val="1"/>
      <w:marLeft w:val="0"/>
      <w:marRight w:val="0"/>
      <w:marTop w:val="0"/>
      <w:marBottom w:val="0"/>
      <w:divBdr>
        <w:top w:val="none" w:sz="0" w:space="0" w:color="auto"/>
        <w:left w:val="none" w:sz="0" w:space="0" w:color="auto"/>
        <w:bottom w:val="none" w:sz="0" w:space="0" w:color="auto"/>
        <w:right w:val="none" w:sz="0" w:space="0" w:color="auto"/>
      </w:divBdr>
    </w:div>
    <w:div w:id="813915524">
      <w:bodyDiv w:val="1"/>
      <w:marLeft w:val="0"/>
      <w:marRight w:val="0"/>
      <w:marTop w:val="0"/>
      <w:marBottom w:val="0"/>
      <w:divBdr>
        <w:top w:val="none" w:sz="0" w:space="0" w:color="auto"/>
        <w:left w:val="none" w:sz="0" w:space="0" w:color="auto"/>
        <w:bottom w:val="none" w:sz="0" w:space="0" w:color="auto"/>
        <w:right w:val="none" w:sz="0" w:space="0" w:color="auto"/>
      </w:divBdr>
    </w:div>
    <w:div w:id="817383832">
      <w:bodyDiv w:val="1"/>
      <w:marLeft w:val="0"/>
      <w:marRight w:val="0"/>
      <w:marTop w:val="0"/>
      <w:marBottom w:val="0"/>
      <w:divBdr>
        <w:top w:val="none" w:sz="0" w:space="0" w:color="auto"/>
        <w:left w:val="none" w:sz="0" w:space="0" w:color="auto"/>
        <w:bottom w:val="none" w:sz="0" w:space="0" w:color="auto"/>
        <w:right w:val="none" w:sz="0" w:space="0" w:color="auto"/>
      </w:divBdr>
    </w:div>
    <w:div w:id="831528479">
      <w:bodyDiv w:val="1"/>
      <w:marLeft w:val="0"/>
      <w:marRight w:val="0"/>
      <w:marTop w:val="0"/>
      <w:marBottom w:val="0"/>
      <w:divBdr>
        <w:top w:val="none" w:sz="0" w:space="0" w:color="auto"/>
        <w:left w:val="none" w:sz="0" w:space="0" w:color="auto"/>
        <w:bottom w:val="none" w:sz="0" w:space="0" w:color="auto"/>
        <w:right w:val="none" w:sz="0" w:space="0" w:color="auto"/>
      </w:divBdr>
    </w:div>
    <w:div w:id="864096364">
      <w:bodyDiv w:val="1"/>
      <w:marLeft w:val="0"/>
      <w:marRight w:val="0"/>
      <w:marTop w:val="0"/>
      <w:marBottom w:val="0"/>
      <w:divBdr>
        <w:top w:val="none" w:sz="0" w:space="0" w:color="auto"/>
        <w:left w:val="none" w:sz="0" w:space="0" w:color="auto"/>
        <w:bottom w:val="none" w:sz="0" w:space="0" w:color="auto"/>
        <w:right w:val="none" w:sz="0" w:space="0" w:color="auto"/>
      </w:divBdr>
    </w:div>
    <w:div w:id="875043978">
      <w:bodyDiv w:val="1"/>
      <w:marLeft w:val="0"/>
      <w:marRight w:val="0"/>
      <w:marTop w:val="0"/>
      <w:marBottom w:val="0"/>
      <w:divBdr>
        <w:top w:val="none" w:sz="0" w:space="0" w:color="auto"/>
        <w:left w:val="none" w:sz="0" w:space="0" w:color="auto"/>
        <w:bottom w:val="none" w:sz="0" w:space="0" w:color="auto"/>
        <w:right w:val="none" w:sz="0" w:space="0" w:color="auto"/>
      </w:divBdr>
    </w:div>
    <w:div w:id="944388958">
      <w:bodyDiv w:val="1"/>
      <w:marLeft w:val="0"/>
      <w:marRight w:val="0"/>
      <w:marTop w:val="0"/>
      <w:marBottom w:val="0"/>
      <w:divBdr>
        <w:top w:val="none" w:sz="0" w:space="0" w:color="auto"/>
        <w:left w:val="none" w:sz="0" w:space="0" w:color="auto"/>
        <w:bottom w:val="none" w:sz="0" w:space="0" w:color="auto"/>
        <w:right w:val="none" w:sz="0" w:space="0" w:color="auto"/>
      </w:divBdr>
    </w:div>
    <w:div w:id="1078481937">
      <w:bodyDiv w:val="1"/>
      <w:marLeft w:val="0"/>
      <w:marRight w:val="0"/>
      <w:marTop w:val="0"/>
      <w:marBottom w:val="0"/>
      <w:divBdr>
        <w:top w:val="none" w:sz="0" w:space="0" w:color="auto"/>
        <w:left w:val="none" w:sz="0" w:space="0" w:color="auto"/>
        <w:bottom w:val="none" w:sz="0" w:space="0" w:color="auto"/>
        <w:right w:val="none" w:sz="0" w:space="0" w:color="auto"/>
      </w:divBdr>
    </w:div>
    <w:div w:id="1112746538">
      <w:bodyDiv w:val="1"/>
      <w:marLeft w:val="0"/>
      <w:marRight w:val="0"/>
      <w:marTop w:val="0"/>
      <w:marBottom w:val="0"/>
      <w:divBdr>
        <w:top w:val="none" w:sz="0" w:space="0" w:color="auto"/>
        <w:left w:val="none" w:sz="0" w:space="0" w:color="auto"/>
        <w:bottom w:val="none" w:sz="0" w:space="0" w:color="auto"/>
        <w:right w:val="none" w:sz="0" w:space="0" w:color="auto"/>
      </w:divBdr>
    </w:div>
    <w:div w:id="1114599216">
      <w:bodyDiv w:val="1"/>
      <w:marLeft w:val="0"/>
      <w:marRight w:val="0"/>
      <w:marTop w:val="0"/>
      <w:marBottom w:val="0"/>
      <w:divBdr>
        <w:top w:val="none" w:sz="0" w:space="0" w:color="auto"/>
        <w:left w:val="none" w:sz="0" w:space="0" w:color="auto"/>
        <w:bottom w:val="none" w:sz="0" w:space="0" w:color="auto"/>
        <w:right w:val="none" w:sz="0" w:space="0" w:color="auto"/>
      </w:divBdr>
    </w:div>
    <w:div w:id="1153595133">
      <w:bodyDiv w:val="1"/>
      <w:marLeft w:val="0"/>
      <w:marRight w:val="0"/>
      <w:marTop w:val="0"/>
      <w:marBottom w:val="0"/>
      <w:divBdr>
        <w:top w:val="none" w:sz="0" w:space="0" w:color="auto"/>
        <w:left w:val="none" w:sz="0" w:space="0" w:color="auto"/>
        <w:bottom w:val="none" w:sz="0" w:space="0" w:color="auto"/>
        <w:right w:val="none" w:sz="0" w:space="0" w:color="auto"/>
      </w:divBdr>
    </w:div>
    <w:div w:id="1162965205">
      <w:bodyDiv w:val="1"/>
      <w:marLeft w:val="0"/>
      <w:marRight w:val="0"/>
      <w:marTop w:val="0"/>
      <w:marBottom w:val="0"/>
      <w:divBdr>
        <w:top w:val="none" w:sz="0" w:space="0" w:color="auto"/>
        <w:left w:val="none" w:sz="0" w:space="0" w:color="auto"/>
        <w:bottom w:val="none" w:sz="0" w:space="0" w:color="auto"/>
        <w:right w:val="none" w:sz="0" w:space="0" w:color="auto"/>
      </w:divBdr>
    </w:div>
    <w:div w:id="1163352201">
      <w:bodyDiv w:val="1"/>
      <w:marLeft w:val="0"/>
      <w:marRight w:val="0"/>
      <w:marTop w:val="0"/>
      <w:marBottom w:val="0"/>
      <w:divBdr>
        <w:top w:val="none" w:sz="0" w:space="0" w:color="auto"/>
        <w:left w:val="none" w:sz="0" w:space="0" w:color="auto"/>
        <w:bottom w:val="none" w:sz="0" w:space="0" w:color="auto"/>
        <w:right w:val="none" w:sz="0" w:space="0" w:color="auto"/>
      </w:divBdr>
    </w:div>
    <w:div w:id="1220357205">
      <w:bodyDiv w:val="1"/>
      <w:marLeft w:val="0"/>
      <w:marRight w:val="0"/>
      <w:marTop w:val="0"/>
      <w:marBottom w:val="0"/>
      <w:divBdr>
        <w:top w:val="none" w:sz="0" w:space="0" w:color="auto"/>
        <w:left w:val="none" w:sz="0" w:space="0" w:color="auto"/>
        <w:bottom w:val="none" w:sz="0" w:space="0" w:color="auto"/>
        <w:right w:val="none" w:sz="0" w:space="0" w:color="auto"/>
      </w:divBdr>
    </w:div>
    <w:div w:id="1270695417">
      <w:bodyDiv w:val="1"/>
      <w:marLeft w:val="0"/>
      <w:marRight w:val="0"/>
      <w:marTop w:val="0"/>
      <w:marBottom w:val="0"/>
      <w:divBdr>
        <w:top w:val="none" w:sz="0" w:space="0" w:color="auto"/>
        <w:left w:val="none" w:sz="0" w:space="0" w:color="auto"/>
        <w:bottom w:val="none" w:sz="0" w:space="0" w:color="auto"/>
        <w:right w:val="none" w:sz="0" w:space="0" w:color="auto"/>
      </w:divBdr>
    </w:div>
    <w:div w:id="1282763680">
      <w:bodyDiv w:val="1"/>
      <w:marLeft w:val="0"/>
      <w:marRight w:val="0"/>
      <w:marTop w:val="0"/>
      <w:marBottom w:val="0"/>
      <w:divBdr>
        <w:top w:val="none" w:sz="0" w:space="0" w:color="auto"/>
        <w:left w:val="none" w:sz="0" w:space="0" w:color="auto"/>
        <w:bottom w:val="none" w:sz="0" w:space="0" w:color="auto"/>
        <w:right w:val="none" w:sz="0" w:space="0" w:color="auto"/>
      </w:divBdr>
    </w:div>
    <w:div w:id="1295519853">
      <w:bodyDiv w:val="1"/>
      <w:marLeft w:val="0"/>
      <w:marRight w:val="0"/>
      <w:marTop w:val="0"/>
      <w:marBottom w:val="0"/>
      <w:divBdr>
        <w:top w:val="none" w:sz="0" w:space="0" w:color="auto"/>
        <w:left w:val="none" w:sz="0" w:space="0" w:color="auto"/>
        <w:bottom w:val="none" w:sz="0" w:space="0" w:color="auto"/>
        <w:right w:val="none" w:sz="0" w:space="0" w:color="auto"/>
      </w:divBdr>
    </w:div>
    <w:div w:id="1336418020">
      <w:bodyDiv w:val="1"/>
      <w:marLeft w:val="0"/>
      <w:marRight w:val="0"/>
      <w:marTop w:val="0"/>
      <w:marBottom w:val="0"/>
      <w:divBdr>
        <w:top w:val="none" w:sz="0" w:space="0" w:color="auto"/>
        <w:left w:val="none" w:sz="0" w:space="0" w:color="auto"/>
        <w:bottom w:val="none" w:sz="0" w:space="0" w:color="auto"/>
        <w:right w:val="none" w:sz="0" w:space="0" w:color="auto"/>
      </w:divBdr>
    </w:div>
    <w:div w:id="1399476367">
      <w:bodyDiv w:val="1"/>
      <w:marLeft w:val="0"/>
      <w:marRight w:val="0"/>
      <w:marTop w:val="0"/>
      <w:marBottom w:val="0"/>
      <w:divBdr>
        <w:top w:val="none" w:sz="0" w:space="0" w:color="auto"/>
        <w:left w:val="none" w:sz="0" w:space="0" w:color="auto"/>
        <w:bottom w:val="none" w:sz="0" w:space="0" w:color="auto"/>
        <w:right w:val="none" w:sz="0" w:space="0" w:color="auto"/>
      </w:divBdr>
    </w:div>
    <w:div w:id="1420062745">
      <w:bodyDiv w:val="1"/>
      <w:marLeft w:val="0"/>
      <w:marRight w:val="0"/>
      <w:marTop w:val="0"/>
      <w:marBottom w:val="0"/>
      <w:divBdr>
        <w:top w:val="none" w:sz="0" w:space="0" w:color="auto"/>
        <w:left w:val="none" w:sz="0" w:space="0" w:color="auto"/>
        <w:bottom w:val="none" w:sz="0" w:space="0" w:color="auto"/>
        <w:right w:val="none" w:sz="0" w:space="0" w:color="auto"/>
      </w:divBdr>
    </w:div>
    <w:div w:id="1465393855">
      <w:bodyDiv w:val="1"/>
      <w:marLeft w:val="0"/>
      <w:marRight w:val="0"/>
      <w:marTop w:val="0"/>
      <w:marBottom w:val="0"/>
      <w:divBdr>
        <w:top w:val="none" w:sz="0" w:space="0" w:color="auto"/>
        <w:left w:val="none" w:sz="0" w:space="0" w:color="auto"/>
        <w:bottom w:val="none" w:sz="0" w:space="0" w:color="auto"/>
        <w:right w:val="none" w:sz="0" w:space="0" w:color="auto"/>
      </w:divBdr>
    </w:div>
    <w:div w:id="1522088410">
      <w:bodyDiv w:val="1"/>
      <w:marLeft w:val="0"/>
      <w:marRight w:val="0"/>
      <w:marTop w:val="0"/>
      <w:marBottom w:val="0"/>
      <w:divBdr>
        <w:top w:val="none" w:sz="0" w:space="0" w:color="auto"/>
        <w:left w:val="none" w:sz="0" w:space="0" w:color="auto"/>
        <w:bottom w:val="none" w:sz="0" w:space="0" w:color="auto"/>
        <w:right w:val="none" w:sz="0" w:space="0" w:color="auto"/>
      </w:divBdr>
    </w:div>
    <w:div w:id="1536038767">
      <w:bodyDiv w:val="1"/>
      <w:marLeft w:val="0"/>
      <w:marRight w:val="0"/>
      <w:marTop w:val="0"/>
      <w:marBottom w:val="0"/>
      <w:divBdr>
        <w:top w:val="none" w:sz="0" w:space="0" w:color="auto"/>
        <w:left w:val="none" w:sz="0" w:space="0" w:color="auto"/>
        <w:bottom w:val="none" w:sz="0" w:space="0" w:color="auto"/>
        <w:right w:val="none" w:sz="0" w:space="0" w:color="auto"/>
      </w:divBdr>
    </w:div>
    <w:div w:id="1537229880">
      <w:bodyDiv w:val="1"/>
      <w:marLeft w:val="0"/>
      <w:marRight w:val="0"/>
      <w:marTop w:val="0"/>
      <w:marBottom w:val="0"/>
      <w:divBdr>
        <w:top w:val="none" w:sz="0" w:space="0" w:color="auto"/>
        <w:left w:val="none" w:sz="0" w:space="0" w:color="auto"/>
        <w:bottom w:val="none" w:sz="0" w:space="0" w:color="auto"/>
        <w:right w:val="none" w:sz="0" w:space="0" w:color="auto"/>
      </w:divBdr>
    </w:div>
    <w:div w:id="1587884083">
      <w:bodyDiv w:val="1"/>
      <w:marLeft w:val="0"/>
      <w:marRight w:val="0"/>
      <w:marTop w:val="0"/>
      <w:marBottom w:val="0"/>
      <w:divBdr>
        <w:top w:val="none" w:sz="0" w:space="0" w:color="auto"/>
        <w:left w:val="none" w:sz="0" w:space="0" w:color="auto"/>
        <w:bottom w:val="none" w:sz="0" w:space="0" w:color="auto"/>
        <w:right w:val="none" w:sz="0" w:space="0" w:color="auto"/>
      </w:divBdr>
    </w:div>
    <w:div w:id="1678146295">
      <w:bodyDiv w:val="1"/>
      <w:marLeft w:val="0"/>
      <w:marRight w:val="0"/>
      <w:marTop w:val="0"/>
      <w:marBottom w:val="0"/>
      <w:divBdr>
        <w:top w:val="none" w:sz="0" w:space="0" w:color="auto"/>
        <w:left w:val="none" w:sz="0" w:space="0" w:color="auto"/>
        <w:bottom w:val="none" w:sz="0" w:space="0" w:color="auto"/>
        <w:right w:val="none" w:sz="0" w:space="0" w:color="auto"/>
      </w:divBdr>
    </w:div>
    <w:div w:id="1689328154">
      <w:bodyDiv w:val="1"/>
      <w:marLeft w:val="0"/>
      <w:marRight w:val="0"/>
      <w:marTop w:val="0"/>
      <w:marBottom w:val="0"/>
      <w:divBdr>
        <w:top w:val="none" w:sz="0" w:space="0" w:color="auto"/>
        <w:left w:val="none" w:sz="0" w:space="0" w:color="auto"/>
        <w:bottom w:val="none" w:sz="0" w:space="0" w:color="auto"/>
        <w:right w:val="none" w:sz="0" w:space="0" w:color="auto"/>
      </w:divBdr>
    </w:div>
    <w:div w:id="1699312407">
      <w:bodyDiv w:val="1"/>
      <w:marLeft w:val="0"/>
      <w:marRight w:val="0"/>
      <w:marTop w:val="0"/>
      <w:marBottom w:val="0"/>
      <w:divBdr>
        <w:top w:val="none" w:sz="0" w:space="0" w:color="auto"/>
        <w:left w:val="none" w:sz="0" w:space="0" w:color="auto"/>
        <w:bottom w:val="none" w:sz="0" w:space="0" w:color="auto"/>
        <w:right w:val="none" w:sz="0" w:space="0" w:color="auto"/>
      </w:divBdr>
    </w:div>
    <w:div w:id="1699895820">
      <w:bodyDiv w:val="1"/>
      <w:marLeft w:val="0"/>
      <w:marRight w:val="0"/>
      <w:marTop w:val="0"/>
      <w:marBottom w:val="0"/>
      <w:divBdr>
        <w:top w:val="none" w:sz="0" w:space="0" w:color="auto"/>
        <w:left w:val="none" w:sz="0" w:space="0" w:color="auto"/>
        <w:bottom w:val="none" w:sz="0" w:space="0" w:color="auto"/>
        <w:right w:val="none" w:sz="0" w:space="0" w:color="auto"/>
      </w:divBdr>
    </w:div>
    <w:div w:id="1725328910">
      <w:bodyDiv w:val="1"/>
      <w:marLeft w:val="0"/>
      <w:marRight w:val="0"/>
      <w:marTop w:val="0"/>
      <w:marBottom w:val="0"/>
      <w:divBdr>
        <w:top w:val="none" w:sz="0" w:space="0" w:color="auto"/>
        <w:left w:val="none" w:sz="0" w:space="0" w:color="auto"/>
        <w:bottom w:val="none" w:sz="0" w:space="0" w:color="auto"/>
        <w:right w:val="none" w:sz="0" w:space="0" w:color="auto"/>
      </w:divBdr>
    </w:div>
    <w:div w:id="1731226646">
      <w:bodyDiv w:val="1"/>
      <w:marLeft w:val="0"/>
      <w:marRight w:val="0"/>
      <w:marTop w:val="0"/>
      <w:marBottom w:val="0"/>
      <w:divBdr>
        <w:top w:val="none" w:sz="0" w:space="0" w:color="auto"/>
        <w:left w:val="none" w:sz="0" w:space="0" w:color="auto"/>
        <w:bottom w:val="none" w:sz="0" w:space="0" w:color="auto"/>
        <w:right w:val="none" w:sz="0" w:space="0" w:color="auto"/>
      </w:divBdr>
    </w:div>
    <w:div w:id="1739748724">
      <w:bodyDiv w:val="1"/>
      <w:marLeft w:val="0"/>
      <w:marRight w:val="0"/>
      <w:marTop w:val="0"/>
      <w:marBottom w:val="0"/>
      <w:divBdr>
        <w:top w:val="none" w:sz="0" w:space="0" w:color="auto"/>
        <w:left w:val="none" w:sz="0" w:space="0" w:color="auto"/>
        <w:bottom w:val="none" w:sz="0" w:space="0" w:color="auto"/>
        <w:right w:val="none" w:sz="0" w:space="0" w:color="auto"/>
      </w:divBdr>
    </w:div>
    <w:div w:id="1750273472">
      <w:bodyDiv w:val="1"/>
      <w:marLeft w:val="0"/>
      <w:marRight w:val="0"/>
      <w:marTop w:val="0"/>
      <w:marBottom w:val="0"/>
      <w:divBdr>
        <w:top w:val="none" w:sz="0" w:space="0" w:color="auto"/>
        <w:left w:val="none" w:sz="0" w:space="0" w:color="auto"/>
        <w:bottom w:val="none" w:sz="0" w:space="0" w:color="auto"/>
        <w:right w:val="none" w:sz="0" w:space="0" w:color="auto"/>
      </w:divBdr>
    </w:div>
    <w:div w:id="1752117379">
      <w:bodyDiv w:val="1"/>
      <w:marLeft w:val="0"/>
      <w:marRight w:val="0"/>
      <w:marTop w:val="0"/>
      <w:marBottom w:val="0"/>
      <w:divBdr>
        <w:top w:val="none" w:sz="0" w:space="0" w:color="auto"/>
        <w:left w:val="none" w:sz="0" w:space="0" w:color="auto"/>
        <w:bottom w:val="none" w:sz="0" w:space="0" w:color="auto"/>
        <w:right w:val="none" w:sz="0" w:space="0" w:color="auto"/>
      </w:divBdr>
    </w:div>
    <w:div w:id="1816990299">
      <w:bodyDiv w:val="1"/>
      <w:marLeft w:val="0"/>
      <w:marRight w:val="0"/>
      <w:marTop w:val="0"/>
      <w:marBottom w:val="0"/>
      <w:divBdr>
        <w:top w:val="none" w:sz="0" w:space="0" w:color="auto"/>
        <w:left w:val="none" w:sz="0" w:space="0" w:color="auto"/>
        <w:bottom w:val="none" w:sz="0" w:space="0" w:color="auto"/>
        <w:right w:val="none" w:sz="0" w:space="0" w:color="auto"/>
      </w:divBdr>
    </w:div>
    <w:div w:id="1826238375">
      <w:bodyDiv w:val="1"/>
      <w:marLeft w:val="0"/>
      <w:marRight w:val="0"/>
      <w:marTop w:val="0"/>
      <w:marBottom w:val="0"/>
      <w:divBdr>
        <w:top w:val="none" w:sz="0" w:space="0" w:color="auto"/>
        <w:left w:val="none" w:sz="0" w:space="0" w:color="auto"/>
        <w:bottom w:val="none" w:sz="0" w:space="0" w:color="auto"/>
        <w:right w:val="none" w:sz="0" w:space="0" w:color="auto"/>
      </w:divBdr>
    </w:div>
    <w:div w:id="1861116469">
      <w:bodyDiv w:val="1"/>
      <w:marLeft w:val="0"/>
      <w:marRight w:val="0"/>
      <w:marTop w:val="0"/>
      <w:marBottom w:val="0"/>
      <w:divBdr>
        <w:top w:val="none" w:sz="0" w:space="0" w:color="auto"/>
        <w:left w:val="none" w:sz="0" w:space="0" w:color="auto"/>
        <w:bottom w:val="none" w:sz="0" w:space="0" w:color="auto"/>
        <w:right w:val="none" w:sz="0" w:space="0" w:color="auto"/>
      </w:divBdr>
    </w:div>
    <w:div w:id="1876917636">
      <w:bodyDiv w:val="1"/>
      <w:marLeft w:val="0"/>
      <w:marRight w:val="0"/>
      <w:marTop w:val="0"/>
      <w:marBottom w:val="0"/>
      <w:divBdr>
        <w:top w:val="none" w:sz="0" w:space="0" w:color="auto"/>
        <w:left w:val="none" w:sz="0" w:space="0" w:color="auto"/>
        <w:bottom w:val="none" w:sz="0" w:space="0" w:color="auto"/>
        <w:right w:val="none" w:sz="0" w:space="0" w:color="auto"/>
      </w:divBdr>
    </w:div>
    <w:div w:id="2009207414">
      <w:bodyDiv w:val="1"/>
      <w:marLeft w:val="0"/>
      <w:marRight w:val="0"/>
      <w:marTop w:val="0"/>
      <w:marBottom w:val="0"/>
      <w:divBdr>
        <w:top w:val="none" w:sz="0" w:space="0" w:color="auto"/>
        <w:left w:val="none" w:sz="0" w:space="0" w:color="auto"/>
        <w:bottom w:val="none" w:sz="0" w:space="0" w:color="auto"/>
        <w:right w:val="none" w:sz="0" w:space="0" w:color="auto"/>
      </w:divBdr>
    </w:div>
    <w:div w:id="2029983807">
      <w:bodyDiv w:val="1"/>
      <w:marLeft w:val="0"/>
      <w:marRight w:val="0"/>
      <w:marTop w:val="0"/>
      <w:marBottom w:val="0"/>
      <w:divBdr>
        <w:top w:val="none" w:sz="0" w:space="0" w:color="auto"/>
        <w:left w:val="none" w:sz="0" w:space="0" w:color="auto"/>
        <w:bottom w:val="none" w:sz="0" w:space="0" w:color="auto"/>
        <w:right w:val="none" w:sz="0" w:space="0" w:color="auto"/>
      </w:divBdr>
    </w:div>
    <w:div w:id="2116292752">
      <w:bodyDiv w:val="1"/>
      <w:marLeft w:val="0"/>
      <w:marRight w:val="0"/>
      <w:marTop w:val="0"/>
      <w:marBottom w:val="0"/>
      <w:divBdr>
        <w:top w:val="none" w:sz="0" w:space="0" w:color="auto"/>
        <w:left w:val="none" w:sz="0" w:space="0" w:color="auto"/>
        <w:bottom w:val="none" w:sz="0" w:space="0" w:color="auto"/>
        <w:right w:val="none" w:sz="0" w:space="0" w:color="auto"/>
      </w:divBdr>
    </w:div>
    <w:div w:id="212526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79379-2CBF-4707-9DD0-812CA5C2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3308</Words>
  <Characters>19524</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22787</CharactersWithSpaces>
  <SharedDoc>false</SharedDoc>
  <HLinks>
    <vt:vector size="138" baseType="variant">
      <vt:variant>
        <vt:i4>1900574</vt:i4>
      </vt:variant>
      <vt:variant>
        <vt:i4>129</vt:i4>
      </vt:variant>
      <vt:variant>
        <vt:i4>0</vt:i4>
      </vt:variant>
      <vt:variant>
        <vt:i4>5</vt:i4>
      </vt:variant>
      <vt:variant>
        <vt:lpwstr>http://cs.wikipedia.org/wiki/1652</vt:lpwstr>
      </vt:variant>
      <vt:variant>
        <vt:lpwstr/>
      </vt:variant>
      <vt:variant>
        <vt:i4>2818088</vt:i4>
      </vt:variant>
      <vt:variant>
        <vt:i4>126</vt:i4>
      </vt:variant>
      <vt:variant>
        <vt:i4>0</vt:i4>
      </vt:variant>
      <vt:variant>
        <vt:i4>5</vt:i4>
      </vt:variant>
      <vt:variant>
        <vt:lpwstr>http://cs.wikipedia.org/wiki/2</vt:lpwstr>
      </vt:variant>
      <vt:variant>
        <vt:lpwstr/>
      </vt:variant>
      <vt:variant>
        <vt:i4>5242915</vt:i4>
      </vt:variant>
      <vt:variant>
        <vt:i4>123</vt:i4>
      </vt:variant>
      <vt:variant>
        <vt:i4>0</vt:i4>
      </vt:variant>
      <vt:variant>
        <vt:i4>5</vt:i4>
      </vt:variant>
      <vt:variant>
        <vt:lpwstr>http://cs.wikipedia.org/wiki/Dynastie_Chan</vt:lpwstr>
      </vt:variant>
      <vt:variant>
        <vt:lpwstr/>
      </vt:variant>
      <vt:variant>
        <vt:i4>1245246</vt:i4>
      </vt:variant>
      <vt:variant>
        <vt:i4>116</vt:i4>
      </vt:variant>
      <vt:variant>
        <vt:i4>0</vt:i4>
      </vt:variant>
      <vt:variant>
        <vt:i4>5</vt:i4>
      </vt:variant>
      <vt:variant>
        <vt:lpwstr/>
      </vt:variant>
      <vt:variant>
        <vt:lpwstr>_Toc356387356</vt:lpwstr>
      </vt:variant>
      <vt:variant>
        <vt:i4>1245246</vt:i4>
      </vt:variant>
      <vt:variant>
        <vt:i4>110</vt:i4>
      </vt:variant>
      <vt:variant>
        <vt:i4>0</vt:i4>
      </vt:variant>
      <vt:variant>
        <vt:i4>5</vt:i4>
      </vt:variant>
      <vt:variant>
        <vt:lpwstr/>
      </vt:variant>
      <vt:variant>
        <vt:lpwstr>_Toc356387355</vt:lpwstr>
      </vt:variant>
      <vt:variant>
        <vt:i4>1245246</vt:i4>
      </vt:variant>
      <vt:variant>
        <vt:i4>104</vt:i4>
      </vt:variant>
      <vt:variant>
        <vt:i4>0</vt:i4>
      </vt:variant>
      <vt:variant>
        <vt:i4>5</vt:i4>
      </vt:variant>
      <vt:variant>
        <vt:lpwstr/>
      </vt:variant>
      <vt:variant>
        <vt:lpwstr>_Toc356387354</vt:lpwstr>
      </vt:variant>
      <vt:variant>
        <vt:i4>1245246</vt:i4>
      </vt:variant>
      <vt:variant>
        <vt:i4>98</vt:i4>
      </vt:variant>
      <vt:variant>
        <vt:i4>0</vt:i4>
      </vt:variant>
      <vt:variant>
        <vt:i4>5</vt:i4>
      </vt:variant>
      <vt:variant>
        <vt:lpwstr/>
      </vt:variant>
      <vt:variant>
        <vt:lpwstr>_Toc356387353</vt:lpwstr>
      </vt:variant>
      <vt:variant>
        <vt:i4>1245246</vt:i4>
      </vt:variant>
      <vt:variant>
        <vt:i4>92</vt:i4>
      </vt:variant>
      <vt:variant>
        <vt:i4>0</vt:i4>
      </vt:variant>
      <vt:variant>
        <vt:i4>5</vt:i4>
      </vt:variant>
      <vt:variant>
        <vt:lpwstr/>
      </vt:variant>
      <vt:variant>
        <vt:lpwstr>_Toc356387352</vt:lpwstr>
      </vt:variant>
      <vt:variant>
        <vt:i4>1245246</vt:i4>
      </vt:variant>
      <vt:variant>
        <vt:i4>86</vt:i4>
      </vt:variant>
      <vt:variant>
        <vt:i4>0</vt:i4>
      </vt:variant>
      <vt:variant>
        <vt:i4>5</vt:i4>
      </vt:variant>
      <vt:variant>
        <vt:lpwstr/>
      </vt:variant>
      <vt:variant>
        <vt:lpwstr>_Toc356387351</vt:lpwstr>
      </vt:variant>
      <vt:variant>
        <vt:i4>1245246</vt:i4>
      </vt:variant>
      <vt:variant>
        <vt:i4>80</vt:i4>
      </vt:variant>
      <vt:variant>
        <vt:i4>0</vt:i4>
      </vt:variant>
      <vt:variant>
        <vt:i4>5</vt:i4>
      </vt:variant>
      <vt:variant>
        <vt:lpwstr/>
      </vt:variant>
      <vt:variant>
        <vt:lpwstr>_Toc356387350</vt:lpwstr>
      </vt:variant>
      <vt:variant>
        <vt:i4>1179710</vt:i4>
      </vt:variant>
      <vt:variant>
        <vt:i4>74</vt:i4>
      </vt:variant>
      <vt:variant>
        <vt:i4>0</vt:i4>
      </vt:variant>
      <vt:variant>
        <vt:i4>5</vt:i4>
      </vt:variant>
      <vt:variant>
        <vt:lpwstr/>
      </vt:variant>
      <vt:variant>
        <vt:lpwstr>_Toc356387349</vt:lpwstr>
      </vt:variant>
      <vt:variant>
        <vt:i4>1179710</vt:i4>
      </vt:variant>
      <vt:variant>
        <vt:i4>68</vt:i4>
      </vt:variant>
      <vt:variant>
        <vt:i4>0</vt:i4>
      </vt:variant>
      <vt:variant>
        <vt:i4>5</vt:i4>
      </vt:variant>
      <vt:variant>
        <vt:lpwstr/>
      </vt:variant>
      <vt:variant>
        <vt:lpwstr>_Toc356387348</vt:lpwstr>
      </vt:variant>
      <vt:variant>
        <vt:i4>1179710</vt:i4>
      </vt:variant>
      <vt:variant>
        <vt:i4>62</vt:i4>
      </vt:variant>
      <vt:variant>
        <vt:i4>0</vt:i4>
      </vt:variant>
      <vt:variant>
        <vt:i4>5</vt:i4>
      </vt:variant>
      <vt:variant>
        <vt:lpwstr/>
      </vt:variant>
      <vt:variant>
        <vt:lpwstr>_Toc356387347</vt:lpwstr>
      </vt:variant>
      <vt:variant>
        <vt:i4>1179710</vt:i4>
      </vt:variant>
      <vt:variant>
        <vt:i4>56</vt:i4>
      </vt:variant>
      <vt:variant>
        <vt:i4>0</vt:i4>
      </vt:variant>
      <vt:variant>
        <vt:i4>5</vt:i4>
      </vt:variant>
      <vt:variant>
        <vt:lpwstr/>
      </vt:variant>
      <vt:variant>
        <vt:lpwstr>_Toc356387346</vt:lpwstr>
      </vt:variant>
      <vt:variant>
        <vt:i4>1179710</vt:i4>
      </vt:variant>
      <vt:variant>
        <vt:i4>50</vt:i4>
      </vt:variant>
      <vt:variant>
        <vt:i4>0</vt:i4>
      </vt:variant>
      <vt:variant>
        <vt:i4>5</vt:i4>
      </vt:variant>
      <vt:variant>
        <vt:lpwstr/>
      </vt:variant>
      <vt:variant>
        <vt:lpwstr>_Toc356387345</vt:lpwstr>
      </vt:variant>
      <vt:variant>
        <vt:i4>1179710</vt:i4>
      </vt:variant>
      <vt:variant>
        <vt:i4>44</vt:i4>
      </vt:variant>
      <vt:variant>
        <vt:i4>0</vt:i4>
      </vt:variant>
      <vt:variant>
        <vt:i4>5</vt:i4>
      </vt:variant>
      <vt:variant>
        <vt:lpwstr/>
      </vt:variant>
      <vt:variant>
        <vt:lpwstr>_Toc356387344</vt:lpwstr>
      </vt:variant>
      <vt:variant>
        <vt:i4>1179710</vt:i4>
      </vt:variant>
      <vt:variant>
        <vt:i4>38</vt:i4>
      </vt:variant>
      <vt:variant>
        <vt:i4>0</vt:i4>
      </vt:variant>
      <vt:variant>
        <vt:i4>5</vt:i4>
      </vt:variant>
      <vt:variant>
        <vt:lpwstr/>
      </vt:variant>
      <vt:variant>
        <vt:lpwstr>_Toc356387343</vt:lpwstr>
      </vt:variant>
      <vt:variant>
        <vt:i4>1179710</vt:i4>
      </vt:variant>
      <vt:variant>
        <vt:i4>32</vt:i4>
      </vt:variant>
      <vt:variant>
        <vt:i4>0</vt:i4>
      </vt:variant>
      <vt:variant>
        <vt:i4>5</vt:i4>
      </vt:variant>
      <vt:variant>
        <vt:lpwstr/>
      </vt:variant>
      <vt:variant>
        <vt:lpwstr>_Toc356387342</vt:lpwstr>
      </vt:variant>
      <vt:variant>
        <vt:i4>1179710</vt:i4>
      </vt:variant>
      <vt:variant>
        <vt:i4>26</vt:i4>
      </vt:variant>
      <vt:variant>
        <vt:i4>0</vt:i4>
      </vt:variant>
      <vt:variant>
        <vt:i4>5</vt:i4>
      </vt:variant>
      <vt:variant>
        <vt:lpwstr/>
      </vt:variant>
      <vt:variant>
        <vt:lpwstr>_Toc356387341</vt:lpwstr>
      </vt:variant>
      <vt:variant>
        <vt:i4>1179710</vt:i4>
      </vt:variant>
      <vt:variant>
        <vt:i4>20</vt:i4>
      </vt:variant>
      <vt:variant>
        <vt:i4>0</vt:i4>
      </vt:variant>
      <vt:variant>
        <vt:i4>5</vt:i4>
      </vt:variant>
      <vt:variant>
        <vt:lpwstr/>
      </vt:variant>
      <vt:variant>
        <vt:lpwstr>_Toc356387340</vt:lpwstr>
      </vt:variant>
      <vt:variant>
        <vt:i4>1376318</vt:i4>
      </vt:variant>
      <vt:variant>
        <vt:i4>14</vt:i4>
      </vt:variant>
      <vt:variant>
        <vt:i4>0</vt:i4>
      </vt:variant>
      <vt:variant>
        <vt:i4>5</vt:i4>
      </vt:variant>
      <vt:variant>
        <vt:lpwstr/>
      </vt:variant>
      <vt:variant>
        <vt:lpwstr>_Toc356387339</vt:lpwstr>
      </vt:variant>
      <vt:variant>
        <vt:i4>1376318</vt:i4>
      </vt:variant>
      <vt:variant>
        <vt:i4>8</vt:i4>
      </vt:variant>
      <vt:variant>
        <vt:i4>0</vt:i4>
      </vt:variant>
      <vt:variant>
        <vt:i4>5</vt:i4>
      </vt:variant>
      <vt:variant>
        <vt:lpwstr/>
      </vt:variant>
      <vt:variant>
        <vt:lpwstr>_Toc356387338</vt:lpwstr>
      </vt:variant>
      <vt:variant>
        <vt:i4>1376318</vt:i4>
      </vt:variant>
      <vt:variant>
        <vt:i4>2</vt:i4>
      </vt:variant>
      <vt:variant>
        <vt:i4>0</vt:i4>
      </vt:variant>
      <vt:variant>
        <vt:i4>5</vt:i4>
      </vt:variant>
      <vt:variant>
        <vt:lpwstr/>
      </vt:variant>
      <vt:variant>
        <vt:lpwstr>_Toc356387337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System Service</dc:creator>
  <cp:keywords/>
  <dc:description/>
  <cp:lastModifiedBy>System Service</cp:lastModifiedBy>
  <cp:revision>2</cp:revision>
  <cp:lastPrinted>2013-11-12T07:39:00Z</cp:lastPrinted>
  <dcterms:created xsi:type="dcterms:W3CDTF">2013-11-13T12:29:00Z</dcterms:created>
  <dcterms:modified xsi:type="dcterms:W3CDTF">2013-11-13T12:29:00Z</dcterms:modified>
</cp:coreProperties>
</file>