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07" w:rsidRPr="00420F44" w:rsidRDefault="00C11B07" w:rsidP="00C11B07">
      <w:pPr>
        <w:jc w:val="center"/>
        <w:rPr>
          <w:rFonts w:cs="Arial"/>
          <w:b/>
          <w:sz w:val="32"/>
          <w:szCs w:val="32"/>
        </w:rPr>
      </w:pPr>
      <w:bookmarkStart w:id="0" w:name="_Zpravodajské_jednotky_(subjekty_3"/>
      <w:bookmarkEnd w:id="0"/>
      <w:r>
        <w:rPr>
          <w:rFonts w:cs="Arial"/>
          <w:b/>
          <w:sz w:val="32"/>
          <w:szCs w:val="32"/>
        </w:rPr>
        <w:t>METODOLOGICKÝ ÚVOD</w:t>
      </w:r>
    </w:p>
    <w:p w:rsidR="00C11B07" w:rsidRDefault="00C11B07" w:rsidP="00C11B07">
      <w:pPr>
        <w:spacing w:after="0"/>
        <w:jc w:val="both"/>
        <w:rPr>
          <w:rFonts w:cs="Arial"/>
          <w:szCs w:val="20"/>
        </w:rPr>
      </w:pPr>
      <w:r w:rsidRPr="004C21AB">
        <w:rPr>
          <w:rFonts w:cs="Arial"/>
          <w:szCs w:val="20"/>
        </w:rPr>
        <w:t xml:space="preserve">Český statistický úřad sleduje charakteristiky </w:t>
      </w:r>
      <w:r w:rsidRPr="000E31C9">
        <w:rPr>
          <w:rFonts w:cs="Arial"/>
          <w:szCs w:val="20"/>
        </w:rPr>
        <w:t>výzkumu a vývoje</w:t>
      </w:r>
      <w:r>
        <w:rPr>
          <w:rFonts w:cs="Arial"/>
          <w:szCs w:val="20"/>
        </w:rPr>
        <w:t xml:space="preserve"> (VaV)</w:t>
      </w:r>
      <w:r w:rsidRPr="004C21AB">
        <w:rPr>
          <w:rFonts w:cs="Arial"/>
          <w:szCs w:val="20"/>
        </w:rPr>
        <w:t xml:space="preserve"> pomocí přímého statistického šetření (VTR 5</w:t>
      </w:r>
      <w:r>
        <w:rPr>
          <w:rFonts w:cs="Arial"/>
          <w:szCs w:val="20"/>
        </w:rPr>
        <w:t>–</w:t>
      </w:r>
      <w:r w:rsidRPr="004C21AB">
        <w:rPr>
          <w:rFonts w:cs="Arial"/>
          <w:szCs w:val="20"/>
        </w:rPr>
        <w:t xml:space="preserve">01). </w:t>
      </w:r>
      <w:r>
        <w:rPr>
          <w:rFonts w:cs="Arial"/>
          <w:szCs w:val="20"/>
        </w:rPr>
        <w:t>Toto šetření se provádí v ČR od </w:t>
      </w:r>
      <w:r w:rsidRPr="004C21AB">
        <w:rPr>
          <w:rFonts w:cs="Arial"/>
          <w:szCs w:val="20"/>
        </w:rPr>
        <w:t xml:space="preserve">roku 1995 prostřednictvím </w:t>
      </w:r>
      <w:r w:rsidRPr="004C21AB">
        <w:rPr>
          <w:rFonts w:cs="Arial"/>
          <w:b/>
          <w:bCs/>
          <w:szCs w:val="20"/>
        </w:rPr>
        <w:t>Ročního výkazu o výzkumu a vývoji (VTR 5</w:t>
      </w:r>
      <w:r>
        <w:rPr>
          <w:rFonts w:cs="Arial"/>
          <w:b/>
          <w:bCs/>
          <w:szCs w:val="20"/>
        </w:rPr>
        <w:t>–</w:t>
      </w:r>
      <w:r w:rsidRPr="004C21AB">
        <w:rPr>
          <w:rFonts w:cs="Arial"/>
          <w:b/>
          <w:bCs/>
          <w:szCs w:val="20"/>
        </w:rPr>
        <w:t>01)</w:t>
      </w:r>
      <w:r w:rsidRPr="004C21AB">
        <w:rPr>
          <w:rFonts w:cs="Arial"/>
          <w:bCs/>
          <w:szCs w:val="20"/>
        </w:rPr>
        <w:t xml:space="preserve">, který je součástí </w:t>
      </w:r>
      <w:r w:rsidRPr="004C21AB">
        <w:rPr>
          <w:rFonts w:cs="Arial"/>
          <w:b/>
          <w:bCs/>
          <w:szCs w:val="20"/>
        </w:rPr>
        <w:t>Programu statistických zjišťování</w:t>
      </w:r>
      <w:r w:rsidRPr="004C21AB">
        <w:rPr>
          <w:rFonts w:cs="Arial"/>
          <w:szCs w:val="20"/>
        </w:rPr>
        <w:t xml:space="preserve">. </w:t>
      </w:r>
      <w:r>
        <w:rPr>
          <w:rFonts w:cs="Arial"/>
          <w:szCs w:val="20"/>
        </w:rPr>
        <w:t xml:space="preserve">Tento program </w:t>
      </w:r>
      <w:r w:rsidRPr="004C21AB">
        <w:rPr>
          <w:rFonts w:cs="Arial"/>
          <w:szCs w:val="20"/>
        </w:rPr>
        <w:t xml:space="preserve">je nyní každoročně stanoven </w:t>
      </w:r>
      <w:r>
        <w:rPr>
          <w:rFonts w:cs="Arial"/>
          <w:szCs w:val="20"/>
        </w:rPr>
        <w:t>a zveřejněn vyhláškou ČSÚ podle zákona č. 89/1995 Sb., o státní statistické službě, ve znění pozdějších předpisů</w:t>
      </w:r>
      <w:r w:rsidRPr="004C21AB">
        <w:rPr>
          <w:rFonts w:cs="Arial"/>
          <w:szCs w:val="20"/>
        </w:rPr>
        <w:t>.</w:t>
      </w:r>
      <w:r>
        <w:rPr>
          <w:rFonts w:cs="Arial"/>
          <w:szCs w:val="20"/>
        </w:rPr>
        <w:t xml:space="preserve"> </w:t>
      </w:r>
    </w:p>
    <w:p w:rsidR="00C11B07" w:rsidRDefault="00C11B07" w:rsidP="00C11B07">
      <w:pPr>
        <w:jc w:val="both"/>
        <w:rPr>
          <w:rFonts w:cs="Arial"/>
          <w:b/>
          <w:szCs w:val="20"/>
        </w:rPr>
      </w:pPr>
      <w:r w:rsidRPr="00C406F4">
        <w:rPr>
          <w:rFonts w:cs="Arial"/>
          <w:szCs w:val="20"/>
        </w:rPr>
        <w:t xml:space="preserve">Roční šetření o výzkumu a vývoji se provádí především k zabezpečení ukazatelů potřebných pro </w:t>
      </w:r>
      <w:r w:rsidRPr="00C406F4">
        <w:rPr>
          <w:rFonts w:cs="Arial"/>
          <w:b/>
          <w:szCs w:val="20"/>
        </w:rPr>
        <w:t>výkon státní správy ČR v oblasti výzkumu, vývoje a inovací</w:t>
      </w:r>
      <w:r w:rsidRPr="00C406F4">
        <w:rPr>
          <w:rFonts w:cs="Arial"/>
          <w:szCs w:val="20"/>
        </w:rPr>
        <w:t xml:space="preserve"> (např. Národní politiky výzkumu, vývoje a inovací České republiky na léta 2009 až 2015)</w:t>
      </w:r>
      <w:r>
        <w:rPr>
          <w:rFonts w:cs="Arial"/>
          <w:szCs w:val="20"/>
        </w:rPr>
        <w:t xml:space="preserve">, </w:t>
      </w:r>
      <w:r w:rsidRPr="00C406F4">
        <w:rPr>
          <w:rFonts w:cs="Arial"/>
          <w:szCs w:val="20"/>
        </w:rPr>
        <w:t>prostřednictvím kapitalizace výzkumu a vývoje i k propočtu úplných sestav makroekonomických ukazatelů v rámci Ročních národních účtů</w:t>
      </w:r>
      <w:r>
        <w:rPr>
          <w:rFonts w:cs="Arial"/>
          <w:szCs w:val="20"/>
        </w:rPr>
        <w:t xml:space="preserve"> (HDP)</w:t>
      </w:r>
      <w:r w:rsidRPr="00C406F4">
        <w:rPr>
          <w:rFonts w:cs="Arial"/>
          <w:szCs w:val="20"/>
        </w:rPr>
        <w:t xml:space="preserve"> a</w:t>
      </w:r>
      <w:r w:rsidRPr="00C406F4">
        <w:rPr>
          <w:rFonts w:cs="Arial"/>
          <w:b/>
          <w:szCs w:val="20"/>
        </w:rPr>
        <w:t xml:space="preserve"> </w:t>
      </w:r>
      <w:r w:rsidRPr="00C406F4">
        <w:rPr>
          <w:rFonts w:cs="Arial"/>
          <w:szCs w:val="20"/>
        </w:rPr>
        <w:t xml:space="preserve">pro splnění povinnosti vyplývající z  </w:t>
      </w:r>
      <w:r w:rsidRPr="00C406F4">
        <w:rPr>
          <w:rFonts w:cs="Arial"/>
          <w:b/>
          <w:szCs w:val="20"/>
        </w:rPr>
        <w:t xml:space="preserve">prováděcího nařízení Komise (EU) č. 995/2012. </w:t>
      </w:r>
    </w:p>
    <w:p w:rsidR="00C11B07" w:rsidRDefault="00C11B07" w:rsidP="00C11B07">
      <w:pPr>
        <w:spacing w:after="0"/>
        <w:jc w:val="both"/>
        <w:rPr>
          <w:rFonts w:cs="Arial"/>
          <w:szCs w:val="20"/>
        </w:rPr>
      </w:pPr>
      <w:r w:rsidRPr="00C406F4">
        <w:rPr>
          <w:rFonts w:cs="Arial"/>
          <w:szCs w:val="20"/>
        </w:rPr>
        <w:t xml:space="preserve">Sběr údajů o vstupech (lidských a finančních zdrojích) určených pro výzkumné a vývojové aktivity, respektive zabezpečení těchto ukazatelů, je na základě </w:t>
      </w:r>
      <w:r>
        <w:rPr>
          <w:rFonts w:cs="Arial"/>
          <w:szCs w:val="20"/>
        </w:rPr>
        <w:t xml:space="preserve">výše uvedeného </w:t>
      </w:r>
      <w:r w:rsidRPr="00C406F4">
        <w:rPr>
          <w:rFonts w:cs="Arial"/>
          <w:szCs w:val="20"/>
        </w:rPr>
        <w:t xml:space="preserve">Prováděcího nařízení Komise (EU) č. 995/2012 povinné pro všechny státy EU. Sběr těchto údajů probíhá podle mezinárodních standardů a doporučení uvedených ve </w:t>
      </w:r>
      <w:proofErr w:type="spellStart"/>
      <w:r w:rsidRPr="00C406F4">
        <w:rPr>
          <w:rFonts w:cs="Arial"/>
          <w:szCs w:val="20"/>
        </w:rPr>
        <w:t>Frascati</w:t>
      </w:r>
      <w:proofErr w:type="spellEnd"/>
      <w:r w:rsidRPr="00C406F4">
        <w:rPr>
          <w:rFonts w:cs="Arial"/>
          <w:szCs w:val="20"/>
        </w:rPr>
        <w:t xml:space="preserve"> manuálu, který slouží jako hlavní příručka pro harmonizovaný sběr ukazatelů v oblasti VaV používan</w:t>
      </w:r>
      <w:r>
        <w:rPr>
          <w:rFonts w:cs="Arial"/>
          <w:szCs w:val="20"/>
        </w:rPr>
        <w:t>á</w:t>
      </w:r>
      <w:r w:rsidRPr="00C406F4">
        <w:rPr>
          <w:rFonts w:cs="Arial"/>
          <w:szCs w:val="20"/>
        </w:rPr>
        <w:t xml:space="preserve"> nejen v zemích EU, ale na celém světě. Tyto údaje jsou tak využívány nejen pro národní potřeby, ale i pro potřeby Evropské unie a mezinárodních organizací, zejména Organizace pro hospodářskou spolupráci a rozvoj a Organizace spojených národů pro výchovu, vědu a kulturu.</w:t>
      </w:r>
    </w:p>
    <w:p w:rsidR="00C11B07" w:rsidRPr="00E15061" w:rsidRDefault="00C11B07" w:rsidP="00C11B07">
      <w:pPr>
        <w:spacing w:before="240" w:after="60"/>
        <w:rPr>
          <w:rFonts w:cs="Arial"/>
          <w:b/>
          <w:szCs w:val="20"/>
        </w:rPr>
      </w:pPr>
      <w:r>
        <w:rPr>
          <w:rFonts w:cs="Arial"/>
          <w:b/>
          <w:sz w:val="24"/>
          <w:szCs w:val="24"/>
        </w:rPr>
        <w:t>1. ZÁKLADNÍ ÚDAJE O ŠETŘENÍ</w:t>
      </w:r>
      <w:r>
        <w:rPr>
          <w:rFonts w:cs="Arial"/>
          <w:b/>
          <w:szCs w:val="20"/>
        </w:rPr>
        <w:t>:</w:t>
      </w:r>
    </w:p>
    <w:tbl>
      <w:tblPr>
        <w:tblW w:w="0" w:type="auto"/>
        <w:tblLook w:val="04A0"/>
      </w:tblPr>
      <w:tblGrid>
        <w:gridCol w:w="2518"/>
        <w:gridCol w:w="6662"/>
      </w:tblGrid>
      <w:tr w:rsidR="00C11B07" w:rsidRPr="00240717" w:rsidTr="000A74C3">
        <w:tc>
          <w:tcPr>
            <w:tcW w:w="2518" w:type="dxa"/>
            <w:shd w:val="pct10" w:color="auto" w:fill="auto"/>
          </w:tcPr>
          <w:p w:rsidR="00C11B07" w:rsidRPr="00240717" w:rsidRDefault="00C11B07" w:rsidP="000A74C3">
            <w:pPr>
              <w:spacing w:before="0"/>
              <w:rPr>
                <w:rFonts w:cs="Arial"/>
                <w:szCs w:val="20"/>
              </w:rPr>
            </w:pPr>
            <w:r w:rsidRPr="00240717">
              <w:rPr>
                <w:rFonts w:cs="Arial"/>
                <w:szCs w:val="20"/>
              </w:rPr>
              <w:t>Název šetření:</w:t>
            </w:r>
          </w:p>
        </w:tc>
        <w:tc>
          <w:tcPr>
            <w:tcW w:w="6662" w:type="dxa"/>
          </w:tcPr>
          <w:p w:rsidR="00C11B07" w:rsidRPr="00240717" w:rsidRDefault="00C11B07" w:rsidP="000A74C3">
            <w:pPr>
              <w:spacing w:before="0"/>
              <w:rPr>
                <w:rFonts w:cs="Arial"/>
                <w:szCs w:val="20"/>
              </w:rPr>
            </w:pPr>
            <w:r w:rsidRPr="00240717">
              <w:rPr>
                <w:rFonts w:cs="Arial"/>
                <w:szCs w:val="20"/>
              </w:rPr>
              <w:t>Roční výkaz o</w:t>
            </w:r>
            <w:r>
              <w:rPr>
                <w:rFonts w:cs="Arial"/>
                <w:szCs w:val="20"/>
              </w:rPr>
              <w:t> </w:t>
            </w:r>
            <w:r w:rsidRPr="00240717">
              <w:rPr>
                <w:rFonts w:cs="Arial"/>
                <w:szCs w:val="20"/>
              </w:rPr>
              <w:t>výzkumu a vývoji (VTR 5</w:t>
            </w:r>
            <w:r>
              <w:rPr>
                <w:rFonts w:cs="Arial"/>
                <w:szCs w:val="20"/>
              </w:rPr>
              <w:t>–</w:t>
            </w:r>
            <w:r w:rsidRPr="00240717">
              <w:rPr>
                <w:rFonts w:cs="Arial"/>
                <w:szCs w:val="20"/>
              </w:rPr>
              <w:t>01)</w:t>
            </w:r>
          </w:p>
        </w:tc>
      </w:tr>
      <w:tr w:rsidR="00C11B07" w:rsidRPr="00240717" w:rsidTr="000A74C3">
        <w:tc>
          <w:tcPr>
            <w:tcW w:w="2518" w:type="dxa"/>
            <w:shd w:val="pct10" w:color="auto" w:fill="auto"/>
          </w:tcPr>
          <w:p w:rsidR="00C11B07" w:rsidRPr="00240717" w:rsidRDefault="00C11B07" w:rsidP="000A74C3">
            <w:pPr>
              <w:spacing w:before="0"/>
              <w:rPr>
                <w:rFonts w:cs="Arial"/>
                <w:szCs w:val="20"/>
              </w:rPr>
            </w:pPr>
            <w:r w:rsidRPr="00240717">
              <w:rPr>
                <w:rFonts w:cs="Arial"/>
                <w:szCs w:val="20"/>
              </w:rPr>
              <w:t>Podoba formuláře:</w:t>
            </w:r>
          </w:p>
        </w:tc>
        <w:tc>
          <w:tcPr>
            <w:tcW w:w="6662" w:type="dxa"/>
          </w:tcPr>
          <w:p w:rsidR="00C11B07" w:rsidRPr="00240717" w:rsidRDefault="00C11B07" w:rsidP="000A74C3">
            <w:pPr>
              <w:spacing w:before="0" w:after="0"/>
              <w:jc w:val="both"/>
              <w:rPr>
                <w:rFonts w:cs="Arial"/>
                <w:szCs w:val="20"/>
              </w:rPr>
            </w:pPr>
            <w:r>
              <w:rPr>
                <w:rFonts w:cs="Arial"/>
                <w:szCs w:val="20"/>
              </w:rPr>
              <w:t>Od </w:t>
            </w:r>
            <w:r w:rsidRPr="00240717">
              <w:rPr>
                <w:rFonts w:cs="Arial"/>
                <w:szCs w:val="20"/>
              </w:rPr>
              <w:t>roku 2005 je</w:t>
            </w:r>
            <w:r>
              <w:rPr>
                <w:rFonts w:cs="Arial"/>
                <w:szCs w:val="20"/>
              </w:rPr>
              <w:t xml:space="preserve"> výkaz VTR 5–01 distribuován ve </w:t>
            </w:r>
            <w:r w:rsidRPr="00240717">
              <w:rPr>
                <w:rFonts w:cs="Arial"/>
                <w:szCs w:val="20"/>
              </w:rPr>
              <w:t>dvou mutacích podle</w:t>
            </w:r>
            <w:r>
              <w:rPr>
                <w:rFonts w:cs="Arial"/>
                <w:szCs w:val="20"/>
              </w:rPr>
              <w:t> </w:t>
            </w:r>
            <w:r w:rsidRPr="00240717">
              <w:rPr>
                <w:rFonts w:cs="Arial"/>
                <w:szCs w:val="20"/>
              </w:rPr>
              <w:t>sektorů provádění VaV:</w:t>
            </w:r>
          </w:p>
          <w:p w:rsidR="00C11B07" w:rsidRPr="00240717" w:rsidRDefault="00C11B07" w:rsidP="00C11B07">
            <w:pPr>
              <w:numPr>
                <w:ilvl w:val="0"/>
                <w:numId w:val="43"/>
              </w:numPr>
              <w:spacing w:before="0" w:after="0" w:line="312" w:lineRule="auto"/>
              <w:ind w:left="601"/>
              <w:rPr>
                <w:rFonts w:eastAsia="Arial Unicode MS" w:cs="Arial"/>
                <w:iCs/>
                <w:szCs w:val="20"/>
              </w:rPr>
            </w:pPr>
            <w:r w:rsidRPr="00240717">
              <w:rPr>
                <w:rFonts w:cs="Arial"/>
                <w:bCs/>
                <w:iCs/>
                <w:szCs w:val="20"/>
              </w:rPr>
              <w:t>mutace (a)</w:t>
            </w:r>
            <w:r w:rsidRPr="00240717">
              <w:rPr>
                <w:rFonts w:cs="Arial"/>
                <w:iCs/>
                <w:szCs w:val="20"/>
              </w:rPr>
              <w:t xml:space="preserve"> </w:t>
            </w:r>
            <w:r>
              <w:rPr>
                <w:rFonts w:cs="Arial"/>
                <w:iCs/>
                <w:szCs w:val="20"/>
              </w:rPr>
              <w:noBreakHyphen/>
            </w:r>
            <w:r w:rsidRPr="00240717">
              <w:rPr>
                <w:rFonts w:cs="Arial"/>
                <w:iCs/>
                <w:szCs w:val="20"/>
              </w:rPr>
              <w:t xml:space="preserve"> </w:t>
            </w:r>
            <w:r w:rsidRPr="00240717">
              <w:rPr>
                <w:rFonts w:cs="Arial"/>
                <w:bCs/>
                <w:iCs/>
                <w:szCs w:val="20"/>
              </w:rPr>
              <w:t xml:space="preserve">podnikatelský a soukromý neziskový sektor </w:t>
            </w:r>
            <w:r>
              <w:rPr>
                <w:rFonts w:cs="Arial"/>
                <w:bCs/>
                <w:iCs/>
                <w:szCs w:val="20"/>
              </w:rPr>
              <w:br/>
            </w:r>
            <w:r w:rsidRPr="00240717">
              <w:rPr>
                <w:rFonts w:cs="Arial"/>
                <w:bCs/>
                <w:iCs/>
                <w:szCs w:val="20"/>
              </w:rPr>
              <w:t>[VTR 5</w:t>
            </w:r>
            <w:r>
              <w:rPr>
                <w:rFonts w:cs="Arial"/>
                <w:bCs/>
                <w:iCs/>
                <w:szCs w:val="20"/>
              </w:rPr>
              <w:t>–</w:t>
            </w:r>
            <w:r w:rsidRPr="00240717">
              <w:rPr>
                <w:rFonts w:cs="Arial"/>
                <w:bCs/>
                <w:iCs/>
                <w:szCs w:val="20"/>
              </w:rPr>
              <w:t>01 (a)]</w:t>
            </w:r>
            <w:r w:rsidRPr="00240717">
              <w:rPr>
                <w:rFonts w:cs="Arial"/>
                <w:iCs/>
                <w:szCs w:val="20"/>
              </w:rPr>
              <w:t>,</w:t>
            </w:r>
          </w:p>
          <w:p w:rsidR="00C11B07" w:rsidRDefault="00C11B07" w:rsidP="00C11B07">
            <w:pPr>
              <w:numPr>
                <w:ilvl w:val="0"/>
                <w:numId w:val="43"/>
              </w:numPr>
              <w:spacing w:before="0" w:after="0" w:line="312" w:lineRule="auto"/>
              <w:ind w:left="601"/>
              <w:rPr>
                <w:rFonts w:eastAsia="Arial Unicode MS" w:cs="Arial"/>
                <w:iCs/>
                <w:szCs w:val="20"/>
              </w:rPr>
            </w:pPr>
            <w:r w:rsidRPr="00240717">
              <w:rPr>
                <w:rFonts w:cs="Arial"/>
                <w:bCs/>
                <w:iCs/>
                <w:szCs w:val="20"/>
              </w:rPr>
              <w:t>mutace (b)</w:t>
            </w:r>
            <w:r w:rsidRPr="00240717">
              <w:rPr>
                <w:rFonts w:cs="Arial"/>
                <w:iCs/>
                <w:szCs w:val="20"/>
              </w:rPr>
              <w:t xml:space="preserve"> </w:t>
            </w:r>
            <w:r>
              <w:rPr>
                <w:rFonts w:cs="Arial"/>
                <w:iCs/>
                <w:szCs w:val="20"/>
              </w:rPr>
              <w:noBreakHyphen/>
            </w:r>
            <w:r w:rsidRPr="00240717">
              <w:rPr>
                <w:rFonts w:cs="Arial"/>
                <w:iCs/>
                <w:szCs w:val="20"/>
              </w:rPr>
              <w:t xml:space="preserve"> </w:t>
            </w:r>
            <w:r w:rsidRPr="00240717">
              <w:rPr>
                <w:rFonts w:cs="Arial"/>
                <w:bCs/>
                <w:iCs/>
                <w:szCs w:val="20"/>
              </w:rPr>
              <w:t>vládní a vysokoškolský sektor [VTR 5</w:t>
            </w:r>
            <w:r>
              <w:rPr>
                <w:rFonts w:cs="Arial"/>
                <w:bCs/>
                <w:iCs/>
                <w:szCs w:val="20"/>
              </w:rPr>
              <w:t>–</w:t>
            </w:r>
            <w:r w:rsidRPr="00240717">
              <w:rPr>
                <w:rFonts w:cs="Arial"/>
                <w:bCs/>
                <w:iCs/>
                <w:szCs w:val="20"/>
              </w:rPr>
              <w:t>0</w:t>
            </w:r>
            <w:r>
              <w:rPr>
                <w:rFonts w:cs="Arial"/>
                <w:bCs/>
                <w:iCs/>
                <w:szCs w:val="20"/>
              </w:rPr>
              <w:t>1</w:t>
            </w:r>
            <w:r w:rsidRPr="00240717">
              <w:rPr>
                <w:rFonts w:cs="Arial"/>
                <w:bCs/>
                <w:iCs/>
                <w:szCs w:val="20"/>
              </w:rPr>
              <w:t> (b)].</w:t>
            </w:r>
          </w:p>
          <w:p w:rsidR="00C11B07" w:rsidRPr="00C64F13" w:rsidRDefault="00C11B07" w:rsidP="000A74C3">
            <w:pPr>
              <w:spacing w:before="0" w:after="0" w:line="312" w:lineRule="auto"/>
              <w:rPr>
                <w:rFonts w:eastAsia="Arial Unicode MS" w:cs="Arial"/>
                <w:iCs/>
                <w:szCs w:val="20"/>
              </w:rPr>
            </w:pPr>
          </w:p>
        </w:tc>
      </w:tr>
      <w:tr w:rsidR="00C11B07" w:rsidRPr="00240717" w:rsidTr="000A74C3">
        <w:tc>
          <w:tcPr>
            <w:tcW w:w="2518" w:type="dxa"/>
            <w:shd w:val="pct10" w:color="auto" w:fill="auto"/>
          </w:tcPr>
          <w:p w:rsidR="00C11B07" w:rsidRPr="00240717" w:rsidRDefault="00C11B07" w:rsidP="000A74C3">
            <w:pPr>
              <w:spacing w:before="0"/>
              <w:rPr>
                <w:rFonts w:cs="Arial"/>
                <w:szCs w:val="20"/>
              </w:rPr>
            </w:pPr>
            <w:r w:rsidRPr="00240717">
              <w:rPr>
                <w:rFonts w:cs="Arial"/>
                <w:szCs w:val="20"/>
              </w:rPr>
              <w:t>Technika šetření:</w:t>
            </w:r>
          </w:p>
        </w:tc>
        <w:tc>
          <w:tcPr>
            <w:tcW w:w="6662" w:type="dxa"/>
          </w:tcPr>
          <w:p w:rsidR="00C11B07" w:rsidRPr="00240717" w:rsidRDefault="00C11B07" w:rsidP="000A74C3">
            <w:pPr>
              <w:spacing w:before="0"/>
              <w:rPr>
                <w:rFonts w:cs="Arial"/>
                <w:szCs w:val="20"/>
              </w:rPr>
            </w:pPr>
            <w:r w:rsidRPr="00240717">
              <w:rPr>
                <w:rFonts w:cs="Arial"/>
                <w:szCs w:val="20"/>
              </w:rPr>
              <w:t>Výkaz rozeslaný zpravodajským jednotkám. Možnost vyplnění klasického tištěného dotazníku nebo jeho elektronické verze.</w:t>
            </w:r>
          </w:p>
        </w:tc>
      </w:tr>
      <w:tr w:rsidR="00C11B07" w:rsidRPr="005F58A2" w:rsidTr="000A74C3">
        <w:tc>
          <w:tcPr>
            <w:tcW w:w="2518" w:type="dxa"/>
            <w:shd w:val="pct10" w:color="auto" w:fill="auto"/>
          </w:tcPr>
          <w:p w:rsidR="00C11B07" w:rsidRPr="005F58A2" w:rsidRDefault="00C11B07" w:rsidP="000A74C3">
            <w:pPr>
              <w:spacing w:before="0"/>
              <w:rPr>
                <w:rFonts w:cs="Arial"/>
                <w:szCs w:val="20"/>
              </w:rPr>
            </w:pPr>
            <w:r w:rsidRPr="005F58A2">
              <w:rPr>
                <w:rFonts w:cs="Arial"/>
                <w:szCs w:val="20"/>
              </w:rPr>
              <w:t>Periodicita šetření</w:t>
            </w:r>
            <w:r>
              <w:rPr>
                <w:rFonts w:cs="Arial"/>
                <w:szCs w:val="20"/>
              </w:rPr>
              <w:t>:</w:t>
            </w:r>
          </w:p>
        </w:tc>
        <w:tc>
          <w:tcPr>
            <w:tcW w:w="6662" w:type="dxa"/>
          </w:tcPr>
          <w:p w:rsidR="00C11B07" w:rsidRPr="005F58A2" w:rsidRDefault="00C11B07" w:rsidP="000A74C3">
            <w:pPr>
              <w:spacing w:before="0"/>
              <w:rPr>
                <w:rFonts w:cs="Arial"/>
                <w:szCs w:val="20"/>
              </w:rPr>
            </w:pPr>
            <w:r w:rsidRPr="005F58A2">
              <w:rPr>
                <w:rFonts w:cs="Arial"/>
                <w:szCs w:val="20"/>
              </w:rPr>
              <w:t>Roční</w:t>
            </w:r>
          </w:p>
        </w:tc>
      </w:tr>
      <w:tr w:rsidR="00C11B07" w:rsidRPr="005F58A2" w:rsidTr="000A74C3">
        <w:tc>
          <w:tcPr>
            <w:tcW w:w="2518" w:type="dxa"/>
            <w:shd w:val="pct10" w:color="auto" w:fill="auto"/>
          </w:tcPr>
          <w:p w:rsidR="00C11B07" w:rsidRPr="005F58A2" w:rsidRDefault="00C11B07" w:rsidP="000A74C3">
            <w:pPr>
              <w:spacing w:before="0"/>
              <w:rPr>
                <w:rFonts w:cs="Arial"/>
                <w:szCs w:val="20"/>
              </w:rPr>
            </w:pPr>
            <w:r>
              <w:rPr>
                <w:rFonts w:cs="Arial"/>
                <w:szCs w:val="20"/>
              </w:rPr>
              <w:t>Druh šetření:</w:t>
            </w:r>
          </w:p>
        </w:tc>
        <w:tc>
          <w:tcPr>
            <w:tcW w:w="6662" w:type="dxa"/>
          </w:tcPr>
          <w:p w:rsidR="00C11B07" w:rsidRDefault="00C11B07" w:rsidP="000A74C3">
            <w:pPr>
              <w:spacing w:before="0" w:after="0"/>
              <w:rPr>
                <w:rFonts w:cs="Arial"/>
                <w:szCs w:val="20"/>
              </w:rPr>
            </w:pPr>
            <w:r>
              <w:rPr>
                <w:rFonts w:cs="Arial"/>
                <w:szCs w:val="20"/>
              </w:rPr>
              <w:t>Kombinace vyčerpávajícího a výběrového šetření od roku 2010:</w:t>
            </w:r>
          </w:p>
          <w:p w:rsidR="00C11B07" w:rsidRDefault="00C11B07" w:rsidP="00C11B07">
            <w:pPr>
              <w:numPr>
                <w:ilvl w:val="0"/>
                <w:numId w:val="45"/>
              </w:numPr>
              <w:spacing w:before="0" w:after="0"/>
              <w:ind w:left="714" w:hanging="357"/>
              <w:rPr>
                <w:rFonts w:cs="Arial"/>
                <w:szCs w:val="20"/>
              </w:rPr>
            </w:pPr>
            <w:r>
              <w:rPr>
                <w:rFonts w:cs="Arial"/>
                <w:szCs w:val="20"/>
              </w:rPr>
              <w:t>vyčerpávající pro vládní, vysokoškolský a soukromý neziskový sektor;</w:t>
            </w:r>
          </w:p>
          <w:p w:rsidR="00C11B07" w:rsidRPr="005F58A2" w:rsidRDefault="00C11B07" w:rsidP="00C11B07">
            <w:pPr>
              <w:numPr>
                <w:ilvl w:val="0"/>
                <w:numId w:val="45"/>
              </w:numPr>
              <w:spacing w:before="0"/>
              <w:rPr>
                <w:rFonts w:cs="Arial"/>
                <w:szCs w:val="20"/>
              </w:rPr>
            </w:pPr>
            <w:r>
              <w:rPr>
                <w:rFonts w:cs="Arial"/>
                <w:szCs w:val="20"/>
              </w:rPr>
              <w:t>výběrové šetření pro podnikatelský sektor (Rotační výběr je stanoven pouze pro 1/3 podniků, které splňují určité podmínky).</w:t>
            </w:r>
          </w:p>
        </w:tc>
      </w:tr>
      <w:tr w:rsidR="00C11B07" w:rsidRPr="005F58A2" w:rsidTr="000A74C3">
        <w:tc>
          <w:tcPr>
            <w:tcW w:w="2518" w:type="dxa"/>
            <w:shd w:val="pct10" w:color="auto" w:fill="auto"/>
          </w:tcPr>
          <w:p w:rsidR="00C11B07" w:rsidRPr="005F58A2" w:rsidRDefault="00C11B07" w:rsidP="000A74C3">
            <w:pPr>
              <w:spacing w:before="0"/>
              <w:rPr>
                <w:rFonts w:cs="Arial"/>
                <w:szCs w:val="20"/>
              </w:rPr>
            </w:pPr>
            <w:r>
              <w:rPr>
                <w:rFonts w:cs="Arial"/>
                <w:szCs w:val="20"/>
              </w:rPr>
              <w:t>Dopočty:</w:t>
            </w:r>
          </w:p>
        </w:tc>
        <w:tc>
          <w:tcPr>
            <w:tcW w:w="6662" w:type="dxa"/>
          </w:tcPr>
          <w:p w:rsidR="00C11B07" w:rsidRPr="005F58A2" w:rsidRDefault="00C11B07" w:rsidP="000A74C3">
            <w:pPr>
              <w:spacing w:before="0"/>
              <w:rPr>
                <w:rFonts w:cs="Arial"/>
                <w:szCs w:val="20"/>
              </w:rPr>
            </w:pPr>
            <w:r>
              <w:rPr>
                <w:rFonts w:cs="Arial"/>
                <w:szCs w:val="20"/>
              </w:rPr>
              <w:t>Odhady dat za subjekty, které nevyplnily dotazník, jsou p</w:t>
            </w:r>
            <w:r w:rsidRPr="005F58A2">
              <w:rPr>
                <w:rFonts w:cs="Arial"/>
                <w:szCs w:val="20"/>
              </w:rPr>
              <w:t>rováděny od roku 2001</w:t>
            </w:r>
            <w:r>
              <w:rPr>
                <w:rFonts w:cs="Arial"/>
                <w:szCs w:val="20"/>
              </w:rPr>
              <w:t>.</w:t>
            </w:r>
          </w:p>
        </w:tc>
      </w:tr>
      <w:tr w:rsidR="00C11B07" w:rsidRPr="00DF186C" w:rsidTr="000A74C3">
        <w:tc>
          <w:tcPr>
            <w:tcW w:w="2518" w:type="dxa"/>
            <w:shd w:val="pct10" w:color="auto" w:fill="auto"/>
          </w:tcPr>
          <w:p w:rsidR="00C11B07" w:rsidRPr="00DF186C" w:rsidRDefault="00C11B07" w:rsidP="000A74C3">
            <w:pPr>
              <w:spacing w:before="0"/>
              <w:rPr>
                <w:rFonts w:cs="Arial"/>
                <w:szCs w:val="20"/>
              </w:rPr>
            </w:pPr>
            <w:r w:rsidRPr="00DF186C">
              <w:rPr>
                <w:rFonts w:cs="Arial"/>
                <w:szCs w:val="20"/>
              </w:rPr>
              <w:t>Návratnost výkazu</w:t>
            </w:r>
            <w:r>
              <w:rPr>
                <w:rFonts w:cs="Arial"/>
                <w:szCs w:val="20"/>
              </w:rPr>
              <w:t>:</w:t>
            </w:r>
          </w:p>
        </w:tc>
        <w:tc>
          <w:tcPr>
            <w:tcW w:w="6662" w:type="dxa"/>
          </w:tcPr>
          <w:p w:rsidR="00C11B07" w:rsidRPr="00DF186C" w:rsidRDefault="00C11B07" w:rsidP="000A74C3">
            <w:pPr>
              <w:spacing w:before="0"/>
              <w:rPr>
                <w:rFonts w:cs="Arial"/>
                <w:szCs w:val="20"/>
              </w:rPr>
            </w:pPr>
            <w:r>
              <w:rPr>
                <w:rFonts w:cs="Arial"/>
                <w:szCs w:val="20"/>
              </w:rPr>
              <w:t xml:space="preserve">Rok 2012: 87,9 %; 2011: 87,2 %; rok 2010: 86,6 %; </w:t>
            </w:r>
            <w:r w:rsidRPr="005F0E8E">
              <w:rPr>
                <w:rFonts w:cs="Arial"/>
                <w:szCs w:val="20"/>
              </w:rPr>
              <w:t>2009: 89,8 %</w:t>
            </w:r>
          </w:p>
        </w:tc>
      </w:tr>
      <w:tr w:rsidR="00C11B07" w:rsidRPr="00240717" w:rsidTr="000A74C3">
        <w:tc>
          <w:tcPr>
            <w:tcW w:w="2518" w:type="dxa"/>
            <w:shd w:val="pct10" w:color="auto" w:fill="auto"/>
          </w:tcPr>
          <w:p w:rsidR="00C11B07" w:rsidRPr="00240717" w:rsidRDefault="00C11B07" w:rsidP="000A74C3">
            <w:pPr>
              <w:spacing w:before="0"/>
              <w:rPr>
                <w:rFonts w:cs="Arial"/>
                <w:szCs w:val="20"/>
              </w:rPr>
            </w:pPr>
            <w:r w:rsidRPr="00240717">
              <w:rPr>
                <w:rFonts w:cs="Arial"/>
                <w:szCs w:val="20"/>
              </w:rPr>
              <w:t>Zpravodajské jednotky:</w:t>
            </w:r>
          </w:p>
        </w:tc>
        <w:tc>
          <w:tcPr>
            <w:tcW w:w="6662" w:type="dxa"/>
          </w:tcPr>
          <w:p w:rsidR="00C11B07" w:rsidRPr="00240717" w:rsidRDefault="00C11B07" w:rsidP="000A74C3">
            <w:pPr>
              <w:spacing w:before="0"/>
              <w:jc w:val="both"/>
              <w:rPr>
                <w:rFonts w:cs="Arial"/>
                <w:szCs w:val="20"/>
              </w:rPr>
            </w:pPr>
            <w:r w:rsidRPr="00240717">
              <w:rPr>
                <w:rFonts w:cs="Arial"/>
                <w:szCs w:val="20"/>
              </w:rPr>
              <w:t>Všechny právnické a fyzické osoby provádějící VaV na území ČR jako svoji hlavní nebo vedlejší činnost bez</w:t>
            </w:r>
            <w:r>
              <w:rPr>
                <w:rFonts w:cs="Arial"/>
                <w:szCs w:val="20"/>
              </w:rPr>
              <w:t> ohledu na </w:t>
            </w:r>
            <w:r w:rsidRPr="00240717">
              <w:rPr>
                <w:rFonts w:cs="Arial"/>
                <w:szCs w:val="20"/>
              </w:rPr>
              <w:t>počet jejich zaměs</w:t>
            </w:r>
            <w:r>
              <w:rPr>
                <w:rFonts w:cs="Arial"/>
                <w:szCs w:val="20"/>
              </w:rPr>
              <w:t>tnanců, sektor nebo odvětví, ve </w:t>
            </w:r>
            <w:r w:rsidRPr="00240717">
              <w:rPr>
                <w:rFonts w:cs="Arial"/>
                <w:szCs w:val="20"/>
              </w:rPr>
              <w:t xml:space="preserve">kterém působí. </w:t>
            </w:r>
          </w:p>
        </w:tc>
      </w:tr>
      <w:tr w:rsidR="00C11B07" w:rsidRPr="00240717" w:rsidTr="000A74C3">
        <w:tc>
          <w:tcPr>
            <w:tcW w:w="2518" w:type="dxa"/>
            <w:shd w:val="pct10" w:color="auto" w:fill="auto"/>
          </w:tcPr>
          <w:p w:rsidR="00C11B07" w:rsidRPr="00240717" w:rsidRDefault="00C11B07" w:rsidP="000A74C3">
            <w:pPr>
              <w:spacing w:before="0"/>
              <w:rPr>
                <w:rFonts w:cs="Arial"/>
                <w:szCs w:val="20"/>
              </w:rPr>
            </w:pPr>
            <w:r w:rsidRPr="00240717">
              <w:rPr>
                <w:rFonts w:cs="Arial"/>
                <w:szCs w:val="20"/>
              </w:rPr>
              <w:lastRenderedPageBreak/>
              <w:t>Předmět šetření:</w:t>
            </w:r>
          </w:p>
        </w:tc>
        <w:tc>
          <w:tcPr>
            <w:tcW w:w="6662" w:type="dxa"/>
          </w:tcPr>
          <w:p w:rsidR="00C11B07" w:rsidRPr="00240717" w:rsidRDefault="00C11B07" w:rsidP="000A74C3">
            <w:pPr>
              <w:spacing w:before="0"/>
              <w:jc w:val="both"/>
              <w:rPr>
                <w:rFonts w:cs="Arial"/>
                <w:szCs w:val="20"/>
              </w:rPr>
            </w:pPr>
            <w:r>
              <w:rPr>
                <w:rFonts w:cs="Arial"/>
                <w:szCs w:val="20"/>
              </w:rPr>
              <w:t>Údaje</w:t>
            </w:r>
            <w:r w:rsidRPr="00240717">
              <w:rPr>
                <w:rFonts w:cs="Arial"/>
                <w:szCs w:val="20"/>
              </w:rPr>
              <w:t xml:space="preserve"> o</w:t>
            </w:r>
            <w:r>
              <w:rPr>
                <w:rFonts w:cs="Arial"/>
                <w:szCs w:val="20"/>
              </w:rPr>
              <w:t> </w:t>
            </w:r>
            <w:r w:rsidRPr="00240717">
              <w:rPr>
                <w:rFonts w:cs="Arial"/>
                <w:szCs w:val="20"/>
              </w:rPr>
              <w:t>lidských a finančních zdrojích určených k výzkumným a vývojovým činnostem (ukazatele VaV z hlediska “vstupů“).</w:t>
            </w:r>
          </w:p>
        </w:tc>
      </w:tr>
      <w:tr w:rsidR="00C11B07" w:rsidRPr="00240717" w:rsidTr="000A74C3">
        <w:tc>
          <w:tcPr>
            <w:tcW w:w="2518" w:type="dxa"/>
            <w:shd w:val="pct10" w:color="auto" w:fill="auto"/>
          </w:tcPr>
          <w:p w:rsidR="00C11B07" w:rsidRPr="00240717" w:rsidRDefault="00C11B07" w:rsidP="000A74C3">
            <w:pPr>
              <w:spacing w:before="0"/>
              <w:rPr>
                <w:rFonts w:cs="Arial"/>
                <w:szCs w:val="20"/>
              </w:rPr>
            </w:pPr>
            <w:r w:rsidRPr="00240717">
              <w:rPr>
                <w:rFonts w:cs="Arial"/>
                <w:szCs w:val="20"/>
              </w:rPr>
              <w:t>Zjišťované charakteristiky:</w:t>
            </w:r>
          </w:p>
        </w:tc>
        <w:tc>
          <w:tcPr>
            <w:tcW w:w="6662" w:type="dxa"/>
          </w:tcPr>
          <w:p w:rsidR="00C11B07" w:rsidRDefault="00C11B07" w:rsidP="000A74C3">
            <w:pPr>
              <w:spacing w:before="0"/>
              <w:rPr>
                <w:rFonts w:cs="Arial"/>
                <w:szCs w:val="20"/>
              </w:rPr>
            </w:pPr>
            <w:r w:rsidRPr="00C406F4">
              <w:rPr>
                <w:rFonts w:cs="Arial"/>
                <w:szCs w:val="20"/>
              </w:rPr>
              <w:t xml:space="preserve">Počet ekonomických subjektů provádějících VaV a jejich pracovišť, kde se provádí VaV (pracoviště VaV) </w:t>
            </w:r>
            <w:r>
              <w:rPr>
                <w:rFonts w:cs="Arial"/>
                <w:szCs w:val="20"/>
              </w:rPr>
              <w:t xml:space="preserve">- </w:t>
            </w:r>
            <w:r w:rsidRPr="00C406F4">
              <w:rPr>
                <w:rFonts w:cs="Arial"/>
                <w:szCs w:val="20"/>
              </w:rPr>
              <w:t xml:space="preserve">podle </w:t>
            </w:r>
            <w:r>
              <w:rPr>
                <w:rFonts w:cs="Arial"/>
                <w:szCs w:val="20"/>
              </w:rPr>
              <w:t xml:space="preserve">velikostních </w:t>
            </w:r>
            <w:r w:rsidRPr="00C406F4">
              <w:rPr>
                <w:rFonts w:cs="Arial"/>
                <w:szCs w:val="20"/>
              </w:rPr>
              <w:t>skupin dle výše výdajů za v nich provedený VaV a počtu osob v nich pracujících ve VaV</w:t>
            </w:r>
            <w:r>
              <w:rPr>
                <w:rFonts w:cs="Arial"/>
                <w:szCs w:val="20"/>
              </w:rPr>
              <w:t>.</w:t>
            </w:r>
          </w:p>
          <w:p w:rsidR="00C11B07" w:rsidRDefault="00C11B07" w:rsidP="000A74C3">
            <w:pPr>
              <w:spacing w:before="0"/>
              <w:rPr>
                <w:rFonts w:cs="Arial"/>
                <w:szCs w:val="20"/>
              </w:rPr>
            </w:pPr>
            <w:r w:rsidRPr="00EF2649">
              <w:rPr>
                <w:rFonts w:cs="Arial"/>
                <w:i/>
                <w:szCs w:val="20"/>
              </w:rPr>
              <w:t>Poznámka: Zvlášť se publikují tyto údaje za ekonomické subjekty s převažující ekonomickou činností VaV (CZ-NACE 72 – Výzkumná pracoviště).</w:t>
            </w:r>
          </w:p>
          <w:p w:rsidR="00C11B07" w:rsidRPr="00B70D6D" w:rsidRDefault="00C11B07" w:rsidP="000A74C3">
            <w:pPr>
              <w:spacing w:before="0"/>
              <w:rPr>
                <w:rFonts w:cs="Arial"/>
                <w:szCs w:val="20"/>
              </w:rPr>
            </w:pPr>
            <w:r w:rsidRPr="00240717">
              <w:rPr>
                <w:rFonts w:cs="Arial"/>
                <w:szCs w:val="20"/>
              </w:rPr>
              <w:t>Poče</w:t>
            </w:r>
            <w:r>
              <w:rPr>
                <w:rFonts w:cs="Arial"/>
                <w:szCs w:val="20"/>
              </w:rPr>
              <w:t>t a struktura zaměstnanců </w:t>
            </w:r>
            <w:r w:rsidRPr="00240717">
              <w:rPr>
                <w:rFonts w:cs="Arial"/>
                <w:szCs w:val="20"/>
              </w:rPr>
              <w:t xml:space="preserve">VaV </w:t>
            </w:r>
            <w:r>
              <w:rPr>
                <w:rFonts w:cs="Arial"/>
                <w:szCs w:val="20"/>
              </w:rPr>
              <w:noBreakHyphen/>
            </w:r>
            <w:r w:rsidRPr="00240717">
              <w:rPr>
                <w:rFonts w:cs="Arial"/>
                <w:szCs w:val="20"/>
              </w:rPr>
              <w:t xml:space="preserve"> podle</w:t>
            </w:r>
            <w:r>
              <w:rPr>
                <w:rFonts w:cs="Arial"/>
                <w:szCs w:val="20"/>
              </w:rPr>
              <w:t> </w:t>
            </w:r>
            <w:r w:rsidRPr="00240717">
              <w:rPr>
                <w:rFonts w:cs="Arial"/>
                <w:szCs w:val="20"/>
              </w:rPr>
              <w:t>pracovní činnosti, stupně dosaženého vzdělání</w:t>
            </w:r>
            <w:r>
              <w:rPr>
                <w:rFonts w:cs="Arial"/>
                <w:szCs w:val="20"/>
              </w:rPr>
              <w:t xml:space="preserve"> </w:t>
            </w:r>
            <w:r w:rsidRPr="00B70D6D">
              <w:rPr>
                <w:rFonts w:cs="Arial"/>
                <w:szCs w:val="20"/>
              </w:rPr>
              <w:t>a pohlaví</w:t>
            </w:r>
            <w:r>
              <w:rPr>
                <w:rFonts w:cs="Arial"/>
                <w:szCs w:val="20"/>
              </w:rPr>
              <w:t>.</w:t>
            </w:r>
            <w:r>
              <w:rPr>
                <w:rFonts w:cs="Arial"/>
                <w:szCs w:val="20"/>
              </w:rPr>
              <w:br/>
              <w:t>V roce 2011 v</w:t>
            </w:r>
            <w:r w:rsidRPr="00B70D6D">
              <w:rPr>
                <w:rFonts w:cs="Arial"/>
                <w:szCs w:val="20"/>
              </w:rPr>
              <w:t>ýzkumní pracovníci</w:t>
            </w:r>
            <w:r>
              <w:rPr>
                <w:rFonts w:cs="Arial"/>
                <w:szCs w:val="20"/>
              </w:rPr>
              <w:t xml:space="preserve"> </w:t>
            </w:r>
            <w:r>
              <w:rPr>
                <w:rFonts w:cs="Arial"/>
                <w:szCs w:val="20"/>
              </w:rPr>
              <w:noBreakHyphen/>
              <w:t xml:space="preserve"> </w:t>
            </w:r>
            <w:r w:rsidRPr="00B70D6D">
              <w:rPr>
                <w:rFonts w:cs="Arial"/>
                <w:szCs w:val="20"/>
              </w:rPr>
              <w:t>podle věku a státního občanství.</w:t>
            </w:r>
          </w:p>
          <w:p w:rsidR="00C11B07" w:rsidRPr="00240717" w:rsidRDefault="00C11B07" w:rsidP="000A74C3">
            <w:pPr>
              <w:spacing w:before="0"/>
              <w:jc w:val="both"/>
              <w:rPr>
                <w:rFonts w:cs="Arial"/>
                <w:szCs w:val="20"/>
              </w:rPr>
            </w:pPr>
            <w:r>
              <w:rPr>
                <w:rFonts w:cs="Arial"/>
                <w:szCs w:val="20"/>
              </w:rPr>
              <w:t xml:space="preserve">Výše a struktura výdajů na výzkum a vývoj </w:t>
            </w:r>
            <w:r>
              <w:rPr>
                <w:rFonts w:cs="Arial"/>
                <w:szCs w:val="20"/>
              </w:rPr>
              <w:noBreakHyphen/>
              <w:t xml:space="preserve"> podle </w:t>
            </w:r>
            <w:r w:rsidRPr="00240717">
              <w:rPr>
                <w:rFonts w:cs="Arial"/>
                <w:szCs w:val="20"/>
              </w:rPr>
              <w:t>typu výdajů, zdrojů financování, druhu výzkumné a vývojové činnosti.</w:t>
            </w:r>
          </w:p>
          <w:p w:rsidR="00C11B07" w:rsidRPr="00240717" w:rsidRDefault="00C11B07" w:rsidP="000A74C3">
            <w:pPr>
              <w:spacing w:before="0"/>
              <w:jc w:val="both"/>
              <w:rPr>
                <w:rFonts w:cs="Arial"/>
                <w:szCs w:val="20"/>
              </w:rPr>
            </w:pPr>
            <w:r w:rsidRPr="00240717">
              <w:rPr>
                <w:rFonts w:cs="Arial"/>
                <w:szCs w:val="20"/>
              </w:rPr>
              <w:t>Výše a struktura výdajů na</w:t>
            </w:r>
            <w:r>
              <w:rPr>
                <w:rFonts w:cs="Arial"/>
                <w:szCs w:val="20"/>
              </w:rPr>
              <w:t> </w:t>
            </w:r>
            <w:r w:rsidRPr="00240717">
              <w:rPr>
                <w:rFonts w:cs="Arial"/>
                <w:szCs w:val="20"/>
              </w:rPr>
              <w:t>výzkum a vývoj ve</w:t>
            </w:r>
            <w:r>
              <w:rPr>
                <w:rFonts w:cs="Arial"/>
                <w:szCs w:val="20"/>
              </w:rPr>
              <w:t> </w:t>
            </w:r>
            <w:r w:rsidRPr="00240717">
              <w:rPr>
                <w:rFonts w:cs="Arial"/>
                <w:szCs w:val="20"/>
              </w:rPr>
              <w:t>vybraných oblastech</w:t>
            </w:r>
            <w:r>
              <w:rPr>
                <w:rFonts w:cs="Arial"/>
                <w:szCs w:val="20"/>
              </w:rPr>
              <w:t xml:space="preserve"> (informační a komunikační technologie, biotechnologie, </w:t>
            </w:r>
            <w:proofErr w:type="spellStart"/>
            <w:r>
              <w:rPr>
                <w:rFonts w:cs="Arial"/>
                <w:szCs w:val="20"/>
              </w:rPr>
              <w:t>nanotechnologie</w:t>
            </w:r>
            <w:proofErr w:type="spellEnd"/>
            <w:r>
              <w:rPr>
                <w:rFonts w:cs="Arial"/>
                <w:szCs w:val="20"/>
              </w:rPr>
              <w:t xml:space="preserve"> a </w:t>
            </w:r>
            <w:proofErr w:type="spellStart"/>
            <w:r>
              <w:rPr>
                <w:rFonts w:cs="Arial"/>
                <w:szCs w:val="20"/>
              </w:rPr>
              <w:t>nanomateriály</w:t>
            </w:r>
            <w:proofErr w:type="spellEnd"/>
            <w:r>
              <w:rPr>
                <w:rFonts w:cs="Arial"/>
                <w:szCs w:val="20"/>
              </w:rPr>
              <w:t>)</w:t>
            </w:r>
            <w:r w:rsidRPr="00240717">
              <w:rPr>
                <w:rFonts w:cs="Arial"/>
                <w:szCs w:val="20"/>
              </w:rPr>
              <w:t>.</w:t>
            </w:r>
          </w:p>
          <w:p w:rsidR="00C11B07" w:rsidRDefault="00C11B07" w:rsidP="000A74C3">
            <w:pPr>
              <w:spacing w:before="0"/>
              <w:jc w:val="both"/>
              <w:rPr>
                <w:rFonts w:cs="Arial"/>
                <w:szCs w:val="20"/>
              </w:rPr>
            </w:pPr>
            <w:r>
              <w:rPr>
                <w:rFonts w:cs="Arial"/>
                <w:szCs w:val="20"/>
              </w:rPr>
              <w:t>Výdaje na nákupy služeb VaV od jiných subjektů z ČR i zahraničí.</w:t>
            </w:r>
          </w:p>
          <w:p w:rsidR="00C11B07" w:rsidRPr="00240717" w:rsidRDefault="00C11B07" w:rsidP="000A74C3">
            <w:pPr>
              <w:spacing w:before="0"/>
              <w:jc w:val="both"/>
              <w:rPr>
                <w:rFonts w:cs="Arial"/>
                <w:szCs w:val="20"/>
              </w:rPr>
            </w:pPr>
            <w:r w:rsidRPr="00EF2649">
              <w:rPr>
                <w:rFonts w:cs="Arial"/>
                <w:i/>
                <w:szCs w:val="20"/>
              </w:rPr>
              <w:t>Poznámka: Tyto údaje slouží pro výpočet kapitalizace výzkumu a vývoje a nejsou publikovány samostatně</w:t>
            </w:r>
            <w:r>
              <w:rPr>
                <w:rFonts w:cs="Arial"/>
                <w:i/>
                <w:szCs w:val="20"/>
              </w:rPr>
              <w:t>.</w:t>
            </w:r>
          </w:p>
        </w:tc>
      </w:tr>
      <w:tr w:rsidR="00C11B07" w:rsidRPr="00240717" w:rsidTr="000A74C3">
        <w:tc>
          <w:tcPr>
            <w:tcW w:w="2518" w:type="dxa"/>
            <w:shd w:val="pct10" w:color="auto" w:fill="auto"/>
          </w:tcPr>
          <w:p w:rsidR="00C11B07" w:rsidRPr="00240717" w:rsidRDefault="00C11B07" w:rsidP="000A74C3">
            <w:pPr>
              <w:spacing w:before="0"/>
              <w:rPr>
                <w:rFonts w:cs="Arial"/>
                <w:szCs w:val="20"/>
              </w:rPr>
            </w:pPr>
            <w:r w:rsidRPr="00240717">
              <w:rPr>
                <w:rFonts w:cs="Arial"/>
                <w:szCs w:val="20"/>
              </w:rPr>
              <w:t>Třídění zjišťovaných charakteristik:</w:t>
            </w:r>
          </w:p>
        </w:tc>
        <w:tc>
          <w:tcPr>
            <w:tcW w:w="6662" w:type="dxa"/>
          </w:tcPr>
          <w:p w:rsidR="00C11B07" w:rsidRPr="00240717" w:rsidRDefault="00C11B07" w:rsidP="000A74C3">
            <w:pPr>
              <w:spacing w:before="0"/>
              <w:rPr>
                <w:rFonts w:cs="Arial"/>
                <w:szCs w:val="20"/>
              </w:rPr>
            </w:pPr>
            <w:r w:rsidRPr="00240717">
              <w:rPr>
                <w:rFonts w:cs="Arial"/>
                <w:szCs w:val="20"/>
              </w:rPr>
              <w:t>Zjišťované charakteristiky jsou sledovány:</w:t>
            </w:r>
          </w:p>
          <w:p w:rsidR="00C11B07" w:rsidRPr="00240717" w:rsidRDefault="00C11B07" w:rsidP="00C11B07">
            <w:pPr>
              <w:numPr>
                <w:ilvl w:val="0"/>
                <w:numId w:val="44"/>
              </w:numPr>
              <w:spacing w:before="0"/>
              <w:rPr>
                <w:rFonts w:cs="Arial"/>
                <w:szCs w:val="20"/>
              </w:rPr>
            </w:pPr>
            <w:r w:rsidRPr="00240717">
              <w:rPr>
                <w:rFonts w:cs="Arial"/>
                <w:szCs w:val="20"/>
              </w:rPr>
              <w:t>v jednotlivých sektorech provádění VaV (podnikatelský, vládní, vysokoškolský a soukromý neziskový sektor),</w:t>
            </w:r>
          </w:p>
          <w:p w:rsidR="00C11B07" w:rsidRPr="00240717" w:rsidRDefault="00C11B07" w:rsidP="00C11B07">
            <w:pPr>
              <w:numPr>
                <w:ilvl w:val="0"/>
                <w:numId w:val="44"/>
              </w:numPr>
              <w:spacing w:before="0"/>
              <w:rPr>
                <w:rFonts w:cs="Arial"/>
                <w:szCs w:val="20"/>
              </w:rPr>
            </w:pPr>
            <w:r w:rsidRPr="00240717">
              <w:rPr>
                <w:rFonts w:cs="Arial"/>
                <w:szCs w:val="20"/>
              </w:rPr>
              <w:t>podle</w:t>
            </w:r>
            <w:r>
              <w:rPr>
                <w:rFonts w:cs="Arial"/>
                <w:szCs w:val="20"/>
              </w:rPr>
              <w:t> převažující skupiny</w:t>
            </w:r>
            <w:r w:rsidRPr="00240717">
              <w:rPr>
                <w:rFonts w:cs="Arial"/>
                <w:szCs w:val="20"/>
              </w:rPr>
              <w:t xml:space="preserve"> hlavních vědních oblastí (přírodní vědy, technické vědy, lékařské vědy, </w:t>
            </w:r>
            <w:r w:rsidRPr="000E31C9">
              <w:rPr>
                <w:rFonts w:cs="Arial"/>
                <w:szCs w:val="20"/>
              </w:rPr>
              <w:t>zemědělské vědy, sociální</w:t>
            </w:r>
            <w:r w:rsidRPr="00240717">
              <w:rPr>
                <w:rFonts w:cs="Arial"/>
                <w:szCs w:val="20"/>
              </w:rPr>
              <w:t xml:space="preserve"> a humanitní vědy</w:t>
            </w:r>
            <w:r>
              <w:rPr>
                <w:rFonts w:cs="Arial"/>
                <w:szCs w:val="20"/>
              </w:rPr>
              <w:t xml:space="preserve"> – klasifikace FOS</w:t>
            </w:r>
            <w:r w:rsidRPr="00240717">
              <w:rPr>
                <w:rFonts w:cs="Arial"/>
                <w:szCs w:val="20"/>
              </w:rPr>
              <w:t>),</w:t>
            </w:r>
          </w:p>
          <w:p w:rsidR="00C11B07" w:rsidRDefault="00C11B07" w:rsidP="00C11B07">
            <w:pPr>
              <w:numPr>
                <w:ilvl w:val="0"/>
                <w:numId w:val="44"/>
              </w:numPr>
              <w:spacing w:before="0"/>
              <w:rPr>
                <w:rFonts w:cs="Arial"/>
                <w:szCs w:val="20"/>
              </w:rPr>
            </w:pPr>
            <w:r w:rsidRPr="00240717">
              <w:rPr>
                <w:rFonts w:cs="Arial"/>
                <w:szCs w:val="20"/>
              </w:rPr>
              <w:t>v krajském členění (CZ</w:t>
            </w:r>
            <w:r>
              <w:rPr>
                <w:rFonts w:cs="Arial"/>
                <w:szCs w:val="20"/>
              </w:rPr>
              <w:noBreakHyphen/>
            </w:r>
            <w:r w:rsidRPr="00240717">
              <w:rPr>
                <w:rFonts w:cs="Arial"/>
                <w:szCs w:val="20"/>
              </w:rPr>
              <w:t>NUTS 3)</w:t>
            </w:r>
            <w:r>
              <w:rPr>
                <w:rFonts w:cs="Arial"/>
                <w:szCs w:val="20"/>
              </w:rPr>
              <w:t>,</w:t>
            </w:r>
          </w:p>
          <w:p w:rsidR="00C11B07" w:rsidRDefault="00C11B07" w:rsidP="00C11B07">
            <w:pPr>
              <w:numPr>
                <w:ilvl w:val="0"/>
                <w:numId w:val="44"/>
              </w:numPr>
              <w:spacing w:before="0"/>
              <w:rPr>
                <w:rFonts w:cs="Arial"/>
                <w:szCs w:val="20"/>
              </w:rPr>
            </w:pPr>
            <w:r>
              <w:rPr>
                <w:rFonts w:cs="Arial"/>
                <w:szCs w:val="20"/>
              </w:rPr>
              <w:t>v podnikatelském sektoru navíc podle vlastnictví (veřejné podniky, soukromé podniky pod domácí kontrolou a soukromé podniky pod zahraniční kontrolou), velikosti (počtu zaměstnanců) a převažující ekonomické činnosti (klasifikace CZ</w:t>
            </w:r>
            <w:r>
              <w:rPr>
                <w:rFonts w:cs="Arial"/>
                <w:szCs w:val="20"/>
              </w:rPr>
              <w:noBreakHyphen/>
              <w:t xml:space="preserve">NACE), </w:t>
            </w:r>
          </w:p>
          <w:p w:rsidR="00C11B07" w:rsidRPr="00240717" w:rsidRDefault="00C11B07" w:rsidP="00C11B07">
            <w:pPr>
              <w:numPr>
                <w:ilvl w:val="0"/>
                <w:numId w:val="44"/>
              </w:numPr>
              <w:spacing w:before="0"/>
              <w:rPr>
                <w:rFonts w:cs="Arial"/>
                <w:szCs w:val="20"/>
              </w:rPr>
            </w:pPr>
            <w:r>
              <w:rPr>
                <w:rFonts w:cs="Arial"/>
                <w:szCs w:val="20"/>
              </w:rPr>
              <w:t xml:space="preserve">ve vládním a vysokoškolském sektoru podle druhu pracoviště. </w:t>
            </w:r>
          </w:p>
        </w:tc>
      </w:tr>
      <w:tr w:rsidR="00C11B07" w:rsidRPr="00240717" w:rsidTr="000A74C3">
        <w:tc>
          <w:tcPr>
            <w:tcW w:w="2518" w:type="dxa"/>
            <w:shd w:val="pct10" w:color="auto" w:fill="auto"/>
          </w:tcPr>
          <w:p w:rsidR="00C11B07" w:rsidRPr="00240717" w:rsidRDefault="00C11B07" w:rsidP="000A74C3">
            <w:pPr>
              <w:spacing w:before="0"/>
              <w:rPr>
                <w:rFonts w:cs="Arial"/>
                <w:szCs w:val="20"/>
              </w:rPr>
            </w:pPr>
            <w:r w:rsidRPr="00240717">
              <w:rPr>
                <w:rFonts w:cs="Arial"/>
                <w:szCs w:val="20"/>
              </w:rPr>
              <w:t>Mezinárodní srovnání</w:t>
            </w:r>
          </w:p>
        </w:tc>
        <w:tc>
          <w:tcPr>
            <w:tcW w:w="6662" w:type="dxa"/>
          </w:tcPr>
          <w:p w:rsidR="00C11B07" w:rsidRPr="00240717" w:rsidRDefault="00C11B07" w:rsidP="000A74C3">
            <w:pPr>
              <w:spacing w:before="0"/>
              <w:rPr>
                <w:rFonts w:cs="Arial"/>
                <w:szCs w:val="20"/>
              </w:rPr>
            </w:pPr>
            <w:r w:rsidRPr="00240717">
              <w:rPr>
                <w:rFonts w:cs="Arial"/>
                <w:szCs w:val="20"/>
              </w:rPr>
              <w:t xml:space="preserve">Údaje získané z tohoto šetření lze mezinárodně srovnávat, neboť šetření respektuje metodické principy OECD uvedené ve </w:t>
            </w:r>
            <w:proofErr w:type="spellStart"/>
            <w:r w:rsidRPr="00992502">
              <w:rPr>
                <w:rFonts w:cs="Arial"/>
                <w:b/>
                <w:szCs w:val="20"/>
              </w:rPr>
              <w:t>Frascati</w:t>
            </w:r>
            <w:proofErr w:type="spellEnd"/>
            <w:r w:rsidRPr="00992502">
              <w:rPr>
                <w:rFonts w:cs="Arial"/>
                <w:b/>
                <w:szCs w:val="20"/>
              </w:rPr>
              <w:t xml:space="preserve"> manuálu</w:t>
            </w:r>
            <w:r>
              <w:rPr>
                <w:rFonts w:cs="Arial"/>
                <w:b/>
                <w:szCs w:val="20"/>
              </w:rPr>
              <w:t xml:space="preserve"> </w:t>
            </w:r>
            <w:r w:rsidRPr="00C6281E">
              <w:rPr>
                <w:rFonts w:cs="Arial"/>
                <w:szCs w:val="20"/>
              </w:rPr>
              <w:t>(OECD,</w:t>
            </w:r>
            <w:r>
              <w:rPr>
                <w:rFonts w:cs="Arial"/>
                <w:szCs w:val="20"/>
              </w:rPr>
              <w:t xml:space="preserve"> </w:t>
            </w:r>
            <w:r w:rsidRPr="00C6281E">
              <w:rPr>
                <w:rFonts w:cs="Arial"/>
                <w:szCs w:val="20"/>
              </w:rPr>
              <w:t xml:space="preserve">2002) </w:t>
            </w:r>
            <w:r w:rsidRPr="000E294F">
              <w:rPr>
                <w:rFonts w:cs="Arial"/>
                <w:szCs w:val="20"/>
              </w:rPr>
              <w:t xml:space="preserve">a </w:t>
            </w:r>
            <w:r w:rsidRPr="000E294F">
              <w:rPr>
                <w:rFonts w:cs="Arial"/>
                <w:b/>
                <w:szCs w:val="20"/>
              </w:rPr>
              <w:t>prováděcím nařízení Komise (EU) č. 995/2012 ze dne 26. října 2012</w:t>
            </w:r>
            <w:r w:rsidRPr="00992502">
              <w:rPr>
                <w:rFonts w:cs="Arial"/>
                <w:szCs w:val="20"/>
              </w:rPr>
              <w:t>.</w:t>
            </w:r>
          </w:p>
        </w:tc>
      </w:tr>
    </w:tbl>
    <w:p w:rsidR="00C806B9" w:rsidRPr="001758DD" w:rsidRDefault="00D8340E" w:rsidP="00D8340E">
      <w:pPr>
        <w:pStyle w:val="Nadpis1"/>
        <w:rPr>
          <w:rFonts w:eastAsia="Arial Unicode MS"/>
        </w:rPr>
      </w:pPr>
      <w:r>
        <w:rPr>
          <w:sz w:val="24"/>
          <w:szCs w:val="24"/>
        </w:rPr>
        <w:lastRenderedPageBreak/>
        <w:t xml:space="preserve">2. </w:t>
      </w:r>
      <w:r w:rsidRPr="00D8340E">
        <w:rPr>
          <w:sz w:val="24"/>
          <w:szCs w:val="24"/>
        </w:rPr>
        <w:t>DEFINICE</w:t>
      </w:r>
    </w:p>
    <w:p w:rsidR="00E6403D" w:rsidRPr="00D8340E" w:rsidRDefault="00E6403D" w:rsidP="00E6403D">
      <w:pPr>
        <w:pStyle w:val="Nadpis1"/>
        <w:rPr>
          <w:rFonts w:eastAsia="Arial Unicode MS"/>
          <w:sz w:val="24"/>
          <w:szCs w:val="24"/>
        </w:rPr>
      </w:pPr>
      <w:r>
        <w:rPr>
          <w:sz w:val="24"/>
          <w:szCs w:val="24"/>
        </w:rPr>
        <w:t>2.1. Výzkum a vývoj</w:t>
      </w:r>
    </w:p>
    <w:p w:rsidR="00E16B04" w:rsidRDefault="00E16B04" w:rsidP="00E16B04">
      <w:pPr>
        <w:spacing w:after="0"/>
        <w:jc w:val="both"/>
        <w:rPr>
          <w:rFonts w:cs="Arial"/>
          <w:b/>
          <w:szCs w:val="20"/>
        </w:rPr>
      </w:pPr>
      <w:r w:rsidRPr="00E16B04">
        <w:rPr>
          <w:rFonts w:cs="Arial"/>
          <w:b/>
          <w:szCs w:val="20"/>
          <w:u w:val="single"/>
        </w:rPr>
        <w:t>Výzkum a vývoj</w:t>
      </w:r>
      <w:r w:rsidRPr="003E275A">
        <w:rPr>
          <w:rFonts w:cs="Arial"/>
          <w:b/>
          <w:szCs w:val="20"/>
        </w:rPr>
        <w:t xml:space="preserve"> </w:t>
      </w:r>
      <w:r w:rsidRPr="003E275A">
        <w:rPr>
          <w:rFonts w:cs="Arial"/>
          <w:bCs/>
          <w:szCs w:val="20"/>
        </w:rPr>
        <w:t>je</w:t>
      </w:r>
      <w:r w:rsidRPr="003E275A">
        <w:rPr>
          <w:rFonts w:cs="Arial"/>
          <w:b/>
          <w:szCs w:val="20"/>
        </w:rPr>
        <w:t xml:space="preserve"> </w:t>
      </w:r>
      <w:r w:rsidRPr="003E275A">
        <w:rPr>
          <w:rFonts w:cs="Arial"/>
          <w:bCs/>
          <w:szCs w:val="20"/>
        </w:rPr>
        <w:t>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Rozlišujeme tři</w:t>
      </w:r>
      <w:r w:rsidRPr="003E275A">
        <w:rPr>
          <w:rFonts w:cs="Arial"/>
          <w:b/>
          <w:szCs w:val="20"/>
        </w:rPr>
        <w:t xml:space="preserve"> typy </w:t>
      </w:r>
      <w:r w:rsidRPr="003E275A">
        <w:rPr>
          <w:rFonts w:cs="Arial"/>
          <w:bCs/>
          <w:szCs w:val="20"/>
        </w:rPr>
        <w:t>výzkumné a vývojové činnosti:</w:t>
      </w:r>
      <w:r w:rsidRPr="003E275A">
        <w:rPr>
          <w:rFonts w:cs="Arial"/>
          <w:b/>
          <w:szCs w:val="20"/>
        </w:rPr>
        <w:t xml:space="preserve"> </w:t>
      </w:r>
    </w:p>
    <w:p w:rsidR="00E16B04" w:rsidRPr="00E16B04" w:rsidRDefault="00E16B04" w:rsidP="00E16B04">
      <w:pPr>
        <w:numPr>
          <w:ilvl w:val="0"/>
          <w:numId w:val="31"/>
        </w:numPr>
        <w:spacing w:after="0"/>
        <w:jc w:val="both"/>
        <w:rPr>
          <w:rFonts w:cs="Arial"/>
          <w:bCs/>
          <w:szCs w:val="20"/>
        </w:rPr>
      </w:pPr>
      <w:r w:rsidRPr="00E16B04">
        <w:rPr>
          <w:rFonts w:cs="Arial"/>
          <w:b/>
          <w:bCs/>
          <w:szCs w:val="20"/>
        </w:rPr>
        <w:t>Základním výzkumem</w:t>
      </w:r>
      <w:r w:rsidRPr="00E16B04">
        <w:rPr>
          <w:rFonts w:cs="Arial"/>
          <w:bCs/>
          <w:szCs w:val="20"/>
        </w:rPr>
        <w:t xml:space="preserve"> se rozumí experimentální a teoretická práce vynakládaná zásadně za účelem získání nových vědomostí o základních principech jevů nebo pozorovatelných skutečností, která není primárně zaměřena na uplatnění nebo využití v</w:t>
      </w:r>
      <w:r w:rsidR="002968E6">
        <w:rPr>
          <w:rFonts w:cs="Arial"/>
          <w:bCs/>
          <w:szCs w:val="20"/>
        </w:rPr>
        <w:t> </w:t>
      </w:r>
      <w:r w:rsidRPr="00E16B04">
        <w:rPr>
          <w:rFonts w:cs="Arial"/>
          <w:bCs/>
          <w:szCs w:val="20"/>
        </w:rPr>
        <w:t>praxi</w:t>
      </w:r>
      <w:r w:rsidR="002968E6">
        <w:rPr>
          <w:rFonts w:cs="Arial"/>
          <w:bCs/>
          <w:szCs w:val="20"/>
        </w:rPr>
        <w:t>.</w:t>
      </w:r>
    </w:p>
    <w:p w:rsidR="00E16B04" w:rsidRPr="00E16B04" w:rsidRDefault="00E16B04" w:rsidP="00E16B04">
      <w:pPr>
        <w:numPr>
          <w:ilvl w:val="0"/>
          <w:numId w:val="31"/>
        </w:numPr>
        <w:spacing w:after="0"/>
        <w:jc w:val="both"/>
        <w:rPr>
          <w:rFonts w:cs="Arial"/>
          <w:bCs/>
          <w:szCs w:val="20"/>
        </w:rPr>
      </w:pPr>
      <w:r w:rsidRPr="00E16B04">
        <w:rPr>
          <w:rFonts w:cs="Arial"/>
          <w:b/>
          <w:bCs/>
          <w:szCs w:val="20"/>
        </w:rPr>
        <w:t>Aplikovaným výzkumem (nebo též průmyslový výzkum)</w:t>
      </w:r>
      <w:r w:rsidRPr="00E16B04">
        <w:rPr>
          <w:rFonts w:cs="Arial"/>
          <w:bCs/>
          <w:szCs w:val="20"/>
        </w:rPr>
        <w:t xml:space="preserve"> se rozumí plánovitý výzkum nebo kritické šetření zaměřené na získání nových poznatků a dovedností pro vývoj nových výrobků, postupů nebo služeb nebo ke značnému zdokonalení stávajících výrobků, postupů nebo služeb; zahrnuje vytváření dílčích částí složitých systémů nezbytných pro průmyslový výzkum, zejména pro obecné ověřování technologie, kromě prototypů. Výsledky aplikovaného výzkumu jsou směřovány ke specifickému a praktickému cíli.</w:t>
      </w:r>
    </w:p>
    <w:p w:rsidR="00E16B04" w:rsidRPr="00E16B04" w:rsidRDefault="00E16B04" w:rsidP="00E16B04">
      <w:pPr>
        <w:numPr>
          <w:ilvl w:val="0"/>
          <w:numId w:val="31"/>
        </w:numPr>
        <w:spacing w:after="0"/>
        <w:jc w:val="both"/>
        <w:rPr>
          <w:rFonts w:cs="Arial"/>
          <w:b/>
          <w:szCs w:val="20"/>
        </w:rPr>
      </w:pPr>
      <w:r w:rsidRPr="00E16B04">
        <w:rPr>
          <w:rFonts w:cs="Arial"/>
          <w:b/>
          <w:bCs/>
          <w:szCs w:val="20"/>
        </w:rPr>
        <w:t>Experimentálním vývojem</w:t>
      </w:r>
      <w:r w:rsidR="006421A4">
        <w:rPr>
          <w:rFonts w:cs="Arial"/>
          <w:bCs/>
          <w:szCs w:val="20"/>
        </w:rPr>
        <w:t xml:space="preserve"> se rozumí</w:t>
      </w:r>
      <w:r w:rsidRPr="00E16B04">
        <w:rPr>
          <w:rFonts w:cs="Arial"/>
          <w:bCs/>
          <w:szCs w:val="20"/>
        </w:rPr>
        <w:t xml:space="preserve"> získávání, spojování, formování a používání stávajících vědeckých, technologických, obchodních a jiných příslušných poznatků a dovedností pro návrh nových nebo podstatně zdokonalených výrobků, postupů nebo služeb. </w:t>
      </w:r>
      <w:r w:rsidRPr="00E16B04">
        <w:rPr>
          <w:rFonts w:cs="Arial"/>
          <w:bCs/>
          <w:i/>
          <w:szCs w:val="20"/>
        </w:rPr>
        <w:t>Experimentální vývoj nezahrnuje běžné nebo pravidelné změny výrobků, výrobních linek, výrobních postupů, stávajících služeb a jiných nedokončených operací, i když takovéto změny mohou představovat zlepšení</w:t>
      </w:r>
      <w:r>
        <w:rPr>
          <w:rFonts w:cs="Arial"/>
          <w:bCs/>
          <w:i/>
          <w:szCs w:val="20"/>
        </w:rPr>
        <w:t>.</w:t>
      </w:r>
      <w:r w:rsidRPr="00E16B04">
        <w:rPr>
          <w:rFonts w:cs="Arial"/>
          <w:bCs/>
          <w:szCs w:val="20"/>
        </w:rPr>
        <w:t xml:space="preserve"> </w:t>
      </w:r>
    </w:p>
    <w:p w:rsidR="00E16B04" w:rsidRPr="003E275A" w:rsidRDefault="00E16B04" w:rsidP="00E16B04">
      <w:pPr>
        <w:spacing w:after="0"/>
        <w:jc w:val="both"/>
        <w:rPr>
          <w:rFonts w:cs="Arial"/>
          <w:i/>
          <w:szCs w:val="20"/>
        </w:rPr>
      </w:pPr>
      <w:r w:rsidRPr="003E275A">
        <w:rPr>
          <w:rFonts w:cs="Arial"/>
          <w:i/>
          <w:szCs w:val="20"/>
        </w:rPr>
        <w:t>Jelikož rozlišení hranice především mezi základním a aplikovaným výzkumem není vždy jednoznačné, je třeba při interpretaci zjištěných údajů v členění podle typu VaV činnosti postupovat s jistou rezervou a opatrností.</w:t>
      </w:r>
    </w:p>
    <w:p w:rsidR="009F2691" w:rsidRPr="00D8340E" w:rsidRDefault="002968E6" w:rsidP="00D8340E">
      <w:pPr>
        <w:pStyle w:val="Nadpis1"/>
        <w:rPr>
          <w:rFonts w:eastAsia="Arial Unicode MS"/>
          <w:sz w:val="24"/>
          <w:szCs w:val="24"/>
        </w:rPr>
      </w:pPr>
      <w:r>
        <w:rPr>
          <w:sz w:val="24"/>
          <w:szCs w:val="24"/>
        </w:rPr>
        <w:t>2</w:t>
      </w:r>
      <w:r w:rsidR="00D8340E">
        <w:rPr>
          <w:sz w:val="24"/>
          <w:szCs w:val="24"/>
        </w:rPr>
        <w:t>.</w:t>
      </w:r>
      <w:r>
        <w:rPr>
          <w:sz w:val="24"/>
          <w:szCs w:val="24"/>
        </w:rPr>
        <w:t>2.</w:t>
      </w:r>
      <w:r w:rsidR="00D8340E">
        <w:rPr>
          <w:sz w:val="24"/>
          <w:szCs w:val="24"/>
        </w:rPr>
        <w:t xml:space="preserve"> </w:t>
      </w:r>
      <w:r w:rsidR="00DD502A" w:rsidRPr="00D8340E">
        <w:rPr>
          <w:sz w:val="24"/>
          <w:szCs w:val="24"/>
        </w:rPr>
        <w:t>Zpravodajské jednotky (subjekty provádějící VaV)</w:t>
      </w:r>
    </w:p>
    <w:p w:rsidR="009F2691" w:rsidRPr="009F2691" w:rsidRDefault="009F2691" w:rsidP="009F2691">
      <w:pPr>
        <w:jc w:val="both"/>
        <w:rPr>
          <w:rFonts w:eastAsia="Arial Unicode MS" w:cs="Arial"/>
          <w:b/>
          <w:bCs/>
          <w:szCs w:val="18"/>
        </w:rPr>
      </w:pPr>
      <w:bookmarkStart w:id="1" w:name="nadpis1"/>
      <w:r>
        <w:rPr>
          <w:rFonts w:cs="Arial"/>
          <w:b/>
          <w:bCs/>
          <w:szCs w:val="18"/>
        </w:rPr>
        <w:t xml:space="preserve">Zpravodajskými jednotkami </w:t>
      </w:r>
      <w:r w:rsidR="00C4571C">
        <w:rPr>
          <w:rFonts w:cs="Arial"/>
          <w:szCs w:val="18"/>
        </w:rPr>
        <w:t>v </w:t>
      </w:r>
      <w:r>
        <w:rPr>
          <w:rFonts w:cs="Arial"/>
          <w:szCs w:val="18"/>
        </w:rPr>
        <w:t>oblasti statistického z</w:t>
      </w:r>
      <w:r w:rsidR="00C4571C">
        <w:rPr>
          <w:rFonts w:cs="Arial"/>
          <w:szCs w:val="18"/>
        </w:rPr>
        <w:t>jišťování výzkumu a vývoje, dle doporučení obsaženého ve </w:t>
      </w:r>
      <w:r>
        <w:rPr>
          <w:rFonts w:cs="Arial"/>
          <w:szCs w:val="18"/>
        </w:rPr>
        <w:t xml:space="preserve">Frascati manuálu, jsou </w:t>
      </w:r>
      <w:r>
        <w:rPr>
          <w:rFonts w:cs="Arial"/>
          <w:szCs w:val="18"/>
          <w:u w:val="single"/>
        </w:rPr>
        <w:t>všechny právnické a fyzické osoby, které provádějí výzkum a vývoj</w:t>
      </w:r>
      <w:r>
        <w:rPr>
          <w:rFonts w:cs="Arial"/>
          <w:szCs w:val="18"/>
        </w:rPr>
        <w:t xml:space="preserve"> (system</w:t>
      </w:r>
      <w:r w:rsidR="00C4571C">
        <w:rPr>
          <w:rFonts w:cs="Arial"/>
          <w:szCs w:val="18"/>
        </w:rPr>
        <w:t>atickou tvůrčí práci konanou za </w:t>
      </w:r>
      <w:r>
        <w:rPr>
          <w:rFonts w:cs="Arial"/>
          <w:szCs w:val="18"/>
        </w:rPr>
        <w:t>účelem získání nových</w:t>
      </w:r>
      <w:r w:rsidR="00C4571C">
        <w:rPr>
          <w:rFonts w:cs="Arial"/>
          <w:szCs w:val="18"/>
        </w:rPr>
        <w:t xml:space="preserve"> znalostí nebo jejich využití v </w:t>
      </w:r>
      <w:r>
        <w:rPr>
          <w:rFonts w:cs="Arial"/>
          <w:szCs w:val="18"/>
        </w:rPr>
        <w:t>praxi) na</w:t>
      </w:r>
      <w:r w:rsidR="00C4571C">
        <w:rPr>
          <w:rFonts w:cs="Arial"/>
          <w:szCs w:val="18"/>
        </w:rPr>
        <w:t> </w:t>
      </w:r>
      <w:r>
        <w:rPr>
          <w:rFonts w:cs="Arial"/>
          <w:szCs w:val="18"/>
        </w:rPr>
        <w:t>území ČR jako svoji hlavní (</w:t>
      </w:r>
      <w:r w:rsidR="00065B34">
        <w:rPr>
          <w:rFonts w:cs="Arial"/>
          <w:szCs w:val="18"/>
        </w:rPr>
        <w:t>CZ</w:t>
      </w:r>
      <w:r w:rsidR="003D7E12">
        <w:rPr>
          <w:rFonts w:cs="Arial"/>
          <w:szCs w:val="18"/>
        </w:rPr>
        <w:t>-</w:t>
      </w:r>
      <w:r>
        <w:rPr>
          <w:rFonts w:cs="Arial"/>
          <w:szCs w:val="18"/>
        </w:rPr>
        <w:t xml:space="preserve">NACE 72 </w:t>
      </w:r>
      <w:r w:rsidR="006F04EB">
        <w:rPr>
          <w:rFonts w:cs="Arial"/>
          <w:szCs w:val="18"/>
        </w:rPr>
        <w:t>–</w:t>
      </w:r>
      <w:r w:rsidR="006F00D5" w:rsidRPr="006F00D5">
        <w:rPr>
          <w:rFonts w:cs="Arial"/>
          <w:szCs w:val="18"/>
        </w:rPr>
        <w:t xml:space="preserve"> výzkumná pracoviště</w:t>
      </w:r>
      <w:r w:rsidRPr="006F00D5">
        <w:rPr>
          <w:rFonts w:cs="Arial"/>
          <w:szCs w:val="18"/>
        </w:rPr>
        <w:t>)</w:t>
      </w:r>
      <w:r>
        <w:rPr>
          <w:rFonts w:cs="Arial"/>
          <w:szCs w:val="18"/>
        </w:rPr>
        <w:t xml:space="preserve"> nebo vedlejší ekonomickou činnost. </w:t>
      </w:r>
    </w:p>
    <w:bookmarkEnd w:id="1"/>
    <w:p w:rsidR="00E16B04" w:rsidRPr="00E16B04" w:rsidRDefault="00E16B04" w:rsidP="00E16B04">
      <w:pPr>
        <w:pStyle w:val="Zkladntext"/>
        <w:spacing w:before="60"/>
        <w:jc w:val="both"/>
        <w:rPr>
          <w:iCs/>
          <w:szCs w:val="16"/>
        </w:rPr>
      </w:pPr>
      <w:r w:rsidRPr="00E16B04">
        <w:rPr>
          <w:iCs/>
          <w:szCs w:val="16"/>
        </w:rPr>
        <w:t xml:space="preserve">Od roku 2001 jsou zpravodajskými jednotkami jednotlivá pracoviště, na kterých se provádí VaV u sledovaných ekonomických subjektů </w:t>
      </w:r>
      <w:r w:rsidRPr="00E16B04">
        <w:rPr>
          <w:b/>
          <w:iCs/>
          <w:szCs w:val="16"/>
        </w:rPr>
        <w:t>(pracoviště VaV)</w:t>
      </w:r>
      <w:r w:rsidRPr="00E16B04">
        <w:rPr>
          <w:iCs/>
          <w:szCs w:val="16"/>
        </w:rPr>
        <w:t xml:space="preserve">. Jde především o jednotlivé fakulty veřejných vysokých škol, ale i o některá pracoviště veřejných výzkumných institucí. K této změně došlo v důsledku požadavků na možnost regionálního členění ukazatelů výzkumu a vývoje a lepšího zachycení sledovaných ukazatelů podle převažující skupiny vědních oblastí. </w:t>
      </w:r>
    </w:p>
    <w:p w:rsidR="00527710" w:rsidRDefault="00E16B04" w:rsidP="00E16B04">
      <w:pPr>
        <w:spacing w:before="60" w:after="0"/>
        <w:jc w:val="both"/>
        <w:rPr>
          <w:rFonts w:cs="Arial"/>
          <w:szCs w:val="20"/>
        </w:rPr>
      </w:pPr>
      <w:r w:rsidRPr="00E16B04">
        <w:t>Odhady dat za subjekty, které nevyplnily dotazník, jsou prováděny od roku 2001.</w:t>
      </w:r>
      <w:r w:rsidRPr="00E16B04">
        <w:rPr>
          <w:rFonts w:cs="Arial"/>
          <w:szCs w:val="20"/>
        </w:rPr>
        <w:t xml:space="preserve"> </w:t>
      </w:r>
    </w:p>
    <w:p w:rsidR="00E16B04" w:rsidRPr="00E16B04" w:rsidRDefault="00E16B04" w:rsidP="00E16B04">
      <w:pPr>
        <w:spacing w:before="60" w:after="0"/>
        <w:jc w:val="both"/>
        <w:rPr>
          <w:rFonts w:cs="Arial"/>
          <w:szCs w:val="20"/>
        </w:rPr>
      </w:pPr>
      <w:r w:rsidRPr="00D85D7D">
        <w:rPr>
          <w:rFonts w:cs="Arial"/>
          <w:szCs w:val="20"/>
        </w:rPr>
        <w:t>Od roku 2010 je pro malé podniky provádějící VaV</w:t>
      </w:r>
      <w:r w:rsidR="00335845" w:rsidRPr="00D85D7D">
        <w:rPr>
          <w:rFonts w:cs="Arial"/>
          <w:szCs w:val="20"/>
        </w:rPr>
        <w:t>, které</w:t>
      </w:r>
      <w:r w:rsidRPr="00D85D7D">
        <w:rPr>
          <w:rFonts w:cs="Arial"/>
          <w:szCs w:val="20"/>
        </w:rPr>
        <w:t xml:space="preserve"> splňují určité podmínky</w:t>
      </w:r>
      <w:r w:rsidR="00335845" w:rsidRPr="00D85D7D">
        <w:rPr>
          <w:rFonts w:cs="Arial"/>
          <w:szCs w:val="20"/>
        </w:rPr>
        <w:t xml:space="preserve"> </w:t>
      </w:r>
      <w:r w:rsidR="00527710" w:rsidRPr="00D85D7D">
        <w:rPr>
          <w:rFonts w:cs="Arial"/>
          <w:szCs w:val="20"/>
        </w:rPr>
        <w:t xml:space="preserve">(mají výdaje na VaV nižší než 10 mil. Kč a zároveň nezískaly v daném roce žádnou finanční podporu na VaV ze státního rozpočtu) </w:t>
      </w:r>
      <w:r w:rsidRPr="00D85D7D">
        <w:rPr>
          <w:rFonts w:cs="Arial"/>
          <w:szCs w:val="20"/>
        </w:rPr>
        <w:t>uplatněn rotační výběr na úrovni 1/3</w:t>
      </w:r>
      <w:r w:rsidR="00335845" w:rsidRPr="00D85D7D">
        <w:rPr>
          <w:rFonts w:cs="Arial"/>
          <w:szCs w:val="20"/>
        </w:rPr>
        <w:t>.</w:t>
      </w:r>
      <w:r w:rsidRPr="00D85D7D">
        <w:rPr>
          <w:rFonts w:cs="Arial"/>
          <w:szCs w:val="20"/>
        </w:rPr>
        <w:t xml:space="preserve"> </w:t>
      </w:r>
      <w:r w:rsidR="00527710" w:rsidRPr="00D85D7D">
        <w:rPr>
          <w:rFonts w:cs="Arial"/>
          <w:szCs w:val="20"/>
        </w:rPr>
        <w:t>Každý rok se tak obesílá třetina těchto zpravodajských jednotek, během 3 let se ve výběru vystřídají všechny jednotky. Údaje za subjekty zařazen</w:t>
      </w:r>
      <w:r w:rsidR="00D85D7D" w:rsidRPr="00D85D7D">
        <w:rPr>
          <w:rFonts w:cs="Arial"/>
          <w:szCs w:val="20"/>
        </w:rPr>
        <w:t>é</w:t>
      </w:r>
      <w:r w:rsidR="00527710" w:rsidRPr="00D85D7D">
        <w:rPr>
          <w:rFonts w:cs="Arial"/>
          <w:szCs w:val="20"/>
        </w:rPr>
        <w:t xml:space="preserve"> do rotačního výběru jsou dopoč</w:t>
      </w:r>
      <w:r w:rsidR="008A346D">
        <w:rPr>
          <w:rFonts w:cs="Arial"/>
          <w:szCs w:val="20"/>
        </w:rPr>
        <w:t>ítávány</w:t>
      </w:r>
      <w:r w:rsidR="00527710" w:rsidRPr="00D85D7D">
        <w:rPr>
          <w:rFonts w:cs="Arial"/>
          <w:szCs w:val="20"/>
        </w:rPr>
        <w:t xml:space="preserve"> </w:t>
      </w:r>
      <w:r w:rsidR="00D85D7D">
        <w:rPr>
          <w:rFonts w:cs="Arial"/>
          <w:szCs w:val="20"/>
        </w:rPr>
        <w:t xml:space="preserve">na základě údajů z předešlého roku a indexů meziročního růstu zjištěných u jednotek patřících do téhož </w:t>
      </w:r>
      <w:proofErr w:type="spellStart"/>
      <w:r w:rsidR="00D85D7D">
        <w:rPr>
          <w:rFonts w:cs="Arial"/>
          <w:szCs w:val="20"/>
        </w:rPr>
        <w:t>strata</w:t>
      </w:r>
      <w:proofErr w:type="spellEnd"/>
      <w:r w:rsidR="00D85D7D">
        <w:rPr>
          <w:rFonts w:cs="Arial"/>
          <w:szCs w:val="20"/>
        </w:rPr>
        <w:t>.</w:t>
      </w:r>
    </w:p>
    <w:p w:rsidR="00E16B04" w:rsidRDefault="00E16B04" w:rsidP="00E16B04">
      <w:pPr>
        <w:spacing w:before="60" w:after="0"/>
        <w:jc w:val="both"/>
        <w:rPr>
          <w:rFonts w:cs="Arial"/>
          <w:iCs/>
          <w:szCs w:val="16"/>
        </w:rPr>
      </w:pPr>
      <w:r w:rsidRPr="00E16B04">
        <w:rPr>
          <w:rFonts w:cs="Arial"/>
          <w:iCs/>
          <w:szCs w:val="16"/>
        </w:rPr>
        <w:t xml:space="preserve">V roce 2012 bylo výkazem VTR 5-01 obesláno celkem </w:t>
      </w:r>
      <w:r w:rsidR="00AD34A2">
        <w:rPr>
          <w:rFonts w:cs="Arial"/>
          <w:iCs/>
          <w:szCs w:val="16"/>
        </w:rPr>
        <w:t>3</w:t>
      </w:r>
      <w:r w:rsidRPr="00E16B04">
        <w:rPr>
          <w:rFonts w:cs="Arial"/>
          <w:iCs/>
          <w:szCs w:val="16"/>
        </w:rPr>
        <w:t> </w:t>
      </w:r>
      <w:r w:rsidR="00AD34A2">
        <w:rPr>
          <w:rFonts w:cs="Arial"/>
          <w:iCs/>
          <w:szCs w:val="16"/>
        </w:rPr>
        <w:t>293</w:t>
      </w:r>
      <w:r w:rsidRPr="00E16B04">
        <w:rPr>
          <w:rFonts w:cs="Arial"/>
          <w:iCs/>
          <w:szCs w:val="16"/>
        </w:rPr>
        <w:t xml:space="preserve"> ekonomický</w:t>
      </w:r>
      <w:r w:rsidR="008A346D">
        <w:rPr>
          <w:rFonts w:cs="Arial"/>
          <w:iCs/>
          <w:szCs w:val="16"/>
        </w:rPr>
        <w:t>ch</w:t>
      </w:r>
      <w:r w:rsidRPr="00E16B04">
        <w:rPr>
          <w:rFonts w:cs="Arial"/>
          <w:iCs/>
          <w:szCs w:val="16"/>
        </w:rPr>
        <w:t xml:space="preserve"> subjektů a v nich 3 </w:t>
      </w:r>
      <w:r w:rsidR="00D85D7D">
        <w:rPr>
          <w:rFonts w:cs="Arial"/>
          <w:iCs/>
          <w:szCs w:val="16"/>
        </w:rPr>
        <w:t>509</w:t>
      </w:r>
      <w:r w:rsidRPr="00E16B04">
        <w:rPr>
          <w:rFonts w:cs="Arial"/>
          <w:iCs/>
          <w:szCs w:val="16"/>
        </w:rPr>
        <w:t xml:space="preserve"> výzkumných a vývojových pracovišť. </w:t>
      </w:r>
      <w:r w:rsidRPr="003A1C9B">
        <w:rPr>
          <w:rFonts w:cs="Arial"/>
          <w:iCs/>
          <w:szCs w:val="16"/>
        </w:rPr>
        <w:t xml:space="preserve">Návratnost </w:t>
      </w:r>
      <w:r w:rsidR="003A1C9B">
        <w:rPr>
          <w:rFonts w:cs="Arial"/>
          <w:iCs/>
          <w:szCs w:val="16"/>
        </w:rPr>
        <w:t xml:space="preserve">výkazů </w:t>
      </w:r>
      <w:r w:rsidRPr="00E16B04">
        <w:rPr>
          <w:rFonts w:cs="Arial"/>
          <w:iCs/>
          <w:szCs w:val="16"/>
        </w:rPr>
        <w:t xml:space="preserve">ve stejném roce dosáhla celkem </w:t>
      </w:r>
      <w:r w:rsidR="00B56729">
        <w:rPr>
          <w:rFonts w:cs="Arial"/>
          <w:iCs/>
          <w:szCs w:val="16"/>
        </w:rPr>
        <w:t>88</w:t>
      </w:r>
      <w:r w:rsidRPr="00E16B04">
        <w:rPr>
          <w:rFonts w:cs="Arial"/>
          <w:iCs/>
          <w:szCs w:val="16"/>
        </w:rPr>
        <w:t> %</w:t>
      </w:r>
      <w:r w:rsidR="00B56729">
        <w:rPr>
          <w:rFonts w:cs="Arial"/>
          <w:iCs/>
          <w:szCs w:val="16"/>
        </w:rPr>
        <w:t>.</w:t>
      </w:r>
    </w:p>
    <w:p w:rsidR="00E16B04" w:rsidRPr="000A52F9" w:rsidRDefault="00FB0116" w:rsidP="00E16B04">
      <w:pPr>
        <w:spacing w:before="240" w:after="0"/>
        <w:jc w:val="both"/>
        <w:rPr>
          <w:rFonts w:cs="Arial"/>
          <w:iCs/>
          <w:szCs w:val="16"/>
        </w:rPr>
      </w:pPr>
      <w:r>
        <w:rPr>
          <w:rFonts w:cs="Arial"/>
          <w:b/>
          <w:iCs/>
          <w:szCs w:val="16"/>
        </w:rPr>
        <w:lastRenderedPageBreak/>
        <w:t xml:space="preserve">1) </w:t>
      </w:r>
      <w:r w:rsidR="00E16B04" w:rsidRPr="00900B36">
        <w:rPr>
          <w:rFonts w:cs="Arial"/>
          <w:b/>
          <w:iCs/>
          <w:szCs w:val="16"/>
        </w:rPr>
        <w:t>Databáze zpravodajských jednotek zabývajících se VaV</w:t>
      </w:r>
      <w:r w:rsidR="00E16B04" w:rsidRPr="000A52F9">
        <w:rPr>
          <w:rFonts w:cs="Arial"/>
          <w:iCs/>
          <w:szCs w:val="16"/>
        </w:rPr>
        <w:t xml:space="preserve"> je pravidelně </w:t>
      </w:r>
      <w:r w:rsidR="00E16B04" w:rsidRPr="000A52F9">
        <w:rPr>
          <w:rFonts w:cs="Arial"/>
          <w:b/>
          <w:iCs/>
          <w:szCs w:val="16"/>
        </w:rPr>
        <w:t>aktualizována</w:t>
      </w:r>
      <w:r w:rsidR="00E16B04" w:rsidRPr="000A52F9">
        <w:rPr>
          <w:rFonts w:cs="Arial"/>
          <w:iCs/>
          <w:szCs w:val="16"/>
        </w:rPr>
        <w:t xml:space="preserve"> na základě informací především z následujících zdrojů: </w:t>
      </w:r>
    </w:p>
    <w:p w:rsidR="009E588C" w:rsidRPr="00527710" w:rsidRDefault="00527710" w:rsidP="00140B6F">
      <w:pPr>
        <w:numPr>
          <w:ilvl w:val="0"/>
          <w:numId w:val="24"/>
        </w:numPr>
        <w:spacing w:after="120"/>
        <w:ind w:left="357" w:hanging="357"/>
        <w:jc w:val="both"/>
        <w:rPr>
          <w:rFonts w:cs="Arial"/>
          <w:iCs/>
          <w:szCs w:val="16"/>
        </w:rPr>
      </w:pPr>
      <w:r w:rsidRPr="00527710">
        <w:rPr>
          <w:rFonts w:cs="Arial"/>
          <w:iCs/>
          <w:szCs w:val="16"/>
        </w:rPr>
        <w:t>I</w:t>
      </w:r>
      <w:r w:rsidR="00CC358B" w:rsidRPr="00527710">
        <w:rPr>
          <w:rFonts w:cs="Arial"/>
          <w:iCs/>
          <w:szCs w:val="16"/>
        </w:rPr>
        <w:t xml:space="preserve">nformační systém </w:t>
      </w:r>
      <w:proofErr w:type="spellStart"/>
      <w:r w:rsidRPr="00527710">
        <w:rPr>
          <w:rFonts w:cs="Arial"/>
          <w:iCs/>
          <w:szCs w:val="16"/>
        </w:rPr>
        <w:t>VaVaI</w:t>
      </w:r>
      <w:proofErr w:type="spellEnd"/>
      <w:r w:rsidRPr="00527710">
        <w:rPr>
          <w:rFonts w:cs="Arial"/>
          <w:iCs/>
          <w:szCs w:val="16"/>
        </w:rPr>
        <w:t xml:space="preserve"> </w:t>
      </w:r>
      <w:r w:rsidR="00CC358B" w:rsidRPr="00527710">
        <w:rPr>
          <w:rFonts w:cs="Arial"/>
          <w:iCs/>
          <w:szCs w:val="16"/>
        </w:rPr>
        <w:t>Rady pro výzkum, experimentální vývoj a inovace (Centrální evidence projektů výzkumu a vývoje)</w:t>
      </w:r>
      <w:r w:rsidR="000E3438" w:rsidRPr="00527710">
        <w:rPr>
          <w:rFonts w:cs="Arial"/>
          <w:iCs/>
          <w:szCs w:val="16"/>
        </w:rPr>
        <w:t>,</w:t>
      </w:r>
    </w:p>
    <w:p w:rsidR="007809EE" w:rsidRPr="00527710" w:rsidRDefault="00527710" w:rsidP="00140B6F">
      <w:pPr>
        <w:numPr>
          <w:ilvl w:val="0"/>
          <w:numId w:val="24"/>
        </w:numPr>
        <w:spacing w:after="120"/>
        <w:ind w:left="357" w:hanging="357"/>
        <w:jc w:val="both"/>
        <w:rPr>
          <w:rFonts w:cs="Arial"/>
          <w:iCs/>
          <w:szCs w:val="16"/>
        </w:rPr>
      </w:pPr>
      <w:r>
        <w:rPr>
          <w:rFonts w:cs="Arial"/>
          <w:iCs/>
          <w:szCs w:val="16"/>
        </w:rPr>
        <w:t>D</w:t>
      </w:r>
      <w:r w:rsidR="007809EE" w:rsidRPr="00527710">
        <w:rPr>
          <w:rFonts w:cs="Arial"/>
          <w:iCs/>
          <w:szCs w:val="16"/>
        </w:rPr>
        <w:t>aňová přiznání subjektů uplatňujících nepřímou podporu VaV</w:t>
      </w:r>
    </w:p>
    <w:p w:rsidR="00CC358B" w:rsidRPr="00527710" w:rsidRDefault="00527710" w:rsidP="00140B6F">
      <w:pPr>
        <w:numPr>
          <w:ilvl w:val="0"/>
          <w:numId w:val="24"/>
        </w:numPr>
        <w:spacing w:after="120"/>
        <w:ind w:left="357" w:hanging="357"/>
        <w:jc w:val="both"/>
        <w:rPr>
          <w:rFonts w:cs="Arial"/>
          <w:iCs/>
          <w:szCs w:val="16"/>
        </w:rPr>
      </w:pPr>
      <w:r>
        <w:rPr>
          <w:rFonts w:cs="Arial"/>
          <w:iCs/>
          <w:szCs w:val="16"/>
        </w:rPr>
        <w:t>S</w:t>
      </w:r>
      <w:r w:rsidR="00CC358B" w:rsidRPr="00527710">
        <w:rPr>
          <w:rFonts w:cs="Arial"/>
          <w:iCs/>
          <w:szCs w:val="16"/>
        </w:rPr>
        <w:t>tatistická šetření ČSÚ, která obsahují otázku týkající se provádění VaV (především</w:t>
      </w:r>
      <w:r w:rsidR="000E3438" w:rsidRPr="00527710">
        <w:rPr>
          <w:rFonts w:cs="Arial"/>
          <w:iCs/>
          <w:szCs w:val="16"/>
        </w:rPr>
        <w:t xml:space="preserve"> </w:t>
      </w:r>
      <w:r w:rsidR="00CC358B" w:rsidRPr="00527710">
        <w:rPr>
          <w:rFonts w:cs="Arial"/>
          <w:bCs/>
          <w:iCs/>
          <w:szCs w:val="16"/>
        </w:rPr>
        <w:t>Roční výkaz ekonomických subjektů vybraných produkčních odvětví</w:t>
      </w:r>
      <w:r w:rsidR="000E3438" w:rsidRPr="00527710">
        <w:rPr>
          <w:rFonts w:cs="Arial"/>
          <w:bCs/>
          <w:iCs/>
          <w:szCs w:val="16"/>
        </w:rPr>
        <w:t>, dále pak Dotazník o inovacích, Roční výkaz o výdajích na ochranu životního prostředí a Čtvrtletní výkaz o dovozu a vývozu služeb),</w:t>
      </w:r>
    </w:p>
    <w:p w:rsidR="000E3438" w:rsidRPr="00527710" w:rsidRDefault="00527710" w:rsidP="00140B6F">
      <w:pPr>
        <w:numPr>
          <w:ilvl w:val="0"/>
          <w:numId w:val="24"/>
        </w:numPr>
        <w:spacing w:after="120"/>
        <w:ind w:left="357" w:hanging="357"/>
        <w:jc w:val="both"/>
        <w:rPr>
          <w:rFonts w:cs="Arial"/>
          <w:iCs/>
          <w:szCs w:val="16"/>
        </w:rPr>
      </w:pPr>
      <w:r>
        <w:rPr>
          <w:rFonts w:cs="Arial"/>
          <w:iCs/>
          <w:szCs w:val="16"/>
        </w:rPr>
        <w:t>D</w:t>
      </w:r>
      <w:r w:rsidR="000E3438" w:rsidRPr="00527710">
        <w:rPr>
          <w:rFonts w:cs="Arial"/>
          <w:iCs/>
          <w:szCs w:val="16"/>
        </w:rPr>
        <w:t xml:space="preserve">atabáze patentů </w:t>
      </w:r>
      <w:r w:rsidR="000E3438" w:rsidRPr="00527710">
        <w:rPr>
          <w:rFonts w:cs="Arial"/>
          <w:bCs/>
          <w:iCs/>
          <w:szCs w:val="16"/>
        </w:rPr>
        <w:t>Úřadu průmyslového vlastnictví,</w:t>
      </w:r>
    </w:p>
    <w:p w:rsidR="00806453" w:rsidRPr="00527710" w:rsidRDefault="00527710" w:rsidP="00140B6F">
      <w:pPr>
        <w:numPr>
          <w:ilvl w:val="0"/>
          <w:numId w:val="24"/>
        </w:numPr>
        <w:spacing w:after="120"/>
        <w:ind w:left="357" w:hanging="357"/>
        <w:jc w:val="both"/>
        <w:rPr>
          <w:rFonts w:cs="Arial"/>
          <w:iCs/>
          <w:szCs w:val="16"/>
        </w:rPr>
      </w:pPr>
      <w:r>
        <w:rPr>
          <w:rFonts w:cs="Arial"/>
          <w:iCs/>
          <w:szCs w:val="16"/>
        </w:rPr>
        <w:t>D</w:t>
      </w:r>
      <w:r w:rsidR="000E3438" w:rsidRPr="00527710">
        <w:rPr>
          <w:rFonts w:cs="Arial"/>
          <w:iCs/>
          <w:szCs w:val="16"/>
        </w:rPr>
        <w:t xml:space="preserve">atabáze </w:t>
      </w:r>
      <w:r w:rsidR="00D40D5D" w:rsidRPr="00527710">
        <w:rPr>
          <w:rFonts w:cs="Arial"/>
          <w:iCs/>
          <w:szCs w:val="16"/>
        </w:rPr>
        <w:t>Ministerstva pro místní rozvoj ČR</w:t>
      </w:r>
      <w:r w:rsidR="000E3438" w:rsidRPr="00527710">
        <w:rPr>
          <w:rFonts w:cs="Arial"/>
          <w:iCs/>
          <w:szCs w:val="16"/>
        </w:rPr>
        <w:t>, která obsahuje seznamy příjemců</w:t>
      </w:r>
      <w:r w:rsidR="00806453" w:rsidRPr="00527710">
        <w:rPr>
          <w:rFonts w:cs="Arial"/>
          <w:iCs/>
          <w:szCs w:val="16"/>
        </w:rPr>
        <w:t xml:space="preserve"> podpory</w:t>
      </w:r>
      <w:r w:rsidR="000E3438" w:rsidRPr="00527710">
        <w:rPr>
          <w:rFonts w:cs="Arial"/>
          <w:iCs/>
          <w:szCs w:val="16"/>
        </w:rPr>
        <w:t xml:space="preserve"> </w:t>
      </w:r>
      <w:r w:rsidR="00806453" w:rsidRPr="00527710">
        <w:rPr>
          <w:rFonts w:cs="Arial"/>
          <w:iCs/>
          <w:szCs w:val="16"/>
        </w:rPr>
        <w:t>na VaV ze strukturálních fondů EU,</w:t>
      </w:r>
    </w:p>
    <w:p w:rsidR="00806453" w:rsidRPr="00527710" w:rsidRDefault="00806453" w:rsidP="00140B6F">
      <w:pPr>
        <w:numPr>
          <w:ilvl w:val="0"/>
          <w:numId w:val="24"/>
        </w:numPr>
        <w:spacing w:after="120"/>
        <w:ind w:left="357" w:hanging="357"/>
        <w:jc w:val="both"/>
        <w:rPr>
          <w:rFonts w:cs="Arial"/>
          <w:iCs/>
          <w:szCs w:val="16"/>
        </w:rPr>
      </w:pPr>
      <w:r w:rsidRPr="00527710">
        <w:rPr>
          <w:rFonts w:cs="Arial"/>
          <w:iCs/>
          <w:szCs w:val="16"/>
        </w:rPr>
        <w:t>Registr ekonomických subjektů ČSÚ, kter</w:t>
      </w:r>
      <w:r w:rsidR="008A346D">
        <w:rPr>
          <w:rFonts w:cs="Arial"/>
          <w:iCs/>
          <w:szCs w:val="16"/>
        </w:rPr>
        <w:t>ý</w:t>
      </w:r>
      <w:r w:rsidRPr="00527710">
        <w:rPr>
          <w:rFonts w:cs="Arial"/>
          <w:iCs/>
          <w:szCs w:val="16"/>
        </w:rPr>
        <w:t xml:space="preserve"> obsahuje evidenci všech ekonomických subjektů v ČR a informace o jejich hlavní a vedlejší ekonomické činnosti.</w:t>
      </w:r>
    </w:p>
    <w:p w:rsidR="009F2691" w:rsidRPr="00FB0116" w:rsidRDefault="00FB0116" w:rsidP="00613FD6">
      <w:pPr>
        <w:pStyle w:val="Nadpis2"/>
        <w:rPr>
          <w:rFonts w:eastAsia="Arial Unicode MS"/>
          <w:i w:val="0"/>
          <w:sz w:val="20"/>
        </w:rPr>
      </w:pPr>
      <w:bookmarkStart w:id="2" w:name="_Sledované_ukazatele_o"/>
      <w:bookmarkEnd w:id="2"/>
      <w:r>
        <w:rPr>
          <w:i w:val="0"/>
          <w:sz w:val="20"/>
        </w:rPr>
        <w:t xml:space="preserve">2) </w:t>
      </w:r>
      <w:r w:rsidR="009F2691" w:rsidRPr="00FB0116">
        <w:rPr>
          <w:i w:val="0"/>
          <w:sz w:val="20"/>
        </w:rPr>
        <w:t>Sledované ukazatele o</w:t>
      </w:r>
      <w:r w:rsidR="00EF3A8F" w:rsidRPr="00FB0116">
        <w:rPr>
          <w:i w:val="0"/>
          <w:sz w:val="20"/>
        </w:rPr>
        <w:t> </w:t>
      </w:r>
      <w:r w:rsidR="009F2691" w:rsidRPr="00FB0116">
        <w:rPr>
          <w:i w:val="0"/>
          <w:sz w:val="20"/>
        </w:rPr>
        <w:t>počtu subjektů provádějících VaV:</w:t>
      </w:r>
    </w:p>
    <w:p w:rsidR="009F2691" w:rsidRDefault="009F2691" w:rsidP="00140B6F">
      <w:pPr>
        <w:numPr>
          <w:ilvl w:val="0"/>
          <w:numId w:val="32"/>
        </w:numPr>
        <w:jc w:val="both"/>
        <w:rPr>
          <w:rFonts w:eastAsia="Arial Unicode MS" w:cs="Arial"/>
          <w:szCs w:val="18"/>
        </w:rPr>
      </w:pPr>
      <w:r>
        <w:rPr>
          <w:rFonts w:cs="Arial"/>
          <w:b/>
          <w:bCs/>
          <w:szCs w:val="18"/>
        </w:rPr>
        <w:t xml:space="preserve">Počet ekonomických subjektů provádějících VaV </w:t>
      </w:r>
      <w:r w:rsidR="006F04EB">
        <w:rPr>
          <w:rFonts w:cs="Arial"/>
          <w:b/>
          <w:bCs/>
          <w:szCs w:val="18"/>
        </w:rPr>
        <w:t>–</w:t>
      </w:r>
      <w:r>
        <w:rPr>
          <w:rFonts w:cs="Arial"/>
          <w:b/>
          <w:bCs/>
          <w:szCs w:val="18"/>
        </w:rPr>
        <w:t xml:space="preserve"> </w:t>
      </w:r>
      <w:r>
        <w:rPr>
          <w:rFonts w:cs="Arial"/>
          <w:szCs w:val="18"/>
        </w:rPr>
        <w:t xml:space="preserve">zahrnuje všechny </w:t>
      </w:r>
      <w:r>
        <w:rPr>
          <w:rFonts w:cs="Arial"/>
          <w:b/>
          <w:bCs/>
          <w:szCs w:val="18"/>
        </w:rPr>
        <w:t xml:space="preserve">právnické a fyzické osoby </w:t>
      </w:r>
      <w:r w:rsidRPr="00140B6F">
        <w:rPr>
          <w:rFonts w:cs="Arial"/>
          <w:bCs/>
          <w:szCs w:val="18"/>
        </w:rPr>
        <w:t>(mající vlastní IČO),</w:t>
      </w:r>
      <w:r>
        <w:rPr>
          <w:rFonts w:cs="Arial"/>
          <w:szCs w:val="18"/>
        </w:rPr>
        <w:t xml:space="preserve"> kt</w:t>
      </w:r>
      <w:r w:rsidR="004510A8">
        <w:rPr>
          <w:rFonts w:cs="Arial"/>
          <w:szCs w:val="18"/>
        </w:rPr>
        <w:t>eré provádějí výzkum a vývoj na </w:t>
      </w:r>
      <w:r>
        <w:rPr>
          <w:rFonts w:cs="Arial"/>
          <w:szCs w:val="18"/>
        </w:rPr>
        <w:t>území ČR jako svoji hlavní nebo vedlejší ekonomickou činnost.  </w:t>
      </w:r>
    </w:p>
    <w:p w:rsidR="00F02A19" w:rsidRPr="00140B6F" w:rsidRDefault="00155000" w:rsidP="00140B6F">
      <w:pPr>
        <w:numPr>
          <w:ilvl w:val="0"/>
          <w:numId w:val="32"/>
        </w:numPr>
        <w:jc w:val="both"/>
        <w:rPr>
          <w:rFonts w:eastAsia="Arial Unicode MS" w:cs="Arial"/>
          <w:bCs/>
          <w:szCs w:val="18"/>
        </w:rPr>
      </w:pPr>
      <w:r w:rsidRPr="00140B6F">
        <w:rPr>
          <w:rFonts w:cs="Arial"/>
          <w:b/>
          <w:bCs/>
          <w:szCs w:val="18"/>
        </w:rPr>
        <w:t>Počet pracovišť</w:t>
      </w:r>
      <w:r w:rsidR="009F2691" w:rsidRPr="00140B6F">
        <w:rPr>
          <w:rFonts w:cs="Arial"/>
          <w:b/>
          <w:bCs/>
          <w:szCs w:val="18"/>
        </w:rPr>
        <w:t xml:space="preserve"> </w:t>
      </w:r>
      <w:r w:rsidRPr="00140B6F">
        <w:rPr>
          <w:rFonts w:cs="Arial"/>
          <w:b/>
          <w:bCs/>
          <w:szCs w:val="18"/>
        </w:rPr>
        <w:t xml:space="preserve">VaV </w:t>
      </w:r>
      <w:r w:rsidR="006F04EB" w:rsidRPr="00140B6F">
        <w:rPr>
          <w:rFonts w:cs="Arial"/>
          <w:szCs w:val="18"/>
        </w:rPr>
        <w:t>–</w:t>
      </w:r>
      <w:r w:rsidR="009F2691" w:rsidRPr="00140B6F">
        <w:rPr>
          <w:rFonts w:cs="Arial"/>
          <w:szCs w:val="18"/>
        </w:rPr>
        <w:t xml:space="preserve"> </w:t>
      </w:r>
      <w:r w:rsidR="00142AF6" w:rsidRPr="00140B6F">
        <w:rPr>
          <w:rFonts w:cs="Arial"/>
          <w:szCs w:val="18"/>
        </w:rPr>
        <w:t>zahrnuje všechna</w:t>
      </w:r>
      <w:r w:rsidRPr="00140B6F">
        <w:rPr>
          <w:rFonts w:cs="Arial"/>
          <w:szCs w:val="18"/>
        </w:rPr>
        <w:t xml:space="preserve"> pracoviště výzkumu a vývoje</w:t>
      </w:r>
      <w:r w:rsidR="001C4370" w:rsidRPr="00140B6F">
        <w:rPr>
          <w:rFonts w:cs="Arial"/>
          <w:szCs w:val="18"/>
        </w:rPr>
        <w:t xml:space="preserve"> </w:t>
      </w:r>
      <w:r w:rsidR="00A45E2F" w:rsidRPr="00140B6F">
        <w:rPr>
          <w:rFonts w:cs="Arial"/>
          <w:szCs w:val="18"/>
        </w:rPr>
        <w:t>bez ohledu na vlastnictví IČO</w:t>
      </w:r>
      <w:r w:rsidR="00313CFE" w:rsidRPr="00140B6F">
        <w:rPr>
          <w:rFonts w:cs="Arial"/>
          <w:szCs w:val="18"/>
        </w:rPr>
        <w:t xml:space="preserve">. </w:t>
      </w:r>
      <w:r w:rsidR="00F02A19" w:rsidRPr="00140B6F">
        <w:rPr>
          <w:rFonts w:cs="Arial"/>
          <w:i/>
          <w:iCs/>
          <w:szCs w:val="16"/>
        </w:rPr>
        <w:t>Pracoviště výzkumu a vývoje tvoří především jednotlivé fakulty vysokých škol a výzkumná pracoviště některých resortních výzkumných organizací. V ostatních sektorech provádění VaV (v podnikatelském a soukromém neziskovém) se počet pracovišť VaV významně neliší od počtu ekonomických subjektů provádějících VaV (sledované podniky mají ve většině případů pouze jedno pracoviště VaV).</w:t>
      </w:r>
    </w:p>
    <w:p w:rsidR="009F2691" w:rsidRPr="00140B6F" w:rsidRDefault="006A7462" w:rsidP="00140B6F">
      <w:pPr>
        <w:numPr>
          <w:ilvl w:val="0"/>
          <w:numId w:val="32"/>
        </w:numPr>
        <w:jc w:val="both"/>
        <w:rPr>
          <w:rFonts w:cs="Arial"/>
          <w:i/>
          <w:iCs/>
          <w:szCs w:val="16"/>
        </w:rPr>
      </w:pPr>
      <w:r w:rsidRPr="00140B6F">
        <w:rPr>
          <w:rFonts w:cs="Arial"/>
          <w:b/>
          <w:bCs/>
          <w:szCs w:val="18"/>
        </w:rPr>
        <w:t>Počet výzkumných pracovišť</w:t>
      </w:r>
      <w:r w:rsidR="00140B6F" w:rsidRPr="00140B6F">
        <w:rPr>
          <w:rFonts w:cs="Arial"/>
          <w:b/>
          <w:bCs/>
          <w:szCs w:val="18"/>
        </w:rPr>
        <w:t xml:space="preserve"> - </w:t>
      </w:r>
      <w:r w:rsidRPr="00140B6F">
        <w:rPr>
          <w:rFonts w:cs="Arial"/>
          <w:bCs/>
          <w:szCs w:val="18"/>
        </w:rPr>
        <w:t>zahrnuje</w:t>
      </w:r>
      <w:r w:rsidRPr="00140B6F">
        <w:rPr>
          <w:rFonts w:cs="Arial"/>
          <w:b/>
          <w:bCs/>
          <w:szCs w:val="18"/>
        </w:rPr>
        <w:t xml:space="preserve"> </w:t>
      </w:r>
      <w:r w:rsidR="009F2691" w:rsidRPr="00140B6F">
        <w:rPr>
          <w:rFonts w:cs="Arial"/>
          <w:szCs w:val="18"/>
        </w:rPr>
        <w:t xml:space="preserve">ekonomické </w:t>
      </w:r>
      <w:r w:rsidRPr="00140B6F">
        <w:rPr>
          <w:rFonts w:cs="Arial"/>
          <w:szCs w:val="18"/>
        </w:rPr>
        <w:t>subjekty, jejichž</w:t>
      </w:r>
      <w:r w:rsidR="009F2691" w:rsidRPr="00140B6F">
        <w:rPr>
          <w:rFonts w:cs="Arial"/>
          <w:szCs w:val="18"/>
        </w:rPr>
        <w:t xml:space="preserve"> </w:t>
      </w:r>
      <w:r w:rsidR="009F2691" w:rsidRPr="00140B6F">
        <w:rPr>
          <w:rFonts w:cs="Arial"/>
          <w:szCs w:val="18"/>
          <w:u w:val="single"/>
        </w:rPr>
        <w:t>převažující ekonomickou činností</w:t>
      </w:r>
      <w:r w:rsidR="009F2691" w:rsidRPr="00140B6F">
        <w:rPr>
          <w:rFonts w:cs="Arial"/>
          <w:szCs w:val="18"/>
        </w:rPr>
        <w:t xml:space="preserve"> je</w:t>
      </w:r>
      <w:r w:rsidR="00140B6F" w:rsidRPr="00140B6F">
        <w:rPr>
          <w:rFonts w:cs="Arial"/>
          <w:szCs w:val="18"/>
        </w:rPr>
        <w:t xml:space="preserve"> výzkum a vývoj (CZ</w:t>
      </w:r>
      <w:r w:rsidR="003D7E12">
        <w:rPr>
          <w:rFonts w:cs="Arial"/>
          <w:szCs w:val="18"/>
        </w:rPr>
        <w:t>-</w:t>
      </w:r>
      <w:r w:rsidR="00140B6F" w:rsidRPr="00140B6F">
        <w:rPr>
          <w:rFonts w:cs="Arial"/>
          <w:szCs w:val="18"/>
        </w:rPr>
        <w:t xml:space="preserve">NACE 72). </w:t>
      </w:r>
      <w:r w:rsidR="009F2691" w:rsidRPr="00140B6F">
        <w:rPr>
          <w:rFonts w:cs="Arial"/>
          <w:i/>
          <w:iCs/>
          <w:szCs w:val="16"/>
        </w:rPr>
        <w:t>Výzkumná pracoviště (</w:t>
      </w:r>
      <w:r w:rsidR="00613FD6" w:rsidRPr="00140B6F">
        <w:rPr>
          <w:rFonts w:cs="Arial"/>
          <w:i/>
          <w:iCs/>
          <w:szCs w:val="16"/>
        </w:rPr>
        <w:t>CZ</w:t>
      </w:r>
      <w:r w:rsidR="006F04EB" w:rsidRPr="00140B6F">
        <w:rPr>
          <w:rFonts w:cs="Arial"/>
          <w:i/>
          <w:iCs/>
          <w:szCs w:val="16"/>
        </w:rPr>
        <w:t>–</w:t>
      </w:r>
      <w:r w:rsidR="00613FD6" w:rsidRPr="00140B6F">
        <w:rPr>
          <w:rFonts w:cs="Arial"/>
          <w:i/>
          <w:iCs/>
          <w:szCs w:val="16"/>
        </w:rPr>
        <w:t>NACE 72</w:t>
      </w:r>
      <w:r w:rsidR="00385D62" w:rsidRPr="00140B6F">
        <w:rPr>
          <w:rFonts w:cs="Arial"/>
          <w:i/>
          <w:iCs/>
          <w:szCs w:val="16"/>
        </w:rPr>
        <w:t>) se nacházejí především v </w:t>
      </w:r>
      <w:r w:rsidR="009F2691" w:rsidRPr="00140B6F">
        <w:rPr>
          <w:rFonts w:cs="Arial"/>
          <w:i/>
          <w:iCs/>
          <w:szCs w:val="16"/>
        </w:rPr>
        <w:t>podnikatelském a ve</w:t>
      </w:r>
      <w:r w:rsidR="00385D62" w:rsidRPr="00140B6F">
        <w:rPr>
          <w:rFonts w:cs="Arial"/>
          <w:i/>
          <w:iCs/>
          <w:szCs w:val="16"/>
        </w:rPr>
        <w:t> </w:t>
      </w:r>
      <w:r w:rsidR="009F2691" w:rsidRPr="00140B6F">
        <w:rPr>
          <w:rFonts w:cs="Arial"/>
          <w:i/>
          <w:iCs/>
          <w:szCs w:val="16"/>
        </w:rPr>
        <w:t>vládním sektoru (vědecká pracoviště Akademie věd ČR, samostatné výzkumné ústavy, rezortní ústavy atd.).</w:t>
      </w:r>
    </w:p>
    <w:p w:rsidR="002B56D8" w:rsidRPr="00F42D6B" w:rsidRDefault="002B56D8" w:rsidP="002B56D8">
      <w:pPr>
        <w:pStyle w:val="Titulek"/>
        <w:keepNext/>
        <w:spacing w:after="60"/>
        <w:rPr>
          <w:sz w:val="18"/>
          <w:szCs w:val="18"/>
        </w:rPr>
      </w:pPr>
      <w:r w:rsidRPr="00F42D6B">
        <w:rPr>
          <w:sz w:val="18"/>
          <w:szCs w:val="18"/>
        </w:rPr>
        <w:t xml:space="preserve">Tabulka </w:t>
      </w:r>
      <w:r w:rsidRPr="00F42D6B">
        <w:rPr>
          <w:sz w:val="18"/>
          <w:szCs w:val="18"/>
        </w:rPr>
        <w:fldChar w:fldCharType="begin"/>
      </w:r>
      <w:r w:rsidRPr="00F42D6B">
        <w:rPr>
          <w:sz w:val="18"/>
          <w:szCs w:val="18"/>
        </w:rPr>
        <w:instrText xml:space="preserve"> SEQ Tabulka \* ARABIC </w:instrText>
      </w:r>
      <w:r w:rsidRPr="00F42D6B">
        <w:rPr>
          <w:sz w:val="18"/>
          <w:szCs w:val="18"/>
        </w:rPr>
        <w:fldChar w:fldCharType="separate"/>
      </w:r>
      <w:r w:rsidR="006421A4">
        <w:rPr>
          <w:noProof/>
          <w:sz w:val="18"/>
          <w:szCs w:val="18"/>
        </w:rPr>
        <w:t>1</w:t>
      </w:r>
      <w:r w:rsidRPr="00F42D6B">
        <w:rPr>
          <w:sz w:val="18"/>
          <w:szCs w:val="18"/>
        </w:rPr>
        <w:fldChar w:fldCharType="end"/>
      </w:r>
      <w:r w:rsidRPr="00F42D6B">
        <w:rPr>
          <w:sz w:val="18"/>
          <w:szCs w:val="18"/>
        </w:rPr>
        <w:t>: Přehled údajů o zpravodajských</w:t>
      </w:r>
      <w:r w:rsidR="002B3877">
        <w:rPr>
          <w:sz w:val="18"/>
          <w:szCs w:val="18"/>
        </w:rPr>
        <w:t xml:space="preserve"> jednotkách VTR5</w:t>
      </w:r>
      <w:r w:rsidR="006F04EB">
        <w:rPr>
          <w:sz w:val="18"/>
          <w:szCs w:val="18"/>
        </w:rPr>
        <w:t>–</w:t>
      </w:r>
      <w:r w:rsidR="007809EE">
        <w:rPr>
          <w:sz w:val="18"/>
          <w:szCs w:val="18"/>
        </w:rPr>
        <w:t>01 pro rok 201</w:t>
      </w:r>
      <w:r w:rsidR="00D40D5D">
        <w:rPr>
          <w:sz w:val="18"/>
          <w:szCs w:val="18"/>
        </w:rPr>
        <w:t>2</w:t>
      </w:r>
    </w:p>
    <w:tbl>
      <w:tblPr>
        <w:tblW w:w="9087" w:type="dxa"/>
        <w:tblInd w:w="55" w:type="dxa"/>
        <w:tblCellMar>
          <w:left w:w="70" w:type="dxa"/>
          <w:right w:w="70" w:type="dxa"/>
        </w:tblCellMar>
        <w:tblLook w:val="04A0"/>
      </w:tblPr>
      <w:tblGrid>
        <w:gridCol w:w="3559"/>
        <w:gridCol w:w="2126"/>
        <w:gridCol w:w="1740"/>
        <w:gridCol w:w="1662"/>
      </w:tblGrid>
      <w:tr w:rsidR="002B56D8" w:rsidRPr="00F42D6B" w:rsidTr="00B71337">
        <w:trPr>
          <w:trHeight w:val="300"/>
        </w:trPr>
        <w:tc>
          <w:tcPr>
            <w:tcW w:w="3559" w:type="dxa"/>
            <w:tcBorders>
              <w:left w:val="nil"/>
              <w:bottom w:val="thinThickSmallGap" w:sz="12" w:space="0" w:color="auto"/>
              <w:right w:val="dotted" w:sz="4" w:space="0" w:color="auto"/>
            </w:tcBorders>
            <w:shd w:val="clear" w:color="auto" w:fill="CCECFF"/>
            <w:vAlign w:val="center"/>
          </w:tcPr>
          <w:p w:rsidR="002B56D8" w:rsidRPr="00F42D6B" w:rsidRDefault="002B56D8" w:rsidP="00F42D6B">
            <w:pPr>
              <w:spacing w:before="0" w:after="0" w:line="240" w:lineRule="auto"/>
              <w:rPr>
                <w:rFonts w:eastAsia="Times New Roman" w:cs="Arial"/>
                <w:b/>
                <w:bCs/>
                <w:sz w:val="18"/>
                <w:szCs w:val="18"/>
                <w:lang w:eastAsia="cs-CZ"/>
              </w:rPr>
            </w:pPr>
            <w:r w:rsidRPr="00F42D6B">
              <w:rPr>
                <w:rFonts w:eastAsia="Times New Roman" w:cs="Arial"/>
                <w:b/>
                <w:bCs/>
                <w:sz w:val="18"/>
                <w:szCs w:val="18"/>
                <w:lang w:eastAsia="cs-CZ"/>
              </w:rPr>
              <w:t> </w:t>
            </w:r>
          </w:p>
        </w:tc>
        <w:tc>
          <w:tcPr>
            <w:tcW w:w="2126" w:type="dxa"/>
            <w:tcBorders>
              <w:left w:val="dotted" w:sz="4" w:space="0" w:color="auto"/>
              <w:bottom w:val="thinThickSmallGap" w:sz="12" w:space="0" w:color="auto"/>
              <w:right w:val="dotted" w:sz="4" w:space="0" w:color="auto"/>
            </w:tcBorders>
            <w:shd w:val="clear" w:color="auto" w:fill="CCECFF"/>
            <w:noWrap/>
            <w:vAlign w:val="center"/>
          </w:tcPr>
          <w:p w:rsidR="002B56D8" w:rsidRPr="00F42D6B" w:rsidRDefault="002B56D8" w:rsidP="00F42D6B">
            <w:pPr>
              <w:spacing w:before="0" w:after="0" w:line="240" w:lineRule="auto"/>
              <w:jc w:val="center"/>
              <w:rPr>
                <w:rFonts w:eastAsia="Times New Roman" w:cs="Arial"/>
                <w:b/>
                <w:bCs/>
                <w:sz w:val="18"/>
                <w:szCs w:val="18"/>
                <w:lang w:eastAsia="cs-CZ"/>
              </w:rPr>
            </w:pPr>
            <w:r w:rsidRPr="00F42D6B">
              <w:rPr>
                <w:rFonts w:eastAsia="Times New Roman" w:cs="Arial"/>
                <w:b/>
                <w:bCs/>
                <w:sz w:val="18"/>
                <w:szCs w:val="18"/>
                <w:lang w:eastAsia="cs-CZ"/>
              </w:rPr>
              <w:t>Počet ekonomických subjektů</w:t>
            </w:r>
          </w:p>
        </w:tc>
        <w:tc>
          <w:tcPr>
            <w:tcW w:w="1740" w:type="dxa"/>
            <w:tcBorders>
              <w:left w:val="dotted" w:sz="4" w:space="0" w:color="auto"/>
              <w:bottom w:val="thinThickSmallGap" w:sz="12" w:space="0" w:color="auto"/>
              <w:right w:val="dotted" w:sz="4" w:space="0" w:color="auto"/>
            </w:tcBorders>
            <w:shd w:val="clear" w:color="auto" w:fill="CCECFF"/>
            <w:noWrap/>
            <w:vAlign w:val="center"/>
          </w:tcPr>
          <w:p w:rsidR="002B56D8" w:rsidRPr="00F42D6B" w:rsidRDefault="002B56D8" w:rsidP="00F42D6B">
            <w:pPr>
              <w:spacing w:before="0" w:after="0" w:line="240" w:lineRule="auto"/>
              <w:jc w:val="center"/>
              <w:rPr>
                <w:rFonts w:eastAsia="Times New Roman" w:cs="Arial"/>
                <w:b/>
                <w:bCs/>
                <w:sz w:val="18"/>
                <w:szCs w:val="18"/>
                <w:lang w:eastAsia="cs-CZ"/>
              </w:rPr>
            </w:pPr>
            <w:r w:rsidRPr="00F42D6B">
              <w:rPr>
                <w:rFonts w:eastAsia="Times New Roman" w:cs="Arial"/>
                <w:b/>
                <w:bCs/>
                <w:sz w:val="18"/>
                <w:szCs w:val="18"/>
                <w:lang w:eastAsia="cs-CZ"/>
              </w:rPr>
              <w:t>Počet pracovišť</w:t>
            </w:r>
          </w:p>
        </w:tc>
        <w:tc>
          <w:tcPr>
            <w:tcW w:w="1662" w:type="dxa"/>
            <w:tcBorders>
              <w:left w:val="dotted" w:sz="4" w:space="0" w:color="auto"/>
              <w:bottom w:val="thinThickSmallGap" w:sz="12" w:space="0" w:color="auto"/>
              <w:right w:val="nil"/>
            </w:tcBorders>
            <w:shd w:val="clear" w:color="auto" w:fill="CCECFF"/>
            <w:noWrap/>
            <w:vAlign w:val="center"/>
          </w:tcPr>
          <w:p w:rsidR="002B56D8" w:rsidRPr="00F42D6B" w:rsidRDefault="002B56D8" w:rsidP="00F42D6B">
            <w:pPr>
              <w:spacing w:before="0" w:after="0" w:line="240" w:lineRule="auto"/>
              <w:jc w:val="center"/>
              <w:rPr>
                <w:rFonts w:eastAsia="Times New Roman" w:cs="Arial"/>
                <w:b/>
                <w:bCs/>
                <w:sz w:val="18"/>
                <w:szCs w:val="18"/>
                <w:lang w:eastAsia="cs-CZ"/>
              </w:rPr>
            </w:pPr>
            <w:r w:rsidRPr="00F42D6B">
              <w:rPr>
                <w:rFonts w:eastAsia="Times New Roman" w:cs="Arial"/>
                <w:b/>
                <w:bCs/>
                <w:sz w:val="18"/>
                <w:szCs w:val="18"/>
                <w:lang w:eastAsia="cs-CZ"/>
              </w:rPr>
              <w:t>Počet výzkumných pracovišť</w:t>
            </w:r>
          </w:p>
        </w:tc>
      </w:tr>
      <w:tr w:rsidR="00947F7D" w:rsidRPr="00C806B9" w:rsidTr="00947F7D">
        <w:trPr>
          <w:trHeight w:val="300"/>
        </w:trPr>
        <w:tc>
          <w:tcPr>
            <w:tcW w:w="3559" w:type="dxa"/>
            <w:tcBorders>
              <w:top w:val="thinThickSmallGap" w:sz="12" w:space="0" w:color="auto"/>
              <w:left w:val="nil"/>
              <w:bottom w:val="dotted" w:sz="4" w:space="0" w:color="auto"/>
              <w:right w:val="dotted" w:sz="4" w:space="0" w:color="auto"/>
            </w:tcBorders>
            <w:shd w:val="clear" w:color="auto" w:fill="CCECFF"/>
            <w:noWrap/>
            <w:vAlign w:val="center"/>
          </w:tcPr>
          <w:p w:rsidR="00947F7D" w:rsidRPr="00F42D6B" w:rsidRDefault="00947F7D" w:rsidP="00F42D6B">
            <w:pPr>
              <w:spacing w:before="0" w:after="0" w:line="240" w:lineRule="auto"/>
              <w:rPr>
                <w:rFonts w:eastAsia="Times New Roman" w:cs="Arial"/>
                <w:b/>
                <w:bCs/>
                <w:sz w:val="18"/>
                <w:szCs w:val="18"/>
                <w:lang w:eastAsia="cs-CZ"/>
              </w:rPr>
            </w:pPr>
            <w:r w:rsidRPr="00F42D6B">
              <w:rPr>
                <w:rFonts w:eastAsia="Times New Roman" w:cs="Arial"/>
                <w:b/>
                <w:bCs/>
                <w:sz w:val="18"/>
                <w:szCs w:val="18"/>
                <w:lang w:eastAsia="cs-CZ"/>
              </w:rPr>
              <w:t>podnikatelský sektor</w:t>
            </w:r>
          </w:p>
        </w:tc>
        <w:tc>
          <w:tcPr>
            <w:tcW w:w="2126" w:type="dxa"/>
            <w:tcBorders>
              <w:top w:val="thinThickSmallGap" w:sz="12" w:space="0" w:color="auto"/>
              <w:left w:val="dotted" w:sz="4" w:space="0" w:color="auto"/>
              <w:bottom w:val="dotted" w:sz="4" w:space="0" w:color="auto"/>
              <w:right w:val="dotted" w:sz="4" w:space="0" w:color="auto"/>
            </w:tcBorders>
            <w:shd w:val="clear" w:color="auto" w:fill="auto"/>
            <w:noWrap/>
            <w:vAlign w:val="center"/>
          </w:tcPr>
          <w:p w:rsidR="00947F7D" w:rsidRDefault="00947F7D" w:rsidP="00D40D5D">
            <w:pPr>
              <w:spacing w:before="0" w:after="0"/>
              <w:jc w:val="center"/>
              <w:rPr>
                <w:rFonts w:cs="Arial"/>
                <w:b/>
                <w:bCs/>
                <w:color w:val="000000"/>
                <w:sz w:val="18"/>
                <w:szCs w:val="18"/>
              </w:rPr>
            </w:pPr>
            <w:r>
              <w:rPr>
                <w:rFonts w:cs="Arial"/>
                <w:b/>
                <w:bCs/>
                <w:color w:val="000000"/>
                <w:sz w:val="18"/>
                <w:szCs w:val="18"/>
              </w:rPr>
              <w:t xml:space="preserve">1 </w:t>
            </w:r>
            <w:r w:rsidR="00D40D5D">
              <w:rPr>
                <w:rFonts w:cs="Arial"/>
                <w:b/>
                <w:bCs/>
                <w:color w:val="000000"/>
                <w:sz w:val="18"/>
                <w:szCs w:val="18"/>
              </w:rPr>
              <w:t>946</w:t>
            </w:r>
          </w:p>
        </w:tc>
        <w:tc>
          <w:tcPr>
            <w:tcW w:w="1740" w:type="dxa"/>
            <w:tcBorders>
              <w:top w:val="thinThickSmallGap" w:sz="12" w:space="0" w:color="auto"/>
              <w:left w:val="dotted" w:sz="4" w:space="0" w:color="auto"/>
              <w:bottom w:val="dotted" w:sz="4" w:space="0" w:color="auto"/>
              <w:right w:val="dotted" w:sz="4" w:space="0" w:color="auto"/>
            </w:tcBorders>
            <w:shd w:val="clear" w:color="auto" w:fill="auto"/>
            <w:noWrap/>
            <w:vAlign w:val="center"/>
          </w:tcPr>
          <w:p w:rsidR="00947F7D" w:rsidRDefault="00947F7D" w:rsidP="00D40D5D">
            <w:pPr>
              <w:spacing w:before="0" w:after="0"/>
              <w:jc w:val="center"/>
              <w:rPr>
                <w:rFonts w:cs="Arial"/>
                <w:b/>
                <w:bCs/>
                <w:color w:val="000000"/>
                <w:sz w:val="18"/>
                <w:szCs w:val="18"/>
              </w:rPr>
            </w:pPr>
            <w:r>
              <w:rPr>
                <w:rFonts w:cs="Arial"/>
                <w:b/>
                <w:bCs/>
                <w:color w:val="000000"/>
                <w:sz w:val="18"/>
                <w:szCs w:val="18"/>
              </w:rPr>
              <w:t>1 9</w:t>
            </w:r>
            <w:r w:rsidR="00D40D5D">
              <w:rPr>
                <w:rFonts w:cs="Arial"/>
                <w:b/>
                <w:bCs/>
                <w:color w:val="000000"/>
                <w:sz w:val="18"/>
                <w:szCs w:val="18"/>
              </w:rPr>
              <w:t>69</w:t>
            </w:r>
          </w:p>
        </w:tc>
        <w:tc>
          <w:tcPr>
            <w:tcW w:w="1662" w:type="dxa"/>
            <w:tcBorders>
              <w:top w:val="thinThickSmallGap" w:sz="12" w:space="0" w:color="auto"/>
              <w:left w:val="dotted" w:sz="4" w:space="0" w:color="auto"/>
              <w:bottom w:val="dotted" w:sz="4" w:space="0" w:color="auto"/>
              <w:right w:val="nil"/>
            </w:tcBorders>
            <w:shd w:val="clear" w:color="auto" w:fill="auto"/>
            <w:noWrap/>
            <w:vAlign w:val="center"/>
          </w:tcPr>
          <w:p w:rsidR="00947F7D" w:rsidRDefault="00947F7D" w:rsidP="00335220">
            <w:pPr>
              <w:spacing w:before="0" w:after="0"/>
              <w:jc w:val="center"/>
              <w:rPr>
                <w:rFonts w:cs="Arial"/>
                <w:b/>
                <w:bCs/>
                <w:color w:val="000000"/>
                <w:sz w:val="18"/>
                <w:szCs w:val="18"/>
              </w:rPr>
            </w:pPr>
            <w:r>
              <w:rPr>
                <w:rFonts w:cs="Arial"/>
                <w:b/>
                <w:bCs/>
                <w:color w:val="000000"/>
                <w:sz w:val="18"/>
                <w:szCs w:val="18"/>
              </w:rPr>
              <w:t>1</w:t>
            </w:r>
            <w:r w:rsidR="00335220">
              <w:rPr>
                <w:rFonts w:cs="Arial"/>
                <w:b/>
                <w:bCs/>
                <w:color w:val="000000"/>
                <w:sz w:val="18"/>
                <w:szCs w:val="18"/>
              </w:rPr>
              <w:t>20</w:t>
            </w:r>
          </w:p>
        </w:tc>
      </w:tr>
      <w:tr w:rsidR="00947F7D" w:rsidRPr="00F42D6B" w:rsidTr="00947F7D">
        <w:trPr>
          <w:trHeight w:val="300"/>
        </w:trPr>
        <w:tc>
          <w:tcPr>
            <w:tcW w:w="3559" w:type="dxa"/>
            <w:tcBorders>
              <w:top w:val="dotted" w:sz="4" w:space="0" w:color="auto"/>
              <w:left w:val="nil"/>
              <w:bottom w:val="nil"/>
              <w:right w:val="dotted" w:sz="4" w:space="0" w:color="auto"/>
            </w:tcBorders>
            <w:shd w:val="clear" w:color="auto" w:fill="CCECFF"/>
            <w:noWrap/>
            <w:vAlign w:val="center"/>
          </w:tcPr>
          <w:p w:rsidR="00947F7D" w:rsidRPr="00F42D6B" w:rsidRDefault="00947F7D" w:rsidP="003E1682">
            <w:pPr>
              <w:spacing w:before="0" w:after="0" w:line="240" w:lineRule="auto"/>
              <w:ind w:firstLineChars="127" w:firstLine="229"/>
              <w:rPr>
                <w:rFonts w:eastAsia="Times New Roman" w:cs="Arial"/>
                <w:sz w:val="18"/>
                <w:szCs w:val="18"/>
                <w:lang w:eastAsia="cs-CZ"/>
              </w:rPr>
            </w:pPr>
            <w:r w:rsidRPr="00F42D6B">
              <w:rPr>
                <w:rFonts w:eastAsia="Times New Roman" w:cs="Arial"/>
                <w:sz w:val="18"/>
                <w:szCs w:val="18"/>
                <w:lang w:eastAsia="cs-CZ"/>
              </w:rPr>
              <w:t>veřejné podniky</w:t>
            </w:r>
          </w:p>
        </w:tc>
        <w:tc>
          <w:tcPr>
            <w:tcW w:w="2126" w:type="dxa"/>
            <w:tcBorders>
              <w:top w:val="dotted" w:sz="4" w:space="0" w:color="auto"/>
              <w:left w:val="dotted" w:sz="4" w:space="0" w:color="auto"/>
              <w:bottom w:val="nil"/>
              <w:right w:val="dotted" w:sz="4" w:space="0" w:color="auto"/>
            </w:tcBorders>
            <w:shd w:val="clear" w:color="auto" w:fill="auto"/>
            <w:noWrap/>
            <w:vAlign w:val="center"/>
          </w:tcPr>
          <w:p w:rsidR="00947F7D" w:rsidRDefault="00947F7D" w:rsidP="00D40D5D">
            <w:pPr>
              <w:spacing w:before="0" w:after="0"/>
              <w:jc w:val="center"/>
              <w:rPr>
                <w:rFonts w:cs="Arial"/>
                <w:color w:val="000000"/>
                <w:sz w:val="18"/>
                <w:szCs w:val="18"/>
              </w:rPr>
            </w:pPr>
            <w:r>
              <w:rPr>
                <w:rFonts w:cs="Arial"/>
                <w:color w:val="000000"/>
                <w:sz w:val="18"/>
                <w:szCs w:val="18"/>
              </w:rPr>
              <w:t>5</w:t>
            </w:r>
            <w:r w:rsidR="00D40D5D">
              <w:rPr>
                <w:rFonts w:cs="Arial"/>
                <w:color w:val="000000"/>
                <w:sz w:val="18"/>
                <w:szCs w:val="18"/>
              </w:rPr>
              <w:t>1</w:t>
            </w:r>
          </w:p>
        </w:tc>
        <w:tc>
          <w:tcPr>
            <w:tcW w:w="1740" w:type="dxa"/>
            <w:tcBorders>
              <w:top w:val="dotted" w:sz="4" w:space="0" w:color="auto"/>
              <w:left w:val="dotted" w:sz="4" w:space="0" w:color="auto"/>
              <w:bottom w:val="nil"/>
              <w:right w:val="dotted" w:sz="4" w:space="0" w:color="auto"/>
            </w:tcBorders>
            <w:shd w:val="clear" w:color="auto" w:fill="auto"/>
            <w:noWrap/>
            <w:vAlign w:val="center"/>
          </w:tcPr>
          <w:p w:rsidR="00947F7D" w:rsidRDefault="00D40D5D" w:rsidP="00947F7D">
            <w:pPr>
              <w:spacing w:before="0" w:after="0"/>
              <w:jc w:val="center"/>
              <w:rPr>
                <w:rFonts w:cs="Arial"/>
                <w:color w:val="000000"/>
                <w:sz w:val="18"/>
                <w:szCs w:val="18"/>
              </w:rPr>
            </w:pPr>
            <w:r>
              <w:rPr>
                <w:rFonts w:cs="Arial"/>
                <w:color w:val="000000"/>
                <w:sz w:val="18"/>
                <w:szCs w:val="18"/>
              </w:rPr>
              <w:t>58</w:t>
            </w:r>
          </w:p>
        </w:tc>
        <w:tc>
          <w:tcPr>
            <w:tcW w:w="1662" w:type="dxa"/>
            <w:tcBorders>
              <w:top w:val="dotted" w:sz="4" w:space="0" w:color="auto"/>
              <w:left w:val="dotted" w:sz="4" w:space="0" w:color="auto"/>
              <w:bottom w:val="nil"/>
              <w:right w:val="nil"/>
            </w:tcBorders>
            <w:shd w:val="clear" w:color="auto" w:fill="auto"/>
            <w:noWrap/>
            <w:vAlign w:val="center"/>
          </w:tcPr>
          <w:p w:rsidR="00947F7D" w:rsidRDefault="00947F7D" w:rsidP="00947F7D">
            <w:pPr>
              <w:spacing w:before="0" w:after="0"/>
              <w:jc w:val="center"/>
              <w:rPr>
                <w:rFonts w:cs="Arial"/>
                <w:color w:val="000000"/>
                <w:sz w:val="18"/>
                <w:szCs w:val="18"/>
              </w:rPr>
            </w:pPr>
            <w:r>
              <w:rPr>
                <w:rFonts w:cs="Arial"/>
                <w:color w:val="000000"/>
                <w:sz w:val="18"/>
                <w:szCs w:val="18"/>
              </w:rPr>
              <w:t>1</w:t>
            </w:r>
          </w:p>
        </w:tc>
      </w:tr>
      <w:tr w:rsidR="00947F7D" w:rsidRPr="00F42D6B" w:rsidTr="00947F7D">
        <w:trPr>
          <w:trHeight w:val="300"/>
        </w:trPr>
        <w:tc>
          <w:tcPr>
            <w:tcW w:w="3559" w:type="dxa"/>
            <w:tcBorders>
              <w:top w:val="nil"/>
              <w:left w:val="nil"/>
              <w:bottom w:val="nil"/>
              <w:right w:val="dotted" w:sz="4" w:space="0" w:color="auto"/>
            </w:tcBorders>
            <w:shd w:val="clear" w:color="auto" w:fill="CCECFF"/>
            <w:noWrap/>
            <w:vAlign w:val="center"/>
          </w:tcPr>
          <w:p w:rsidR="00947F7D" w:rsidRPr="00F42D6B" w:rsidRDefault="00947F7D" w:rsidP="005F4273">
            <w:pPr>
              <w:spacing w:before="0" w:after="0" w:line="240" w:lineRule="auto"/>
              <w:ind w:firstLineChars="127" w:firstLine="229"/>
              <w:rPr>
                <w:rFonts w:eastAsia="Times New Roman" w:cs="Arial"/>
                <w:sz w:val="18"/>
                <w:szCs w:val="18"/>
                <w:lang w:eastAsia="cs-CZ"/>
              </w:rPr>
            </w:pPr>
            <w:r w:rsidRPr="00F42D6B">
              <w:rPr>
                <w:rFonts w:eastAsia="Times New Roman" w:cs="Arial"/>
                <w:sz w:val="18"/>
                <w:szCs w:val="18"/>
                <w:lang w:eastAsia="cs-CZ"/>
              </w:rPr>
              <w:t xml:space="preserve">soukromé podniky </w:t>
            </w:r>
            <w:r w:rsidR="005F4273">
              <w:rPr>
                <w:rFonts w:eastAsia="Times New Roman" w:cs="Arial"/>
                <w:sz w:val="18"/>
                <w:szCs w:val="18"/>
                <w:lang w:eastAsia="cs-CZ"/>
              </w:rPr>
              <w:t>domác</w:t>
            </w:r>
            <w:r w:rsidRPr="00F42D6B">
              <w:rPr>
                <w:rFonts w:eastAsia="Times New Roman" w:cs="Arial"/>
                <w:sz w:val="18"/>
                <w:szCs w:val="18"/>
                <w:lang w:eastAsia="cs-CZ"/>
              </w:rPr>
              <w:t>í</w:t>
            </w:r>
          </w:p>
        </w:tc>
        <w:tc>
          <w:tcPr>
            <w:tcW w:w="2126" w:type="dxa"/>
            <w:tcBorders>
              <w:top w:val="nil"/>
              <w:left w:val="dotted" w:sz="4" w:space="0" w:color="auto"/>
              <w:bottom w:val="nil"/>
              <w:right w:val="dotted" w:sz="4" w:space="0" w:color="auto"/>
            </w:tcBorders>
            <w:shd w:val="clear" w:color="auto" w:fill="auto"/>
            <w:noWrap/>
            <w:vAlign w:val="center"/>
          </w:tcPr>
          <w:p w:rsidR="00947F7D" w:rsidRDefault="00947F7D" w:rsidP="00D40D5D">
            <w:pPr>
              <w:spacing w:before="0" w:after="0"/>
              <w:jc w:val="center"/>
              <w:rPr>
                <w:rFonts w:cs="Arial"/>
                <w:color w:val="000000"/>
                <w:sz w:val="18"/>
                <w:szCs w:val="18"/>
              </w:rPr>
            </w:pPr>
            <w:r>
              <w:rPr>
                <w:rFonts w:cs="Arial"/>
                <w:color w:val="000000"/>
                <w:sz w:val="18"/>
                <w:szCs w:val="18"/>
              </w:rPr>
              <w:t>1 3</w:t>
            </w:r>
            <w:r w:rsidR="00D40D5D">
              <w:rPr>
                <w:rFonts w:cs="Arial"/>
                <w:color w:val="000000"/>
                <w:sz w:val="18"/>
                <w:szCs w:val="18"/>
              </w:rPr>
              <w:t>91</w:t>
            </w:r>
          </w:p>
        </w:tc>
        <w:tc>
          <w:tcPr>
            <w:tcW w:w="1740" w:type="dxa"/>
            <w:tcBorders>
              <w:top w:val="nil"/>
              <w:left w:val="dotted" w:sz="4" w:space="0" w:color="auto"/>
              <w:bottom w:val="nil"/>
              <w:right w:val="dotted" w:sz="4" w:space="0" w:color="auto"/>
            </w:tcBorders>
            <w:shd w:val="clear" w:color="auto" w:fill="auto"/>
            <w:noWrap/>
            <w:vAlign w:val="center"/>
          </w:tcPr>
          <w:p w:rsidR="00947F7D" w:rsidRDefault="00947F7D" w:rsidP="00D40D5D">
            <w:pPr>
              <w:spacing w:before="0" w:after="0"/>
              <w:jc w:val="center"/>
              <w:rPr>
                <w:rFonts w:cs="Arial"/>
                <w:color w:val="000000"/>
                <w:sz w:val="18"/>
                <w:szCs w:val="18"/>
              </w:rPr>
            </w:pPr>
            <w:r>
              <w:rPr>
                <w:rFonts w:cs="Arial"/>
                <w:color w:val="000000"/>
                <w:sz w:val="18"/>
                <w:szCs w:val="18"/>
              </w:rPr>
              <w:t xml:space="preserve">1 </w:t>
            </w:r>
            <w:r w:rsidR="00D40D5D">
              <w:rPr>
                <w:rFonts w:cs="Arial"/>
                <w:color w:val="000000"/>
                <w:sz w:val="18"/>
                <w:szCs w:val="18"/>
              </w:rPr>
              <w:t>401</w:t>
            </w:r>
          </w:p>
        </w:tc>
        <w:tc>
          <w:tcPr>
            <w:tcW w:w="1662" w:type="dxa"/>
            <w:tcBorders>
              <w:top w:val="nil"/>
              <w:left w:val="dotted" w:sz="4" w:space="0" w:color="auto"/>
              <w:bottom w:val="nil"/>
              <w:right w:val="nil"/>
            </w:tcBorders>
            <w:shd w:val="clear" w:color="auto" w:fill="auto"/>
            <w:noWrap/>
            <w:vAlign w:val="center"/>
          </w:tcPr>
          <w:p w:rsidR="00947F7D" w:rsidRDefault="00947F7D" w:rsidP="00335220">
            <w:pPr>
              <w:spacing w:before="0" w:after="0"/>
              <w:jc w:val="center"/>
              <w:rPr>
                <w:rFonts w:cs="Arial"/>
                <w:color w:val="000000"/>
                <w:sz w:val="18"/>
                <w:szCs w:val="18"/>
              </w:rPr>
            </w:pPr>
            <w:r>
              <w:rPr>
                <w:rFonts w:cs="Arial"/>
                <w:color w:val="000000"/>
                <w:sz w:val="18"/>
                <w:szCs w:val="18"/>
              </w:rPr>
              <w:t>9</w:t>
            </w:r>
            <w:r w:rsidR="00335220">
              <w:rPr>
                <w:rFonts w:cs="Arial"/>
                <w:color w:val="000000"/>
                <w:sz w:val="18"/>
                <w:szCs w:val="18"/>
              </w:rPr>
              <w:t>4</w:t>
            </w:r>
          </w:p>
        </w:tc>
      </w:tr>
      <w:tr w:rsidR="00947F7D" w:rsidRPr="00F42D6B" w:rsidTr="00947F7D">
        <w:trPr>
          <w:trHeight w:val="300"/>
        </w:trPr>
        <w:tc>
          <w:tcPr>
            <w:tcW w:w="3559" w:type="dxa"/>
            <w:tcBorders>
              <w:top w:val="nil"/>
              <w:left w:val="nil"/>
              <w:bottom w:val="dotted" w:sz="4" w:space="0" w:color="auto"/>
              <w:right w:val="dotted" w:sz="4" w:space="0" w:color="auto"/>
            </w:tcBorders>
            <w:shd w:val="clear" w:color="auto" w:fill="CCECFF"/>
            <w:noWrap/>
            <w:vAlign w:val="center"/>
          </w:tcPr>
          <w:p w:rsidR="00947F7D" w:rsidRPr="00F42D6B" w:rsidRDefault="005F4273" w:rsidP="003E1682">
            <w:pPr>
              <w:spacing w:before="0" w:after="0" w:line="240" w:lineRule="auto"/>
              <w:ind w:leftChars="114" w:left="228"/>
              <w:rPr>
                <w:rFonts w:eastAsia="Times New Roman" w:cs="Arial"/>
                <w:sz w:val="18"/>
                <w:szCs w:val="18"/>
                <w:lang w:eastAsia="cs-CZ"/>
              </w:rPr>
            </w:pPr>
            <w:r>
              <w:rPr>
                <w:rFonts w:eastAsia="Times New Roman" w:cs="Arial"/>
                <w:sz w:val="18"/>
                <w:szCs w:val="18"/>
                <w:lang w:eastAsia="cs-CZ"/>
              </w:rPr>
              <w:t>zahraniční afilace</w:t>
            </w:r>
          </w:p>
        </w:tc>
        <w:tc>
          <w:tcPr>
            <w:tcW w:w="2126" w:type="dxa"/>
            <w:tcBorders>
              <w:top w:val="nil"/>
              <w:left w:val="dotted" w:sz="4" w:space="0" w:color="auto"/>
              <w:bottom w:val="dotted" w:sz="4" w:space="0" w:color="auto"/>
              <w:right w:val="dotted" w:sz="4" w:space="0" w:color="auto"/>
            </w:tcBorders>
            <w:shd w:val="clear" w:color="auto" w:fill="auto"/>
            <w:noWrap/>
            <w:vAlign w:val="center"/>
          </w:tcPr>
          <w:p w:rsidR="00947F7D" w:rsidRDefault="00D40D5D" w:rsidP="00947F7D">
            <w:pPr>
              <w:spacing w:before="0" w:after="0"/>
              <w:jc w:val="center"/>
              <w:rPr>
                <w:rFonts w:cs="Arial"/>
                <w:color w:val="000000"/>
                <w:sz w:val="18"/>
                <w:szCs w:val="18"/>
              </w:rPr>
            </w:pPr>
            <w:r>
              <w:rPr>
                <w:rFonts w:cs="Arial"/>
                <w:color w:val="000000"/>
                <w:sz w:val="18"/>
                <w:szCs w:val="18"/>
              </w:rPr>
              <w:t>504</w:t>
            </w:r>
          </w:p>
        </w:tc>
        <w:tc>
          <w:tcPr>
            <w:tcW w:w="1740" w:type="dxa"/>
            <w:tcBorders>
              <w:top w:val="nil"/>
              <w:left w:val="dotted" w:sz="4" w:space="0" w:color="auto"/>
              <w:bottom w:val="dotted" w:sz="4" w:space="0" w:color="auto"/>
              <w:right w:val="dotted" w:sz="4" w:space="0" w:color="auto"/>
            </w:tcBorders>
            <w:shd w:val="clear" w:color="auto" w:fill="auto"/>
            <w:noWrap/>
            <w:vAlign w:val="center"/>
          </w:tcPr>
          <w:p w:rsidR="00947F7D" w:rsidRDefault="00947F7D" w:rsidP="00D40D5D">
            <w:pPr>
              <w:spacing w:before="0" w:after="0"/>
              <w:jc w:val="center"/>
              <w:rPr>
                <w:rFonts w:cs="Arial"/>
                <w:color w:val="000000"/>
                <w:sz w:val="18"/>
                <w:szCs w:val="18"/>
              </w:rPr>
            </w:pPr>
            <w:r>
              <w:rPr>
                <w:rFonts w:cs="Arial"/>
                <w:color w:val="000000"/>
                <w:sz w:val="18"/>
                <w:szCs w:val="18"/>
              </w:rPr>
              <w:t>5</w:t>
            </w:r>
            <w:r w:rsidR="00D40D5D">
              <w:rPr>
                <w:rFonts w:cs="Arial"/>
                <w:color w:val="000000"/>
                <w:sz w:val="18"/>
                <w:szCs w:val="18"/>
              </w:rPr>
              <w:t>10</w:t>
            </w:r>
          </w:p>
        </w:tc>
        <w:tc>
          <w:tcPr>
            <w:tcW w:w="1662" w:type="dxa"/>
            <w:tcBorders>
              <w:top w:val="nil"/>
              <w:left w:val="dotted" w:sz="4" w:space="0" w:color="auto"/>
              <w:bottom w:val="dotted" w:sz="4" w:space="0" w:color="auto"/>
              <w:right w:val="nil"/>
            </w:tcBorders>
            <w:shd w:val="clear" w:color="auto" w:fill="auto"/>
            <w:noWrap/>
            <w:vAlign w:val="center"/>
          </w:tcPr>
          <w:p w:rsidR="00947F7D" w:rsidRDefault="00947F7D" w:rsidP="00335220">
            <w:pPr>
              <w:spacing w:before="0" w:after="0"/>
              <w:jc w:val="center"/>
              <w:rPr>
                <w:rFonts w:cs="Arial"/>
                <w:color w:val="000000"/>
                <w:sz w:val="18"/>
                <w:szCs w:val="18"/>
              </w:rPr>
            </w:pPr>
            <w:r>
              <w:rPr>
                <w:rFonts w:cs="Arial"/>
                <w:color w:val="000000"/>
                <w:sz w:val="18"/>
                <w:szCs w:val="18"/>
              </w:rPr>
              <w:t>2</w:t>
            </w:r>
            <w:r w:rsidR="00335220">
              <w:rPr>
                <w:rFonts w:cs="Arial"/>
                <w:color w:val="000000"/>
                <w:sz w:val="18"/>
                <w:szCs w:val="18"/>
              </w:rPr>
              <w:t>5</w:t>
            </w:r>
          </w:p>
        </w:tc>
      </w:tr>
      <w:tr w:rsidR="00947F7D" w:rsidRPr="00F42D6B" w:rsidTr="00947F7D">
        <w:trPr>
          <w:trHeight w:val="300"/>
        </w:trPr>
        <w:tc>
          <w:tcPr>
            <w:tcW w:w="3559" w:type="dxa"/>
            <w:tcBorders>
              <w:top w:val="dotted" w:sz="4" w:space="0" w:color="auto"/>
              <w:left w:val="nil"/>
              <w:bottom w:val="dotted" w:sz="4" w:space="0" w:color="auto"/>
              <w:right w:val="dotted" w:sz="4" w:space="0" w:color="auto"/>
            </w:tcBorders>
            <w:shd w:val="clear" w:color="auto" w:fill="CCECFF"/>
            <w:noWrap/>
            <w:vAlign w:val="center"/>
          </w:tcPr>
          <w:p w:rsidR="00947F7D" w:rsidRPr="00F42D6B" w:rsidRDefault="00947F7D" w:rsidP="00F42D6B">
            <w:pPr>
              <w:spacing w:before="0" w:after="0" w:line="240" w:lineRule="auto"/>
              <w:rPr>
                <w:rFonts w:eastAsia="Times New Roman" w:cs="Arial"/>
                <w:b/>
                <w:bCs/>
                <w:sz w:val="18"/>
                <w:szCs w:val="18"/>
                <w:lang w:eastAsia="cs-CZ"/>
              </w:rPr>
            </w:pPr>
            <w:r w:rsidRPr="00F42D6B">
              <w:rPr>
                <w:rFonts w:eastAsia="Times New Roman" w:cs="Arial"/>
                <w:b/>
                <w:bCs/>
                <w:sz w:val="18"/>
                <w:szCs w:val="18"/>
                <w:lang w:eastAsia="cs-CZ"/>
              </w:rPr>
              <w:t>vládní sektor</w:t>
            </w: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7D" w:rsidRDefault="00D40D5D" w:rsidP="00947F7D">
            <w:pPr>
              <w:spacing w:before="0" w:after="0"/>
              <w:jc w:val="center"/>
              <w:rPr>
                <w:rFonts w:cs="Arial"/>
                <w:b/>
                <w:bCs/>
                <w:color w:val="000000"/>
                <w:sz w:val="18"/>
                <w:szCs w:val="18"/>
              </w:rPr>
            </w:pPr>
            <w:r>
              <w:rPr>
                <w:rFonts w:cs="Arial"/>
                <w:b/>
                <w:bCs/>
                <w:color w:val="000000"/>
                <w:sz w:val="18"/>
                <w:szCs w:val="18"/>
              </w:rPr>
              <w:t>136</w:t>
            </w:r>
          </w:p>
        </w:tc>
        <w:tc>
          <w:tcPr>
            <w:tcW w:w="17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7D" w:rsidRDefault="00947F7D" w:rsidP="00D40D5D">
            <w:pPr>
              <w:spacing w:before="0" w:after="0"/>
              <w:jc w:val="center"/>
              <w:rPr>
                <w:rFonts w:cs="Arial"/>
                <w:b/>
                <w:bCs/>
                <w:color w:val="000000"/>
                <w:sz w:val="18"/>
                <w:szCs w:val="18"/>
              </w:rPr>
            </w:pPr>
            <w:r>
              <w:rPr>
                <w:rFonts w:cs="Arial"/>
                <w:b/>
                <w:bCs/>
                <w:color w:val="000000"/>
                <w:sz w:val="18"/>
                <w:szCs w:val="18"/>
              </w:rPr>
              <w:t>1</w:t>
            </w:r>
            <w:r w:rsidR="00D40D5D">
              <w:rPr>
                <w:rFonts w:cs="Arial"/>
                <w:b/>
                <w:bCs/>
                <w:color w:val="000000"/>
                <w:sz w:val="18"/>
                <w:szCs w:val="18"/>
              </w:rPr>
              <w:t>7</w:t>
            </w:r>
            <w:r>
              <w:rPr>
                <w:rFonts w:cs="Arial"/>
                <w:b/>
                <w:bCs/>
                <w:color w:val="000000"/>
                <w:sz w:val="18"/>
                <w:szCs w:val="18"/>
              </w:rPr>
              <w:t>3</w:t>
            </w:r>
          </w:p>
        </w:tc>
        <w:tc>
          <w:tcPr>
            <w:tcW w:w="1662" w:type="dxa"/>
            <w:tcBorders>
              <w:top w:val="dotted" w:sz="4" w:space="0" w:color="auto"/>
              <w:left w:val="dotted" w:sz="4" w:space="0" w:color="auto"/>
              <w:bottom w:val="dotted" w:sz="4" w:space="0" w:color="auto"/>
              <w:right w:val="nil"/>
            </w:tcBorders>
            <w:shd w:val="clear" w:color="auto" w:fill="auto"/>
            <w:noWrap/>
            <w:vAlign w:val="center"/>
          </w:tcPr>
          <w:p w:rsidR="00947F7D" w:rsidRDefault="00335220" w:rsidP="00947F7D">
            <w:pPr>
              <w:spacing w:before="0" w:after="0"/>
              <w:jc w:val="center"/>
              <w:rPr>
                <w:rFonts w:cs="Arial"/>
                <w:b/>
                <w:bCs/>
                <w:color w:val="000000"/>
                <w:sz w:val="18"/>
                <w:szCs w:val="18"/>
              </w:rPr>
            </w:pPr>
            <w:r>
              <w:rPr>
                <w:rFonts w:cs="Arial"/>
                <w:b/>
                <w:bCs/>
                <w:color w:val="000000"/>
                <w:sz w:val="18"/>
                <w:szCs w:val="18"/>
              </w:rPr>
              <w:t>95</w:t>
            </w:r>
          </w:p>
        </w:tc>
      </w:tr>
      <w:tr w:rsidR="00947F7D" w:rsidRPr="00F42D6B" w:rsidTr="00947F7D">
        <w:trPr>
          <w:trHeight w:val="300"/>
        </w:trPr>
        <w:tc>
          <w:tcPr>
            <w:tcW w:w="3559" w:type="dxa"/>
            <w:tcBorders>
              <w:top w:val="dotted" w:sz="4" w:space="0" w:color="auto"/>
              <w:left w:val="nil"/>
              <w:bottom w:val="dotted" w:sz="4" w:space="0" w:color="auto"/>
              <w:right w:val="dotted" w:sz="4" w:space="0" w:color="auto"/>
            </w:tcBorders>
            <w:shd w:val="clear" w:color="auto" w:fill="CCECFF"/>
            <w:noWrap/>
            <w:vAlign w:val="center"/>
          </w:tcPr>
          <w:p w:rsidR="00947F7D" w:rsidRPr="00F42D6B" w:rsidRDefault="00947F7D" w:rsidP="00F42D6B">
            <w:pPr>
              <w:spacing w:before="0" w:after="0" w:line="240" w:lineRule="auto"/>
              <w:rPr>
                <w:rFonts w:eastAsia="Times New Roman" w:cs="Arial"/>
                <w:b/>
                <w:bCs/>
                <w:sz w:val="18"/>
                <w:szCs w:val="18"/>
                <w:lang w:eastAsia="cs-CZ"/>
              </w:rPr>
            </w:pPr>
            <w:r w:rsidRPr="00F42D6B">
              <w:rPr>
                <w:rFonts w:eastAsia="Times New Roman" w:cs="Arial"/>
                <w:b/>
                <w:bCs/>
                <w:sz w:val="18"/>
                <w:szCs w:val="18"/>
                <w:lang w:eastAsia="cs-CZ"/>
              </w:rPr>
              <w:t>vysokoškolský sektor</w:t>
            </w: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7D" w:rsidRDefault="00947F7D" w:rsidP="00D40D5D">
            <w:pPr>
              <w:spacing w:before="0" w:after="0"/>
              <w:jc w:val="center"/>
              <w:rPr>
                <w:rFonts w:cs="Arial"/>
                <w:b/>
                <w:bCs/>
                <w:color w:val="000000"/>
                <w:sz w:val="18"/>
                <w:szCs w:val="18"/>
              </w:rPr>
            </w:pPr>
            <w:r>
              <w:rPr>
                <w:rFonts w:cs="Arial"/>
                <w:b/>
                <w:bCs/>
                <w:color w:val="000000"/>
                <w:sz w:val="18"/>
                <w:szCs w:val="18"/>
              </w:rPr>
              <w:t>6</w:t>
            </w:r>
            <w:r w:rsidR="00D40D5D">
              <w:rPr>
                <w:rFonts w:cs="Arial"/>
                <w:b/>
                <w:bCs/>
                <w:color w:val="000000"/>
                <w:sz w:val="18"/>
                <w:szCs w:val="18"/>
              </w:rPr>
              <w:t>3</w:t>
            </w:r>
          </w:p>
        </w:tc>
        <w:tc>
          <w:tcPr>
            <w:tcW w:w="17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7D" w:rsidRDefault="00947F7D" w:rsidP="00D40D5D">
            <w:pPr>
              <w:spacing w:before="0" w:after="0"/>
              <w:jc w:val="center"/>
              <w:rPr>
                <w:rFonts w:cs="Arial"/>
                <w:b/>
                <w:bCs/>
                <w:color w:val="000000"/>
                <w:sz w:val="18"/>
                <w:szCs w:val="18"/>
              </w:rPr>
            </w:pPr>
            <w:r>
              <w:rPr>
                <w:rFonts w:cs="Arial"/>
                <w:b/>
                <w:bCs/>
                <w:color w:val="000000"/>
                <w:sz w:val="18"/>
                <w:szCs w:val="18"/>
              </w:rPr>
              <w:t>20</w:t>
            </w:r>
            <w:r w:rsidR="00D40D5D">
              <w:rPr>
                <w:rFonts w:cs="Arial"/>
                <w:b/>
                <w:bCs/>
                <w:color w:val="000000"/>
                <w:sz w:val="18"/>
                <w:szCs w:val="18"/>
              </w:rPr>
              <w:t>3</w:t>
            </w:r>
          </w:p>
        </w:tc>
        <w:tc>
          <w:tcPr>
            <w:tcW w:w="1662" w:type="dxa"/>
            <w:tcBorders>
              <w:top w:val="dotted" w:sz="4" w:space="0" w:color="auto"/>
              <w:left w:val="dotted" w:sz="4" w:space="0" w:color="auto"/>
              <w:bottom w:val="dotted" w:sz="4" w:space="0" w:color="auto"/>
              <w:right w:val="nil"/>
            </w:tcBorders>
            <w:shd w:val="clear" w:color="auto" w:fill="auto"/>
            <w:noWrap/>
            <w:vAlign w:val="center"/>
          </w:tcPr>
          <w:p w:rsidR="00947F7D" w:rsidRDefault="00947F7D" w:rsidP="00947F7D">
            <w:pPr>
              <w:spacing w:before="0" w:after="0"/>
              <w:jc w:val="center"/>
              <w:rPr>
                <w:rFonts w:cs="Arial"/>
                <w:b/>
                <w:bCs/>
                <w:color w:val="000000"/>
                <w:sz w:val="18"/>
                <w:szCs w:val="18"/>
              </w:rPr>
            </w:pPr>
            <w:r>
              <w:rPr>
                <w:rFonts w:cs="Arial"/>
                <w:b/>
                <w:bCs/>
                <w:color w:val="000000"/>
                <w:kern w:val="24"/>
                <w:sz w:val="18"/>
                <w:szCs w:val="18"/>
              </w:rPr>
              <w:t>0</w:t>
            </w:r>
          </w:p>
        </w:tc>
      </w:tr>
      <w:tr w:rsidR="00947F7D" w:rsidRPr="00F42D6B" w:rsidTr="00947F7D">
        <w:trPr>
          <w:trHeight w:val="300"/>
        </w:trPr>
        <w:tc>
          <w:tcPr>
            <w:tcW w:w="3559" w:type="dxa"/>
            <w:tcBorders>
              <w:top w:val="dotted" w:sz="4" w:space="0" w:color="auto"/>
              <w:left w:val="nil"/>
              <w:bottom w:val="dotted" w:sz="4" w:space="0" w:color="auto"/>
              <w:right w:val="dotted" w:sz="4" w:space="0" w:color="auto"/>
            </w:tcBorders>
            <w:shd w:val="clear" w:color="auto" w:fill="CCECFF"/>
            <w:noWrap/>
            <w:vAlign w:val="center"/>
          </w:tcPr>
          <w:p w:rsidR="00947F7D" w:rsidRPr="00F42D6B" w:rsidRDefault="00947F7D" w:rsidP="00F42D6B">
            <w:pPr>
              <w:spacing w:before="0" w:after="0" w:line="240" w:lineRule="auto"/>
              <w:rPr>
                <w:rFonts w:eastAsia="Times New Roman" w:cs="Arial"/>
                <w:b/>
                <w:bCs/>
                <w:sz w:val="18"/>
                <w:szCs w:val="18"/>
                <w:lang w:eastAsia="cs-CZ"/>
              </w:rPr>
            </w:pPr>
            <w:r w:rsidRPr="00F42D6B">
              <w:rPr>
                <w:rFonts w:eastAsia="Times New Roman" w:cs="Arial"/>
                <w:b/>
                <w:bCs/>
                <w:sz w:val="18"/>
                <w:szCs w:val="18"/>
                <w:lang w:eastAsia="cs-CZ"/>
              </w:rPr>
              <w:t>soukromý neziskový sektor</w:t>
            </w: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7D" w:rsidRDefault="00D40D5D" w:rsidP="00947F7D">
            <w:pPr>
              <w:spacing w:before="0" w:after="0"/>
              <w:jc w:val="center"/>
              <w:rPr>
                <w:rFonts w:cs="Arial"/>
                <w:b/>
                <w:bCs/>
                <w:color w:val="000000"/>
                <w:sz w:val="18"/>
                <w:szCs w:val="18"/>
              </w:rPr>
            </w:pPr>
            <w:r>
              <w:rPr>
                <w:rFonts w:cs="Arial"/>
                <w:b/>
                <w:bCs/>
                <w:color w:val="000000"/>
                <w:sz w:val="18"/>
                <w:szCs w:val="18"/>
              </w:rPr>
              <w:t>60</w:t>
            </w:r>
          </w:p>
        </w:tc>
        <w:tc>
          <w:tcPr>
            <w:tcW w:w="1740"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7D" w:rsidRDefault="00947F7D" w:rsidP="00D40D5D">
            <w:pPr>
              <w:spacing w:before="0" w:after="0"/>
              <w:jc w:val="center"/>
              <w:rPr>
                <w:rFonts w:cs="Arial"/>
                <w:b/>
                <w:bCs/>
                <w:color w:val="000000"/>
                <w:sz w:val="18"/>
                <w:szCs w:val="18"/>
              </w:rPr>
            </w:pPr>
            <w:r>
              <w:rPr>
                <w:rFonts w:cs="Arial"/>
                <w:b/>
                <w:bCs/>
                <w:color w:val="000000"/>
                <w:sz w:val="18"/>
                <w:szCs w:val="18"/>
              </w:rPr>
              <w:t>6</w:t>
            </w:r>
            <w:r w:rsidR="00D40D5D">
              <w:rPr>
                <w:rFonts w:cs="Arial"/>
                <w:b/>
                <w:bCs/>
                <w:color w:val="000000"/>
                <w:sz w:val="18"/>
                <w:szCs w:val="18"/>
              </w:rPr>
              <w:t>0</w:t>
            </w:r>
          </w:p>
        </w:tc>
        <w:tc>
          <w:tcPr>
            <w:tcW w:w="1662" w:type="dxa"/>
            <w:tcBorders>
              <w:top w:val="dotted" w:sz="4" w:space="0" w:color="auto"/>
              <w:left w:val="dotted" w:sz="4" w:space="0" w:color="auto"/>
              <w:bottom w:val="dotted" w:sz="4" w:space="0" w:color="auto"/>
              <w:right w:val="nil"/>
            </w:tcBorders>
            <w:shd w:val="clear" w:color="auto" w:fill="auto"/>
            <w:noWrap/>
            <w:vAlign w:val="center"/>
          </w:tcPr>
          <w:p w:rsidR="00947F7D" w:rsidRDefault="00335220" w:rsidP="00947F7D">
            <w:pPr>
              <w:spacing w:before="0" w:after="0"/>
              <w:jc w:val="center"/>
              <w:rPr>
                <w:rFonts w:cs="Arial"/>
                <w:b/>
                <w:bCs/>
                <w:color w:val="000000"/>
                <w:sz w:val="18"/>
                <w:szCs w:val="18"/>
              </w:rPr>
            </w:pPr>
            <w:r>
              <w:rPr>
                <w:rFonts w:cs="Arial"/>
                <w:b/>
                <w:bCs/>
                <w:color w:val="000000"/>
                <w:sz w:val="18"/>
                <w:szCs w:val="18"/>
              </w:rPr>
              <w:t>12</w:t>
            </w:r>
          </w:p>
        </w:tc>
      </w:tr>
      <w:tr w:rsidR="00947F7D" w:rsidRPr="00F42D6B" w:rsidTr="00947F7D">
        <w:trPr>
          <w:trHeight w:val="300"/>
        </w:trPr>
        <w:tc>
          <w:tcPr>
            <w:tcW w:w="3559" w:type="dxa"/>
            <w:tcBorders>
              <w:top w:val="dotted" w:sz="4" w:space="0" w:color="auto"/>
              <w:left w:val="nil"/>
              <w:bottom w:val="double" w:sz="4" w:space="0" w:color="auto"/>
              <w:right w:val="dotted" w:sz="4" w:space="0" w:color="auto"/>
            </w:tcBorders>
            <w:shd w:val="clear" w:color="auto" w:fill="CCECFF"/>
            <w:noWrap/>
            <w:vAlign w:val="center"/>
          </w:tcPr>
          <w:p w:rsidR="00947F7D" w:rsidRPr="00F42D6B" w:rsidRDefault="00947F7D" w:rsidP="00F42D6B">
            <w:pPr>
              <w:spacing w:before="0" w:after="0" w:line="240" w:lineRule="auto"/>
              <w:rPr>
                <w:rFonts w:eastAsia="Times New Roman" w:cs="Arial"/>
                <w:sz w:val="18"/>
                <w:szCs w:val="18"/>
                <w:lang w:eastAsia="cs-CZ"/>
              </w:rPr>
            </w:pPr>
            <w:r w:rsidRPr="00F42D6B">
              <w:rPr>
                <w:rFonts w:eastAsia="Times New Roman" w:cs="Arial"/>
                <w:sz w:val="18"/>
                <w:szCs w:val="18"/>
                <w:lang w:eastAsia="cs-CZ"/>
              </w:rPr>
              <w:t>dopočt</w:t>
            </w:r>
            <w:r>
              <w:rPr>
                <w:rFonts w:eastAsia="Times New Roman" w:cs="Arial"/>
                <w:sz w:val="18"/>
                <w:szCs w:val="18"/>
                <w:lang w:eastAsia="cs-CZ"/>
              </w:rPr>
              <w:t>e</w:t>
            </w:r>
            <w:r w:rsidRPr="00F42D6B">
              <w:rPr>
                <w:rFonts w:eastAsia="Times New Roman" w:cs="Arial"/>
                <w:sz w:val="18"/>
                <w:szCs w:val="18"/>
                <w:lang w:eastAsia="cs-CZ"/>
              </w:rPr>
              <w:t>né jednotky</w:t>
            </w:r>
          </w:p>
        </w:tc>
        <w:tc>
          <w:tcPr>
            <w:tcW w:w="2126" w:type="dxa"/>
            <w:tcBorders>
              <w:top w:val="dotted" w:sz="4" w:space="0" w:color="auto"/>
              <w:left w:val="dotted" w:sz="4" w:space="0" w:color="auto"/>
              <w:bottom w:val="double" w:sz="4" w:space="0" w:color="auto"/>
              <w:right w:val="dotted" w:sz="4" w:space="0" w:color="auto"/>
            </w:tcBorders>
            <w:shd w:val="clear" w:color="auto" w:fill="auto"/>
            <w:noWrap/>
            <w:vAlign w:val="center"/>
          </w:tcPr>
          <w:p w:rsidR="00947F7D" w:rsidRDefault="00947F7D" w:rsidP="00D40D5D">
            <w:pPr>
              <w:spacing w:before="0" w:after="0"/>
              <w:jc w:val="center"/>
              <w:rPr>
                <w:rFonts w:cs="Arial"/>
                <w:color w:val="000000"/>
                <w:sz w:val="18"/>
                <w:szCs w:val="18"/>
              </w:rPr>
            </w:pPr>
            <w:r>
              <w:rPr>
                <w:rFonts w:cs="Arial"/>
                <w:color w:val="000000"/>
                <w:sz w:val="18"/>
                <w:szCs w:val="18"/>
              </w:rPr>
              <w:t>3</w:t>
            </w:r>
            <w:r w:rsidR="00D40D5D">
              <w:rPr>
                <w:rFonts w:cs="Arial"/>
                <w:color w:val="000000"/>
                <w:sz w:val="18"/>
                <w:szCs w:val="18"/>
              </w:rPr>
              <w:t>73</w:t>
            </w:r>
          </w:p>
        </w:tc>
        <w:tc>
          <w:tcPr>
            <w:tcW w:w="1740" w:type="dxa"/>
            <w:tcBorders>
              <w:top w:val="dotted" w:sz="4" w:space="0" w:color="auto"/>
              <w:left w:val="dotted" w:sz="4" w:space="0" w:color="auto"/>
              <w:bottom w:val="double" w:sz="4" w:space="0" w:color="auto"/>
              <w:right w:val="dotted" w:sz="4" w:space="0" w:color="auto"/>
            </w:tcBorders>
            <w:shd w:val="clear" w:color="auto" w:fill="auto"/>
            <w:noWrap/>
            <w:vAlign w:val="center"/>
          </w:tcPr>
          <w:p w:rsidR="00947F7D" w:rsidRDefault="00947F7D" w:rsidP="00335220">
            <w:pPr>
              <w:spacing w:before="0" w:after="0"/>
              <w:jc w:val="center"/>
              <w:rPr>
                <w:rFonts w:cs="Arial"/>
                <w:color w:val="000000"/>
                <w:sz w:val="18"/>
                <w:szCs w:val="18"/>
              </w:rPr>
            </w:pPr>
            <w:r>
              <w:rPr>
                <w:rFonts w:cs="Arial"/>
                <w:color w:val="000000"/>
                <w:sz w:val="18"/>
                <w:szCs w:val="18"/>
              </w:rPr>
              <w:t>3</w:t>
            </w:r>
            <w:r w:rsidR="00335220">
              <w:rPr>
                <w:rFonts w:cs="Arial"/>
                <w:color w:val="000000"/>
                <w:sz w:val="18"/>
                <w:szCs w:val="18"/>
              </w:rPr>
              <w:t>73</w:t>
            </w:r>
          </w:p>
        </w:tc>
        <w:tc>
          <w:tcPr>
            <w:tcW w:w="1662" w:type="dxa"/>
            <w:tcBorders>
              <w:top w:val="dotted" w:sz="4" w:space="0" w:color="auto"/>
              <w:left w:val="dotted" w:sz="4" w:space="0" w:color="auto"/>
              <w:bottom w:val="double" w:sz="4" w:space="0" w:color="auto"/>
              <w:right w:val="nil"/>
            </w:tcBorders>
            <w:shd w:val="clear" w:color="auto" w:fill="auto"/>
            <w:noWrap/>
            <w:vAlign w:val="center"/>
          </w:tcPr>
          <w:p w:rsidR="00947F7D" w:rsidRDefault="00335220" w:rsidP="00947F7D">
            <w:pPr>
              <w:spacing w:before="0" w:after="0"/>
              <w:jc w:val="center"/>
              <w:rPr>
                <w:rFonts w:cs="Arial"/>
                <w:color w:val="000000"/>
                <w:sz w:val="18"/>
                <w:szCs w:val="18"/>
              </w:rPr>
            </w:pPr>
            <w:r>
              <w:rPr>
                <w:rFonts w:cs="Arial"/>
                <w:color w:val="000000"/>
                <w:sz w:val="18"/>
                <w:szCs w:val="18"/>
              </w:rPr>
              <w:t>33</w:t>
            </w:r>
          </w:p>
        </w:tc>
      </w:tr>
      <w:tr w:rsidR="00947F7D" w:rsidRPr="00F42D6B" w:rsidTr="00947F7D">
        <w:trPr>
          <w:trHeight w:val="300"/>
        </w:trPr>
        <w:tc>
          <w:tcPr>
            <w:tcW w:w="3559" w:type="dxa"/>
            <w:tcBorders>
              <w:top w:val="double" w:sz="4" w:space="0" w:color="auto"/>
              <w:left w:val="nil"/>
              <w:bottom w:val="thickThinSmallGap" w:sz="12" w:space="0" w:color="auto"/>
              <w:right w:val="dotted" w:sz="4" w:space="0" w:color="auto"/>
            </w:tcBorders>
            <w:shd w:val="clear" w:color="auto" w:fill="CCECFF"/>
            <w:noWrap/>
            <w:vAlign w:val="center"/>
          </w:tcPr>
          <w:p w:rsidR="00947F7D" w:rsidRPr="00F42D6B" w:rsidRDefault="00947F7D" w:rsidP="00F42D6B">
            <w:pPr>
              <w:spacing w:before="0" w:after="0" w:line="240" w:lineRule="auto"/>
              <w:rPr>
                <w:rFonts w:eastAsia="Times New Roman" w:cs="Arial"/>
                <w:b/>
                <w:bCs/>
                <w:sz w:val="18"/>
                <w:szCs w:val="18"/>
                <w:lang w:eastAsia="cs-CZ"/>
              </w:rPr>
            </w:pPr>
            <w:r w:rsidRPr="00F42D6B">
              <w:rPr>
                <w:rFonts w:eastAsia="Times New Roman" w:cs="Arial"/>
                <w:b/>
                <w:bCs/>
                <w:sz w:val="18"/>
                <w:szCs w:val="18"/>
                <w:lang w:eastAsia="cs-CZ"/>
              </w:rPr>
              <w:t xml:space="preserve">Celkem </w:t>
            </w:r>
          </w:p>
        </w:tc>
        <w:tc>
          <w:tcPr>
            <w:tcW w:w="2126" w:type="dxa"/>
            <w:tcBorders>
              <w:top w:val="double" w:sz="4" w:space="0" w:color="auto"/>
              <w:left w:val="dotted" w:sz="4" w:space="0" w:color="auto"/>
              <w:bottom w:val="thickThinSmallGap" w:sz="12" w:space="0" w:color="auto"/>
              <w:right w:val="dotted" w:sz="4" w:space="0" w:color="auto"/>
            </w:tcBorders>
            <w:shd w:val="clear" w:color="auto" w:fill="CCECFF"/>
            <w:noWrap/>
            <w:vAlign w:val="center"/>
          </w:tcPr>
          <w:p w:rsidR="00947F7D" w:rsidRDefault="00947F7D" w:rsidP="00D40D5D">
            <w:pPr>
              <w:spacing w:before="0" w:after="0"/>
              <w:jc w:val="center"/>
              <w:rPr>
                <w:rFonts w:cs="Arial"/>
                <w:b/>
                <w:bCs/>
                <w:color w:val="000000"/>
                <w:sz w:val="18"/>
                <w:szCs w:val="18"/>
              </w:rPr>
            </w:pPr>
            <w:r>
              <w:rPr>
                <w:rFonts w:cs="Arial"/>
                <w:b/>
                <w:bCs/>
                <w:color w:val="000000"/>
                <w:sz w:val="18"/>
                <w:szCs w:val="18"/>
              </w:rPr>
              <w:t>2 5</w:t>
            </w:r>
            <w:r w:rsidR="00D40D5D">
              <w:rPr>
                <w:rFonts w:cs="Arial"/>
                <w:b/>
                <w:bCs/>
                <w:color w:val="000000"/>
                <w:sz w:val="18"/>
                <w:szCs w:val="18"/>
              </w:rPr>
              <w:t>78</w:t>
            </w:r>
          </w:p>
        </w:tc>
        <w:tc>
          <w:tcPr>
            <w:tcW w:w="1740" w:type="dxa"/>
            <w:tcBorders>
              <w:top w:val="double" w:sz="4" w:space="0" w:color="auto"/>
              <w:left w:val="dotted" w:sz="4" w:space="0" w:color="auto"/>
              <w:bottom w:val="thickThinSmallGap" w:sz="12" w:space="0" w:color="auto"/>
              <w:right w:val="dotted" w:sz="4" w:space="0" w:color="auto"/>
            </w:tcBorders>
            <w:shd w:val="clear" w:color="auto" w:fill="CCECFF"/>
            <w:noWrap/>
            <w:vAlign w:val="center"/>
          </w:tcPr>
          <w:p w:rsidR="00947F7D" w:rsidRDefault="00947F7D" w:rsidP="00335220">
            <w:pPr>
              <w:spacing w:before="0" w:after="0"/>
              <w:jc w:val="center"/>
              <w:rPr>
                <w:rFonts w:cs="Arial"/>
                <w:b/>
                <w:bCs/>
                <w:color w:val="000000"/>
                <w:sz w:val="18"/>
                <w:szCs w:val="18"/>
              </w:rPr>
            </w:pPr>
            <w:r>
              <w:rPr>
                <w:rFonts w:cs="Arial"/>
                <w:b/>
                <w:bCs/>
                <w:color w:val="000000"/>
                <w:kern w:val="24"/>
                <w:sz w:val="18"/>
                <w:szCs w:val="18"/>
              </w:rPr>
              <w:t>2 7</w:t>
            </w:r>
            <w:r w:rsidR="00335220">
              <w:rPr>
                <w:rFonts w:cs="Arial"/>
                <w:b/>
                <w:bCs/>
                <w:color w:val="000000"/>
                <w:kern w:val="24"/>
                <w:sz w:val="18"/>
                <w:szCs w:val="18"/>
              </w:rPr>
              <w:t>78</w:t>
            </w:r>
          </w:p>
        </w:tc>
        <w:tc>
          <w:tcPr>
            <w:tcW w:w="1662" w:type="dxa"/>
            <w:tcBorders>
              <w:top w:val="double" w:sz="4" w:space="0" w:color="auto"/>
              <w:left w:val="dotted" w:sz="4" w:space="0" w:color="auto"/>
              <w:bottom w:val="thickThinSmallGap" w:sz="12" w:space="0" w:color="auto"/>
              <w:right w:val="nil"/>
            </w:tcBorders>
            <w:shd w:val="clear" w:color="auto" w:fill="CCECFF"/>
            <w:noWrap/>
            <w:vAlign w:val="center"/>
          </w:tcPr>
          <w:p w:rsidR="00947F7D" w:rsidRDefault="00947F7D" w:rsidP="00335220">
            <w:pPr>
              <w:spacing w:before="0" w:after="0"/>
              <w:jc w:val="center"/>
              <w:rPr>
                <w:rFonts w:cs="Arial"/>
                <w:b/>
                <w:bCs/>
                <w:color w:val="000000"/>
                <w:sz w:val="18"/>
                <w:szCs w:val="18"/>
              </w:rPr>
            </w:pPr>
            <w:r>
              <w:rPr>
                <w:rFonts w:cs="Arial"/>
                <w:b/>
                <w:bCs/>
                <w:color w:val="000000"/>
                <w:sz w:val="18"/>
                <w:szCs w:val="18"/>
              </w:rPr>
              <w:t>2</w:t>
            </w:r>
            <w:r w:rsidR="00335220">
              <w:rPr>
                <w:rFonts w:cs="Arial"/>
                <w:b/>
                <w:bCs/>
                <w:color w:val="000000"/>
                <w:sz w:val="18"/>
                <w:szCs w:val="18"/>
              </w:rPr>
              <w:t>60</w:t>
            </w:r>
          </w:p>
        </w:tc>
      </w:tr>
    </w:tbl>
    <w:p w:rsidR="005C3089" w:rsidRDefault="00451EEF" w:rsidP="00F42D6B">
      <w:pPr>
        <w:jc w:val="both"/>
        <w:rPr>
          <w:rFonts w:cs="Arial"/>
          <w:i/>
          <w:iCs/>
          <w:sz w:val="16"/>
          <w:szCs w:val="16"/>
        </w:rPr>
      </w:pPr>
      <w:r w:rsidRPr="00142AF6">
        <w:rPr>
          <w:rFonts w:cs="Arial"/>
          <w:i/>
          <w:iCs/>
          <w:sz w:val="16"/>
          <w:szCs w:val="16"/>
        </w:rPr>
        <w:t>Pozn</w:t>
      </w:r>
      <w:r w:rsidR="008B427B">
        <w:rPr>
          <w:rFonts w:cs="Arial"/>
          <w:i/>
          <w:iCs/>
          <w:sz w:val="16"/>
          <w:szCs w:val="16"/>
        </w:rPr>
        <w:t>.</w:t>
      </w:r>
      <w:r w:rsidR="00385D62" w:rsidRPr="00142AF6">
        <w:rPr>
          <w:rFonts w:cs="Arial"/>
          <w:i/>
          <w:iCs/>
          <w:sz w:val="16"/>
          <w:szCs w:val="16"/>
        </w:rPr>
        <w:t xml:space="preserve">: 1 ekonomický subjekt je zahrnut v podnikatelském i </w:t>
      </w:r>
      <w:r w:rsidRPr="00142AF6">
        <w:rPr>
          <w:rFonts w:cs="Arial"/>
          <w:i/>
          <w:iCs/>
          <w:sz w:val="16"/>
          <w:szCs w:val="16"/>
        </w:rPr>
        <w:t xml:space="preserve">vysokoškolském sektoru zároveň, neboť </w:t>
      </w:r>
      <w:r w:rsidR="00306328" w:rsidRPr="00142AF6">
        <w:rPr>
          <w:rFonts w:cs="Arial"/>
          <w:i/>
          <w:iCs/>
          <w:sz w:val="16"/>
          <w:szCs w:val="16"/>
        </w:rPr>
        <w:t xml:space="preserve">má 1 pracoviště </w:t>
      </w:r>
      <w:r w:rsidR="007A1638" w:rsidRPr="00142AF6">
        <w:rPr>
          <w:rFonts w:cs="Arial"/>
          <w:i/>
          <w:iCs/>
          <w:sz w:val="16"/>
          <w:szCs w:val="16"/>
        </w:rPr>
        <w:t xml:space="preserve">VaV </w:t>
      </w:r>
      <w:r w:rsidR="00A471C0" w:rsidRPr="00142AF6">
        <w:rPr>
          <w:rFonts w:cs="Arial"/>
          <w:i/>
          <w:iCs/>
          <w:sz w:val="16"/>
          <w:szCs w:val="16"/>
        </w:rPr>
        <w:t xml:space="preserve">určeno </w:t>
      </w:r>
      <w:r w:rsidR="00306328" w:rsidRPr="00142AF6">
        <w:rPr>
          <w:rFonts w:cs="Arial"/>
          <w:i/>
          <w:iCs/>
          <w:sz w:val="16"/>
          <w:szCs w:val="16"/>
        </w:rPr>
        <w:t>pro výrobu</w:t>
      </w:r>
      <w:r w:rsidRPr="00142AF6">
        <w:rPr>
          <w:rFonts w:cs="Arial"/>
          <w:i/>
          <w:iCs/>
          <w:sz w:val="16"/>
          <w:szCs w:val="16"/>
        </w:rPr>
        <w:t xml:space="preserve"> (v podnikatelském sektoru)</w:t>
      </w:r>
      <w:r w:rsidR="00306328" w:rsidRPr="00142AF6">
        <w:rPr>
          <w:rFonts w:cs="Arial"/>
          <w:i/>
          <w:iCs/>
          <w:sz w:val="16"/>
          <w:szCs w:val="16"/>
        </w:rPr>
        <w:t xml:space="preserve"> a 1 pracoviště VaV na vlastní vysoké škole</w:t>
      </w:r>
      <w:r w:rsidRPr="00142AF6">
        <w:rPr>
          <w:rFonts w:cs="Arial"/>
          <w:i/>
          <w:iCs/>
          <w:sz w:val="16"/>
          <w:szCs w:val="16"/>
        </w:rPr>
        <w:t xml:space="preserve"> (ve vysokoškolském sektoru)</w:t>
      </w:r>
      <w:r w:rsidR="00306328" w:rsidRPr="00142AF6">
        <w:rPr>
          <w:rFonts w:cs="Arial"/>
          <w:i/>
          <w:iCs/>
          <w:sz w:val="16"/>
          <w:szCs w:val="16"/>
        </w:rPr>
        <w:t>.</w:t>
      </w:r>
    </w:p>
    <w:p w:rsidR="00613FD6" w:rsidRDefault="00613FD6" w:rsidP="009F2691">
      <w:bookmarkStart w:id="3" w:name="_Definice_zaměstnanců_VaV"/>
      <w:bookmarkEnd w:id="3"/>
    </w:p>
    <w:p w:rsidR="00613FD6" w:rsidRDefault="00613FD6" w:rsidP="009F2691">
      <w:pPr>
        <w:sectPr w:rsidR="00613FD6" w:rsidSect="00B71337">
          <w:pgSz w:w="11906" w:h="16838"/>
          <w:pgMar w:top="1417" w:right="1417" w:bottom="1417" w:left="1417" w:header="708" w:footer="708" w:gutter="0"/>
          <w:cols w:space="708"/>
          <w:docGrid w:linePitch="360"/>
        </w:sectPr>
      </w:pPr>
    </w:p>
    <w:p w:rsidR="009F2691" w:rsidRPr="00D8340E" w:rsidRDefault="00D8340E" w:rsidP="00613FD6">
      <w:pPr>
        <w:pStyle w:val="Nadpis1"/>
        <w:rPr>
          <w:sz w:val="24"/>
          <w:szCs w:val="24"/>
        </w:rPr>
      </w:pPr>
      <w:bookmarkStart w:id="4" w:name="_Sektory_provádění_VaV"/>
      <w:bookmarkEnd w:id="4"/>
      <w:r>
        <w:rPr>
          <w:sz w:val="24"/>
          <w:szCs w:val="24"/>
        </w:rPr>
        <w:lastRenderedPageBreak/>
        <w:t>2.</w:t>
      </w:r>
      <w:r w:rsidR="00A3623E">
        <w:rPr>
          <w:sz w:val="24"/>
          <w:szCs w:val="24"/>
        </w:rPr>
        <w:t>3</w:t>
      </w:r>
      <w:r>
        <w:rPr>
          <w:sz w:val="24"/>
          <w:szCs w:val="24"/>
        </w:rPr>
        <w:t>. Sektory provádění VaV</w:t>
      </w:r>
    </w:p>
    <w:p w:rsidR="00D95C37" w:rsidRPr="005E5FAB" w:rsidRDefault="00D95C37" w:rsidP="00D95C37">
      <w:pPr>
        <w:spacing w:before="0" w:after="0"/>
        <w:jc w:val="both"/>
        <w:rPr>
          <w:rFonts w:cs="Arial"/>
          <w:i/>
          <w:szCs w:val="20"/>
        </w:rPr>
      </w:pPr>
      <w:r w:rsidRPr="00D95C37">
        <w:rPr>
          <w:rFonts w:cs="Arial"/>
          <w:b/>
          <w:bCs/>
          <w:iCs/>
          <w:szCs w:val="20"/>
        </w:rPr>
        <w:t>Sektor provádění výzkumu a vývoje</w:t>
      </w:r>
      <w:r w:rsidRPr="003E275A">
        <w:rPr>
          <w:rFonts w:cs="Arial"/>
          <w:b/>
          <w:bCs/>
          <w:iCs/>
          <w:szCs w:val="20"/>
        </w:rPr>
        <w:t xml:space="preserve"> </w:t>
      </w:r>
      <w:r w:rsidRPr="003E275A">
        <w:rPr>
          <w:rFonts w:cs="Arial"/>
          <w:iCs/>
          <w:szCs w:val="20"/>
        </w:rPr>
        <w:t>je základní kategorií používanou ve statistice VaV, jež seskupuje všechny institucionální jednotky provádějící VaV na základě jejich hlavních funkcí, chování a cílů.</w:t>
      </w:r>
      <w:r w:rsidRPr="003E275A">
        <w:rPr>
          <w:rFonts w:cs="Arial"/>
          <w:b/>
          <w:bCs/>
          <w:iCs/>
          <w:szCs w:val="20"/>
        </w:rPr>
        <w:t xml:space="preserve"> </w:t>
      </w:r>
      <w:r w:rsidRPr="003E275A">
        <w:rPr>
          <w:rFonts w:cs="Arial"/>
          <w:iCs/>
          <w:szCs w:val="20"/>
        </w:rPr>
        <w:t xml:space="preserve">Ukazatele VaV jsou standardně sledovány a publikovány, a to i na mezinárodní úrovni, ve </w:t>
      </w:r>
      <w:r w:rsidRPr="003E275A">
        <w:rPr>
          <w:rFonts w:cs="Arial"/>
          <w:b/>
          <w:bCs/>
          <w:iCs/>
          <w:szCs w:val="20"/>
        </w:rPr>
        <w:t xml:space="preserve">čtyřech sektorech provádění VaV </w:t>
      </w:r>
      <w:r w:rsidRPr="003E275A">
        <w:rPr>
          <w:rFonts w:cs="Arial"/>
          <w:iCs/>
          <w:szCs w:val="20"/>
        </w:rPr>
        <w:t xml:space="preserve">(dále jen sektorech) – podnikatelský, vládní, vysokoškolský a soukromý neziskový. </w:t>
      </w:r>
      <w:r w:rsidRPr="005E5FAB">
        <w:rPr>
          <w:rFonts w:cs="Arial"/>
          <w:i/>
          <w:iCs/>
          <w:szCs w:val="20"/>
        </w:rPr>
        <w:t xml:space="preserve">Tyto sektory byly vymezeny na základě Číselníku institucionálních sektorů nebo </w:t>
      </w:r>
      <w:proofErr w:type="spellStart"/>
      <w:r w:rsidRPr="005E5FAB">
        <w:rPr>
          <w:rFonts w:cs="Arial"/>
          <w:i/>
          <w:iCs/>
          <w:szCs w:val="20"/>
        </w:rPr>
        <w:t>subsektorů</w:t>
      </w:r>
      <w:proofErr w:type="spellEnd"/>
      <w:r w:rsidRPr="005E5FAB">
        <w:rPr>
          <w:rFonts w:cs="Arial"/>
          <w:i/>
          <w:iCs/>
          <w:szCs w:val="20"/>
        </w:rPr>
        <w:t xml:space="preserve"> (ISEKTOR) používaného v Národních účtech (systém ESA) a definic uvedených ve </w:t>
      </w:r>
      <w:proofErr w:type="spellStart"/>
      <w:r w:rsidRPr="005E5FAB">
        <w:rPr>
          <w:rFonts w:cs="Arial"/>
          <w:i/>
          <w:iCs/>
          <w:szCs w:val="20"/>
        </w:rPr>
        <w:t>Frascati</w:t>
      </w:r>
      <w:proofErr w:type="spellEnd"/>
      <w:r w:rsidRPr="005E5FAB">
        <w:rPr>
          <w:rFonts w:cs="Arial"/>
          <w:i/>
          <w:iCs/>
          <w:szCs w:val="20"/>
        </w:rPr>
        <w:t xml:space="preserve"> manuálu.</w:t>
      </w:r>
      <w:r w:rsidRPr="005E5FAB">
        <w:rPr>
          <w:rFonts w:cs="Arial"/>
          <w:i/>
          <w:szCs w:val="20"/>
        </w:rPr>
        <w:t xml:space="preserve"> </w:t>
      </w:r>
    </w:p>
    <w:p w:rsidR="00D95C37" w:rsidRPr="003E275A" w:rsidRDefault="00D95C37" w:rsidP="003F017F">
      <w:pPr>
        <w:numPr>
          <w:ilvl w:val="0"/>
          <w:numId w:val="34"/>
        </w:numPr>
        <w:tabs>
          <w:tab w:val="clear" w:pos="360"/>
        </w:tabs>
        <w:spacing w:after="0"/>
        <w:jc w:val="both"/>
        <w:rPr>
          <w:iCs/>
          <w:szCs w:val="20"/>
        </w:rPr>
      </w:pPr>
      <w:r w:rsidRPr="003E275A">
        <w:rPr>
          <w:b/>
          <w:szCs w:val="20"/>
        </w:rPr>
        <w:t xml:space="preserve">Podnikatelský sektor </w:t>
      </w:r>
      <w:r w:rsidRPr="003E275A">
        <w:rPr>
          <w:bCs/>
          <w:szCs w:val="20"/>
        </w:rPr>
        <w:t>zahrnuje</w:t>
      </w:r>
      <w:r w:rsidRPr="003E275A">
        <w:rPr>
          <w:b/>
          <w:szCs w:val="20"/>
        </w:rPr>
        <w:t xml:space="preserve"> </w:t>
      </w:r>
      <w:r w:rsidRPr="003E275A">
        <w:rPr>
          <w:szCs w:val="20"/>
        </w:rPr>
        <w:t xml:space="preserve">všechny ekonomické subjekty, jejichž hlavní činností je tržní výroba zboží nebo služeb pro prodej široké veřejnosti za ekonomicky významnou cenu. Ekonomické subjekty náležící do tohoto sektoru jsou zařazeny v některém z těchto </w:t>
      </w:r>
      <w:proofErr w:type="spellStart"/>
      <w:r w:rsidRPr="003E275A">
        <w:rPr>
          <w:szCs w:val="20"/>
        </w:rPr>
        <w:t>ISEKTORů</w:t>
      </w:r>
      <w:proofErr w:type="spellEnd"/>
      <w:r w:rsidRPr="003E275A">
        <w:rPr>
          <w:szCs w:val="20"/>
        </w:rPr>
        <w:t>:</w:t>
      </w:r>
    </w:p>
    <w:p w:rsidR="00D95C37" w:rsidRPr="003E275A" w:rsidRDefault="00D95C37" w:rsidP="00D95C37">
      <w:pPr>
        <w:numPr>
          <w:ilvl w:val="1"/>
          <w:numId w:val="33"/>
        </w:numPr>
        <w:spacing w:before="60" w:after="0"/>
        <w:ind w:left="1080"/>
        <w:jc w:val="both"/>
        <w:rPr>
          <w:bCs/>
          <w:iCs/>
          <w:szCs w:val="20"/>
        </w:rPr>
      </w:pPr>
      <w:r w:rsidRPr="003E275A">
        <w:rPr>
          <w:bCs/>
          <w:szCs w:val="20"/>
        </w:rPr>
        <w:t>Nefinanční podniky (ISEKTOR 11),</w:t>
      </w:r>
    </w:p>
    <w:p w:rsidR="00D95C37" w:rsidRPr="003E275A" w:rsidRDefault="00D95C37" w:rsidP="00D95C37">
      <w:pPr>
        <w:numPr>
          <w:ilvl w:val="1"/>
          <w:numId w:val="33"/>
        </w:numPr>
        <w:spacing w:before="60" w:after="0"/>
        <w:ind w:left="1080"/>
        <w:jc w:val="both"/>
        <w:rPr>
          <w:bCs/>
          <w:iCs/>
          <w:szCs w:val="20"/>
        </w:rPr>
      </w:pPr>
      <w:r w:rsidRPr="003E275A">
        <w:rPr>
          <w:bCs/>
          <w:szCs w:val="20"/>
        </w:rPr>
        <w:t>Finanční instituce (ISEKTOR 12),</w:t>
      </w:r>
    </w:p>
    <w:p w:rsidR="00D95C37" w:rsidRPr="003E275A" w:rsidRDefault="00D95C37" w:rsidP="00D95C37">
      <w:pPr>
        <w:numPr>
          <w:ilvl w:val="1"/>
          <w:numId w:val="33"/>
        </w:numPr>
        <w:spacing w:before="60" w:after="0"/>
        <w:ind w:left="1080"/>
        <w:jc w:val="both"/>
        <w:rPr>
          <w:bCs/>
          <w:i/>
          <w:iCs/>
          <w:szCs w:val="20"/>
        </w:rPr>
      </w:pPr>
      <w:r w:rsidRPr="003E275A">
        <w:rPr>
          <w:bCs/>
          <w:szCs w:val="20"/>
        </w:rPr>
        <w:t xml:space="preserve">Zaměstnavatelé (ISEKTOR 141), </w:t>
      </w:r>
    </w:p>
    <w:p w:rsidR="00D95C37" w:rsidRPr="00D95C37" w:rsidRDefault="00D95C37" w:rsidP="00D95C37">
      <w:pPr>
        <w:numPr>
          <w:ilvl w:val="1"/>
          <w:numId w:val="33"/>
        </w:numPr>
        <w:spacing w:before="60" w:after="0"/>
        <w:ind w:left="1080"/>
        <w:jc w:val="both"/>
        <w:rPr>
          <w:i/>
          <w:iCs/>
          <w:szCs w:val="20"/>
        </w:rPr>
      </w:pPr>
      <w:r w:rsidRPr="003E275A">
        <w:rPr>
          <w:bCs/>
          <w:szCs w:val="20"/>
        </w:rPr>
        <w:t>Osoby samostatně výdělečně činné (ISEKTOR 142).</w:t>
      </w:r>
      <w:r w:rsidRPr="003E275A">
        <w:rPr>
          <w:szCs w:val="20"/>
        </w:rPr>
        <w:t xml:space="preserve"> </w:t>
      </w:r>
    </w:p>
    <w:p w:rsidR="002D2EB2" w:rsidRPr="009C2FB2" w:rsidRDefault="002D2EB2" w:rsidP="002D2EB2">
      <w:pPr>
        <w:ind w:left="284"/>
        <w:jc w:val="both"/>
        <w:rPr>
          <w:rFonts w:cs="Arial"/>
          <w:szCs w:val="18"/>
        </w:rPr>
      </w:pPr>
      <w:r w:rsidRPr="009C2FB2">
        <w:rPr>
          <w:rFonts w:cs="Arial"/>
          <w:szCs w:val="18"/>
        </w:rPr>
        <w:t>Podnikatelský sektor</w:t>
      </w:r>
      <w:r w:rsidRPr="009C2FB2">
        <w:rPr>
          <w:rFonts w:cs="Arial"/>
          <w:b/>
          <w:bCs/>
          <w:szCs w:val="18"/>
        </w:rPr>
        <w:t xml:space="preserve"> </w:t>
      </w:r>
      <w:r w:rsidRPr="009C2FB2">
        <w:rPr>
          <w:rFonts w:cs="Arial"/>
          <w:bCs/>
          <w:szCs w:val="18"/>
        </w:rPr>
        <w:t>může být</w:t>
      </w:r>
      <w:r w:rsidRPr="009C2FB2">
        <w:rPr>
          <w:rFonts w:cs="Arial"/>
          <w:b/>
          <w:bCs/>
          <w:szCs w:val="18"/>
        </w:rPr>
        <w:t xml:space="preserve"> </w:t>
      </w:r>
      <w:r w:rsidRPr="009C2FB2">
        <w:rPr>
          <w:rFonts w:cs="Arial"/>
          <w:szCs w:val="18"/>
        </w:rPr>
        <w:t xml:space="preserve">dále členěn např. podle odvětvové klasifikace ekonomických činností (CZ–NACE), podle vlastnictví (soukromé a veřejné; domácí a zahraniční), podle velikosti sledovaných podniků (počty zaměstnanců, resp. velikostní skupiny), podle typu výzkumných a vývojových činností, podle vědních oblastí nebo podle regionálního členění (CZ–NUTS3). </w:t>
      </w:r>
    </w:p>
    <w:p w:rsidR="002D2EB2" w:rsidRPr="009C2FB2" w:rsidRDefault="00D95C37" w:rsidP="003F017F">
      <w:pPr>
        <w:numPr>
          <w:ilvl w:val="0"/>
          <w:numId w:val="34"/>
        </w:numPr>
        <w:tabs>
          <w:tab w:val="clear" w:pos="360"/>
        </w:tabs>
        <w:spacing w:after="0"/>
        <w:ind w:left="284"/>
        <w:jc w:val="both"/>
        <w:rPr>
          <w:i/>
          <w:szCs w:val="20"/>
        </w:rPr>
      </w:pPr>
      <w:r w:rsidRPr="009C2FB2">
        <w:rPr>
          <w:b/>
          <w:szCs w:val="20"/>
        </w:rPr>
        <w:t xml:space="preserve">Vládní sektor </w:t>
      </w:r>
      <w:r w:rsidRPr="009C2FB2">
        <w:rPr>
          <w:szCs w:val="20"/>
        </w:rPr>
        <w:t xml:space="preserve">zahrnuje orgány státní správy a samosprávy na všech úrovních (ISEKTOR 13: Vládní instituce) s výjimkou vyššího odborného a vysokého školství (CZ-NACE 854). </w:t>
      </w:r>
      <w:r w:rsidR="002D2EB2" w:rsidRPr="009C2FB2">
        <w:rPr>
          <w:i/>
          <w:szCs w:val="20"/>
        </w:rPr>
        <w:t>Z hlediska výzkumu a vývoje patří do vládního sektoru především jednotlivá pracoviště Akademie věd, ostatní výzkumná resortní pracoviště (od 1. 1. 2007 většina těchto subjektů získala nový statut veřejné výzkumné instituce), dále pak veřejné knihovny, archivy, muzea a jiná kulturní zařízení, která provádějí VaV jako svoji vedlejší činnost.</w:t>
      </w:r>
    </w:p>
    <w:p w:rsidR="002D2EB2" w:rsidRPr="006A6E88" w:rsidRDefault="002D2EB2" w:rsidP="009C2FB2">
      <w:pPr>
        <w:ind w:left="284"/>
        <w:jc w:val="both"/>
        <w:rPr>
          <w:rFonts w:cs="Arial"/>
          <w:i/>
          <w:iCs/>
          <w:szCs w:val="16"/>
        </w:rPr>
      </w:pPr>
      <w:r w:rsidRPr="006A6E88">
        <w:rPr>
          <w:rFonts w:cs="Arial"/>
          <w:i/>
          <w:iCs/>
          <w:szCs w:val="16"/>
        </w:rPr>
        <w:t>Pro účely statistiky výzkumu a vývoje jsou, bez ohledu na jejich ISEKTOR,</w:t>
      </w:r>
      <w:r w:rsidRPr="006A6E88">
        <w:rPr>
          <w:rFonts w:cs="Arial"/>
          <w:b/>
          <w:i/>
          <w:iCs/>
          <w:szCs w:val="16"/>
        </w:rPr>
        <w:t xml:space="preserve"> všechny veřejné výzkumné instituce</w:t>
      </w:r>
      <w:r w:rsidRPr="006A6E88">
        <w:rPr>
          <w:rFonts w:cs="Arial"/>
          <w:i/>
          <w:iCs/>
          <w:szCs w:val="16"/>
        </w:rPr>
        <w:t xml:space="preserve"> </w:t>
      </w:r>
      <w:r w:rsidRPr="006A6E88">
        <w:rPr>
          <w:rFonts w:cs="Arial"/>
          <w:b/>
          <w:i/>
          <w:iCs/>
          <w:szCs w:val="16"/>
        </w:rPr>
        <w:t>řazeny do vládního sektoru</w:t>
      </w:r>
      <w:r w:rsidRPr="006A6E88">
        <w:rPr>
          <w:rFonts w:cs="Arial"/>
          <w:i/>
          <w:iCs/>
          <w:szCs w:val="16"/>
        </w:rPr>
        <w:t xml:space="preserve">. </w:t>
      </w:r>
      <w:r w:rsidR="009C2FB2">
        <w:rPr>
          <w:rFonts w:cs="Arial"/>
          <w:i/>
          <w:iCs/>
          <w:szCs w:val="16"/>
        </w:rPr>
        <w:t xml:space="preserve">Některé </w:t>
      </w:r>
      <w:r w:rsidRPr="006A6E88">
        <w:rPr>
          <w:rFonts w:cs="Arial"/>
          <w:i/>
          <w:iCs/>
          <w:szCs w:val="16"/>
        </w:rPr>
        <w:t>veře</w:t>
      </w:r>
      <w:r>
        <w:rPr>
          <w:rFonts w:cs="Arial"/>
          <w:i/>
          <w:iCs/>
          <w:szCs w:val="16"/>
        </w:rPr>
        <w:t xml:space="preserve">jné výzkumné instituce </w:t>
      </w:r>
      <w:r w:rsidR="009C2FB2" w:rsidRPr="006A6E88">
        <w:rPr>
          <w:rFonts w:cs="Arial"/>
          <w:i/>
          <w:iCs/>
          <w:szCs w:val="16"/>
        </w:rPr>
        <w:t>dle</w:t>
      </w:r>
      <w:r w:rsidR="009C2FB2">
        <w:rPr>
          <w:rFonts w:cs="Arial"/>
          <w:i/>
          <w:iCs/>
          <w:szCs w:val="16"/>
        </w:rPr>
        <w:t> </w:t>
      </w:r>
      <w:r w:rsidR="009C2FB2" w:rsidRPr="006A6E88">
        <w:rPr>
          <w:rFonts w:cs="Arial"/>
          <w:i/>
          <w:iCs/>
          <w:szCs w:val="16"/>
        </w:rPr>
        <w:t>mezinárodního standardu ESA </w:t>
      </w:r>
      <w:r w:rsidRPr="006A6E88">
        <w:rPr>
          <w:rFonts w:cs="Arial"/>
          <w:i/>
          <w:iCs/>
          <w:szCs w:val="16"/>
        </w:rPr>
        <w:t>spada</w:t>
      </w:r>
      <w:r w:rsidR="009C2FB2">
        <w:rPr>
          <w:rFonts w:cs="Arial"/>
          <w:i/>
          <w:iCs/>
          <w:szCs w:val="16"/>
        </w:rPr>
        <w:t xml:space="preserve">jí </w:t>
      </w:r>
      <w:r w:rsidRPr="006A6E88">
        <w:rPr>
          <w:rFonts w:cs="Arial"/>
          <w:i/>
          <w:iCs/>
          <w:szCs w:val="16"/>
        </w:rPr>
        <w:t xml:space="preserve">do ISEKTORU 11 </w:t>
      </w:r>
      <w:r w:rsidR="009C2FB2">
        <w:rPr>
          <w:rFonts w:cs="Arial"/>
          <w:i/>
          <w:iCs/>
          <w:szCs w:val="16"/>
        </w:rPr>
        <w:t>(</w:t>
      </w:r>
      <w:r w:rsidRPr="006A6E88">
        <w:rPr>
          <w:rFonts w:cs="Arial"/>
          <w:i/>
          <w:iCs/>
          <w:szCs w:val="16"/>
        </w:rPr>
        <w:t>nefinanční podniky</w:t>
      </w:r>
      <w:r w:rsidR="009C2FB2">
        <w:rPr>
          <w:rFonts w:cs="Arial"/>
          <w:i/>
          <w:iCs/>
          <w:szCs w:val="16"/>
        </w:rPr>
        <w:t>), ale ukazatele VaV jsou publikovány za tyto subjekty v rámci vládního sektoru spolu s ostatními veřejnými výzkumnými institucemi</w:t>
      </w:r>
      <w:r w:rsidRPr="006A6E88">
        <w:rPr>
          <w:rFonts w:cs="Arial"/>
          <w:i/>
          <w:iCs/>
          <w:szCs w:val="16"/>
        </w:rPr>
        <w:t xml:space="preserve">. </w:t>
      </w:r>
    </w:p>
    <w:p w:rsidR="002D2EB2" w:rsidRDefault="002D2EB2" w:rsidP="009C2FB2">
      <w:pPr>
        <w:ind w:left="284"/>
        <w:jc w:val="both"/>
        <w:rPr>
          <w:rFonts w:cs="Arial"/>
          <w:szCs w:val="18"/>
        </w:rPr>
      </w:pPr>
      <w:r w:rsidRPr="007F1D62">
        <w:rPr>
          <w:rFonts w:cs="Arial"/>
          <w:szCs w:val="18"/>
        </w:rPr>
        <w:t xml:space="preserve">Vládní sektor </w:t>
      </w:r>
      <w:r w:rsidR="009C2FB2">
        <w:rPr>
          <w:rFonts w:cs="Arial"/>
          <w:szCs w:val="18"/>
        </w:rPr>
        <w:t xml:space="preserve">může být </w:t>
      </w:r>
      <w:r w:rsidRPr="007F1D62">
        <w:rPr>
          <w:rFonts w:cs="Arial"/>
          <w:szCs w:val="18"/>
        </w:rPr>
        <w:t>dále členěn např</w:t>
      </w:r>
      <w:r>
        <w:rPr>
          <w:rFonts w:cs="Arial"/>
          <w:szCs w:val="18"/>
        </w:rPr>
        <w:t>.</w:t>
      </w:r>
      <w:r w:rsidRPr="007F1D62">
        <w:rPr>
          <w:rFonts w:cs="Arial"/>
          <w:szCs w:val="18"/>
        </w:rPr>
        <w:t xml:space="preserve"> podle</w:t>
      </w:r>
      <w:r>
        <w:rPr>
          <w:rFonts w:cs="Arial"/>
          <w:szCs w:val="18"/>
        </w:rPr>
        <w:t xml:space="preserve"> typu </w:t>
      </w:r>
      <w:r w:rsidR="009C2FB2">
        <w:rPr>
          <w:rFonts w:cs="Arial"/>
          <w:szCs w:val="18"/>
        </w:rPr>
        <w:t xml:space="preserve">prováděných </w:t>
      </w:r>
      <w:r w:rsidRPr="007F1D62">
        <w:rPr>
          <w:rFonts w:cs="Arial"/>
          <w:szCs w:val="18"/>
        </w:rPr>
        <w:t>výzkumných a vývojových činností</w:t>
      </w:r>
      <w:r>
        <w:rPr>
          <w:rFonts w:cs="Arial"/>
          <w:szCs w:val="18"/>
        </w:rPr>
        <w:t>, podle vědních oblastí (v roce 2008 i podrobněji podle </w:t>
      </w:r>
      <w:r w:rsidRPr="005627AE">
        <w:rPr>
          <w:rFonts w:cs="Arial"/>
          <w:szCs w:val="18"/>
        </w:rPr>
        <w:t>dvoumístných</w:t>
      </w:r>
      <w:r>
        <w:rPr>
          <w:rFonts w:cs="Arial"/>
          <w:szCs w:val="18"/>
        </w:rPr>
        <w:t xml:space="preserve"> kódů</w:t>
      </w:r>
      <w:r w:rsidRPr="005627AE">
        <w:rPr>
          <w:rFonts w:cs="Arial"/>
          <w:szCs w:val="18"/>
        </w:rPr>
        <w:t xml:space="preserve"> vědních oblastí)</w:t>
      </w:r>
      <w:r>
        <w:rPr>
          <w:rFonts w:cs="Arial"/>
          <w:szCs w:val="18"/>
        </w:rPr>
        <w:t>, podle druhu pracoviště (pracoviště Akademie věd ČR, resortní výzkumná pracoviště, knihovny, archivy a muzea (CZ-NACE 91), ostatní pracoviště vládního sektoru) nebo podle regionálního členění (CZ–NUTS </w:t>
      </w:r>
      <w:r w:rsidRPr="00E72746">
        <w:rPr>
          <w:rFonts w:cs="Arial"/>
          <w:szCs w:val="18"/>
        </w:rPr>
        <w:t>3).</w:t>
      </w:r>
    </w:p>
    <w:p w:rsidR="002D2EB2" w:rsidRDefault="002D2EB2" w:rsidP="009C2FB2">
      <w:pPr>
        <w:ind w:left="284"/>
        <w:jc w:val="both"/>
        <w:rPr>
          <w:rFonts w:eastAsia="Arial Unicode MS" w:cs="Arial"/>
          <w:i/>
          <w:iCs/>
          <w:szCs w:val="16"/>
        </w:rPr>
      </w:pPr>
      <w:r>
        <w:rPr>
          <w:rFonts w:eastAsia="Arial Unicode MS" w:cs="Arial"/>
          <w:i/>
          <w:iCs/>
          <w:szCs w:val="16"/>
        </w:rPr>
        <w:t>Pozn</w:t>
      </w:r>
      <w:r w:rsidR="009C2FB2">
        <w:rPr>
          <w:rFonts w:eastAsia="Arial Unicode MS" w:cs="Arial"/>
          <w:i/>
          <w:iCs/>
          <w:szCs w:val="16"/>
        </w:rPr>
        <w:t>ámka</w:t>
      </w:r>
      <w:r>
        <w:rPr>
          <w:rFonts w:eastAsia="Arial Unicode MS" w:cs="Arial"/>
          <w:i/>
          <w:iCs/>
          <w:szCs w:val="16"/>
        </w:rPr>
        <w:t xml:space="preserve">: Jak již bylo </w:t>
      </w:r>
      <w:r w:rsidR="009C2FB2">
        <w:rPr>
          <w:rFonts w:eastAsia="Arial Unicode MS" w:cs="Arial"/>
          <w:i/>
          <w:iCs/>
          <w:szCs w:val="16"/>
        </w:rPr>
        <w:t>uvedeno výše</w:t>
      </w:r>
      <w:r>
        <w:rPr>
          <w:rFonts w:eastAsia="Arial Unicode MS" w:cs="Arial"/>
          <w:i/>
          <w:iCs/>
          <w:szCs w:val="16"/>
        </w:rPr>
        <w:t>, vládní sektor se skládá zejména z výzkumných pracovišť financovaných především z veřejných zdrojů. Často však dochází k záměně termínu: veřejná výzkumná instituce a výzkumné resortní pracoviště. K odlišení těchto dvou termínu slouží následující definice.</w:t>
      </w:r>
    </w:p>
    <w:p w:rsidR="002D2EB2" w:rsidRPr="00EA77D7" w:rsidRDefault="002D2EB2" w:rsidP="009C2FB2">
      <w:pPr>
        <w:numPr>
          <w:ilvl w:val="0"/>
          <w:numId w:val="26"/>
        </w:numPr>
        <w:ind w:left="567"/>
        <w:jc w:val="both"/>
        <w:rPr>
          <w:rFonts w:eastAsia="Arial Unicode MS" w:cs="Arial"/>
          <w:i/>
          <w:iCs/>
          <w:szCs w:val="16"/>
        </w:rPr>
      </w:pPr>
      <w:r w:rsidRPr="00EA77D7">
        <w:rPr>
          <w:rFonts w:eastAsia="Arial Unicode MS" w:cs="Arial"/>
          <w:b/>
          <w:i/>
          <w:iCs/>
          <w:szCs w:val="16"/>
        </w:rPr>
        <w:t>Veřejná výzkumná instituce (v.v.i.)</w:t>
      </w:r>
      <w:r w:rsidRPr="00EA77D7">
        <w:rPr>
          <w:rFonts w:eastAsia="Arial Unicode MS" w:cs="Arial"/>
          <w:i/>
          <w:iCs/>
          <w:szCs w:val="16"/>
        </w:rPr>
        <w:t xml:space="preserve"> </w:t>
      </w:r>
      <w:r w:rsidRPr="00EA77D7">
        <w:rPr>
          <w:rFonts w:eastAsia="Arial Unicode MS" w:cs="Arial"/>
          <w:i/>
          <w:iCs/>
          <w:szCs w:val="16"/>
        </w:rPr>
        <w:noBreakHyphen/>
        <w:t xml:space="preserve"> je právnická osoba, jejímž hlavním předmětem činnosti je výzkum, včetně zajišťování infrastruktury, a to především výzkum podporovaný zejména z veřejných prostředků. Veřejná výzkumná instituce je definovaná v § 2 zákona č. 341/2005 Sb., o veřejných výzkumných institucích. Dne 1.1.2007 došlo k přeměně právní formy některých příspěvkových organizací na právní formu veřejné výzkumné instituce (forma 661), proto údaje týkající se výzkumu a vývoje veřejných výzkumných institucí jsou uvedeny až od roku 2007.</w:t>
      </w:r>
    </w:p>
    <w:p w:rsidR="002D2EB2" w:rsidRPr="00EA77D7" w:rsidRDefault="002D2EB2" w:rsidP="009C2FB2">
      <w:pPr>
        <w:numPr>
          <w:ilvl w:val="0"/>
          <w:numId w:val="26"/>
        </w:numPr>
        <w:ind w:left="567"/>
        <w:jc w:val="both"/>
        <w:rPr>
          <w:rFonts w:eastAsia="Arial Unicode MS" w:cs="Arial"/>
          <w:i/>
          <w:iCs/>
          <w:szCs w:val="16"/>
        </w:rPr>
      </w:pPr>
      <w:r w:rsidRPr="00EA77D7">
        <w:rPr>
          <w:rFonts w:eastAsia="Arial Unicode MS" w:cs="Arial"/>
          <w:b/>
          <w:i/>
          <w:iCs/>
          <w:szCs w:val="16"/>
        </w:rPr>
        <w:lastRenderedPageBreak/>
        <w:t>Resortní výzkumná pracoviště</w:t>
      </w:r>
      <w:r w:rsidRPr="00EA77D7">
        <w:rPr>
          <w:rFonts w:eastAsia="Arial Unicode MS" w:cs="Arial"/>
          <w:i/>
          <w:iCs/>
          <w:szCs w:val="16"/>
        </w:rPr>
        <w:t xml:space="preserve"> </w:t>
      </w:r>
      <w:r w:rsidRPr="00EA77D7">
        <w:rPr>
          <w:rFonts w:eastAsia="Arial Unicode MS" w:cs="Arial"/>
          <w:i/>
          <w:iCs/>
          <w:szCs w:val="16"/>
        </w:rPr>
        <w:noBreakHyphen/>
        <w:t xml:space="preserve"> jsou </w:t>
      </w:r>
      <w:r w:rsidR="009C2FB2" w:rsidRPr="00EA77D7">
        <w:rPr>
          <w:rFonts w:eastAsia="Arial Unicode MS" w:cs="Arial"/>
          <w:i/>
          <w:iCs/>
          <w:szCs w:val="16"/>
        </w:rPr>
        <w:t xml:space="preserve">všechna </w:t>
      </w:r>
      <w:r w:rsidRPr="00EA77D7">
        <w:rPr>
          <w:rFonts w:eastAsia="Arial Unicode MS" w:cs="Arial"/>
          <w:i/>
          <w:iCs/>
          <w:szCs w:val="16"/>
        </w:rPr>
        <w:t xml:space="preserve">pracoviště VaV ve vládním sektoru, jejichž </w:t>
      </w:r>
      <w:r w:rsidR="009C2FB2" w:rsidRPr="00EA77D7">
        <w:rPr>
          <w:rFonts w:eastAsia="Arial Unicode MS" w:cs="Arial"/>
          <w:i/>
          <w:iCs/>
          <w:szCs w:val="16"/>
        </w:rPr>
        <w:t xml:space="preserve">převažující ekonomickou </w:t>
      </w:r>
      <w:r w:rsidRPr="00EA77D7">
        <w:rPr>
          <w:rFonts w:eastAsia="Arial Unicode MS" w:cs="Arial"/>
          <w:i/>
          <w:iCs/>
          <w:szCs w:val="16"/>
        </w:rPr>
        <w:t xml:space="preserve">činností je </w:t>
      </w:r>
      <w:r w:rsidR="009C2FB2" w:rsidRPr="00EA77D7">
        <w:rPr>
          <w:rFonts w:eastAsia="Arial Unicode MS" w:cs="Arial"/>
          <w:i/>
          <w:iCs/>
          <w:szCs w:val="16"/>
        </w:rPr>
        <w:t xml:space="preserve">právě </w:t>
      </w:r>
      <w:r w:rsidRPr="00EA77D7">
        <w:rPr>
          <w:rFonts w:eastAsia="Arial Unicode MS" w:cs="Arial"/>
          <w:i/>
          <w:iCs/>
          <w:szCs w:val="16"/>
        </w:rPr>
        <w:t>výzkum a vývo</w:t>
      </w:r>
      <w:r w:rsidR="009C2FB2" w:rsidRPr="00EA77D7">
        <w:rPr>
          <w:rFonts w:eastAsia="Arial Unicode MS" w:cs="Arial"/>
          <w:i/>
          <w:iCs/>
          <w:szCs w:val="16"/>
        </w:rPr>
        <w:t>j – jsou zařazeny do oddílu 72 klasifikace CZ-NACE</w:t>
      </w:r>
      <w:r w:rsidRPr="00EA77D7">
        <w:rPr>
          <w:rFonts w:eastAsia="Arial Unicode MS" w:cs="Arial"/>
          <w:i/>
          <w:iCs/>
          <w:szCs w:val="20"/>
        </w:rPr>
        <w:t>.</w:t>
      </w:r>
      <w:r w:rsidR="00EA77D7">
        <w:rPr>
          <w:rFonts w:eastAsia="Arial Unicode MS" w:cs="Arial"/>
          <w:i/>
          <w:iCs/>
          <w:szCs w:val="20"/>
        </w:rPr>
        <w:t xml:space="preserve"> </w:t>
      </w:r>
      <w:r w:rsidR="00EA77D7" w:rsidRPr="00EA77D7">
        <w:rPr>
          <w:i/>
          <w:szCs w:val="20"/>
        </w:rPr>
        <w:t>Jedná se většinou o oborové veřejné výzkumné instituce, které dříve spadaly přímo pod jednotlivá ministerstva jako např. ministerstvo zemědělství nebo dopravy (proto resortní). Většina z nich v roce 2007 získala statut veřejných výzkumných institucí (např. VÚ rostlinné výroby, VÚ živočišné výroby, VÚ vodohospodářský T. G. Masaryka, Centrum dopravního výzkumu atd.).</w:t>
      </w:r>
    </w:p>
    <w:p w:rsidR="00D95C37" w:rsidRDefault="00D95C37" w:rsidP="003F017F">
      <w:pPr>
        <w:numPr>
          <w:ilvl w:val="0"/>
          <w:numId w:val="36"/>
        </w:numPr>
        <w:tabs>
          <w:tab w:val="clear" w:pos="360"/>
          <w:tab w:val="num" w:pos="284"/>
        </w:tabs>
        <w:spacing w:after="0"/>
        <w:ind w:left="284" w:hanging="284"/>
        <w:jc w:val="both"/>
        <w:rPr>
          <w:rFonts w:cs="Arial"/>
          <w:bCs/>
          <w:i/>
          <w:iCs/>
          <w:szCs w:val="20"/>
        </w:rPr>
      </w:pPr>
      <w:r w:rsidRPr="009C2FB2">
        <w:rPr>
          <w:rFonts w:cs="Arial"/>
          <w:b/>
          <w:bCs/>
          <w:szCs w:val="20"/>
        </w:rPr>
        <w:t xml:space="preserve">Vysokoškolský sektor </w:t>
      </w:r>
      <w:r w:rsidRPr="009C2FB2">
        <w:rPr>
          <w:rFonts w:cs="Arial"/>
          <w:bCs/>
          <w:szCs w:val="20"/>
        </w:rPr>
        <w:t xml:space="preserve">zahrnuje všechny veřejné i soukromé univerzity, vysoké školy a další instituce pomaturitního vzdělávání (CZ–NACE 854) a také všechny výzkumné ústavy, experimentální zařízení a kliniky pracující pod přímou kontrolou nebo řízené či spojené s organizacemi vyššího vzdělávání (fakultní nemocnice). </w:t>
      </w:r>
      <w:r w:rsidRPr="009C2FB2">
        <w:rPr>
          <w:rFonts w:cs="Arial"/>
          <w:bCs/>
          <w:i/>
          <w:iCs/>
          <w:szCs w:val="20"/>
        </w:rPr>
        <w:t>Pracoviště VaV ve vysokoškolském sektoru v ČR tvoří především jednotlivé fakulty veřejných vysokých škol</w:t>
      </w:r>
      <w:r w:rsidR="009C2FB2">
        <w:rPr>
          <w:rFonts w:cs="Arial"/>
          <w:bCs/>
          <w:i/>
          <w:iCs/>
          <w:szCs w:val="20"/>
        </w:rPr>
        <w:t>,</w:t>
      </w:r>
      <w:r w:rsidRPr="009C2FB2">
        <w:rPr>
          <w:rFonts w:cs="Arial"/>
          <w:bCs/>
          <w:i/>
          <w:iCs/>
          <w:szCs w:val="20"/>
        </w:rPr>
        <w:t xml:space="preserve"> na kterých se provádí VaV a 11 fakultních nemocnic. </w:t>
      </w:r>
    </w:p>
    <w:p w:rsidR="009C2FB2" w:rsidRDefault="009C2FB2" w:rsidP="009C2FB2">
      <w:pPr>
        <w:ind w:left="360"/>
        <w:jc w:val="both"/>
        <w:rPr>
          <w:rFonts w:cs="Arial"/>
          <w:szCs w:val="18"/>
        </w:rPr>
      </w:pPr>
      <w:r>
        <w:rPr>
          <w:rFonts w:cs="Arial"/>
          <w:szCs w:val="18"/>
        </w:rPr>
        <w:t xml:space="preserve">Vysokoškolský sektor může být </w:t>
      </w:r>
      <w:r w:rsidRPr="007F1D62">
        <w:rPr>
          <w:rFonts w:cs="Arial"/>
          <w:szCs w:val="18"/>
        </w:rPr>
        <w:t>dále členěn např</w:t>
      </w:r>
      <w:r>
        <w:rPr>
          <w:rFonts w:cs="Arial"/>
          <w:szCs w:val="18"/>
        </w:rPr>
        <w:t>.</w:t>
      </w:r>
      <w:r w:rsidRPr="007F1D62">
        <w:rPr>
          <w:rFonts w:cs="Arial"/>
          <w:szCs w:val="18"/>
        </w:rPr>
        <w:t xml:space="preserve"> podle</w:t>
      </w:r>
      <w:r>
        <w:rPr>
          <w:rFonts w:cs="Arial"/>
          <w:szCs w:val="18"/>
        </w:rPr>
        <w:t xml:space="preserve"> typu prováděných </w:t>
      </w:r>
      <w:r w:rsidRPr="007F1D62">
        <w:rPr>
          <w:rFonts w:cs="Arial"/>
          <w:szCs w:val="18"/>
        </w:rPr>
        <w:t>výzkumných a vývojových činností</w:t>
      </w:r>
      <w:r>
        <w:rPr>
          <w:rFonts w:cs="Arial"/>
          <w:szCs w:val="18"/>
        </w:rPr>
        <w:t>, podle vědních oblastí (v roce 2008 i podrobněji podle </w:t>
      </w:r>
      <w:r w:rsidRPr="005627AE">
        <w:rPr>
          <w:rFonts w:cs="Arial"/>
          <w:szCs w:val="18"/>
        </w:rPr>
        <w:t>dvoumístných</w:t>
      </w:r>
      <w:r>
        <w:rPr>
          <w:rFonts w:cs="Arial"/>
          <w:szCs w:val="18"/>
        </w:rPr>
        <w:t xml:space="preserve"> kódů</w:t>
      </w:r>
      <w:r w:rsidRPr="005627AE">
        <w:rPr>
          <w:rFonts w:cs="Arial"/>
          <w:szCs w:val="18"/>
        </w:rPr>
        <w:t xml:space="preserve"> vědních oblastí)</w:t>
      </w:r>
      <w:r>
        <w:rPr>
          <w:rFonts w:cs="Arial"/>
          <w:szCs w:val="18"/>
        </w:rPr>
        <w:t>, podle druhu pracoviště (</w:t>
      </w:r>
      <w:r w:rsidR="002E165F">
        <w:rPr>
          <w:rFonts w:cs="Arial"/>
          <w:szCs w:val="18"/>
        </w:rPr>
        <w:t xml:space="preserve">VaV </w:t>
      </w:r>
      <w:r>
        <w:rPr>
          <w:rFonts w:cs="Arial"/>
          <w:szCs w:val="18"/>
        </w:rPr>
        <w:t xml:space="preserve">pracoviště </w:t>
      </w:r>
      <w:r w:rsidR="002E165F">
        <w:rPr>
          <w:rFonts w:cs="Arial"/>
          <w:szCs w:val="18"/>
        </w:rPr>
        <w:t>veřejných a státních vysokých škol, fakultní nemocnice a soukromé vysoké školy)</w:t>
      </w:r>
      <w:r>
        <w:rPr>
          <w:rFonts w:cs="Arial"/>
          <w:szCs w:val="18"/>
        </w:rPr>
        <w:t xml:space="preserve"> nebo podle regionálního členění (CZ–NUTS </w:t>
      </w:r>
      <w:r w:rsidRPr="00E72746">
        <w:rPr>
          <w:rFonts w:cs="Arial"/>
          <w:szCs w:val="18"/>
        </w:rPr>
        <w:t>3).</w:t>
      </w:r>
    </w:p>
    <w:p w:rsidR="00D95C37" w:rsidRPr="003E275A" w:rsidRDefault="00D95C37" w:rsidP="003F017F">
      <w:pPr>
        <w:numPr>
          <w:ilvl w:val="0"/>
          <w:numId w:val="37"/>
        </w:numPr>
        <w:tabs>
          <w:tab w:val="clear" w:pos="360"/>
          <w:tab w:val="num" w:pos="284"/>
        </w:tabs>
        <w:spacing w:after="0"/>
        <w:ind w:left="284" w:hanging="284"/>
        <w:jc w:val="both"/>
        <w:rPr>
          <w:rFonts w:cs="Arial"/>
          <w:bCs/>
          <w:szCs w:val="20"/>
        </w:rPr>
      </w:pPr>
      <w:r w:rsidRPr="003E275A">
        <w:rPr>
          <w:rFonts w:cs="Arial"/>
          <w:b/>
          <w:bCs/>
          <w:szCs w:val="20"/>
        </w:rPr>
        <w:t xml:space="preserve">Soukromý neziskový sektor </w:t>
      </w:r>
      <w:r w:rsidRPr="003E275A">
        <w:rPr>
          <w:rFonts w:cs="Arial"/>
          <w:bCs/>
          <w:szCs w:val="20"/>
        </w:rPr>
        <w:t xml:space="preserve">zahrnuje soukromé instituce, včetně soukromých osob a domácností, jejichž primárním cílem není tvorba zisku, ale poskytování netržních služeb domácnostem. Jedná se např. o sdružení výzkumných organizací, spolky, svazy, společnosti, kluby, hnutí či nadace. Subjekty náležící do tohoto sektoru jsou zařazeny v některém z těchto </w:t>
      </w:r>
      <w:proofErr w:type="spellStart"/>
      <w:r w:rsidRPr="003E275A">
        <w:rPr>
          <w:rFonts w:cs="Arial"/>
          <w:bCs/>
          <w:szCs w:val="20"/>
        </w:rPr>
        <w:t>ISEKTORů</w:t>
      </w:r>
      <w:proofErr w:type="spellEnd"/>
      <w:r w:rsidRPr="003E275A">
        <w:rPr>
          <w:rFonts w:cs="Arial"/>
          <w:bCs/>
          <w:szCs w:val="20"/>
        </w:rPr>
        <w:t xml:space="preserve">: </w:t>
      </w:r>
    </w:p>
    <w:p w:rsidR="00D95C37" w:rsidRPr="003E275A" w:rsidRDefault="00D95C37" w:rsidP="00D95C37">
      <w:pPr>
        <w:numPr>
          <w:ilvl w:val="1"/>
          <w:numId w:val="33"/>
        </w:numPr>
        <w:spacing w:before="60" w:after="0"/>
        <w:ind w:left="1080"/>
        <w:jc w:val="both"/>
        <w:rPr>
          <w:bCs/>
          <w:szCs w:val="20"/>
        </w:rPr>
      </w:pPr>
      <w:r w:rsidRPr="003E275A">
        <w:rPr>
          <w:bCs/>
          <w:szCs w:val="20"/>
        </w:rPr>
        <w:t>Domácnosti (ISEKTOR 14 bez 141 a bez 142),</w:t>
      </w:r>
    </w:p>
    <w:p w:rsidR="00D95C37" w:rsidRPr="003E275A" w:rsidRDefault="00D95C37" w:rsidP="00D95C37">
      <w:pPr>
        <w:numPr>
          <w:ilvl w:val="1"/>
          <w:numId w:val="33"/>
        </w:numPr>
        <w:spacing w:before="60" w:after="0"/>
        <w:ind w:left="1080"/>
        <w:jc w:val="both"/>
        <w:rPr>
          <w:rFonts w:cs="Arial"/>
          <w:bCs/>
          <w:szCs w:val="20"/>
        </w:rPr>
      </w:pPr>
      <w:r w:rsidRPr="003E275A">
        <w:rPr>
          <w:bCs/>
          <w:szCs w:val="20"/>
        </w:rPr>
        <w:t>Neziskové instituce sloužící domácnostem (ISEKTOR 15).</w:t>
      </w:r>
      <w:r w:rsidRPr="003E275A">
        <w:rPr>
          <w:rFonts w:cs="Arial"/>
          <w:bCs/>
          <w:szCs w:val="20"/>
        </w:rPr>
        <w:t xml:space="preserve"> </w:t>
      </w:r>
    </w:p>
    <w:p w:rsidR="002E165F" w:rsidRDefault="002E165F" w:rsidP="002D33DE">
      <w:pPr>
        <w:pStyle w:val="Nadpis1"/>
        <w:spacing w:before="0"/>
        <w:rPr>
          <w:sz w:val="24"/>
          <w:szCs w:val="24"/>
        </w:rPr>
      </w:pPr>
    </w:p>
    <w:p w:rsidR="00FA3C6B" w:rsidRPr="00D8340E" w:rsidRDefault="00D8340E" w:rsidP="00301F21">
      <w:pPr>
        <w:pStyle w:val="Nadpis1"/>
        <w:pageBreakBefore/>
        <w:spacing w:before="0"/>
        <w:rPr>
          <w:sz w:val="24"/>
          <w:szCs w:val="24"/>
        </w:rPr>
      </w:pPr>
      <w:r>
        <w:rPr>
          <w:sz w:val="24"/>
          <w:szCs w:val="24"/>
        </w:rPr>
        <w:lastRenderedPageBreak/>
        <w:t>2.</w:t>
      </w:r>
      <w:r w:rsidR="00A3623E">
        <w:rPr>
          <w:sz w:val="24"/>
          <w:szCs w:val="24"/>
        </w:rPr>
        <w:t>4</w:t>
      </w:r>
      <w:r>
        <w:rPr>
          <w:sz w:val="24"/>
          <w:szCs w:val="24"/>
        </w:rPr>
        <w:t xml:space="preserve">. </w:t>
      </w:r>
      <w:r w:rsidR="00D0215C" w:rsidRPr="00D8340E">
        <w:rPr>
          <w:sz w:val="24"/>
          <w:szCs w:val="24"/>
        </w:rPr>
        <w:t>Zaměstnanci VaV</w:t>
      </w:r>
    </w:p>
    <w:p w:rsidR="00FA3C6B" w:rsidRDefault="00FA3C6B" w:rsidP="00FA3C6B">
      <w:pPr>
        <w:jc w:val="both"/>
        <w:rPr>
          <w:rFonts w:eastAsia="Arial Unicode MS" w:cs="Arial"/>
          <w:szCs w:val="18"/>
        </w:rPr>
      </w:pPr>
      <w:r>
        <w:rPr>
          <w:rFonts w:cs="Arial"/>
          <w:b/>
          <w:bCs/>
          <w:szCs w:val="18"/>
        </w:rPr>
        <w:t xml:space="preserve">Zaměstnanci VaV </w:t>
      </w:r>
      <w:r>
        <w:rPr>
          <w:rFonts w:cs="Arial"/>
          <w:szCs w:val="18"/>
        </w:rPr>
        <w:t>jsou nejen výzkumní pracovníci, kteří provádějí přímo výzkum a vývoj, ale také pomocní, techničtí, administrativní a jiní pracovníci pracující</w:t>
      </w:r>
      <w:r w:rsidR="00A63986">
        <w:rPr>
          <w:rFonts w:cs="Arial"/>
          <w:szCs w:val="18"/>
        </w:rPr>
        <w:t xml:space="preserve"> na pracovištích výzkumu a vývoje v </w:t>
      </w:r>
      <w:r>
        <w:rPr>
          <w:rFonts w:cs="Arial"/>
          <w:szCs w:val="18"/>
        </w:rPr>
        <w:t xml:space="preserve">jednotlivých </w:t>
      </w:r>
      <w:r w:rsidR="00A63986">
        <w:rPr>
          <w:rFonts w:cs="Arial"/>
          <w:szCs w:val="18"/>
        </w:rPr>
        <w:t>zpravodajských jednotkách. Mezi </w:t>
      </w:r>
      <w:r>
        <w:rPr>
          <w:rFonts w:cs="Arial"/>
          <w:szCs w:val="18"/>
        </w:rPr>
        <w:t>zaměstnance VaV patří i zaměstnanci, k</w:t>
      </w:r>
      <w:r w:rsidR="00A63986">
        <w:rPr>
          <w:rFonts w:cs="Arial"/>
          <w:szCs w:val="18"/>
        </w:rPr>
        <w:t>teří obstarávají přímé služby k </w:t>
      </w:r>
      <w:r>
        <w:rPr>
          <w:rFonts w:cs="Arial"/>
          <w:szCs w:val="18"/>
        </w:rPr>
        <w:t xml:space="preserve">výzkumným a vývojovým činnostem (např. manažeři VaV, administrativní </w:t>
      </w:r>
      <w:r w:rsidR="004C5EF2">
        <w:rPr>
          <w:rFonts w:cs="Arial"/>
          <w:szCs w:val="18"/>
        </w:rPr>
        <w:t>p</w:t>
      </w:r>
      <w:r w:rsidR="002F719C">
        <w:rPr>
          <w:rFonts w:cs="Arial"/>
          <w:szCs w:val="18"/>
        </w:rPr>
        <w:t>r</w:t>
      </w:r>
      <w:r w:rsidR="004C5EF2">
        <w:rPr>
          <w:rFonts w:cs="Arial"/>
          <w:szCs w:val="18"/>
        </w:rPr>
        <w:t>acovn</w:t>
      </w:r>
      <w:r>
        <w:rPr>
          <w:rFonts w:cs="Arial"/>
          <w:szCs w:val="18"/>
        </w:rPr>
        <w:t>íci, sekretářky apod.).</w:t>
      </w:r>
      <w:r w:rsidR="00301F21">
        <w:rPr>
          <w:rFonts w:cs="Arial"/>
          <w:szCs w:val="18"/>
        </w:rPr>
        <w:t xml:space="preserve"> </w:t>
      </w:r>
      <w:r>
        <w:rPr>
          <w:rFonts w:cs="Arial"/>
          <w:szCs w:val="18"/>
        </w:rPr>
        <w:t>Zaměstnanc</w:t>
      </w:r>
      <w:r w:rsidR="007F5FF8">
        <w:rPr>
          <w:rFonts w:cs="Arial"/>
          <w:szCs w:val="18"/>
        </w:rPr>
        <w:t>e</w:t>
      </w:r>
      <w:r>
        <w:rPr>
          <w:rFonts w:cs="Arial"/>
          <w:szCs w:val="18"/>
        </w:rPr>
        <w:t xml:space="preserve"> VaV </w:t>
      </w:r>
      <w:r w:rsidR="00301F21">
        <w:rPr>
          <w:rFonts w:cs="Arial"/>
          <w:szCs w:val="18"/>
        </w:rPr>
        <w:t>tvoří</w:t>
      </w:r>
      <w:r>
        <w:rPr>
          <w:rFonts w:cs="Arial"/>
          <w:szCs w:val="18"/>
        </w:rPr>
        <w:t xml:space="preserve"> podle</w:t>
      </w:r>
      <w:r>
        <w:rPr>
          <w:rFonts w:cs="Arial"/>
          <w:b/>
          <w:bCs/>
          <w:szCs w:val="18"/>
        </w:rPr>
        <w:t xml:space="preserve"> pracovní činnosti (zaměstnání): </w:t>
      </w:r>
    </w:p>
    <w:p w:rsidR="003F017F" w:rsidRPr="003F017F" w:rsidRDefault="003F017F" w:rsidP="00301F21">
      <w:pPr>
        <w:numPr>
          <w:ilvl w:val="0"/>
          <w:numId w:val="38"/>
        </w:numPr>
        <w:jc w:val="both"/>
        <w:rPr>
          <w:rFonts w:eastAsia="Arial Unicode MS" w:cs="Arial"/>
          <w:b/>
          <w:bCs/>
          <w:sz w:val="22"/>
          <w:szCs w:val="18"/>
        </w:rPr>
      </w:pPr>
      <w:r w:rsidRPr="003F017F">
        <w:rPr>
          <w:rFonts w:cs="Arial"/>
          <w:b/>
          <w:szCs w:val="20"/>
        </w:rPr>
        <w:t>Výzkumní pracovníci</w:t>
      </w:r>
      <w:r w:rsidRPr="003F017F">
        <w:rPr>
          <w:rFonts w:cs="Arial"/>
          <w:szCs w:val="20"/>
        </w:rPr>
        <w:t xml:space="preserve"> vytvářejí nové či rozšiřují stávající znalosti. Řídí a provádí činnosti, které zahrnují koncepci nebo tvorbu nových znalostí, výrobků, procesů, metod a systémů, aplikují vědecké koncepty a teorie. Jedná se převážně o zaměstnance, kteří jsou podle klasifikace zaměstnání (CZ-ISCO) zařazeni do hlavní třídy 2 (Specialisté)</w:t>
      </w:r>
      <w:r>
        <w:rPr>
          <w:rFonts w:cs="Arial"/>
          <w:szCs w:val="20"/>
        </w:rPr>
        <w:t>.</w:t>
      </w:r>
      <w:r w:rsidRPr="003F017F">
        <w:rPr>
          <w:rFonts w:cs="Arial"/>
          <w:szCs w:val="20"/>
        </w:rPr>
        <w:t xml:space="preserve"> </w:t>
      </w:r>
    </w:p>
    <w:p w:rsidR="00FA3C6B" w:rsidRPr="003F017F" w:rsidRDefault="003F017F" w:rsidP="003F017F">
      <w:pPr>
        <w:ind w:left="360"/>
        <w:jc w:val="both"/>
        <w:rPr>
          <w:rFonts w:cs="Arial"/>
          <w:i/>
          <w:szCs w:val="18"/>
        </w:rPr>
      </w:pPr>
      <w:r w:rsidRPr="003F017F">
        <w:rPr>
          <w:rFonts w:cs="Arial"/>
          <w:i/>
          <w:szCs w:val="18"/>
        </w:rPr>
        <w:t xml:space="preserve">Mezi výzkumné pracovníky </w:t>
      </w:r>
      <w:r w:rsidRPr="003F017F">
        <w:rPr>
          <w:rFonts w:cs="Arial"/>
          <w:b/>
          <w:i/>
          <w:szCs w:val="18"/>
        </w:rPr>
        <w:t>patří</w:t>
      </w:r>
      <w:r w:rsidRPr="003F017F">
        <w:rPr>
          <w:rFonts w:cs="Arial"/>
          <w:i/>
          <w:szCs w:val="18"/>
        </w:rPr>
        <w:t xml:space="preserve"> i studenti </w:t>
      </w:r>
      <w:proofErr w:type="spellStart"/>
      <w:r w:rsidRPr="003F017F">
        <w:rPr>
          <w:rFonts w:cs="Arial"/>
          <w:i/>
          <w:szCs w:val="18"/>
        </w:rPr>
        <w:t>Ph</w:t>
      </w:r>
      <w:r w:rsidR="003D7E12">
        <w:rPr>
          <w:rFonts w:cs="Arial"/>
          <w:i/>
          <w:szCs w:val="18"/>
        </w:rPr>
        <w:t>.</w:t>
      </w:r>
      <w:r w:rsidRPr="003F017F">
        <w:rPr>
          <w:rFonts w:cs="Arial"/>
          <w:i/>
          <w:szCs w:val="18"/>
        </w:rPr>
        <w:t>D</w:t>
      </w:r>
      <w:proofErr w:type="spellEnd"/>
      <w:r w:rsidR="003D7E12">
        <w:rPr>
          <w:rFonts w:cs="Arial"/>
          <w:i/>
          <w:szCs w:val="18"/>
        </w:rPr>
        <w:t>.</w:t>
      </w:r>
      <w:r w:rsidRPr="003F017F">
        <w:rPr>
          <w:rFonts w:cs="Arial"/>
          <w:i/>
          <w:szCs w:val="18"/>
        </w:rPr>
        <w:t xml:space="preserve"> (</w:t>
      </w:r>
      <w:proofErr w:type="spellStart"/>
      <w:r w:rsidRPr="003F017F">
        <w:rPr>
          <w:rFonts w:cs="Arial"/>
          <w:i/>
          <w:szCs w:val="18"/>
        </w:rPr>
        <w:t>doktorandi</w:t>
      </w:r>
      <w:proofErr w:type="spellEnd"/>
      <w:r w:rsidRPr="003F017F">
        <w:rPr>
          <w:rFonts w:cs="Arial"/>
          <w:i/>
          <w:szCs w:val="18"/>
        </w:rPr>
        <w:t>), pokud jsou zam</w:t>
      </w:r>
      <w:r>
        <w:rPr>
          <w:rFonts w:cs="Arial"/>
          <w:i/>
          <w:szCs w:val="18"/>
        </w:rPr>
        <w:t>ě</w:t>
      </w:r>
      <w:r w:rsidRPr="003F017F">
        <w:rPr>
          <w:rFonts w:cs="Arial"/>
          <w:i/>
          <w:szCs w:val="18"/>
        </w:rPr>
        <w:t xml:space="preserve">stnanci sledované organizace a zabývají se VaV </w:t>
      </w:r>
      <w:r>
        <w:rPr>
          <w:rFonts w:cs="Arial"/>
          <w:i/>
          <w:szCs w:val="18"/>
        </w:rPr>
        <w:t>č</w:t>
      </w:r>
      <w:r w:rsidRPr="003F017F">
        <w:rPr>
          <w:rFonts w:cs="Arial"/>
          <w:i/>
          <w:szCs w:val="18"/>
        </w:rPr>
        <w:t>inností.</w:t>
      </w:r>
      <w:r w:rsidR="00FA3C6B" w:rsidRPr="003F017F">
        <w:rPr>
          <w:rFonts w:cs="Arial"/>
          <w:i/>
          <w:szCs w:val="18"/>
        </w:rPr>
        <w:t xml:space="preserve"> </w:t>
      </w:r>
    </w:p>
    <w:p w:rsidR="003F017F" w:rsidRPr="003F017F" w:rsidRDefault="00893B2C" w:rsidP="00301F21">
      <w:pPr>
        <w:numPr>
          <w:ilvl w:val="0"/>
          <w:numId w:val="38"/>
        </w:numPr>
        <w:jc w:val="both"/>
        <w:rPr>
          <w:rFonts w:eastAsia="Arial Unicode MS" w:cs="Arial"/>
          <w:b/>
          <w:bCs/>
          <w:szCs w:val="18"/>
        </w:rPr>
      </w:pPr>
      <w:r>
        <w:rPr>
          <w:rFonts w:cs="Arial"/>
          <w:b/>
          <w:bCs/>
          <w:szCs w:val="18"/>
        </w:rPr>
        <w:t xml:space="preserve">Techničtí a </w:t>
      </w:r>
      <w:r w:rsidR="004C5EF2">
        <w:rPr>
          <w:rFonts w:cs="Arial"/>
          <w:b/>
          <w:bCs/>
          <w:szCs w:val="18"/>
        </w:rPr>
        <w:t>odborní</w:t>
      </w:r>
      <w:r>
        <w:rPr>
          <w:rFonts w:cs="Arial"/>
          <w:b/>
          <w:bCs/>
          <w:szCs w:val="18"/>
        </w:rPr>
        <w:t xml:space="preserve"> pracovníci </w:t>
      </w:r>
      <w:r w:rsidR="003F017F" w:rsidRPr="003F017F">
        <w:rPr>
          <w:rFonts w:cs="Arial"/>
          <w:bCs/>
          <w:szCs w:val="18"/>
        </w:rPr>
        <w:t xml:space="preserve">provádějí technické a podobné úkoly spojené s výzkumem a aplikací vědeckých koncepcí a provozních metod, a to obvykle za dohledu výzkumných pracovníků. </w:t>
      </w:r>
    </w:p>
    <w:p w:rsidR="00FA3C6B" w:rsidRPr="003F017F" w:rsidRDefault="004C5EF2" w:rsidP="003F017F">
      <w:pPr>
        <w:ind w:left="360"/>
        <w:jc w:val="both"/>
        <w:rPr>
          <w:rFonts w:eastAsia="Arial Unicode MS" w:cs="Arial"/>
          <w:b/>
          <w:bCs/>
          <w:i/>
          <w:szCs w:val="18"/>
        </w:rPr>
      </w:pPr>
      <w:r w:rsidRPr="003F017F">
        <w:rPr>
          <w:rFonts w:cs="Arial"/>
          <w:i/>
          <w:szCs w:val="18"/>
        </w:rPr>
        <w:t xml:space="preserve">Mezi technické a odborné pracovníky </w:t>
      </w:r>
      <w:r w:rsidRPr="003F017F">
        <w:rPr>
          <w:rFonts w:cs="Arial"/>
          <w:b/>
          <w:i/>
          <w:szCs w:val="18"/>
        </w:rPr>
        <w:t>patří</w:t>
      </w:r>
      <w:r w:rsidRPr="003F017F">
        <w:rPr>
          <w:rFonts w:cs="Arial"/>
          <w:i/>
          <w:szCs w:val="18"/>
        </w:rPr>
        <w:t xml:space="preserve"> i pomocníci výzkumných pracovníků, kteří sice plní zadané výzkumné úkoly, ale sami o sobě nevytvářejí či nerozšiřují stávající znalosti (nejsou uváděni jako spoluautoři výsledku).</w:t>
      </w:r>
    </w:p>
    <w:p w:rsidR="00152660" w:rsidRPr="003F017F" w:rsidRDefault="00893B2C" w:rsidP="00301F21">
      <w:pPr>
        <w:numPr>
          <w:ilvl w:val="0"/>
          <w:numId w:val="38"/>
        </w:numPr>
        <w:jc w:val="both"/>
        <w:rPr>
          <w:rFonts w:eastAsia="Arial Unicode MS" w:cs="Arial"/>
          <w:b/>
          <w:bCs/>
          <w:szCs w:val="18"/>
        </w:rPr>
      </w:pPr>
      <w:r>
        <w:rPr>
          <w:rFonts w:cs="Arial"/>
          <w:b/>
          <w:bCs/>
          <w:szCs w:val="18"/>
        </w:rPr>
        <w:t>Ostatní pracovníci</w:t>
      </w:r>
      <w:r w:rsidR="00152660">
        <w:rPr>
          <w:rFonts w:cs="Arial"/>
          <w:b/>
          <w:bCs/>
          <w:szCs w:val="18"/>
        </w:rPr>
        <w:t xml:space="preserve"> ve výzkumu a vývoji</w:t>
      </w:r>
      <w:r w:rsidR="00152660">
        <w:rPr>
          <w:rFonts w:cs="Arial"/>
          <w:szCs w:val="18"/>
        </w:rPr>
        <w:t xml:space="preserve"> se</w:t>
      </w:r>
      <w:r w:rsidR="00152660">
        <w:rPr>
          <w:rFonts w:cs="Arial"/>
          <w:b/>
          <w:bCs/>
          <w:szCs w:val="18"/>
        </w:rPr>
        <w:t xml:space="preserve"> </w:t>
      </w:r>
      <w:r w:rsidR="00152660">
        <w:rPr>
          <w:rFonts w:cs="Arial"/>
          <w:szCs w:val="18"/>
        </w:rPr>
        <w:t xml:space="preserve">podílejí </w:t>
      </w:r>
      <w:r>
        <w:rPr>
          <w:rFonts w:cs="Arial"/>
          <w:szCs w:val="18"/>
        </w:rPr>
        <w:t>nebo jsou začleněni do</w:t>
      </w:r>
      <w:r w:rsidR="00152660">
        <w:rPr>
          <w:rFonts w:cs="Arial"/>
          <w:szCs w:val="18"/>
        </w:rPr>
        <w:t xml:space="preserve"> vý</w:t>
      </w:r>
      <w:r>
        <w:rPr>
          <w:rFonts w:cs="Arial"/>
          <w:szCs w:val="18"/>
        </w:rPr>
        <w:t>zkumných a vývojových činností</w:t>
      </w:r>
      <w:r w:rsidR="00152660">
        <w:rPr>
          <w:rFonts w:cs="Arial"/>
          <w:szCs w:val="18"/>
        </w:rPr>
        <w:t xml:space="preserve"> (</w:t>
      </w:r>
      <w:r>
        <w:rPr>
          <w:rFonts w:cs="Arial"/>
          <w:szCs w:val="18"/>
        </w:rPr>
        <w:t xml:space="preserve">např. </w:t>
      </w:r>
      <w:r w:rsidR="00152660">
        <w:rPr>
          <w:rFonts w:cs="Arial"/>
          <w:szCs w:val="18"/>
        </w:rPr>
        <w:t>řemeslníci, sekretářky a úředníci). Jsou zde zahrnuti i manažeři a administrativní pracovníci, jejichž činnosti jsou</w:t>
      </w:r>
      <w:r w:rsidR="006B1FCF">
        <w:rPr>
          <w:rFonts w:cs="Arial"/>
          <w:szCs w:val="18"/>
        </w:rPr>
        <w:t xml:space="preserve"> přímou službou výzkumu a vývoje</w:t>
      </w:r>
      <w:r w:rsidR="00152660">
        <w:rPr>
          <w:rFonts w:cs="Arial"/>
          <w:szCs w:val="18"/>
        </w:rPr>
        <w:t>.</w:t>
      </w:r>
    </w:p>
    <w:p w:rsidR="003F017F" w:rsidRPr="003F017F" w:rsidRDefault="003F017F" w:rsidP="003F017F">
      <w:pPr>
        <w:ind w:left="360"/>
        <w:jc w:val="both"/>
        <w:rPr>
          <w:rFonts w:cs="Arial"/>
          <w:i/>
          <w:szCs w:val="18"/>
        </w:rPr>
      </w:pPr>
      <w:r w:rsidRPr="003F017F">
        <w:rPr>
          <w:rFonts w:cs="Arial"/>
          <w:i/>
          <w:szCs w:val="18"/>
        </w:rPr>
        <w:t xml:space="preserve">Mezi ostatní ani jiné zaměstnance VaV </w:t>
      </w:r>
      <w:r w:rsidRPr="003F017F">
        <w:rPr>
          <w:rFonts w:cs="Arial"/>
          <w:b/>
          <w:i/>
          <w:szCs w:val="18"/>
        </w:rPr>
        <w:t>nepatří</w:t>
      </w:r>
      <w:r w:rsidRPr="003F017F">
        <w:rPr>
          <w:rFonts w:cs="Arial"/>
          <w:i/>
          <w:szCs w:val="18"/>
        </w:rPr>
        <w:t xml:space="preserve"> zaměstnanci provádějící nepřímé služby pro VaV pracoviště (např. zaměstnanci v závodní jídelně nebo bezpečnostní službě).</w:t>
      </w:r>
    </w:p>
    <w:p w:rsidR="00152660" w:rsidRPr="00BF763F" w:rsidRDefault="00152660" w:rsidP="00DA2D0E">
      <w:pPr>
        <w:spacing w:after="360"/>
        <w:jc w:val="both"/>
        <w:rPr>
          <w:rFonts w:eastAsia="Arial Unicode MS" w:cs="Arial"/>
          <w:i/>
          <w:iCs/>
          <w:szCs w:val="16"/>
        </w:rPr>
      </w:pPr>
      <w:r>
        <w:rPr>
          <w:rFonts w:cs="Arial"/>
          <w:i/>
          <w:iCs/>
          <w:szCs w:val="16"/>
        </w:rPr>
        <w:t>Pozn. Kategorie zaměst</w:t>
      </w:r>
      <w:r w:rsidR="00893B2C">
        <w:rPr>
          <w:rFonts w:cs="Arial"/>
          <w:i/>
          <w:iCs/>
          <w:szCs w:val="16"/>
        </w:rPr>
        <w:t>nanci zahrnuje všechny osoby ve věku od 15 let</w:t>
      </w:r>
      <w:r>
        <w:rPr>
          <w:rFonts w:cs="Arial"/>
          <w:i/>
          <w:iCs/>
          <w:szCs w:val="16"/>
        </w:rPr>
        <w:t>,</w:t>
      </w:r>
      <w:r w:rsidR="001C6E42">
        <w:rPr>
          <w:rFonts w:cs="Arial"/>
          <w:i/>
          <w:iCs/>
          <w:szCs w:val="16"/>
        </w:rPr>
        <w:t xml:space="preserve"> které jsou placeny</w:t>
      </w:r>
      <w:r w:rsidR="00DB1677">
        <w:rPr>
          <w:rFonts w:cs="Arial"/>
          <w:i/>
          <w:iCs/>
          <w:szCs w:val="16"/>
        </w:rPr>
        <w:t xml:space="preserve"> v </w:t>
      </w:r>
      <w:r>
        <w:rPr>
          <w:rFonts w:cs="Arial"/>
          <w:i/>
          <w:iCs/>
          <w:szCs w:val="16"/>
        </w:rPr>
        <w:t xml:space="preserve">zaměstnání. Formální vazbou k zaměstnání se rozumí především pracovní poměr, </w:t>
      </w:r>
      <w:r w:rsidR="00DB1677" w:rsidRPr="00BF763F">
        <w:rPr>
          <w:rFonts w:cs="Arial"/>
          <w:i/>
          <w:iCs/>
          <w:szCs w:val="16"/>
        </w:rPr>
        <w:t>doho</w:t>
      </w:r>
      <w:r w:rsidR="002139BC" w:rsidRPr="00BF763F">
        <w:rPr>
          <w:rFonts w:cs="Arial"/>
          <w:i/>
          <w:iCs/>
          <w:szCs w:val="16"/>
        </w:rPr>
        <w:t>da o provedení práce a o </w:t>
      </w:r>
      <w:r w:rsidR="00DB1677" w:rsidRPr="00BF763F">
        <w:rPr>
          <w:rFonts w:cs="Arial"/>
          <w:i/>
          <w:iCs/>
          <w:szCs w:val="16"/>
        </w:rPr>
        <w:t>pracovní činnosti</w:t>
      </w:r>
      <w:r w:rsidRPr="00BF763F">
        <w:rPr>
          <w:rFonts w:cs="Arial"/>
          <w:i/>
          <w:iCs/>
          <w:szCs w:val="16"/>
        </w:rPr>
        <w:t xml:space="preserve">. </w:t>
      </w:r>
    </w:p>
    <w:p w:rsidR="003F017F" w:rsidRPr="00FB0116" w:rsidRDefault="00FB0116" w:rsidP="003F017F">
      <w:pPr>
        <w:spacing w:after="0"/>
        <w:jc w:val="both"/>
        <w:rPr>
          <w:rFonts w:cs="Arial"/>
          <w:b/>
          <w:szCs w:val="20"/>
        </w:rPr>
      </w:pPr>
      <w:r w:rsidRPr="00FB0116">
        <w:rPr>
          <w:rFonts w:cs="Arial"/>
          <w:b/>
          <w:szCs w:val="20"/>
        </w:rPr>
        <w:t xml:space="preserve">1) </w:t>
      </w:r>
      <w:r w:rsidR="003F017F" w:rsidRPr="00FB0116">
        <w:rPr>
          <w:rFonts w:cs="Arial"/>
          <w:b/>
          <w:szCs w:val="20"/>
        </w:rPr>
        <w:t xml:space="preserve">Počet osob zaměstnaných ve výzkumu a vývoji (zaměstnanci VaV) je </w:t>
      </w:r>
      <w:r w:rsidR="003F017F" w:rsidRPr="00FB0116">
        <w:rPr>
          <w:rFonts w:cs="Arial"/>
          <w:b/>
          <w:bCs/>
          <w:szCs w:val="20"/>
          <w:u w:val="single"/>
        </w:rPr>
        <w:t>měřen</w:t>
      </w:r>
      <w:r w:rsidR="003F017F" w:rsidRPr="00FB0116">
        <w:rPr>
          <w:rFonts w:cs="Arial"/>
          <w:b/>
          <w:szCs w:val="20"/>
        </w:rPr>
        <w:t xml:space="preserve"> jako: </w:t>
      </w:r>
    </w:p>
    <w:p w:rsidR="003F017F" w:rsidRPr="00114682" w:rsidRDefault="00FA3C6B" w:rsidP="00DA2D0E">
      <w:pPr>
        <w:numPr>
          <w:ilvl w:val="0"/>
          <w:numId w:val="37"/>
        </w:numPr>
        <w:spacing w:before="40" w:after="40"/>
        <w:ind w:left="357" w:hanging="357"/>
        <w:jc w:val="both"/>
        <w:rPr>
          <w:i/>
          <w:szCs w:val="20"/>
        </w:rPr>
      </w:pPr>
      <w:r w:rsidRPr="00114682">
        <w:rPr>
          <w:rFonts w:cs="Arial"/>
          <w:b/>
          <w:szCs w:val="20"/>
        </w:rPr>
        <w:t>Evidenční počet zaměstnanců k 31.</w:t>
      </w:r>
      <w:r w:rsidR="002F719C" w:rsidRPr="00114682">
        <w:rPr>
          <w:rFonts w:cs="Arial"/>
          <w:b/>
          <w:szCs w:val="20"/>
        </w:rPr>
        <w:t xml:space="preserve"> </w:t>
      </w:r>
      <w:r w:rsidRPr="00114682">
        <w:rPr>
          <w:rFonts w:cs="Arial"/>
          <w:b/>
          <w:szCs w:val="20"/>
        </w:rPr>
        <w:t>12. ve fyzických osobách (</w:t>
      </w:r>
      <w:proofErr w:type="spellStart"/>
      <w:r w:rsidRPr="00114682">
        <w:rPr>
          <w:rFonts w:cs="Arial"/>
          <w:b/>
          <w:szCs w:val="20"/>
        </w:rPr>
        <w:t>Headcount</w:t>
      </w:r>
      <w:proofErr w:type="spellEnd"/>
      <w:r w:rsidRPr="00114682">
        <w:rPr>
          <w:rFonts w:cs="Arial"/>
          <w:b/>
          <w:szCs w:val="20"/>
        </w:rPr>
        <w:t xml:space="preserve"> </w:t>
      </w:r>
      <w:r w:rsidR="006F04EB" w:rsidRPr="00114682">
        <w:rPr>
          <w:rFonts w:cs="Arial"/>
          <w:b/>
          <w:szCs w:val="20"/>
        </w:rPr>
        <w:t>–</w:t>
      </w:r>
      <w:r w:rsidRPr="00114682">
        <w:rPr>
          <w:rFonts w:cs="Arial"/>
          <w:b/>
          <w:szCs w:val="20"/>
        </w:rPr>
        <w:t xml:space="preserve"> HC)</w:t>
      </w:r>
      <w:r w:rsidR="003F017F" w:rsidRPr="00114682">
        <w:rPr>
          <w:rFonts w:cs="Arial"/>
          <w:b/>
          <w:szCs w:val="20"/>
        </w:rPr>
        <w:t>,</w:t>
      </w:r>
      <w:r w:rsidR="003F017F">
        <w:rPr>
          <w:rFonts w:cs="Arial"/>
          <w:szCs w:val="20"/>
        </w:rPr>
        <w:t xml:space="preserve"> </w:t>
      </w:r>
      <w:r w:rsidR="003F017F" w:rsidRPr="003E275A">
        <w:rPr>
          <w:rFonts w:cs="Arial"/>
          <w:szCs w:val="20"/>
        </w:rPr>
        <w:t>který vypovídá o počtu osob, plně či částečně aktivních ve výzkumných a vývojových činnostech, zaměstnaných na základě hlavního nebo vedlejší pracovního poměru ke konci příslušného roku ve sledovaných subjektech</w:t>
      </w:r>
      <w:r w:rsidR="003F017F">
        <w:rPr>
          <w:rFonts w:cs="Arial"/>
          <w:szCs w:val="20"/>
        </w:rPr>
        <w:t>, kde se provádí VaV</w:t>
      </w:r>
      <w:r w:rsidR="003F017F" w:rsidRPr="003E275A">
        <w:rPr>
          <w:rFonts w:cs="Arial"/>
          <w:szCs w:val="20"/>
        </w:rPr>
        <w:t>.</w:t>
      </w:r>
      <w:r w:rsidR="003F017F" w:rsidRPr="003E275A">
        <w:rPr>
          <w:szCs w:val="20"/>
        </w:rPr>
        <w:t xml:space="preserve"> </w:t>
      </w:r>
      <w:r w:rsidR="00114682" w:rsidRPr="00114682">
        <w:rPr>
          <w:i/>
          <w:szCs w:val="20"/>
        </w:rPr>
        <w:t xml:space="preserve">Do roku 2000 zahrnoval tento ukazatele i dohody o provedení práce nebo pracovní činnosti ve VaV platné ke konci sledovaného roku. Od roku 2001 je tento údaj sledován zvlášť, z důvodu významného množství osob pracujících na základě těchto dohod v oblasti VaV (především na vysokých školách). Tato metodická změna má vliv na srovnatelnost údajů o stavu evidenčního počtu zaměstnanců VaV na konci sledovaného roku </w:t>
      </w:r>
      <w:r w:rsidR="006B1FCF">
        <w:rPr>
          <w:i/>
          <w:szCs w:val="20"/>
        </w:rPr>
        <w:t xml:space="preserve">v </w:t>
      </w:r>
      <w:r w:rsidR="00114682" w:rsidRPr="00114682">
        <w:rPr>
          <w:i/>
          <w:szCs w:val="20"/>
        </w:rPr>
        <w:t>období 1995–2000 s obdobím po roce 2000.</w:t>
      </w:r>
    </w:p>
    <w:p w:rsidR="003F017F" w:rsidRDefault="003F017F" w:rsidP="00114682">
      <w:pPr>
        <w:spacing w:before="60" w:after="240"/>
        <w:ind w:left="357"/>
        <w:jc w:val="both"/>
        <w:rPr>
          <w:i/>
          <w:szCs w:val="20"/>
        </w:rPr>
      </w:pPr>
      <w:r w:rsidRPr="003E275A">
        <w:rPr>
          <w:i/>
          <w:szCs w:val="20"/>
        </w:rPr>
        <w:t xml:space="preserve">Především ve vysokoškolském a částečně i ve vládním sektoru má velké množství osob pracujících ve VaV, zvláště výzkumných pracovníků, pracovní úvazek ve více subjektech. Proto je v těchto sektorech tento ukazatel nadhodnocený a nevypovídá tak o skutečném počtu osob pracujících </w:t>
      </w:r>
      <w:r w:rsidRPr="00EA77D7">
        <w:rPr>
          <w:i/>
          <w:szCs w:val="20"/>
        </w:rPr>
        <w:t>ve VaV</w:t>
      </w:r>
      <w:r w:rsidR="00114682" w:rsidRPr="00EA77D7">
        <w:rPr>
          <w:i/>
          <w:szCs w:val="20"/>
        </w:rPr>
        <w:t>, ale spíše o počtu pracovních úvazků osob provádějících VaV.</w:t>
      </w:r>
    </w:p>
    <w:p w:rsidR="00FA3C6B" w:rsidRPr="00114682" w:rsidRDefault="00FA3C6B" w:rsidP="00114682">
      <w:pPr>
        <w:numPr>
          <w:ilvl w:val="0"/>
          <w:numId w:val="37"/>
        </w:numPr>
        <w:spacing w:before="40" w:after="40"/>
        <w:ind w:left="357" w:hanging="357"/>
        <w:jc w:val="both"/>
        <w:rPr>
          <w:rFonts w:cs="Arial"/>
          <w:i/>
          <w:szCs w:val="20"/>
        </w:rPr>
      </w:pPr>
      <w:r w:rsidRPr="00114682">
        <w:rPr>
          <w:rFonts w:cs="Arial"/>
          <w:b/>
          <w:szCs w:val="20"/>
        </w:rPr>
        <w:t>Průměrný evidenční počet zaměstnanců přepočtený na</w:t>
      </w:r>
      <w:r w:rsidR="00A61929" w:rsidRPr="00114682">
        <w:rPr>
          <w:rFonts w:cs="Arial"/>
          <w:b/>
          <w:szCs w:val="20"/>
        </w:rPr>
        <w:t> </w:t>
      </w:r>
      <w:r w:rsidR="001A7D05" w:rsidRPr="00114682">
        <w:rPr>
          <w:rFonts w:cs="Arial"/>
          <w:b/>
          <w:szCs w:val="20"/>
        </w:rPr>
        <w:t xml:space="preserve">plný pracovní úvazek </w:t>
      </w:r>
      <w:r w:rsidRPr="00114682">
        <w:rPr>
          <w:rFonts w:cs="Arial"/>
          <w:b/>
          <w:szCs w:val="20"/>
        </w:rPr>
        <w:t>věnovaný výzkumným a vývojovým činnostem (</w:t>
      </w:r>
      <w:r w:rsidR="001A7D05" w:rsidRPr="00114682">
        <w:rPr>
          <w:rFonts w:cs="Arial"/>
          <w:b/>
          <w:szCs w:val="20"/>
        </w:rPr>
        <w:t xml:space="preserve">Full </w:t>
      </w:r>
      <w:proofErr w:type="spellStart"/>
      <w:r w:rsidR="001A7D05" w:rsidRPr="00114682">
        <w:rPr>
          <w:rFonts w:cs="Arial"/>
          <w:b/>
          <w:szCs w:val="20"/>
        </w:rPr>
        <w:t>Time</w:t>
      </w:r>
      <w:proofErr w:type="spellEnd"/>
      <w:r w:rsidR="001A7D05" w:rsidRPr="00114682">
        <w:rPr>
          <w:rFonts w:cs="Arial"/>
          <w:b/>
          <w:szCs w:val="20"/>
        </w:rPr>
        <w:t xml:space="preserve"> </w:t>
      </w:r>
      <w:proofErr w:type="spellStart"/>
      <w:r w:rsidR="001A7D05" w:rsidRPr="00114682">
        <w:rPr>
          <w:rFonts w:cs="Arial"/>
          <w:b/>
          <w:szCs w:val="20"/>
        </w:rPr>
        <w:t>Equivalent</w:t>
      </w:r>
      <w:proofErr w:type="spellEnd"/>
      <w:r w:rsidR="001A7D05" w:rsidRPr="00114682">
        <w:rPr>
          <w:rFonts w:cs="Arial"/>
          <w:b/>
          <w:szCs w:val="20"/>
        </w:rPr>
        <w:t xml:space="preserve"> </w:t>
      </w:r>
      <w:r w:rsidR="006F04EB" w:rsidRPr="00114682">
        <w:rPr>
          <w:rFonts w:cs="Arial"/>
          <w:b/>
          <w:szCs w:val="20"/>
        </w:rPr>
        <w:t>–</w:t>
      </w:r>
      <w:r w:rsidR="001A7D05" w:rsidRPr="00114682">
        <w:rPr>
          <w:rFonts w:cs="Arial"/>
          <w:b/>
          <w:szCs w:val="20"/>
        </w:rPr>
        <w:t xml:space="preserve"> </w:t>
      </w:r>
      <w:r w:rsidRPr="00114682">
        <w:rPr>
          <w:rFonts w:cs="Arial"/>
          <w:b/>
          <w:szCs w:val="20"/>
        </w:rPr>
        <w:t>FTE)</w:t>
      </w:r>
      <w:r w:rsidR="00114682">
        <w:rPr>
          <w:rFonts w:cs="Arial"/>
          <w:b/>
          <w:szCs w:val="20"/>
        </w:rPr>
        <w:t xml:space="preserve">, </w:t>
      </w:r>
      <w:r w:rsidR="00A3623E" w:rsidRPr="00A3623E">
        <w:rPr>
          <w:rFonts w:cs="Arial"/>
          <w:szCs w:val="20"/>
        </w:rPr>
        <w:t>který</w:t>
      </w:r>
      <w:r w:rsidR="00114682">
        <w:rPr>
          <w:rFonts w:cs="Arial"/>
          <w:b/>
          <w:szCs w:val="20"/>
        </w:rPr>
        <w:t xml:space="preserve"> </w:t>
      </w:r>
      <w:r w:rsidR="00B37E13" w:rsidRPr="00114682">
        <w:rPr>
          <w:rFonts w:cs="Arial"/>
          <w:szCs w:val="20"/>
        </w:rPr>
        <w:t xml:space="preserve">vystihuje skutečnou dobu věnovanou výzkumu a vývoji. </w:t>
      </w:r>
      <w:r w:rsidR="004655C8" w:rsidRPr="00114682">
        <w:rPr>
          <w:rFonts w:cs="Arial"/>
          <w:szCs w:val="20"/>
        </w:rPr>
        <w:t>Jeden FTE</w:t>
      </w:r>
      <w:r w:rsidR="004D036F" w:rsidRPr="00114682">
        <w:rPr>
          <w:rFonts w:cs="Arial"/>
          <w:szCs w:val="20"/>
        </w:rPr>
        <w:t xml:space="preserve"> je roven jednomu roku práce na </w:t>
      </w:r>
      <w:r w:rsidR="004655C8" w:rsidRPr="00114682">
        <w:rPr>
          <w:rFonts w:cs="Arial"/>
          <w:szCs w:val="20"/>
        </w:rPr>
        <w:t xml:space="preserve">plný pracovní úvazek zaměstnance, který se plně věnuje VaV činnosti. Tento ukazatel je významný především </w:t>
      </w:r>
      <w:r w:rsidR="001A7D05" w:rsidRPr="00114682">
        <w:rPr>
          <w:rFonts w:cs="Arial"/>
          <w:szCs w:val="20"/>
        </w:rPr>
        <w:t xml:space="preserve">u </w:t>
      </w:r>
      <w:r w:rsidR="001A7D05" w:rsidRPr="00114682">
        <w:rPr>
          <w:rFonts w:cs="Arial"/>
          <w:szCs w:val="20"/>
        </w:rPr>
        <w:lastRenderedPageBreak/>
        <w:t xml:space="preserve">zaměstnanců VaV, jejichž pracovní náplň </w:t>
      </w:r>
      <w:r w:rsidR="004655C8" w:rsidRPr="00114682">
        <w:rPr>
          <w:rFonts w:cs="Arial"/>
          <w:szCs w:val="20"/>
        </w:rPr>
        <w:t>se skládá i z jiných činností</w:t>
      </w:r>
      <w:r w:rsidR="001A7D05" w:rsidRPr="00114682">
        <w:rPr>
          <w:rFonts w:cs="Arial"/>
          <w:szCs w:val="20"/>
        </w:rPr>
        <w:t xml:space="preserve"> než výzkum a vývoj </w:t>
      </w:r>
      <w:r w:rsidR="004655C8" w:rsidRPr="00114682">
        <w:rPr>
          <w:rFonts w:cs="Arial"/>
          <w:szCs w:val="20"/>
        </w:rPr>
        <w:t xml:space="preserve">(např. pedagogičtí pracovníci), neboť započítává pouze </w:t>
      </w:r>
      <w:r w:rsidR="006B0656" w:rsidRPr="00114682">
        <w:rPr>
          <w:rFonts w:cs="Arial"/>
          <w:szCs w:val="20"/>
        </w:rPr>
        <w:t>t</w:t>
      </w:r>
      <w:r w:rsidR="00036462" w:rsidRPr="00114682">
        <w:rPr>
          <w:rFonts w:cs="Arial"/>
          <w:szCs w:val="20"/>
        </w:rPr>
        <w:t>u část jejich pracovní doby, po </w:t>
      </w:r>
      <w:r w:rsidR="006B0656" w:rsidRPr="00114682">
        <w:rPr>
          <w:rFonts w:cs="Arial"/>
          <w:szCs w:val="20"/>
        </w:rPr>
        <w:t>kterou se věnují VaV.</w:t>
      </w:r>
      <w:r w:rsidR="00EF50DF" w:rsidRPr="00114682">
        <w:rPr>
          <w:rFonts w:cs="Arial"/>
          <w:szCs w:val="20"/>
        </w:rPr>
        <w:t xml:space="preserve"> </w:t>
      </w:r>
      <w:r w:rsidRPr="00114682">
        <w:rPr>
          <w:rFonts w:cs="Arial"/>
          <w:szCs w:val="20"/>
        </w:rPr>
        <w:t>Ukazatel FTE v sobě zahrnuje také pře</w:t>
      </w:r>
      <w:r w:rsidR="00036462" w:rsidRPr="00114682">
        <w:rPr>
          <w:rFonts w:cs="Arial"/>
          <w:szCs w:val="20"/>
        </w:rPr>
        <w:t>počet hodin osob pracujících ve </w:t>
      </w:r>
      <w:r w:rsidRPr="00114682">
        <w:rPr>
          <w:rFonts w:cs="Arial"/>
          <w:szCs w:val="20"/>
        </w:rPr>
        <w:t>výzkumu a vývoji na</w:t>
      </w:r>
      <w:r w:rsidR="0064232F" w:rsidRPr="00114682">
        <w:rPr>
          <w:rFonts w:cs="Arial"/>
          <w:szCs w:val="20"/>
        </w:rPr>
        <w:t> </w:t>
      </w:r>
      <w:r w:rsidRPr="00114682">
        <w:rPr>
          <w:rFonts w:cs="Arial"/>
          <w:szCs w:val="20"/>
        </w:rPr>
        <w:t xml:space="preserve">základě </w:t>
      </w:r>
      <w:r w:rsidR="00036462" w:rsidRPr="00114682">
        <w:rPr>
          <w:rFonts w:cs="Arial"/>
          <w:szCs w:val="20"/>
        </w:rPr>
        <w:t xml:space="preserve">dohod o provedení práce a o pracovní činnosti. </w:t>
      </w:r>
      <w:r w:rsidR="00114682" w:rsidRPr="00114682">
        <w:rPr>
          <w:rFonts w:cs="Arial"/>
          <w:i/>
          <w:szCs w:val="20"/>
        </w:rPr>
        <w:t xml:space="preserve">V roce 2005 došlo v souladu s požadavky OECD a z důvodu zpřesnění tohoto ukazatele a lepší mezinárodní srovnatelnosti údajů za ČR ke změně výpočtu tohoto ukazatele. Z tohoto důvodu </w:t>
      </w:r>
      <w:r w:rsidR="00114682" w:rsidRPr="00114682">
        <w:rPr>
          <w:rFonts w:cs="Arial"/>
          <w:i/>
          <w:iCs/>
          <w:szCs w:val="16"/>
        </w:rPr>
        <w:t>údaje o přepočteném počtu zaměstnanců VaV (FTE) od roku 2005, především ve vy</w:t>
      </w:r>
      <w:r w:rsidR="003D7E12">
        <w:rPr>
          <w:rFonts w:cs="Arial"/>
          <w:i/>
          <w:iCs/>
          <w:szCs w:val="16"/>
        </w:rPr>
        <w:t>sokoškolském a vládním sektoru,</w:t>
      </w:r>
      <w:r w:rsidR="00114682" w:rsidRPr="00114682">
        <w:rPr>
          <w:rFonts w:cs="Arial"/>
          <w:i/>
          <w:iCs/>
          <w:szCs w:val="16"/>
        </w:rPr>
        <w:t xml:space="preserve"> nejsou plně srovnatelné s údaji za předchozí roky (1995–2004).</w:t>
      </w:r>
    </w:p>
    <w:p w:rsidR="00AD29EB" w:rsidRDefault="00AD29EB" w:rsidP="00114682">
      <w:pPr>
        <w:spacing w:before="60" w:after="240"/>
        <w:ind w:left="357"/>
        <w:jc w:val="both"/>
        <w:rPr>
          <w:i/>
          <w:szCs w:val="20"/>
        </w:rPr>
      </w:pPr>
      <w:r w:rsidRPr="00114682">
        <w:rPr>
          <w:i/>
          <w:szCs w:val="20"/>
        </w:rPr>
        <w:t>Příklad: Je</w:t>
      </w:r>
      <w:r w:rsidR="00A3623E">
        <w:rPr>
          <w:i/>
          <w:szCs w:val="20"/>
        </w:rPr>
        <w:t>-</w:t>
      </w:r>
      <w:r w:rsidRPr="00114682">
        <w:rPr>
          <w:i/>
          <w:szCs w:val="20"/>
        </w:rPr>
        <w:t>li učitel zaměstnán na poloviční úvazek, pak je přepočtená hodnota rovna 50 %, tedy 0,5. V přepočtu FTE je však podstatným prvkem také čas věnovaný výzkumu a vývoji. Jestliže tento učitel věnuje výzkumu a vývoji pouze polovinu své pracovní doby, pak je hodnota FTE rovna 0,5</w:t>
      </w:r>
      <w:r w:rsidR="003E1682" w:rsidRPr="00114682">
        <w:rPr>
          <w:i/>
          <w:szCs w:val="20"/>
        </w:rPr>
        <w:t>x</w:t>
      </w:r>
      <w:r w:rsidRPr="00114682">
        <w:rPr>
          <w:i/>
          <w:szCs w:val="20"/>
        </w:rPr>
        <w:t xml:space="preserve">0,5, tedy 0,25. </w:t>
      </w:r>
    </w:p>
    <w:p w:rsidR="00114682" w:rsidRPr="00DA2D0E" w:rsidRDefault="00DA2D0E" w:rsidP="00114682">
      <w:pPr>
        <w:spacing w:before="80" w:after="0"/>
        <w:jc w:val="both"/>
        <w:rPr>
          <w:rFonts w:cs="Arial"/>
          <w:i/>
          <w:szCs w:val="20"/>
        </w:rPr>
      </w:pPr>
      <w:r w:rsidRPr="00DA2D0E">
        <w:rPr>
          <w:rFonts w:cs="Arial"/>
          <w:i/>
          <w:szCs w:val="20"/>
        </w:rPr>
        <w:t xml:space="preserve">Poznámka: </w:t>
      </w:r>
      <w:r w:rsidR="00114682" w:rsidRPr="00DA2D0E">
        <w:rPr>
          <w:rFonts w:cs="Arial"/>
          <w:i/>
          <w:szCs w:val="20"/>
        </w:rPr>
        <w:t xml:space="preserve">Jelikož v České republice, především ve vysokoškolském sektoru, pracuje významné množství osob v oblasti výzkumu a vývoje na základě dohod o provedení práce a o pracovní činnosti sleduje ČSÚ od roku 2005 samostatně kromě údajů o počtu zaměstnaných ve VaV ve fyzických (HC) a přepočtených (FTE) osobách sleduje i údaje </w:t>
      </w:r>
      <w:r w:rsidRPr="00DA2D0E">
        <w:rPr>
          <w:rFonts w:cs="Arial"/>
          <w:i/>
          <w:szCs w:val="20"/>
        </w:rPr>
        <w:t xml:space="preserve">právě </w:t>
      </w:r>
      <w:r w:rsidR="00114682" w:rsidRPr="00DA2D0E">
        <w:rPr>
          <w:rFonts w:cs="Arial"/>
          <w:i/>
          <w:szCs w:val="20"/>
        </w:rPr>
        <w:t>o počtu osob pracujících</w:t>
      </w:r>
      <w:r w:rsidR="00114682" w:rsidRPr="00DA2D0E">
        <w:rPr>
          <w:rFonts w:cs="Arial"/>
          <w:b/>
          <w:bCs/>
          <w:i/>
          <w:szCs w:val="20"/>
        </w:rPr>
        <w:t xml:space="preserve"> </w:t>
      </w:r>
      <w:r w:rsidR="00114682" w:rsidRPr="00DA2D0E">
        <w:rPr>
          <w:rFonts w:cs="Arial"/>
          <w:i/>
          <w:szCs w:val="20"/>
        </w:rPr>
        <w:t>ve VaV na základě</w:t>
      </w:r>
      <w:r w:rsidR="00114682" w:rsidRPr="00DA2D0E">
        <w:rPr>
          <w:rFonts w:cs="Arial"/>
          <w:b/>
          <w:bCs/>
          <w:i/>
          <w:szCs w:val="20"/>
        </w:rPr>
        <w:t xml:space="preserve"> dohod o provedení práce nebo pracovní činnosti:</w:t>
      </w:r>
      <w:r w:rsidR="00114682" w:rsidRPr="00DA2D0E">
        <w:rPr>
          <w:rFonts w:cs="Arial"/>
          <w:i/>
          <w:szCs w:val="20"/>
        </w:rPr>
        <w:t xml:space="preserve"> </w:t>
      </w:r>
    </w:p>
    <w:p w:rsidR="00DA2D0E" w:rsidRPr="00DA2D0E" w:rsidRDefault="007603ED" w:rsidP="00DA2D0E">
      <w:pPr>
        <w:numPr>
          <w:ilvl w:val="0"/>
          <w:numId w:val="38"/>
        </w:numPr>
        <w:spacing w:after="120"/>
        <w:ind w:left="357" w:hanging="357"/>
        <w:jc w:val="both"/>
        <w:rPr>
          <w:rFonts w:eastAsia="Arial Unicode MS" w:cs="Arial"/>
          <w:bCs/>
          <w:i/>
          <w:szCs w:val="18"/>
        </w:rPr>
      </w:pPr>
      <w:r w:rsidRPr="00DA2D0E">
        <w:rPr>
          <w:rFonts w:cs="Arial"/>
          <w:b/>
          <w:bCs/>
          <w:i/>
          <w:szCs w:val="18"/>
        </w:rPr>
        <w:t xml:space="preserve">Počet osob </w:t>
      </w:r>
      <w:r w:rsidRPr="00DA2D0E">
        <w:rPr>
          <w:rFonts w:cs="Arial"/>
          <w:bCs/>
          <w:i/>
          <w:szCs w:val="18"/>
        </w:rPr>
        <w:t>pracujících na</w:t>
      </w:r>
      <w:r w:rsidR="0064232F" w:rsidRPr="00DA2D0E">
        <w:rPr>
          <w:rFonts w:cs="Arial"/>
          <w:bCs/>
          <w:i/>
          <w:szCs w:val="18"/>
        </w:rPr>
        <w:t> </w:t>
      </w:r>
      <w:r w:rsidRPr="00DA2D0E">
        <w:rPr>
          <w:rFonts w:cs="Arial"/>
          <w:bCs/>
          <w:i/>
          <w:szCs w:val="18"/>
        </w:rPr>
        <w:t xml:space="preserve">dohody </w:t>
      </w:r>
      <w:r w:rsidR="0064232F" w:rsidRPr="00DA2D0E">
        <w:rPr>
          <w:rFonts w:cs="Arial"/>
          <w:bCs/>
          <w:i/>
          <w:szCs w:val="18"/>
        </w:rPr>
        <w:t xml:space="preserve">o provedení práce a o pracovní činnosti </w:t>
      </w:r>
      <w:r w:rsidRPr="00DA2D0E">
        <w:rPr>
          <w:rFonts w:cs="Arial"/>
          <w:bCs/>
          <w:i/>
          <w:szCs w:val="18"/>
        </w:rPr>
        <w:t>ve</w:t>
      </w:r>
      <w:r w:rsidR="00D93D7E" w:rsidRPr="00DA2D0E">
        <w:rPr>
          <w:rFonts w:cs="Arial"/>
          <w:bCs/>
          <w:i/>
          <w:szCs w:val="18"/>
        </w:rPr>
        <w:t> </w:t>
      </w:r>
      <w:r w:rsidR="00114682" w:rsidRPr="00DA2D0E">
        <w:rPr>
          <w:rFonts w:cs="Arial"/>
          <w:bCs/>
          <w:i/>
          <w:szCs w:val="18"/>
        </w:rPr>
        <w:t xml:space="preserve">VaV </w:t>
      </w:r>
      <w:r w:rsidRPr="00DA2D0E">
        <w:rPr>
          <w:rFonts w:cs="Arial"/>
          <w:bCs/>
          <w:i/>
          <w:szCs w:val="18"/>
        </w:rPr>
        <w:t>uzavřen</w:t>
      </w:r>
      <w:r w:rsidR="003D7E12">
        <w:rPr>
          <w:rFonts w:cs="Arial"/>
          <w:bCs/>
          <w:i/>
          <w:szCs w:val="18"/>
        </w:rPr>
        <w:t>é</w:t>
      </w:r>
      <w:r w:rsidRPr="00DA2D0E">
        <w:rPr>
          <w:rFonts w:cs="Arial"/>
          <w:bCs/>
          <w:i/>
          <w:szCs w:val="18"/>
        </w:rPr>
        <w:t xml:space="preserve"> v průběhu sledovaného roku.</w:t>
      </w:r>
      <w:r w:rsidR="00114682" w:rsidRPr="00DA2D0E">
        <w:rPr>
          <w:rFonts w:cs="Arial"/>
          <w:bCs/>
          <w:i/>
          <w:szCs w:val="18"/>
        </w:rPr>
        <w:t xml:space="preserve"> </w:t>
      </w:r>
    </w:p>
    <w:p w:rsidR="00F30B2B" w:rsidRPr="00DA2D0E" w:rsidRDefault="00F30B2B" w:rsidP="00DA2D0E">
      <w:pPr>
        <w:numPr>
          <w:ilvl w:val="0"/>
          <w:numId w:val="38"/>
        </w:numPr>
        <w:spacing w:after="360"/>
        <w:ind w:left="357" w:hanging="357"/>
        <w:jc w:val="both"/>
        <w:rPr>
          <w:rFonts w:eastAsia="Arial Unicode MS" w:cs="Arial"/>
          <w:bCs/>
          <w:i/>
          <w:szCs w:val="18"/>
        </w:rPr>
      </w:pPr>
      <w:r w:rsidRPr="00DA2D0E">
        <w:rPr>
          <w:rFonts w:cs="Arial"/>
          <w:b/>
          <w:bCs/>
          <w:i/>
          <w:iCs/>
          <w:szCs w:val="18"/>
        </w:rPr>
        <w:t xml:space="preserve">Počet odpracovaných hodin </w:t>
      </w:r>
      <w:r w:rsidRPr="00DA2D0E">
        <w:rPr>
          <w:rFonts w:cs="Arial"/>
          <w:bCs/>
          <w:i/>
          <w:iCs/>
          <w:szCs w:val="18"/>
        </w:rPr>
        <w:t>ve výzkumu a vývoji osobami</w:t>
      </w:r>
      <w:r w:rsidR="00327330" w:rsidRPr="00DA2D0E">
        <w:rPr>
          <w:rFonts w:cs="Arial"/>
          <w:bCs/>
          <w:i/>
          <w:iCs/>
          <w:szCs w:val="18"/>
        </w:rPr>
        <w:t>, které pracují</w:t>
      </w:r>
      <w:r w:rsidRPr="00DA2D0E">
        <w:rPr>
          <w:rFonts w:cs="Arial"/>
          <w:bCs/>
          <w:i/>
          <w:iCs/>
          <w:szCs w:val="18"/>
        </w:rPr>
        <w:t xml:space="preserve"> na dohody </w:t>
      </w:r>
      <w:r w:rsidRPr="00DA2D0E">
        <w:rPr>
          <w:rFonts w:cs="Arial"/>
          <w:i/>
          <w:iCs/>
          <w:szCs w:val="16"/>
        </w:rPr>
        <w:t>o provedení práce a o pracovní činnosti</w:t>
      </w:r>
      <w:r w:rsidRPr="00DA2D0E">
        <w:rPr>
          <w:rFonts w:cs="Arial"/>
          <w:bCs/>
          <w:i/>
          <w:iCs/>
          <w:szCs w:val="18"/>
        </w:rPr>
        <w:t xml:space="preserve"> ve výzkumu a vývoji</w:t>
      </w:r>
      <w:r w:rsidRPr="00DA2D0E">
        <w:rPr>
          <w:rFonts w:cs="Arial"/>
          <w:i/>
          <w:iCs/>
          <w:szCs w:val="18"/>
        </w:rPr>
        <w:t xml:space="preserve"> </w:t>
      </w:r>
      <w:r w:rsidR="00327330" w:rsidRPr="00DA2D0E">
        <w:rPr>
          <w:rFonts w:cs="Arial"/>
          <w:i/>
          <w:iCs/>
          <w:szCs w:val="18"/>
        </w:rPr>
        <w:t>uzavřené</w:t>
      </w:r>
      <w:r w:rsidRPr="00DA2D0E">
        <w:rPr>
          <w:rFonts w:cs="Arial"/>
          <w:bCs/>
          <w:i/>
          <w:iCs/>
          <w:szCs w:val="18"/>
        </w:rPr>
        <w:t xml:space="preserve"> </w:t>
      </w:r>
      <w:r w:rsidRPr="00DA2D0E">
        <w:rPr>
          <w:rFonts w:cs="Arial"/>
          <w:i/>
          <w:iCs/>
          <w:szCs w:val="18"/>
        </w:rPr>
        <w:t>v průběhu sledovaného roku.</w:t>
      </w:r>
    </w:p>
    <w:p w:rsidR="00DA2D0E" w:rsidRPr="00FB0116" w:rsidRDefault="00FB0116" w:rsidP="00DA2D0E">
      <w:pPr>
        <w:spacing w:before="40" w:after="0"/>
        <w:jc w:val="both"/>
        <w:rPr>
          <w:rFonts w:cs="Arial"/>
          <w:b/>
          <w:szCs w:val="20"/>
        </w:rPr>
      </w:pPr>
      <w:r w:rsidRPr="00FB0116">
        <w:rPr>
          <w:rFonts w:cs="Arial"/>
          <w:b/>
          <w:szCs w:val="20"/>
        </w:rPr>
        <w:t xml:space="preserve">2) </w:t>
      </w:r>
      <w:r w:rsidR="00DA2D0E" w:rsidRPr="00FB0116">
        <w:rPr>
          <w:rFonts w:cs="Arial"/>
          <w:b/>
          <w:szCs w:val="20"/>
        </w:rPr>
        <w:t xml:space="preserve">Počet osob zaměstnaných </w:t>
      </w:r>
      <w:r w:rsidR="00DA2D0E" w:rsidRPr="00FB0116">
        <w:rPr>
          <w:b/>
          <w:szCs w:val="20"/>
        </w:rPr>
        <w:t xml:space="preserve">ve VaV (zaměstnanců VaV) je </w:t>
      </w:r>
      <w:r w:rsidR="00DA2D0E" w:rsidRPr="00FB0116">
        <w:rPr>
          <w:b/>
          <w:bCs/>
          <w:szCs w:val="20"/>
        </w:rPr>
        <w:t>sledován</w:t>
      </w:r>
      <w:r w:rsidR="00DA2D0E" w:rsidRPr="00FB0116">
        <w:rPr>
          <w:b/>
          <w:szCs w:val="20"/>
        </w:rPr>
        <w:t xml:space="preserve"> </w:t>
      </w:r>
      <w:r w:rsidR="006B1FCF">
        <w:rPr>
          <w:b/>
          <w:szCs w:val="20"/>
        </w:rPr>
        <w:t>u</w:t>
      </w:r>
      <w:r w:rsidR="00DA2D0E" w:rsidRPr="00FB0116">
        <w:rPr>
          <w:b/>
          <w:szCs w:val="20"/>
        </w:rPr>
        <w:t xml:space="preserve"> fyzick</w:t>
      </w:r>
      <w:r w:rsidR="006B1FCF">
        <w:rPr>
          <w:b/>
          <w:szCs w:val="20"/>
        </w:rPr>
        <w:t>ých</w:t>
      </w:r>
      <w:r w:rsidR="00DA2D0E" w:rsidRPr="00FB0116">
        <w:rPr>
          <w:b/>
          <w:szCs w:val="20"/>
        </w:rPr>
        <w:t xml:space="preserve"> (HC) </w:t>
      </w:r>
      <w:r w:rsidR="006B1FCF">
        <w:rPr>
          <w:b/>
          <w:szCs w:val="20"/>
        </w:rPr>
        <w:t>i</w:t>
      </w:r>
      <w:r w:rsidR="00DA2D0E" w:rsidRPr="00FB0116">
        <w:rPr>
          <w:b/>
          <w:szCs w:val="20"/>
        </w:rPr>
        <w:t xml:space="preserve"> přepočten</w:t>
      </w:r>
      <w:r w:rsidR="006B1FCF">
        <w:rPr>
          <w:b/>
          <w:szCs w:val="20"/>
        </w:rPr>
        <w:t>ých osob</w:t>
      </w:r>
      <w:r w:rsidR="00DA2D0E" w:rsidRPr="00FB0116">
        <w:rPr>
          <w:b/>
          <w:szCs w:val="20"/>
        </w:rPr>
        <w:t xml:space="preserve"> (FTE) podle následujících </w:t>
      </w:r>
      <w:r w:rsidR="00DA2D0E" w:rsidRPr="00FB0116">
        <w:rPr>
          <w:b/>
          <w:szCs w:val="20"/>
          <w:u w:val="single"/>
        </w:rPr>
        <w:t>charakteristik</w:t>
      </w:r>
      <w:r w:rsidR="00DA2D0E" w:rsidRPr="00FB0116">
        <w:rPr>
          <w:rFonts w:cs="Arial"/>
          <w:b/>
          <w:szCs w:val="20"/>
        </w:rPr>
        <w:t xml:space="preserve">: </w:t>
      </w:r>
    </w:p>
    <w:p w:rsidR="00DA2D0E" w:rsidRPr="003E275A" w:rsidRDefault="00DA2D0E" w:rsidP="00DA2D0E">
      <w:pPr>
        <w:numPr>
          <w:ilvl w:val="0"/>
          <w:numId w:val="39"/>
        </w:numPr>
        <w:tabs>
          <w:tab w:val="clear" w:pos="645"/>
          <w:tab w:val="num" w:pos="284"/>
        </w:tabs>
        <w:spacing w:before="40" w:after="0"/>
        <w:ind w:left="284" w:hanging="284"/>
        <w:jc w:val="both"/>
        <w:rPr>
          <w:rFonts w:cs="Arial"/>
          <w:b/>
          <w:bCs/>
          <w:szCs w:val="20"/>
        </w:rPr>
      </w:pPr>
      <w:r w:rsidRPr="003E275A">
        <w:rPr>
          <w:rFonts w:cs="Arial"/>
          <w:b/>
          <w:bCs/>
          <w:szCs w:val="20"/>
        </w:rPr>
        <w:t>pohlaví,</w:t>
      </w:r>
    </w:p>
    <w:p w:rsidR="00DA2D0E" w:rsidRPr="003E275A" w:rsidRDefault="00DA2D0E" w:rsidP="00DA2D0E">
      <w:pPr>
        <w:numPr>
          <w:ilvl w:val="0"/>
          <w:numId w:val="39"/>
        </w:numPr>
        <w:tabs>
          <w:tab w:val="clear" w:pos="645"/>
          <w:tab w:val="num" w:pos="284"/>
        </w:tabs>
        <w:spacing w:before="40" w:after="0"/>
        <w:ind w:left="284" w:hanging="284"/>
        <w:jc w:val="both"/>
        <w:rPr>
          <w:rFonts w:cs="Arial"/>
          <w:szCs w:val="20"/>
        </w:rPr>
      </w:pPr>
      <w:r w:rsidRPr="003E275A">
        <w:rPr>
          <w:rFonts w:cs="Arial"/>
          <w:b/>
          <w:bCs/>
          <w:szCs w:val="20"/>
        </w:rPr>
        <w:t xml:space="preserve">pracovní činnost </w:t>
      </w:r>
      <w:r w:rsidRPr="003E275A">
        <w:rPr>
          <w:rFonts w:cs="Arial"/>
          <w:szCs w:val="20"/>
        </w:rPr>
        <w:t>(výzkumní, techničtí a ostatní pracovníci),</w:t>
      </w:r>
    </w:p>
    <w:p w:rsidR="00DA2D0E" w:rsidRPr="003E275A" w:rsidRDefault="00DA2D0E" w:rsidP="00DA2D0E">
      <w:pPr>
        <w:numPr>
          <w:ilvl w:val="0"/>
          <w:numId w:val="39"/>
        </w:numPr>
        <w:tabs>
          <w:tab w:val="clear" w:pos="645"/>
          <w:tab w:val="num" w:pos="284"/>
        </w:tabs>
        <w:spacing w:before="40" w:after="0"/>
        <w:ind w:left="284" w:hanging="284"/>
        <w:jc w:val="both"/>
        <w:rPr>
          <w:rFonts w:cs="Arial"/>
          <w:szCs w:val="20"/>
        </w:rPr>
      </w:pPr>
      <w:r w:rsidRPr="003E275A">
        <w:rPr>
          <w:rFonts w:cs="Arial"/>
          <w:b/>
          <w:bCs/>
          <w:szCs w:val="20"/>
        </w:rPr>
        <w:t>nejvyšší dokončené vzdělání</w:t>
      </w:r>
      <w:r w:rsidRPr="003E275A">
        <w:rPr>
          <w:rFonts w:cs="Arial"/>
          <w:szCs w:val="20"/>
        </w:rPr>
        <w:t xml:space="preserve"> definované podle klasifikace ISCED 97 v členění na terciární (doktorské – ISCED 6, vysokoškolské magisterské nebo bakalářské – ISCED 5A a vyšší odborné – ISCED 5B) a střední a nižší (ISCED 1-4).</w:t>
      </w:r>
    </w:p>
    <w:p w:rsidR="00DA2D0E" w:rsidRPr="00DA2D0E" w:rsidRDefault="00DA2D0E" w:rsidP="00DA2D0E">
      <w:pPr>
        <w:spacing w:before="60" w:after="0"/>
        <w:jc w:val="both"/>
        <w:rPr>
          <w:rFonts w:cs="Arial"/>
          <w:i/>
          <w:szCs w:val="20"/>
        </w:rPr>
      </w:pPr>
      <w:r w:rsidRPr="00DA2D0E">
        <w:rPr>
          <w:rFonts w:cs="Arial"/>
          <w:i/>
          <w:szCs w:val="20"/>
        </w:rPr>
        <w:t>Poznámka: Počet výzkumných pracovníků je za rok 2011 navíc dostupný také v třídění podle věku a státní příslušnosti.</w:t>
      </w:r>
    </w:p>
    <w:p w:rsidR="00DA2D0E" w:rsidRPr="00DA2D0E" w:rsidRDefault="00DA2D0E" w:rsidP="00DA2D0E">
      <w:pPr>
        <w:spacing w:before="80" w:after="0"/>
        <w:jc w:val="both"/>
        <w:rPr>
          <w:rFonts w:cs="Arial"/>
          <w:szCs w:val="20"/>
        </w:rPr>
      </w:pPr>
      <w:r w:rsidRPr="00DA2D0E">
        <w:rPr>
          <w:rFonts w:cs="Arial"/>
          <w:szCs w:val="20"/>
        </w:rPr>
        <w:t xml:space="preserve">Uvedené charakteristiky osob zaměstnaných ve VaV jsou </w:t>
      </w:r>
      <w:r w:rsidR="004B3C20">
        <w:rPr>
          <w:rFonts w:cs="Arial"/>
          <w:szCs w:val="20"/>
        </w:rPr>
        <w:t xml:space="preserve">dostupné ve vzájemné kombinaci </w:t>
      </w:r>
      <w:r w:rsidRPr="00DA2D0E">
        <w:rPr>
          <w:rFonts w:cs="Arial"/>
          <w:szCs w:val="20"/>
        </w:rPr>
        <w:t xml:space="preserve">v členěních uvedených </w:t>
      </w:r>
      <w:r w:rsidR="004B3C20">
        <w:rPr>
          <w:rFonts w:cs="Arial"/>
          <w:szCs w:val="20"/>
        </w:rPr>
        <w:t>v metodologickém úvodu</w:t>
      </w:r>
      <w:r w:rsidR="00137887">
        <w:rPr>
          <w:rFonts w:cs="Arial"/>
          <w:szCs w:val="20"/>
        </w:rPr>
        <w:t xml:space="preserve"> </w:t>
      </w:r>
      <w:r w:rsidR="00EE50C0">
        <w:rPr>
          <w:rFonts w:cs="Arial"/>
          <w:szCs w:val="20"/>
        </w:rPr>
        <w:t xml:space="preserve">a </w:t>
      </w:r>
      <w:r w:rsidRPr="00DA2D0E">
        <w:rPr>
          <w:rFonts w:cs="Arial"/>
          <w:szCs w:val="20"/>
        </w:rPr>
        <w:t>u jednotlivých sektorů provádění VaV</w:t>
      </w:r>
      <w:r w:rsidR="009E58DA">
        <w:rPr>
          <w:rFonts w:cs="Arial"/>
          <w:szCs w:val="20"/>
        </w:rPr>
        <w:t>.</w:t>
      </w:r>
      <w:r w:rsidRPr="00DA2D0E">
        <w:rPr>
          <w:rFonts w:cs="Arial"/>
          <w:szCs w:val="20"/>
        </w:rPr>
        <w:t xml:space="preserve"> </w:t>
      </w:r>
      <w:r w:rsidR="009E58DA">
        <w:rPr>
          <w:rFonts w:cs="Arial"/>
          <w:szCs w:val="20"/>
        </w:rPr>
        <w:t>Jedná se o</w:t>
      </w:r>
      <w:r>
        <w:rPr>
          <w:rFonts w:cs="Arial"/>
          <w:szCs w:val="20"/>
        </w:rPr>
        <w:t xml:space="preserve"> převažující eko</w:t>
      </w:r>
      <w:r w:rsidR="006B1FCF">
        <w:rPr>
          <w:rFonts w:cs="Arial"/>
          <w:szCs w:val="20"/>
        </w:rPr>
        <w:t>nomick</w:t>
      </w:r>
      <w:r w:rsidR="009E58DA">
        <w:rPr>
          <w:rFonts w:cs="Arial"/>
          <w:szCs w:val="20"/>
        </w:rPr>
        <w:t>ou</w:t>
      </w:r>
      <w:r w:rsidR="006B1FCF">
        <w:rPr>
          <w:rFonts w:cs="Arial"/>
          <w:szCs w:val="20"/>
        </w:rPr>
        <w:t xml:space="preserve"> činnost (klasifikace CZ-</w:t>
      </w:r>
      <w:r>
        <w:rPr>
          <w:rFonts w:cs="Arial"/>
          <w:szCs w:val="20"/>
        </w:rPr>
        <w:t>NACE), převažující skupin</w:t>
      </w:r>
      <w:r w:rsidR="009E58DA">
        <w:rPr>
          <w:rFonts w:cs="Arial"/>
          <w:szCs w:val="20"/>
        </w:rPr>
        <w:t>u</w:t>
      </w:r>
      <w:r>
        <w:rPr>
          <w:rFonts w:cs="Arial"/>
          <w:szCs w:val="20"/>
        </w:rPr>
        <w:t xml:space="preserve"> vědních oblastí (klasifikace FOS), </w:t>
      </w:r>
      <w:r w:rsidR="006B1FCF">
        <w:rPr>
          <w:rFonts w:cs="Arial"/>
          <w:szCs w:val="20"/>
        </w:rPr>
        <w:t xml:space="preserve">druh nebo sídlo </w:t>
      </w:r>
      <w:r>
        <w:rPr>
          <w:rFonts w:cs="Arial"/>
          <w:szCs w:val="20"/>
        </w:rPr>
        <w:t>pracoviště</w:t>
      </w:r>
      <w:r w:rsidR="00727765">
        <w:rPr>
          <w:rFonts w:cs="Arial"/>
          <w:szCs w:val="20"/>
        </w:rPr>
        <w:t xml:space="preserve"> (klasifikace CZ-NUTS3)</w:t>
      </w:r>
      <w:r>
        <w:rPr>
          <w:rFonts w:cs="Arial"/>
          <w:szCs w:val="20"/>
        </w:rPr>
        <w:t>, kde osoby zaměstnané ve VaV působí</w:t>
      </w:r>
      <w:r w:rsidRPr="00DA2D0E">
        <w:rPr>
          <w:rFonts w:cs="Arial"/>
          <w:szCs w:val="20"/>
        </w:rPr>
        <w:t xml:space="preserve">. </w:t>
      </w:r>
    </w:p>
    <w:p w:rsidR="00DA2D0E" w:rsidRDefault="00DA2D0E" w:rsidP="0097420C">
      <w:pPr>
        <w:pStyle w:val="Nadpis2"/>
      </w:pPr>
    </w:p>
    <w:p w:rsidR="00F30B2B" w:rsidRDefault="00F30B2B" w:rsidP="007325FC">
      <w:pPr>
        <w:jc w:val="both"/>
        <w:rPr>
          <w:rFonts w:cs="Arial"/>
          <w:i/>
          <w:iCs/>
          <w:szCs w:val="16"/>
        </w:rPr>
      </w:pPr>
    </w:p>
    <w:p w:rsidR="0097420C" w:rsidRPr="00B62BC4" w:rsidRDefault="0097420C" w:rsidP="007325FC">
      <w:pPr>
        <w:jc w:val="both"/>
        <w:rPr>
          <w:rFonts w:cs="Arial"/>
          <w:i/>
          <w:iCs/>
          <w:szCs w:val="16"/>
        </w:rPr>
      </w:pPr>
    </w:p>
    <w:p w:rsidR="00CE686B" w:rsidRDefault="00CE686B" w:rsidP="00CE686B">
      <w:pPr>
        <w:ind w:left="567"/>
        <w:jc w:val="both"/>
      </w:pPr>
    </w:p>
    <w:p w:rsidR="00B84A2A" w:rsidRDefault="00B84A2A" w:rsidP="00D0215C">
      <w:pPr>
        <w:sectPr w:rsidR="00B84A2A" w:rsidSect="00B71337">
          <w:pgSz w:w="11906" w:h="16838"/>
          <w:pgMar w:top="1417" w:right="1417" w:bottom="1417" w:left="1417" w:header="708" w:footer="708" w:gutter="0"/>
          <w:cols w:space="708"/>
          <w:docGrid w:linePitch="360"/>
        </w:sectPr>
      </w:pPr>
    </w:p>
    <w:p w:rsidR="00613FD6" w:rsidRPr="00D8340E" w:rsidRDefault="00D8340E" w:rsidP="00D8340E">
      <w:pPr>
        <w:pStyle w:val="Nadpis1"/>
        <w:rPr>
          <w:sz w:val="24"/>
          <w:szCs w:val="24"/>
        </w:rPr>
      </w:pPr>
      <w:bookmarkStart w:id="5" w:name="_Výdaje_na_VaV"/>
      <w:bookmarkEnd w:id="5"/>
      <w:r>
        <w:rPr>
          <w:sz w:val="24"/>
          <w:szCs w:val="24"/>
        </w:rPr>
        <w:lastRenderedPageBreak/>
        <w:t>2.</w:t>
      </w:r>
      <w:r w:rsidR="003A1C9B">
        <w:rPr>
          <w:sz w:val="24"/>
          <w:szCs w:val="24"/>
        </w:rPr>
        <w:t>5</w:t>
      </w:r>
      <w:r>
        <w:rPr>
          <w:sz w:val="24"/>
          <w:szCs w:val="24"/>
        </w:rPr>
        <w:t xml:space="preserve">. </w:t>
      </w:r>
      <w:r w:rsidR="00B84A2A" w:rsidRPr="00D8340E">
        <w:rPr>
          <w:sz w:val="24"/>
          <w:szCs w:val="24"/>
        </w:rPr>
        <w:t>Výdaje na VaV</w:t>
      </w:r>
    </w:p>
    <w:p w:rsidR="00427173" w:rsidRPr="00392597" w:rsidRDefault="005C08B6" w:rsidP="00392597">
      <w:pPr>
        <w:spacing w:after="360"/>
        <w:jc w:val="both"/>
        <w:rPr>
          <w:rFonts w:cs="Arial"/>
          <w:i/>
          <w:szCs w:val="20"/>
        </w:rPr>
      </w:pPr>
      <w:r>
        <w:rPr>
          <w:rFonts w:cs="Arial"/>
          <w:b/>
          <w:bCs/>
          <w:szCs w:val="16"/>
        </w:rPr>
        <w:t xml:space="preserve">Výdaje na VaV </w:t>
      </w:r>
      <w:r>
        <w:rPr>
          <w:rFonts w:cs="Arial"/>
          <w:szCs w:val="16"/>
        </w:rPr>
        <w:t xml:space="preserve">představují </w:t>
      </w:r>
      <w:r w:rsidR="002C44B2">
        <w:rPr>
          <w:rFonts w:cs="Arial"/>
          <w:szCs w:val="16"/>
        </w:rPr>
        <w:t>veškeré</w:t>
      </w:r>
      <w:r w:rsidR="0004775E">
        <w:rPr>
          <w:rFonts w:cs="Arial"/>
          <w:szCs w:val="16"/>
        </w:rPr>
        <w:t xml:space="preserve"> </w:t>
      </w:r>
      <w:r>
        <w:rPr>
          <w:rFonts w:cs="Arial"/>
          <w:szCs w:val="16"/>
        </w:rPr>
        <w:t>výdaje</w:t>
      </w:r>
      <w:r w:rsidR="00A96F44">
        <w:rPr>
          <w:rFonts w:cs="Arial"/>
          <w:szCs w:val="16"/>
        </w:rPr>
        <w:t xml:space="preserve"> (běžné a kapitálové) určené na </w:t>
      </w:r>
      <w:r>
        <w:rPr>
          <w:rFonts w:cs="Arial"/>
          <w:szCs w:val="16"/>
        </w:rPr>
        <w:t xml:space="preserve">vlastní výzkum a vývoj prováděný v rámci zpravodajské jednotky </w:t>
      </w:r>
      <w:r w:rsidR="006E2337">
        <w:rPr>
          <w:rFonts w:cs="Arial"/>
          <w:szCs w:val="16"/>
        </w:rPr>
        <w:t>neb</w:t>
      </w:r>
      <w:r w:rsidR="00486715">
        <w:rPr>
          <w:rFonts w:cs="Arial"/>
          <w:szCs w:val="16"/>
        </w:rPr>
        <w:t>o</w:t>
      </w:r>
      <w:r w:rsidR="006E2337">
        <w:rPr>
          <w:rFonts w:cs="Arial"/>
          <w:szCs w:val="16"/>
        </w:rPr>
        <w:t xml:space="preserve"> </w:t>
      </w:r>
      <w:r w:rsidR="00486715">
        <w:rPr>
          <w:rFonts w:cs="Arial"/>
          <w:szCs w:val="16"/>
        </w:rPr>
        <w:t>sektoru ekonomiky</w:t>
      </w:r>
      <w:r>
        <w:rPr>
          <w:rFonts w:cs="Arial"/>
          <w:szCs w:val="16"/>
        </w:rPr>
        <w:t xml:space="preserve"> </w:t>
      </w:r>
      <w:r w:rsidR="00A96F44">
        <w:rPr>
          <w:rFonts w:cs="Arial"/>
          <w:szCs w:val="16"/>
        </w:rPr>
        <w:t>bez ohledu na </w:t>
      </w:r>
      <w:r w:rsidR="00F05931">
        <w:rPr>
          <w:rFonts w:cs="Arial"/>
          <w:szCs w:val="16"/>
        </w:rPr>
        <w:t>zdroj jejich f</w:t>
      </w:r>
      <w:r w:rsidR="003A6769">
        <w:rPr>
          <w:rFonts w:cs="Arial"/>
          <w:szCs w:val="16"/>
        </w:rPr>
        <w:t>inancování</w:t>
      </w:r>
      <w:r w:rsidR="002C44B2">
        <w:rPr>
          <w:rFonts w:cs="Arial"/>
          <w:szCs w:val="16"/>
        </w:rPr>
        <w:t xml:space="preserve">. </w:t>
      </w:r>
      <w:r w:rsidR="00427173" w:rsidRPr="00427173">
        <w:rPr>
          <w:rFonts w:cs="Arial"/>
          <w:i/>
          <w:szCs w:val="16"/>
        </w:rPr>
        <w:t>V</w:t>
      </w:r>
      <w:r w:rsidR="00A96F44" w:rsidRPr="00427173">
        <w:rPr>
          <w:rFonts w:cs="Arial"/>
          <w:i/>
          <w:szCs w:val="16"/>
        </w:rPr>
        <w:t>ýdaje vynakládané mimo </w:t>
      </w:r>
      <w:r w:rsidR="00D077BA" w:rsidRPr="00427173">
        <w:rPr>
          <w:rFonts w:cs="Arial"/>
          <w:i/>
          <w:szCs w:val="16"/>
        </w:rPr>
        <w:t>zpravodajskou jednotku</w:t>
      </w:r>
      <w:r w:rsidR="00A96F44" w:rsidRPr="00427173">
        <w:rPr>
          <w:rFonts w:cs="Arial"/>
          <w:i/>
          <w:szCs w:val="16"/>
        </w:rPr>
        <w:t xml:space="preserve"> (externí výdaje na </w:t>
      </w:r>
      <w:r w:rsidR="00810335" w:rsidRPr="00427173">
        <w:rPr>
          <w:rFonts w:cs="Arial"/>
          <w:i/>
          <w:szCs w:val="16"/>
        </w:rPr>
        <w:t>VaV)</w:t>
      </w:r>
      <w:r w:rsidR="00A96F44" w:rsidRPr="00427173">
        <w:rPr>
          <w:rFonts w:cs="Arial"/>
          <w:i/>
          <w:szCs w:val="16"/>
        </w:rPr>
        <w:t xml:space="preserve"> jsou do </w:t>
      </w:r>
      <w:r w:rsidR="00D077BA" w:rsidRPr="00427173">
        <w:rPr>
          <w:rFonts w:cs="Arial"/>
          <w:i/>
          <w:szCs w:val="16"/>
        </w:rPr>
        <w:t>celkových výdajů na</w:t>
      </w:r>
      <w:r w:rsidR="00A96F44" w:rsidRPr="00427173">
        <w:rPr>
          <w:rFonts w:cs="Arial"/>
          <w:i/>
          <w:szCs w:val="16"/>
        </w:rPr>
        <w:t> </w:t>
      </w:r>
      <w:r w:rsidR="00D077BA" w:rsidRPr="00427173">
        <w:rPr>
          <w:rFonts w:cs="Arial"/>
          <w:i/>
          <w:szCs w:val="16"/>
        </w:rPr>
        <w:t>VaV započteny jen</w:t>
      </w:r>
      <w:r w:rsidR="00A96F44" w:rsidRPr="00427173">
        <w:rPr>
          <w:rFonts w:cs="Arial"/>
          <w:i/>
          <w:szCs w:val="16"/>
        </w:rPr>
        <w:t xml:space="preserve"> v případě, že přímo slouží pro </w:t>
      </w:r>
      <w:r w:rsidR="00D077BA" w:rsidRPr="00427173">
        <w:rPr>
          <w:rFonts w:cs="Arial"/>
          <w:i/>
          <w:szCs w:val="16"/>
        </w:rPr>
        <w:t>podporu vlastního výzkumu a vývoje</w:t>
      </w:r>
      <w:r w:rsidR="00E06669" w:rsidRPr="00427173">
        <w:rPr>
          <w:rFonts w:cs="Arial"/>
          <w:i/>
          <w:szCs w:val="16"/>
        </w:rPr>
        <w:t xml:space="preserve"> </w:t>
      </w:r>
      <w:r w:rsidR="00FB0116" w:rsidRPr="00427173">
        <w:rPr>
          <w:rFonts w:cs="Arial"/>
          <w:i/>
          <w:szCs w:val="16"/>
        </w:rPr>
        <w:t xml:space="preserve">a nejsou samostatnými projekty VaV. </w:t>
      </w:r>
      <w:r w:rsidR="00FB0116" w:rsidRPr="00427173">
        <w:rPr>
          <w:rFonts w:cs="Arial"/>
          <w:i/>
          <w:szCs w:val="20"/>
        </w:rPr>
        <w:t xml:space="preserve">Do </w:t>
      </w:r>
      <w:r w:rsidR="00427173" w:rsidRPr="00427173">
        <w:rPr>
          <w:rFonts w:cs="Arial"/>
          <w:i/>
          <w:szCs w:val="20"/>
        </w:rPr>
        <w:t xml:space="preserve">výdajů na VaV </w:t>
      </w:r>
      <w:r w:rsidR="00FB0116" w:rsidRPr="00427173">
        <w:rPr>
          <w:rFonts w:cs="Arial"/>
          <w:i/>
          <w:szCs w:val="20"/>
        </w:rPr>
        <w:t xml:space="preserve">tak </w:t>
      </w:r>
      <w:r w:rsidR="00FB0116" w:rsidRPr="00427173">
        <w:rPr>
          <w:rFonts w:cs="Arial"/>
          <w:b/>
          <w:i/>
          <w:szCs w:val="20"/>
        </w:rPr>
        <w:t>nepatří</w:t>
      </w:r>
      <w:r w:rsidR="00FB0116" w:rsidRPr="00427173">
        <w:rPr>
          <w:rFonts w:cs="Arial"/>
          <w:i/>
          <w:szCs w:val="20"/>
        </w:rPr>
        <w:t xml:space="preserve"> nákup služeb VaV (VaV prováděný jiným subjektem pro zpravodajskou jednotku) pokud jde </w:t>
      </w:r>
      <w:r w:rsidR="000E24D4">
        <w:rPr>
          <w:rFonts w:cs="Arial"/>
          <w:i/>
          <w:szCs w:val="20"/>
        </w:rPr>
        <w:t xml:space="preserve">o </w:t>
      </w:r>
      <w:r w:rsidR="00FB0116" w:rsidRPr="00427173">
        <w:rPr>
          <w:rFonts w:cs="Arial"/>
          <w:i/>
          <w:szCs w:val="20"/>
        </w:rPr>
        <w:t>samostatné projekty.</w:t>
      </w:r>
    </w:p>
    <w:p w:rsidR="00137887" w:rsidRPr="00FB0116" w:rsidRDefault="00FB0116" w:rsidP="00392597">
      <w:pPr>
        <w:spacing w:before="40" w:after="0"/>
        <w:jc w:val="both"/>
        <w:rPr>
          <w:rFonts w:cs="Arial"/>
          <w:b/>
          <w:bCs/>
          <w:iCs/>
          <w:szCs w:val="20"/>
        </w:rPr>
      </w:pPr>
      <w:r w:rsidRPr="00FB0116">
        <w:rPr>
          <w:rFonts w:cs="Arial"/>
          <w:b/>
          <w:bCs/>
          <w:szCs w:val="20"/>
        </w:rPr>
        <w:t xml:space="preserve">1) </w:t>
      </w:r>
      <w:r w:rsidR="00137887" w:rsidRPr="00FB0116">
        <w:rPr>
          <w:rFonts w:cs="Arial"/>
          <w:b/>
          <w:bCs/>
          <w:szCs w:val="20"/>
        </w:rPr>
        <w:t xml:space="preserve">Výdaje na VaV podle </w:t>
      </w:r>
      <w:r w:rsidR="00137887" w:rsidRPr="00FB0116">
        <w:rPr>
          <w:rFonts w:cs="Arial"/>
          <w:b/>
          <w:szCs w:val="20"/>
        </w:rPr>
        <w:t xml:space="preserve">druhu </w:t>
      </w:r>
      <w:r w:rsidR="00137887" w:rsidRPr="00FB0116">
        <w:rPr>
          <w:rFonts w:cs="Arial"/>
          <w:b/>
          <w:szCs w:val="20"/>
          <w:u w:val="single"/>
        </w:rPr>
        <w:t>nákladů</w:t>
      </w:r>
      <w:r w:rsidR="00137887" w:rsidRPr="00FB0116">
        <w:rPr>
          <w:rFonts w:cs="Arial"/>
          <w:b/>
          <w:bCs/>
          <w:szCs w:val="20"/>
        </w:rPr>
        <w:t xml:space="preserve"> tvoří: </w:t>
      </w:r>
    </w:p>
    <w:p w:rsidR="00137887" w:rsidRPr="00F352B8" w:rsidRDefault="00137887" w:rsidP="00137887">
      <w:pPr>
        <w:numPr>
          <w:ilvl w:val="0"/>
          <w:numId w:val="40"/>
        </w:numPr>
        <w:spacing w:after="0"/>
        <w:ind w:left="357" w:hanging="357"/>
        <w:jc w:val="both"/>
        <w:rPr>
          <w:szCs w:val="20"/>
        </w:rPr>
      </w:pPr>
      <w:r w:rsidRPr="00F352B8">
        <w:rPr>
          <w:b/>
          <w:bCs/>
          <w:szCs w:val="20"/>
        </w:rPr>
        <w:t>Běžné (neinvestiční) náklady</w:t>
      </w:r>
      <w:r w:rsidRPr="00F352B8">
        <w:rPr>
          <w:szCs w:val="20"/>
        </w:rPr>
        <w:t xml:space="preserve"> zahrnují</w:t>
      </w:r>
      <w:r>
        <w:rPr>
          <w:szCs w:val="20"/>
        </w:rPr>
        <w:t>cí</w:t>
      </w:r>
      <w:r w:rsidRPr="00F352B8">
        <w:rPr>
          <w:szCs w:val="20"/>
        </w:rPr>
        <w:t>:</w:t>
      </w:r>
    </w:p>
    <w:p w:rsidR="00137887" w:rsidRDefault="00137887" w:rsidP="00137887">
      <w:pPr>
        <w:numPr>
          <w:ilvl w:val="1"/>
          <w:numId w:val="33"/>
        </w:numPr>
        <w:spacing w:before="60" w:after="0"/>
        <w:ind w:left="714" w:hanging="357"/>
        <w:jc w:val="both"/>
        <w:rPr>
          <w:bCs/>
          <w:szCs w:val="20"/>
        </w:rPr>
      </w:pPr>
      <w:r w:rsidRPr="00F352B8">
        <w:rPr>
          <w:b/>
          <w:szCs w:val="20"/>
        </w:rPr>
        <w:t xml:space="preserve">mzdové náklady </w:t>
      </w:r>
      <w:r w:rsidRPr="00F352B8">
        <w:rPr>
          <w:bCs/>
          <w:szCs w:val="20"/>
        </w:rPr>
        <w:t>osob zaměstnaných ve VaV včetně pojistného na zdravotní a sociální pojištění placeného zaměstnavatelem za zaměstnance</w:t>
      </w:r>
      <w:r w:rsidR="002D0BF5">
        <w:rPr>
          <w:bCs/>
          <w:szCs w:val="20"/>
        </w:rPr>
        <w:t>,</w:t>
      </w:r>
    </w:p>
    <w:p w:rsidR="00137887" w:rsidRPr="00137887" w:rsidRDefault="00137887" w:rsidP="00137887">
      <w:pPr>
        <w:numPr>
          <w:ilvl w:val="1"/>
          <w:numId w:val="33"/>
        </w:numPr>
        <w:spacing w:before="60" w:after="0"/>
        <w:ind w:left="714" w:hanging="357"/>
        <w:jc w:val="both"/>
        <w:rPr>
          <w:szCs w:val="20"/>
        </w:rPr>
      </w:pPr>
      <w:r w:rsidRPr="00137887">
        <w:rPr>
          <w:b/>
          <w:szCs w:val="20"/>
        </w:rPr>
        <w:t xml:space="preserve">odměny </w:t>
      </w:r>
      <w:r w:rsidRPr="00137887">
        <w:rPr>
          <w:szCs w:val="20"/>
        </w:rPr>
        <w:t>za práce podle dohod o provedení práce a o pracovní činnosti ve VaV konané mimo pracovní poměr,</w:t>
      </w:r>
    </w:p>
    <w:p w:rsidR="00FB0116" w:rsidRPr="00FB0116" w:rsidRDefault="00137887" w:rsidP="00137887">
      <w:pPr>
        <w:numPr>
          <w:ilvl w:val="1"/>
          <w:numId w:val="33"/>
        </w:numPr>
        <w:autoSpaceDE w:val="0"/>
        <w:autoSpaceDN w:val="0"/>
        <w:adjustRightInd w:val="0"/>
        <w:spacing w:before="60" w:after="0"/>
        <w:ind w:left="714" w:hanging="357"/>
        <w:jc w:val="both"/>
        <w:rPr>
          <w:rFonts w:cs="Arial"/>
          <w:i/>
          <w:szCs w:val="20"/>
        </w:rPr>
      </w:pPr>
      <w:r w:rsidRPr="00F352B8">
        <w:rPr>
          <w:b/>
          <w:szCs w:val="20"/>
        </w:rPr>
        <w:t>ostatní neinvestiční náklady</w:t>
      </w:r>
      <w:r>
        <w:rPr>
          <w:b/>
          <w:szCs w:val="20"/>
        </w:rPr>
        <w:t xml:space="preserve"> </w:t>
      </w:r>
      <w:r w:rsidRPr="0094217A">
        <w:rPr>
          <w:rFonts w:cs="Arial"/>
          <w:szCs w:val="20"/>
        </w:rPr>
        <w:t>z</w:t>
      </w:r>
      <w:r w:rsidRPr="00F352B8">
        <w:rPr>
          <w:rFonts w:cs="Arial"/>
          <w:szCs w:val="20"/>
        </w:rPr>
        <w:t>ahrnují</w:t>
      </w:r>
      <w:r>
        <w:rPr>
          <w:rFonts w:cs="Arial"/>
          <w:szCs w:val="20"/>
        </w:rPr>
        <w:t xml:space="preserve">cí </w:t>
      </w:r>
      <w:r w:rsidRPr="0094217A">
        <w:rPr>
          <w:rFonts w:cs="Arial"/>
          <w:szCs w:val="20"/>
        </w:rPr>
        <w:t>spotřeb</w:t>
      </w:r>
      <w:r>
        <w:rPr>
          <w:rFonts w:cs="Arial"/>
          <w:szCs w:val="20"/>
        </w:rPr>
        <w:t>u</w:t>
      </w:r>
      <w:r w:rsidRPr="0094217A">
        <w:rPr>
          <w:rFonts w:cs="Arial"/>
          <w:szCs w:val="20"/>
        </w:rPr>
        <w:t xml:space="preserve"> energie, materiálu a vybavení na prováděný VaV, licenční poplatky</w:t>
      </w:r>
      <w:r w:rsidR="00B2592C">
        <w:rPr>
          <w:rFonts w:cs="Arial"/>
          <w:szCs w:val="20"/>
        </w:rPr>
        <w:t>,</w:t>
      </w:r>
      <w:r w:rsidRPr="0094217A">
        <w:rPr>
          <w:rFonts w:cs="Arial"/>
          <w:szCs w:val="20"/>
        </w:rPr>
        <w:t xml:space="preserve"> náklady na služby na podporu prováděného VaV včetně souvisejících administrativních a ostatních režijních nákladů </w:t>
      </w:r>
      <w:r>
        <w:rPr>
          <w:rFonts w:cs="Arial"/>
          <w:szCs w:val="20"/>
        </w:rPr>
        <w:t xml:space="preserve">a </w:t>
      </w:r>
      <w:r w:rsidRPr="0094217A">
        <w:rPr>
          <w:rFonts w:cs="Arial"/>
          <w:szCs w:val="20"/>
        </w:rPr>
        <w:t xml:space="preserve">podílu správní režie přímo související s prováděným VaV. V rámci podílu správní režie jsou zahrnuty především mzdové náklady na zaměstnance bezpečnostních služeb, údržby a jiných, kteří se nepřímo podílejí na provozu VaV pracovišť. </w:t>
      </w:r>
    </w:p>
    <w:p w:rsidR="00137887" w:rsidRPr="00427173" w:rsidRDefault="00427173" w:rsidP="00427173">
      <w:pPr>
        <w:autoSpaceDE w:val="0"/>
        <w:autoSpaceDN w:val="0"/>
        <w:adjustRightInd w:val="0"/>
        <w:spacing w:before="60" w:after="0"/>
        <w:ind w:left="357"/>
        <w:jc w:val="both"/>
        <w:rPr>
          <w:rFonts w:cs="Arial"/>
          <w:i/>
          <w:szCs w:val="20"/>
        </w:rPr>
      </w:pPr>
      <w:r w:rsidRPr="00427173">
        <w:rPr>
          <w:rFonts w:cs="Arial"/>
          <w:i/>
          <w:szCs w:val="20"/>
          <w:u w:val="single"/>
        </w:rPr>
        <w:t>Poznámka:</w:t>
      </w:r>
      <w:r w:rsidRPr="00427173">
        <w:rPr>
          <w:rFonts w:cs="Arial"/>
          <w:szCs w:val="20"/>
        </w:rPr>
        <w:t xml:space="preserve"> </w:t>
      </w:r>
      <w:r w:rsidR="00137887" w:rsidRPr="00427173">
        <w:rPr>
          <w:rFonts w:cs="Arial"/>
          <w:i/>
          <w:szCs w:val="20"/>
        </w:rPr>
        <w:t>Veškeré náklady na odpisy budov, strojního (technického) zařízení a vybavení jsou ze statistického sledování výdajů na VaV vyloučeny,</w:t>
      </w:r>
    </w:p>
    <w:p w:rsidR="00137887" w:rsidRPr="0094217A" w:rsidRDefault="00137887" w:rsidP="00137887">
      <w:pPr>
        <w:numPr>
          <w:ilvl w:val="0"/>
          <w:numId w:val="40"/>
        </w:numPr>
        <w:spacing w:after="0"/>
        <w:ind w:left="357" w:hanging="357"/>
        <w:jc w:val="both"/>
        <w:rPr>
          <w:bCs/>
          <w:szCs w:val="20"/>
        </w:rPr>
      </w:pPr>
      <w:r w:rsidRPr="00F352B8">
        <w:rPr>
          <w:b/>
          <w:bCs/>
          <w:szCs w:val="20"/>
        </w:rPr>
        <w:t>Investiční náklady</w:t>
      </w:r>
      <w:r w:rsidR="000E24D4">
        <w:rPr>
          <w:b/>
          <w:bCs/>
          <w:szCs w:val="20"/>
        </w:rPr>
        <w:t xml:space="preserve"> </w:t>
      </w:r>
      <w:r w:rsidR="000E24D4">
        <w:rPr>
          <w:bCs/>
          <w:szCs w:val="20"/>
        </w:rPr>
        <w:t>zahrnující</w:t>
      </w:r>
      <w:r w:rsidRPr="0094217A">
        <w:rPr>
          <w:bCs/>
          <w:szCs w:val="20"/>
        </w:rPr>
        <w:t xml:space="preserve">: </w:t>
      </w:r>
    </w:p>
    <w:p w:rsidR="00137887" w:rsidRPr="008E3D9C" w:rsidRDefault="00137887" w:rsidP="00137887">
      <w:pPr>
        <w:numPr>
          <w:ilvl w:val="1"/>
          <w:numId w:val="33"/>
        </w:numPr>
        <w:spacing w:before="60" w:after="0"/>
        <w:ind w:left="720"/>
        <w:jc w:val="both"/>
        <w:rPr>
          <w:szCs w:val="20"/>
        </w:rPr>
      </w:pPr>
      <w:r w:rsidRPr="00F352B8">
        <w:rPr>
          <w:b/>
          <w:szCs w:val="20"/>
        </w:rPr>
        <w:t>pozemk</w:t>
      </w:r>
      <w:r>
        <w:rPr>
          <w:b/>
          <w:szCs w:val="20"/>
        </w:rPr>
        <w:t>y</w:t>
      </w:r>
      <w:r w:rsidRPr="00F352B8">
        <w:rPr>
          <w:b/>
          <w:szCs w:val="20"/>
        </w:rPr>
        <w:t>, budov</w:t>
      </w:r>
      <w:r>
        <w:rPr>
          <w:b/>
          <w:szCs w:val="20"/>
        </w:rPr>
        <w:t>y</w:t>
      </w:r>
      <w:r w:rsidRPr="00F352B8">
        <w:rPr>
          <w:b/>
          <w:szCs w:val="20"/>
        </w:rPr>
        <w:t xml:space="preserve"> a stavb</w:t>
      </w:r>
      <w:r>
        <w:rPr>
          <w:b/>
          <w:szCs w:val="20"/>
        </w:rPr>
        <w:t>y</w:t>
      </w:r>
      <w:r w:rsidRPr="00F352B8">
        <w:rPr>
          <w:b/>
          <w:szCs w:val="20"/>
        </w:rPr>
        <w:t xml:space="preserve"> </w:t>
      </w:r>
      <w:r w:rsidRPr="008E3D9C">
        <w:rPr>
          <w:szCs w:val="20"/>
        </w:rPr>
        <w:t>zahrnující pořízení pozemků (např. pokusné pozemky, umístění pro laboratoře, resp. poloprovozní zařízení), budov a staveb včetně jejich technického zhodnocení pro potřeby prováděného VaV v sledovaných subjektech</w:t>
      </w:r>
      <w:r>
        <w:rPr>
          <w:szCs w:val="20"/>
        </w:rPr>
        <w:t>,</w:t>
      </w:r>
      <w:r w:rsidRPr="008E3D9C">
        <w:rPr>
          <w:bCs/>
          <w:szCs w:val="20"/>
        </w:rPr>
        <w:t xml:space="preserve"> </w:t>
      </w:r>
    </w:p>
    <w:p w:rsidR="00137887" w:rsidRDefault="00137887" w:rsidP="00137887">
      <w:pPr>
        <w:numPr>
          <w:ilvl w:val="1"/>
          <w:numId w:val="33"/>
        </w:numPr>
        <w:spacing w:before="60" w:after="0"/>
        <w:ind w:left="720"/>
        <w:jc w:val="both"/>
        <w:rPr>
          <w:szCs w:val="20"/>
        </w:rPr>
      </w:pPr>
      <w:r w:rsidRPr="008E3D9C">
        <w:rPr>
          <w:b/>
          <w:szCs w:val="20"/>
        </w:rPr>
        <w:t xml:space="preserve">pořízení ostatního dlouhodobého hmotného majetku </w:t>
      </w:r>
      <w:r w:rsidRPr="008E3D9C">
        <w:rPr>
          <w:szCs w:val="20"/>
        </w:rPr>
        <w:t xml:space="preserve">zahrnující </w:t>
      </w:r>
      <w:r w:rsidRPr="008E3D9C">
        <w:rPr>
          <w:bCs/>
          <w:szCs w:val="20"/>
        </w:rPr>
        <w:t>technické a jiné vybavení nezbytné pro vykonávání VaV (např. stroje, p</w:t>
      </w:r>
      <w:r>
        <w:rPr>
          <w:bCs/>
          <w:szCs w:val="20"/>
        </w:rPr>
        <w:t>ř</w:t>
      </w:r>
      <w:r w:rsidRPr="008E3D9C">
        <w:rPr>
          <w:bCs/>
          <w:szCs w:val="20"/>
        </w:rPr>
        <w:t>ístroje, za</w:t>
      </w:r>
      <w:r>
        <w:rPr>
          <w:bCs/>
          <w:szCs w:val="20"/>
        </w:rPr>
        <w:t>ř</w:t>
      </w:r>
      <w:r w:rsidRPr="008E3D9C">
        <w:rPr>
          <w:bCs/>
          <w:szCs w:val="20"/>
        </w:rPr>
        <w:t>ízení, dopravní prost</w:t>
      </w:r>
      <w:r>
        <w:rPr>
          <w:bCs/>
          <w:szCs w:val="20"/>
        </w:rPr>
        <w:t>ř</w:t>
      </w:r>
      <w:r w:rsidRPr="008E3D9C">
        <w:rPr>
          <w:bCs/>
          <w:szCs w:val="20"/>
        </w:rPr>
        <w:t>edky, p</w:t>
      </w:r>
      <w:r>
        <w:rPr>
          <w:bCs/>
          <w:szCs w:val="20"/>
        </w:rPr>
        <w:t>ě</w:t>
      </w:r>
      <w:r w:rsidRPr="008E3D9C">
        <w:rPr>
          <w:bCs/>
          <w:szCs w:val="20"/>
        </w:rPr>
        <w:t>stitelské celky trvalých porost</w:t>
      </w:r>
      <w:r w:rsidR="005A737C">
        <w:rPr>
          <w:bCs/>
          <w:szCs w:val="20"/>
        </w:rPr>
        <w:t>ů</w:t>
      </w:r>
      <w:r w:rsidRPr="008E3D9C">
        <w:rPr>
          <w:bCs/>
          <w:szCs w:val="20"/>
        </w:rPr>
        <w:t xml:space="preserve"> apod.).</w:t>
      </w:r>
      <w:r w:rsidRPr="008E3D9C">
        <w:rPr>
          <w:szCs w:val="20"/>
        </w:rPr>
        <w:t xml:space="preserve"> </w:t>
      </w:r>
    </w:p>
    <w:p w:rsidR="005C5CD4" w:rsidRPr="005C5CD4" w:rsidRDefault="005C5CD4" w:rsidP="005C5CD4">
      <w:pPr>
        <w:numPr>
          <w:ilvl w:val="1"/>
          <w:numId w:val="33"/>
        </w:numPr>
        <w:spacing w:before="60" w:after="0"/>
        <w:ind w:left="720"/>
        <w:jc w:val="both"/>
        <w:rPr>
          <w:bCs/>
          <w:szCs w:val="20"/>
        </w:rPr>
      </w:pPr>
      <w:r w:rsidRPr="00F352B8">
        <w:rPr>
          <w:b/>
          <w:bCs/>
          <w:szCs w:val="20"/>
        </w:rPr>
        <w:t>pořízení dlouhodobého</w:t>
      </w:r>
      <w:r w:rsidRPr="00F352B8">
        <w:rPr>
          <w:b/>
          <w:szCs w:val="20"/>
        </w:rPr>
        <w:t xml:space="preserve"> nehmotného majetku </w:t>
      </w:r>
      <w:r w:rsidRPr="008E3D9C">
        <w:rPr>
          <w:szCs w:val="20"/>
        </w:rPr>
        <w:t>zahrnující</w:t>
      </w:r>
      <w:r>
        <w:rPr>
          <w:b/>
          <w:szCs w:val="20"/>
        </w:rPr>
        <w:t xml:space="preserve"> </w:t>
      </w:r>
      <w:r w:rsidRPr="00F352B8">
        <w:rPr>
          <w:bCs/>
          <w:szCs w:val="20"/>
        </w:rPr>
        <w:t>aktivac</w:t>
      </w:r>
      <w:r>
        <w:rPr>
          <w:bCs/>
          <w:szCs w:val="20"/>
        </w:rPr>
        <w:t>i</w:t>
      </w:r>
      <w:r w:rsidRPr="00F352B8">
        <w:rPr>
          <w:bCs/>
          <w:szCs w:val="20"/>
        </w:rPr>
        <w:t xml:space="preserve"> vlastních výsledků VaV </w:t>
      </w:r>
      <w:r>
        <w:rPr>
          <w:bCs/>
          <w:szCs w:val="20"/>
        </w:rPr>
        <w:t xml:space="preserve">a </w:t>
      </w:r>
      <w:r w:rsidRPr="008E3D9C">
        <w:rPr>
          <w:bCs/>
          <w:szCs w:val="20"/>
        </w:rPr>
        <w:t xml:space="preserve">pořízení </w:t>
      </w:r>
      <w:r>
        <w:rPr>
          <w:bCs/>
          <w:szCs w:val="20"/>
        </w:rPr>
        <w:t xml:space="preserve">softwaru, </w:t>
      </w:r>
      <w:r w:rsidRPr="008E3D9C">
        <w:rPr>
          <w:bCs/>
          <w:szCs w:val="20"/>
        </w:rPr>
        <w:t>výrobně technických poznatků (</w:t>
      </w:r>
      <w:proofErr w:type="spellStart"/>
      <w:r w:rsidRPr="008E3D9C">
        <w:rPr>
          <w:bCs/>
          <w:szCs w:val="20"/>
        </w:rPr>
        <w:t>know</w:t>
      </w:r>
      <w:proofErr w:type="spellEnd"/>
      <w:r w:rsidRPr="008E3D9C">
        <w:rPr>
          <w:bCs/>
          <w:szCs w:val="20"/>
        </w:rPr>
        <w:t>-</w:t>
      </w:r>
      <w:proofErr w:type="spellStart"/>
      <w:r w:rsidRPr="008E3D9C">
        <w:rPr>
          <w:bCs/>
          <w:szCs w:val="20"/>
        </w:rPr>
        <w:t>how</w:t>
      </w:r>
      <w:proofErr w:type="spellEnd"/>
      <w:r w:rsidRPr="008E3D9C">
        <w:rPr>
          <w:bCs/>
          <w:szCs w:val="20"/>
        </w:rPr>
        <w:t xml:space="preserve">), předmětů průmyslových práv (např. nákup patentů, průmyslových a užitných vzorů) a jiných nehmotných výsledků výzkumné, vývojové či jiné duševní tvořivé činnosti bez ohledu </w:t>
      </w:r>
      <w:r>
        <w:rPr>
          <w:bCs/>
          <w:szCs w:val="20"/>
        </w:rPr>
        <w:t xml:space="preserve">na to, </w:t>
      </w:r>
      <w:r w:rsidRPr="008E3D9C">
        <w:rPr>
          <w:bCs/>
          <w:szCs w:val="20"/>
        </w:rPr>
        <w:t>zda jsou nebo nejsou předmětem ocenitelných práv</w:t>
      </w:r>
      <w:r>
        <w:rPr>
          <w:bCs/>
          <w:szCs w:val="20"/>
        </w:rPr>
        <w:t>,</w:t>
      </w:r>
      <w:r w:rsidRPr="00F352B8">
        <w:rPr>
          <w:bCs/>
          <w:szCs w:val="20"/>
        </w:rPr>
        <w:t xml:space="preserve"> </w:t>
      </w:r>
    </w:p>
    <w:p w:rsidR="00137887" w:rsidRPr="00427173" w:rsidRDefault="00137887" w:rsidP="00FB0116">
      <w:pPr>
        <w:spacing w:after="0"/>
        <w:ind w:left="425"/>
        <w:jc w:val="both"/>
        <w:rPr>
          <w:rFonts w:cs="Arial"/>
          <w:i/>
          <w:szCs w:val="20"/>
        </w:rPr>
      </w:pPr>
      <w:r w:rsidRPr="008E3D9C">
        <w:rPr>
          <w:rFonts w:cs="Arial"/>
          <w:i/>
          <w:szCs w:val="20"/>
          <w:u w:val="single"/>
        </w:rPr>
        <w:t>Poznámka:</w:t>
      </w:r>
      <w:r>
        <w:rPr>
          <w:rFonts w:cs="Arial"/>
          <w:szCs w:val="20"/>
        </w:rPr>
        <w:t xml:space="preserve"> </w:t>
      </w:r>
      <w:r w:rsidRPr="00427173">
        <w:rPr>
          <w:rFonts w:cs="Arial"/>
          <w:i/>
          <w:szCs w:val="20"/>
        </w:rPr>
        <w:t xml:space="preserve">Zpravodajská jednotka by se měla pokusit zahrnout do investičních nákladů </w:t>
      </w:r>
      <w:r w:rsidRPr="00427173">
        <w:rPr>
          <w:rFonts w:cs="Arial"/>
          <w:b/>
          <w:i/>
          <w:szCs w:val="20"/>
        </w:rPr>
        <w:t>jen tu část</w:t>
      </w:r>
      <w:r w:rsidRPr="00427173">
        <w:rPr>
          <w:rFonts w:cs="Arial"/>
          <w:i/>
          <w:szCs w:val="20"/>
        </w:rPr>
        <w:t>, která bude použita na VaV. Pokud bude např. nově zakoupená budova sloužit ze třetiny VaV činnosti a zbylý prostor (čas) jiným činnostem (např. výuce, přednáškové činnosti atd.), uvede se do výdajů jen třetina pořizovací ceny budovy.</w:t>
      </w:r>
    </w:p>
    <w:p w:rsidR="00427173" w:rsidRDefault="00FB0116" w:rsidP="00427173">
      <w:pPr>
        <w:spacing w:after="0"/>
        <w:jc w:val="both"/>
      </w:pPr>
      <w:r w:rsidRPr="00FB0116">
        <w:t xml:space="preserve">Výdaje na VaV je možno vyjádřit pomocí dvou základních ukazatelů: </w:t>
      </w:r>
    </w:p>
    <w:p w:rsidR="00427173" w:rsidRPr="00427173" w:rsidRDefault="00FB0116" w:rsidP="00427173">
      <w:pPr>
        <w:numPr>
          <w:ilvl w:val="1"/>
          <w:numId w:val="33"/>
        </w:numPr>
        <w:spacing w:before="0" w:after="0"/>
        <w:ind w:left="720"/>
        <w:jc w:val="both"/>
        <w:rPr>
          <w:b/>
          <w:bCs/>
          <w:szCs w:val="20"/>
        </w:rPr>
      </w:pPr>
      <w:r w:rsidRPr="00427173">
        <w:rPr>
          <w:b/>
          <w:bCs/>
          <w:szCs w:val="20"/>
        </w:rPr>
        <w:t xml:space="preserve">v běžných cenách </w:t>
      </w:r>
      <w:r w:rsidRPr="00427173">
        <w:rPr>
          <w:bCs/>
          <w:szCs w:val="20"/>
        </w:rPr>
        <w:t>ukazujících aktuální ceny zboží a služeb v daném roce nebo</w:t>
      </w:r>
      <w:r w:rsidRPr="00427173">
        <w:rPr>
          <w:b/>
          <w:bCs/>
          <w:szCs w:val="20"/>
        </w:rPr>
        <w:t xml:space="preserve"> </w:t>
      </w:r>
    </w:p>
    <w:p w:rsidR="00B2592C" w:rsidRPr="00392597" w:rsidRDefault="00FB0116" w:rsidP="00392597">
      <w:pPr>
        <w:numPr>
          <w:ilvl w:val="1"/>
          <w:numId w:val="33"/>
        </w:numPr>
        <w:spacing w:before="0" w:after="360"/>
        <w:ind w:left="714" w:hanging="357"/>
        <w:jc w:val="both"/>
        <w:rPr>
          <w:bCs/>
          <w:szCs w:val="20"/>
        </w:rPr>
      </w:pPr>
      <w:r w:rsidRPr="00427173">
        <w:rPr>
          <w:b/>
          <w:bCs/>
          <w:szCs w:val="20"/>
        </w:rPr>
        <w:t xml:space="preserve">v reálných (stálých) cenách, </w:t>
      </w:r>
      <w:r w:rsidRPr="00427173">
        <w:rPr>
          <w:bCs/>
          <w:szCs w:val="20"/>
        </w:rPr>
        <w:t xml:space="preserve">které eliminují inflační znehodnocení. </w:t>
      </w:r>
      <w:r w:rsidRPr="00427173">
        <w:rPr>
          <w:bCs/>
          <w:i/>
          <w:szCs w:val="20"/>
        </w:rPr>
        <w:t>Z důvodu neexistence speciálního cenového indexu pro VaV byl pro výpočet ve stálých cenách použit deflátor HDP.</w:t>
      </w:r>
      <w:r w:rsidRPr="00427173">
        <w:rPr>
          <w:bCs/>
          <w:szCs w:val="20"/>
        </w:rPr>
        <w:t xml:space="preserve"> </w:t>
      </w:r>
    </w:p>
    <w:p w:rsidR="00137887" w:rsidRPr="00FB0116" w:rsidRDefault="00FB0116" w:rsidP="00392597">
      <w:pPr>
        <w:spacing w:before="40" w:after="0"/>
        <w:jc w:val="both"/>
        <w:rPr>
          <w:rFonts w:cs="Arial"/>
          <w:b/>
          <w:szCs w:val="20"/>
        </w:rPr>
      </w:pPr>
      <w:r w:rsidRPr="00FB0116">
        <w:rPr>
          <w:rFonts w:cs="Arial"/>
          <w:b/>
          <w:szCs w:val="20"/>
        </w:rPr>
        <w:t xml:space="preserve">2) </w:t>
      </w:r>
      <w:r w:rsidR="00137887" w:rsidRPr="00FB0116">
        <w:rPr>
          <w:rFonts w:cs="Arial"/>
          <w:b/>
          <w:szCs w:val="20"/>
        </w:rPr>
        <w:t xml:space="preserve">Struktura výdajů </w:t>
      </w:r>
      <w:r w:rsidR="005A737C">
        <w:rPr>
          <w:rFonts w:cs="Arial"/>
          <w:b/>
          <w:szCs w:val="20"/>
        </w:rPr>
        <w:t>na</w:t>
      </w:r>
      <w:r w:rsidR="00137887" w:rsidRPr="00FB0116">
        <w:rPr>
          <w:rFonts w:cs="Arial"/>
          <w:b/>
          <w:szCs w:val="20"/>
        </w:rPr>
        <w:t xml:space="preserve"> provedený VaV podle </w:t>
      </w:r>
      <w:r w:rsidR="00137887" w:rsidRPr="00FB0116">
        <w:rPr>
          <w:rFonts w:cs="Arial"/>
          <w:b/>
          <w:szCs w:val="20"/>
          <w:u w:val="single"/>
        </w:rPr>
        <w:t>institucionálního hlediska</w:t>
      </w:r>
      <w:r w:rsidR="00137887" w:rsidRPr="00FB0116">
        <w:rPr>
          <w:rFonts w:cs="Arial"/>
          <w:b/>
          <w:szCs w:val="20"/>
        </w:rPr>
        <w:t xml:space="preserve">.  </w:t>
      </w:r>
    </w:p>
    <w:p w:rsidR="00137887" w:rsidRPr="003E275A" w:rsidRDefault="00137887" w:rsidP="00137887">
      <w:pPr>
        <w:spacing w:after="0"/>
        <w:jc w:val="both"/>
        <w:rPr>
          <w:rFonts w:cs="Arial"/>
          <w:szCs w:val="20"/>
        </w:rPr>
      </w:pPr>
      <w:r w:rsidRPr="003E275A">
        <w:rPr>
          <w:rFonts w:cs="Arial"/>
          <w:szCs w:val="20"/>
        </w:rPr>
        <w:t>Výše výdajů na</w:t>
      </w:r>
      <w:r w:rsidRPr="003E275A">
        <w:rPr>
          <w:szCs w:val="20"/>
        </w:rPr>
        <w:t xml:space="preserve"> </w:t>
      </w:r>
      <w:r>
        <w:rPr>
          <w:szCs w:val="20"/>
        </w:rPr>
        <w:t>prováděný</w:t>
      </w:r>
      <w:r w:rsidRPr="003E275A">
        <w:rPr>
          <w:szCs w:val="20"/>
        </w:rPr>
        <w:t xml:space="preserve"> VaV v jednotlivých sledovaných subjektech </w:t>
      </w:r>
      <w:r>
        <w:rPr>
          <w:szCs w:val="20"/>
        </w:rPr>
        <w:t>či</w:t>
      </w:r>
      <w:r w:rsidRPr="003E275A">
        <w:rPr>
          <w:szCs w:val="20"/>
        </w:rPr>
        <w:t xml:space="preserve"> sektorech provádění VaV je </w:t>
      </w:r>
      <w:r w:rsidRPr="003E275A">
        <w:rPr>
          <w:b/>
          <w:bCs/>
          <w:szCs w:val="20"/>
        </w:rPr>
        <w:t>sledován</w:t>
      </w:r>
      <w:r w:rsidR="00325449">
        <w:rPr>
          <w:b/>
          <w:bCs/>
          <w:szCs w:val="20"/>
        </w:rPr>
        <w:t>a</w:t>
      </w:r>
      <w:r w:rsidRPr="003E275A">
        <w:rPr>
          <w:szCs w:val="20"/>
        </w:rPr>
        <w:t xml:space="preserve"> podle následujících charakteristik</w:t>
      </w:r>
      <w:r w:rsidRPr="003E275A">
        <w:rPr>
          <w:rFonts w:cs="Arial"/>
          <w:szCs w:val="20"/>
        </w:rPr>
        <w:t xml:space="preserve">: </w:t>
      </w:r>
    </w:p>
    <w:p w:rsidR="00137887" w:rsidRPr="00857E2B" w:rsidRDefault="00DF56AE" w:rsidP="00DF56AE">
      <w:pPr>
        <w:spacing w:before="60" w:after="0"/>
        <w:jc w:val="both"/>
        <w:rPr>
          <w:szCs w:val="20"/>
        </w:rPr>
      </w:pPr>
      <w:r>
        <w:rPr>
          <w:rFonts w:cs="Arial"/>
          <w:b/>
          <w:bCs/>
          <w:szCs w:val="20"/>
        </w:rPr>
        <w:lastRenderedPageBreak/>
        <w:t xml:space="preserve">A) </w:t>
      </w:r>
      <w:r w:rsidR="00137887" w:rsidRPr="00857E2B">
        <w:rPr>
          <w:rFonts w:cs="Arial"/>
          <w:b/>
          <w:bCs/>
          <w:szCs w:val="20"/>
        </w:rPr>
        <w:t>zdroj</w:t>
      </w:r>
      <w:r w:rsidR="005A737C">
        <w:rPr>
          <w:rFonts w:cs="Arial"/>
          <w:b/>
          <w:bCs/>
          <w:szCs w:val="20"/>
        </w:rPr>
        <w:t>e</w:t>
      </w:r>
      <w:r w:rsidR="00137887" w:rsidRPr="00857E2B">
        <w:rPr>
          <w:rFonts w:cs="Arial"/>
          <w:b/>
          <w:bCs/>
          <w:szCs w:val="20"/>
        </w:rPr>
        <w:t xml:space="preserve"> financování VaV činností </w:t>
      </w:r>
      <w:r w:rsidR="00137887" w:rsidRPr="00857E2B">
        <w:rPr>
          <w:rFonts w:cs="Arial"/>
          <w:szCs w:val="20"/>
        </w:rPr>
        <w:t xml:space="preserve">- rozlišujeme </w:t>
      </w:r>
      <w:r w:rsidR="00427173">
        <w:rPr>
          <w:rFonts w:cs="Arial"/>
          <w:szCs w:val="20"/>
        </w:rPr>
        <w:t xml:space="preserve">následující </w:t>
      </w:r>
      <w:r w:rsidR="00137887" w:rsidRPr="00857E2B">
        <w:rPr>
          <w:rFonts w:cs="Arial"/>
          <w:szCs w:val="20"/>
        </w:rPr>
        <w:t>základní sektory financování VaV:</w:t>
      </w:r>
    </w:p>
    <w:p w:rsidR="00427173" w:rsidRPr="00427173" w:rsidRDefault="00137887" w:rsidP="00137887">
      <w:pPr>
        <w:numPr>
          <w:ilvl w:val="0"/>
          <w:numId w:val="41"/>
        </w:numPr>
        <w:spacing w:before="60" w:after="120"/>
        <w:jc w:val="both"/>
        <w:rPr>
          <w:b/>
          <w:bCs/>
          <w:szCs w:val="20"/>
        </w:rPr>
      </w:pPr>
      <w:r w:rsidRPr="003E275A">
        <w:rPr>
          <w:szCs w:val="20"/>
        </w:rPr>
        <w:t xml:space="preserve">podnikatelský - </w:t>
      </w:r>
      <w:r w:rsidRPr="003E275A">
        <w:rPr>
          <w:b/>
          <w:bCs/>
          <w:szCs w:val="20"/>
        </w:rPr>
        <w:t xml:space="preserve">podnikatelské </w:t>
      </w:r>
      <w:r>
        <w:rPr>
          <w:b/>
          <w:bCs/>
          <w:szCs w:val="20"/>
        </w:rPr>
        <w:t xml:space="preserve">(soukromé) </w:t>
      </w:r>
      <w:r w:rsidRPr="003E275A">
        <w:rPr>
          <w:b/>
          <w:bCs/>
          <w:szCs w:val="20"/>
        </w:rPr>
        <w:t>zdroje</w:t>
      </w:r>
      <w:r w:rsidR="003C3C04">
        <w:rPr>
          <w:b/>
          <w:bCs/>
          <w:szCs w:val="20"/>
        </w:rPr>
        <w:t xml:space="preserve"> z ČR</w:t>
      </w:r>
      <w:r w:rsidRPr="003E275A">
        <w:rPr>
          <w:szCs w:val="20"/>
        </w:rPr>
        <w:t>, jež tvoří vlastní zdroje sledovaných podniků určené na u nich prováděný VaV</w:t>
      </w:r>
      <w:r w:rsidR="003C3C04">
        <w:rPr>
          <w:szCs w:val="20"/>
        </w:rPr>
        <w:t xml:space="preserve"> </w:t>
      </w:r>
      <w:r w:rsidR="003C3C04" w:rsidRPr="003C3C04">
        <w:rPr>
          <w:i/>
          <w:szCs w:val="20"/>
        </w:rPr>
        <w:t>(bez příjmů z prodejů služeb VaV na zakázku pro jiný subjekt a vlastních zdrojů určených na předfinancová</w:t>
      </w:r>
      <w:r w:rsidR="003A1C9B">
        <w:rPr>
          <w:i/>
          <w:szCs w:val="20"/>
        </w:rPr>
        <w:t>ní VaV projektů realizovaných z </w:t>
      </w:r>
      <w:r w:rsidR="003C3C04" w:rsidRPr="003C3C04">
        <w:rPr>
          <w:i/>
          <w:szCs w:val="20"/>
        </w:rPr>
        <w:t>rozpočtu EU)</w:t>
      </w:r>
      <w:r w:rsidRPr="003E275A">
        <w:rPr>
          <w:szCs w:val="20"/>
        </w:rPr>
        <w:t xml:space="preserve"> a podnikatelské zdroje ekonomických subjektů působících na území daného státu určené na VaV prováděný v jiných podnicích </w:t>
      </w:r>
      <w:r w:rsidR="00427173">
        <w:rPr>
          <w:szCs w:val="20"/>
        </w:rPr>
        <w:t xml:space="preserve">ve sledovaném státě </w:t>
      </w:r>
      <w:r w:rsidRPr="003E275A">
        <w:rPr>
          <w:szCs w:val="20"/>
        </w:rPr>
        <w:t xml:space="preserve">či na vysokých školách nebo veřejných výzkumných institucích. </w:t>
      </w:r>
    </w:p>
    <w:p w:rsidR="00427173" w:rsidRDefault="00427173" w:rsidP="003C3C04">
      <w:pPr>
        <w:spacing w:before="60" w:after="120"/>
        <w:ind w:left="709"/>
        <w:jc w:val="both"/>
        <w:rPr>
          <w:i/>
          <w:iCs/>
          <w:szCs w:val="20"/>
        </w:rPr>
      </w:pPr>
      <w:r w:rsidRPr="00427173">
        <w:rPr>
          <w:i/>
          <w:szCs w:val="20"/>
        </w:rPr>
        <w:t>Poznámka</w:t>
      </w:r>
      <w:r>
        <w:rPr>
          <w:i/>
          <w:szCs w:val="20"/>
        </w:rPr>
        <w:t xml:space="preserve"> č.1</w:t>
      </w:r>
      <w:r w:rsidRPr="00427173">
        <w:rPr>
          <w:i/>
          <w:szCs w:val="20"/>
        </w:rPr>
        <w:t xml:space="preserve">: </w:t>
      </w:r>
      <w:r w:rsidR="00137887" w:rsidRPr="003E275A">
        <w:rPr>
          <w:i/>
          <w:iCs/>
          <w:szCs w:val="20"/>
        </w:rPr>
        <w:t>U vládního a vysokoškolského sektoru zahrnuje financování z podnikatelských zdrojů především příjmy z prodejů služeb VaV (zakázky na VaV</w:t>
      </w:r>
      <w:r w:rsidR="003C3C04">
        <w:rPr>
          <w:i/>
          <w:iCs/>
          <w:szCs w:val="20"/>
        </w:rPr>
        <w:t xml:space="preserve"> – smluvní VaV</w:t>
      </w:r>
      <w:r w:rsidR="00137887" w:rsidRPr="003E275A">
        <w:rPr>
          <w:i/>
          <w:iCs/>
          <w:szCs w:val="20"/>
        </w:rPr>
        <w:t>) a pří</w:t>
      </w:r>
      <w:r w:rsidR="003A1C9B">
        <w:rPr>
          <w:i/>
          <w:iCs/>
          <w:szCs w:val="20"/>
        </w:rPr>
        <w:t>jmy z </w:t>
      </w:r>
      <w:r w:rsidR="00137887" w:rsidRPr="003E275A">
        <w:rPr>
          <w:i/>
          <w:iCs/>
          <w:szCs w:val="20"/>
        </w:rPr>
        <w:t>licenčních poplatků za nehmotné výsledky VaV.</w:t>
      </w:r>
      <w:r>
        <w:rPr>
          <w:i/>
          <w:iCs/>
          <w:szCs w:val="20"/>
        </w:rPr>
        <w:t xml:space="preserve"> </w:t>
      </w:r>
      <w:r w:rsidR="003C3C04" w:rsidRPr="003C3C04">
        <w:rPr>
          <w:i/>
          <w:iCs/>
          <w:szCs w:val="20"/>
        </w:rPr>
        <w:t xml:space="preserve">Smluvním výzkumem (nebo též výzkumnými službami) se rozumí výzkumné projekty, kde výzkumná organizace provádí VaV na zakázku pro tuzemský nebo zahraniční </w:t>
      </w:r>
      <w:r w:rsidR="003C3C04">
        <w:rPr>
          <w:i/>
          <w:iCs/>
          <w:szCs w:val="20"/>
        </w:rPr>
        <w:t>(v tom případě se tento zdroj zahrnuje pod zahraniční zdroje)</w:t>
      </w:r>
      <w:r w:rsidR="003C3C04" w:rsidRPr="003C3C04">
        <w:rPr>
          <w:i/>
          <w:iCs/>
          <w:szCs w:val="20"/>
        </w:rPr>
        <w:t xml:space="preserve"> podnik, a to za tržní cenu nebo za cenu zahrnující plné náklady a přiměřený zisk. Jedná se tedy o poskytování služeb na smluvním základě za úplatu třetí osobě.</w:t>
      </w:r>
    </w:p>
    <w:p w:rsidR="00137887" w:rsidRDefault="00427173" w:rsidP="003C3C04">
      <w:pPr>
        <w:spacing w:before="60" w:after="120"/>
        <w:ind w:left="709"/>
        <w:jc w:val="both"/>
        <w:rPr>
          <w:i/>
          <w:iCs/>
          <w:szCs w:val="20"/>
        </w:rPr>
      </w:pPr>
      <w:r>
        <w:rPr>
          <w:i/>
          <w:iCs/>
          <w:szCs w:val="20"/>
        </w:rPr>
        <w:t xml:space="preserve">Poznámka č.2: U podnikatelského sektoru kromě výše uvedených vlastních zdrojů sledovaných podniků tvoří </w:t>
      </w:r>
      <w:r w:rsidR="003C3C04">
        <w:rPr>
          <w:i/>
          <w:iCs/>
          <w:szCs w:val="20"/>
        </w:rPr>
        <w:t xml:space="preserve">ostatní podnikatelské zdroje </w:t>
      </w:r>
      <w:r w:rsidRPr="00427173">
        <w:rPr>
          <w:i/>
          <w:iCs/>
          <w:szCs w:val="20"/>
        </w:rPr>
        <w:t>příjmy z prodejů služeb VaV prováděného na zakázku pro jiný podnik. Může jít o příjmy od subjektů působících v rámci stejné skupiny podniků v ČR nebo o jiný tuzemský podnik nebo o příjmy od podniků působících v</w:t>
      </w:r>
      <w:r w:rsidR="003C3C04">
        <w:rPr>
          <w:i/>
          <w:iCs/>
          <w:szCs w:val="20"/>
        </w:rPr>
        <w:t> </w:t>
      </w:r>
      <w:r w:rsidRPr="00427173">
        <w:rPr>
          <w:i/>
          <w:iCs/>
          <w:szCs w:val="20"/>
        </w:rPr>
        <w:t>zahraničí</w:t>
      </w:r>
      <w:r w:rsidR="003C3C04">
        <w:rPr>
          <w:i/>
          <w:iCs/>
          <w:szCs w:val="20"/>
        </w:rPr>
        <w:t xml:space="preserve"> (v tomto případě jsou zařazeny pod zahraniční zdroje). </w:t>
      </w:r>
      <w:r w:rsidRPr="00427173">
        <w:rPr>
          <w:i/>
          <w:iCs/>
          <w:szCs w:val="20"/>
        </w:rPr>
        <w:t xml:space="preserve">Kromě výše uvedených příjmů může jít i </w:t>
      </w:r>
      <w:r w:rsidR="00EE50C0">
        <w:rPr>
          <w:i/>
          <w:iCs/>
          <w:szCs w:val="20"/>
        </w:rPr>
        <w:t>o příspěvek (finanční transfer)</w:t>
      </w:r>
      <w:r w:rsidRPr="00427173">
        <w:rPr>
          <w:i/>
          <w:iCs/>
          <w:szCs w:val="20"/>
        </w:rPr>
        <w:t xml:space="preserve"> od jiného subjektu podnikatelského sektoru na prováděný VaV ve sledované zpravodajské jednotce. Nejčastěji jde o finanční zdroje od podniků působících v rámci stejné skupiny ať už v ČR nebo v zahraničí.</w:t>
      </w:r>
    </w:p>
    <w:p w:rsidR="00137887" w:rsidRPr="003C3C04" w:rsidRDefault="00137887" w:rsidP="00137887">
      <w:pPr>
        <w:numPr>
          <w:ilvl w:val="0"/>
          <w:numId w:val="41"/>
        </w:numPr>
        <w:spacing w:before="60" w:after="120"/>
        <w:jc w:val="both"/>
        <w:rPr>
          <w:rFonts w:eastAsia="Times New Roman" w:cs="Arial"/>
          <w:i/>
          <w:iCs/>
          <w:szCs w:val="20"/>
          <w:lang w:eastAsia="cs-CZ"/>
        </w:rPr>
      </w:pPr>
      <w:r w:rsidRPr="003E275A">
        <w:rPr>
          <w:szCs w:val="20"/>
        </w:rPr>
        <w:t>vládní bez vysokých škol -</w:t>
      </w:r>
      <w:r w:rsidRPr="003E275A">
        <w:rPr>
          <w:b/>
          <w:bCs/>
          <w:szCs w:val="20"/>
        </w:rPr>
        <w:t xml:space="preserve"> veřejné </w:t>
      </w:r>
      <w:r>
        <w:rPr>
          <w:b/>
          <w:bCs/>
          <w:szCs w:val="20"/>
        </w:rPr>
        <w:t>zdroje</w:t>
      </w:r>
      <w:r w:rsidRPr="003E275A">
        <w:rPr>
          <w:b/>
          <w:bCs/>
          <w:szCs w:val="20"/>
        </w:rPr>
        <w:t xml:space="preserve"> </w:t>
      </w:r>
      <w:r w:rsidRPr="003E275A">
        <w:rPr>
          <w:szCs w:val="20"/>
        </w:rPr>
        <w:t>(institucionální či účelové)</w:t>
      </w:r>
      <w:r w:rsidRPr="003E275A">
        <w:rPr>
          <w:b/>
          <w:bCs/>
          <w:szCs w:val="20"/>
        </w:rPr>
        <w:t xml:space="preserve"> </w:t>
      </w:r>
      <w:r w:rsidRPr="003E275A">
        <w:rPr>
          <w:szCs w:val="20"/>
        </w:rPr>
        <w:t>pocházející ze</w:t>
      </w:r>
      <w:r w:rsidRPr="003E275A">
        <w:rPr>
          <w:b/>
          <w:bCs/>
          <w:szCs w:val="20"/>
        </w:rPr>
        <w:t xml:space="preserve"> státního rozpočtu </w:t>
      </w:r>
      <w:r w:rsidRPr="003E275A">
        <w:rPr>
          <w:szCs w:val="20"/>
        </w:rPr>
        <w:t>nebo</w:t>
      </w:r>
      <w:r w:rsidRPr="003E275A">
        <w:rPr>
          <w:b/>
          <w:bCs/>
          <w:szCs w:val="20"/>
        </w:rPr>
        <w:t xml:space="preserve"> rozpočtu krajů </w:t>
      </w:r>
      <w:r w:rsidRPr="003E275A">
        <w:rPr>
          <w:szCs w:val="20"/>
        </w:rPr>
        <w:t>určené na VaV prováděný na území ČR.</w:t>
      </w:r>
      <w:r w:rsidRPr="003E275A">
        <w:rPr>
          <w:b/>
          <w:bCs/>
          <w:szCs w:val="20"/>
        </w:rPr>
        <w:t xml:space="preserve"> </w:t>
      </w:r>
      <w:r w:rsidR="003C3C04" w:rsidRPr="003C3C04">
        <w:rPr>
          <w:bCs/>
          <w:i/>
          <w:szCs w:val="20"/>
        </w:rPr>
        <w:t>Tyto finanční zdroje jsou rozdělovány prostřednictvím jednotlivých rozpočtových kapitol poskytovatelů této podpory (Ministerstvo školství, mládeže a tělovýchovy, Ministerstvo průmyslu a obchodu, Ministerstvo zdravotnictví, Ministerstvo zemědělství, Ministerstvo obrany, Ministerstvo kultury, Ministerstvo vnitra, Akademie věd ČR, Grantová agentura ČR a Technologická agentura ČR).</w:t>
      </w:r>
    </w:p>
    <w:p w:rsidR="003C3C04" w:rsidRPr="003C3C04" w:rsidRDefault="003C3C04" w:rsidP="003C3C04">
      <w:pPr>
        <w:ind w:left="708"/>
        <w:jc w:val="both"/>
        <w:rPr>
          <w:rFonts w:cs="Arial"/>
          <w:i/>
          <w:szCs w:val="20"/>
        </w:rPr>
      </w:pPr>
      <w:r w:rsidRPr="003C3C04">
        <w:rPr>
          <w:rFonts w:cs="Arial"/>
          <w:i/>
          <w:szCs w:val="20"/>
        </w:rPr>
        <w:t xml:space="preserve">Poznámka: Do veřejných zdrojů ČR </w:t>
      </w:r>
      <w:r w:rsidRPr="003C3C04">
        <w:rPr>
          <w:rFonts w:cs="Arial"/>
          <w:b/>
          <w:i/>
          <w:szCs w:val="20"/>
        </w:rPr>
        <w:t>musí být započtena</w:t>
      </w:r>
      <w:r w:rsidRPr="003C3C04">
        <w:rPr>
          <w:rFonts w:cs="Arial"/>
          <w:i/>
          <w:szCs w:val="20"/>
        </w:rPr>
        <w:t xml:space="preserve"> i ta část finančních prostředků, která byla poskytnuta ze státního rozpočtu ČR v rámci </w:t>
      </w:r>
      <w:r w:rsidRPr="003C3C04">
        <w:rPr>
          <w:rFonts w:cs="Arial"/>
          <w:b/>
          <w:i/>
          <w:szCs w:val="20"/>
        </w:rPr>
        <w:t>spolufinancování</w:t>
      </w:r>
      <w:r w:rsidRPr="003C3C04">
        <w:rPr>
          <w:rFonts w:cs="Arial"/>
          <w:i/>
          <w:szCs w:val="20"/>
        </w:rPr>
        <w:t xml:space="preserve"> operačních a rámcových výzkumných programů EU. Naopak prostředky ze státního rozpočtu ČR použité na </w:t>
      </w:r>
      <w:r w:rsidRPr="003C3C04">
        <w:rPr>
          <w:rFonts w:cs="Arial"/>
          <w:b/>
          <w:i/>
          <w:szCs w:val="20"/>
        </w:rPr>
        <w:t xml:space="preserve">předfinancování </w:t>
      </w:r>
      <w:r w:rsidRPr="003C3C04">
        <w:rPr>
          <w:rFonts w:cs="Arial"/>
          <w:i/>
          <w:szCs w:val="20"/>
        </w:rPr>
        <w:t xml:space="preserve">těchto projektů jsou z veřejných zdrojů ČR </w:t>
      </w:r>
      <w:r w:rsidRPr="003C3C04">
        <w:rPr>
          <w:rFonts w:cs="Arial"/>
          <w:b/>
          <w:i/>
          <w:szCs w:val="20"/>
        </w:rPr>
        <w:t>vyloučeny</w:t>
      </w:r>
      <w:r w:rsidRPr="003C3C04">
        <w:rPr>
          <w:rFonts w:cs="Arial"/>
          <w:i/>
          <w:szCs w:val="20"/>
        </w:rPr>
        <w:t xml:space="preserve"> (jsou zahrnuty v zahraničních zdrojích). </w:t>
      </w:r>
    </w:p>
    <w:p w:rsidR="003C3C04" w:rsidRPr="003C3C04" w:rsidRDefault="00137887" w:rsidP="00137887">
      <w:pPr>
        <w:numPr>
          <w:ilvl w:val="0"/>
          <w:numId w:val="41"/>
        </w:numPr>
        <w:spacing w:before="60" w:after="120"/>
        <w:jc w:val="both"/>
        <w:rPr>
          <w:rFonts w:eastAsia="Times New Roman" w:cs="Arial"/>
          <w:i/>
          <w:iCs/>
          <w:szCs w:val="20"/>
          <w:lang w:eastAsia="cs-CZ"/>
        </w:rPr>
      </w:pPr>
      <w:r w:rsidRPr="003E275A">
        <w:rPr>
          <w:szCs w:val="20"/>
        </w:rPr>
        <w:t>zahraničí</w:t>
      </w:r>
      <w:r w:rsidRPr="003E275A">
        <w:rPr>
          <w:b/>
          <w:bCs/>
          <w:szCs w:val="20"/>
        </w:rPr>
        <w:t xml:space="preserve"> - zahraniční zdroje </w:t>
      </w:r>
      <w:r w:rsidRPr="003E275A">
        <w:rPr>
          <w:szCs w:val="20"/>
        </w:rPr>
        <w:t>zahrnující veškeré finanční prostředky na VaV poskytnuté ze zahraničí</w:t>
      </w:r>
      <w:r w:rsidRPr="003E275A">
        <w:rPr>
          <w:i/>
          <w:iCs/>
          <w:szCs w:val="20"/>
        </w:rPr>
        <w:t xml:space="preserve">. V případě ČR sem patří především zdroje mezinárodních organizací (Evropská </w:t>
      </w:r>
      <w:r>
        <w:rPr>
          <w:i/>
          <w:iCs/>
          <w:szCs w:val="20"/>
        </w:rPr>
        <w:t>unie</w:t>
      </w:r>
      <w:r w:rsidRPr="003E275A">
        <w:rPr>
          <w:i/>
          <w:iCs/>
          <w:szCs w:val="20"/>
        </w:rPr>
        <w:t>, NATO aj.) včetně jejich zařízení a provozů uvnitř hranic země a zdroje mateřských podniků financující</w:t>
      </w:r>
      <w:r>
        <w:rPr>
          <w:i/>
          <w:iCs/>
          <w:szCs w:val="20"/>
        </w:rPr>
        <w:t>ch</w:t>
      </w:r>
      <w:r w:rsidRPr="003E275A">
        <w:rPr>
          <w:i/>
          <w:iCs/>
          <w:szCs w:val="20"/>
        </w:rPr>
        <w:t xml:space="preserve"> VaV v jejich zahraničních afilacích v ČR.</w:t>
      </w:r>
    </w:p>
    <w:p w:rsidR="00DF56AE" w:rsidRPr="003E275A" w:rsidRDefault="003C3C04" w:rsidP="00DF56AE">
      <w:pPr>
        <w:spacing w:before="60" w:after="120"/>
        <w:ind w:left="708"/>
        <w:jc w:val="both"/>
        <w:rPr>
          <w:rFonts w:eastAsia="Times New Roman" w:cs="Arial"/>
          <w:i/>
          <w:iCs/>
          <w:szCs w:val="20"/>
          <w:lang w:eastAsia="cs-CZ"/>
        </w:rPr>
      </w:pPr>
      <w:r>
        <w:rPr>
          <w:i/>
          <w:iCs/>
          <w:szCs w:val="20"/>
        </w:rPr>
        <w:t>Poznámka: Zahraniční zdroje jsou od roku 2005 k dispozici v třídění podle toho</w:t>
      </w:r>
      <w:r w:rsidR="00DF56AE">
        <w:rPr>
          <w:i/>
          <w:iCs/>
          <w:szCs w:val="20"/>
        </w:rPr>
        <w:t>,</w:t>
      </w:r>
      <w:r>
        <w:rPr>
          <w:i/>
          <w:iCs/>
          <w:szCs w:val="20"/>
        </w:rPr>
        <w:t xml:space="preserve"> zda jde o</w:t>
      </w:r>
      <w:r w:rsidR="003A1C9B">
        <w:rPr>
          <w:i/>
          <w:iCs/>
          <w:szCs w:val="20"/>
        </w:rPr>
        <w:t> </w:t>
      </w:r>
      <w:r w:rsidRPr="00DF56AE">
        <w:rPr>
          <w:b/>
          <w:i/>
          <w:iCs/>
          <w:szCs w:val="20"/>
        </w:rPr>
        <w:t xml:space="preserve">soukromé (podnikatelské) nebo veřejné </w:t>
      </w:r>
      <w:r w:rsidR="00DF56AE" w:rsidRPr="00DF56AE">
        <w:rPr>
          <w:b/>
          <w:i/>
          <w:iCs/>
          <w:szCs w:val="20"/>
        </w:rPr>
        <w:t xml:space="preserve">zahraniční </w:t>
      </w:r>
      <w:r w:rsidRPr="00DF56AE">
        <w:rPr>
          <w:b/>
          <w:i/>
          <w:iCs/>
          <w:szCs w:val="20"/>
        </w:rPr>
        <w:t>zdroje</w:t>
      </w:r>
      <w:r>
        <w:rPr>
          <w:i/>
          <w:iCs/>
          <w:szCs w:val="20"/>
        </w:rPr>
        <w:t xml:space="preserve">. </w:t>
      </w:r>
      <w:r w:rsidR="00DF56AE" w:rsidRPr="00DF56AE">
        <w:rPr>
          <w:rFonts w:eastAsia="Times New Roman" w:cs="Arial"/>
          <w:i/>
          <w:iCs/>
          <w:szCs w:val="20"/>
          <w:lang w:eastAsia="cs-CZ"/>
        </w:rPr>
        <w:t xml:space="preserve">Do </w:t>
      </w:r>
      <w:r w:rsidR="00DF56AE">
        <w:rPr>
          <w:rFonts w:eastAsia="Times New Roman" w:cs="Arial"/>
          <w:i/>
          <w:iCs/>
          <w:szCs w:val="20"/>
          <w:lang w:eastAsia="cs-CZ"/>
        </w:rPr>
        <w:t xml:space="preserve">veřejných </w:t>
      </w:r>
      <w:r w:rsidR="00DF56AE" w:rsidRPr="00DF56AE">
        <w:rPr>
          <w:rFonts w:eastAsia="Times New Roman" w:cs="Arial"/>
          <w:i/>
          <w:iCs/>
          <w:szCs w:val="20"/>
          <w:lang w:eastAsia="cs-CZ"/>
        </w:rPr>
        <w:t>zahraničních zdrojů musí být započteny i případné zúčtované prostředky z předfinancování těchto prostředků. K předfinancování, ať už ze státního rozpočtu ČR nebo z vlastních zdrojů či úvěrů sledovaných zpravodajských jednotek, dochází zejména v př</w:t>
      </w:r>
      <w:r w:rsidR="003A1C9B">
        <w:rPr>
          <w:rFonts w:eastAsia="Times New Roman" w:cs="Arial"/>
          <w:i/>
          <w:iCs/>
          <w:szCs w:val="20"/>
          <w:lang w:eastAsia="cs-CZ"/>
        </w:rPr>
        <w:t>ípadě prostředků přislíbených z </w:t>
      </w:r>
      <w:r w:rsidR="00DF56AE" w:rsidRPr="00DF56AE">
        <w:rPr>
          <w:rFonts w:eastAsia="Times New Roman" w:cs="Arial"/>
          <w:i/>
          <w:iCs/>
          <w:szCs w:val="20"/>
          <w:lang w:eastAsia="cs-CZ"/>
        </w:rPr>
        <w:t>rozpočtu EU, ať už v rámci jednotlivých operačních programů financovaných ze strukturálních fondů nebo rámcových či jiných výzkumných programů EU určených na podporu VaV prováděného v ČR.</w:t>
      </w:r>
      <w:r w:rsidR="00DF56AE" w:rsidRPr="00DF56AE">
        <w:rPr>
          <w:rFonts w:eastAsia="Times New Roman" w:cs="Arial"/>
          <w:i/>
          <w:iCs/>
          <w:szCs w:val="20"/>
          <w:lang w:eastAsia="cs-CZ"/>
        </w:rPr>
        <w:tab/>
      </w:r>
    </w:p>
    <w:p w:rsidR="00137887" w:rsidRPr="00DF56AE" w:rsidRDefault="00137887" w:rsidP="00DF56AE">
      <w:pPr>
        <w:spacing w:after="120"/>
        <w:jc w:val="both"/>
        <w:rPr>
          <w:iCs/>
          <w:szCs w:val="20"/>
        </w:rPr>
      </w:pPr>
      <w:r w:rsidRPr="00DF56AE">
        <w:rPr>
          <w:iCs/>
          <w:szCs w:val="20"/>
        </w:rPr>
        <w:t xml:space="preserve">Kromě výše uvedených hlavních zdrojů se na financování VaV podílejí i </w:t>
      </w:r>
      <w:r w:rsidRPr="00DF56AE">
        <w:rPr>
          <w:b/>
          <w:bCs/>
          <w:iCs/>
          <w:szCs w:val="20"/>
        </w:rPr>
        <w:t>ostatní národní zdroje</w:t>
      </w:r>
      <w:r w:rsidRPr="00DF56AE">
        <w:rPr>
          <w:iCs/>
          <w:szCs w:val="20"/>
        </w:rPr>
        <w:t>, které tvoří</w:t>
      </w:r>
      <w:r w:rsidRPr="00DF56AE">
        <w:rPr>
          <w:b/>
          <w:bCs/>
          <w:iCs/>
          <w:szCs w:val="20"/>
        </w:rPr>
        <w:t xml:space="preserve"> </w:t>
      </w:r>
      <w:r w:rsidRPr="00DF56AE">
        <w:rPr>
          <w:iCs/>
          <w:szCs w:val="20"/>
        </w:rPr>
        <w:t>vlastní příjmy vysokých škol a soukromých neziskových institucí nepocházející ze státního rozpočtu, podnikatelského sektoru nebo ze zahraničí. Tyto zdroje jsou v rámci celkových výdajů na VaV u nás zanedbatelné.</w:t>
      </w:r>
    </w:p>
    <w:p w:rsidR="00427173" w:rsidRDefault="00427173" w:rsidP="00427173">
      <w:pPr>
        <w:pStyle w:val="Zkladntext"/>
        <w:jc w:val="both"/>
      </w:pPr>
      <w:r w:rsidRPr="00427173">
        <w:rPr>
          <w:bCs/>
          <w:i/>
        </w:rPr>
        <w:lastRenderedPageBreak/>
        <w:t>Poznámka:</w:t>
      </w:r>
      <w:r>
        <w:rPr>
          <w:b/>
          <w:bCs/>
          <w:i/>
        </w:rPr>
        <w:t xml:space="preserve"> </w:t>
      </w:r>
      <w:r w:rsidRPr="00427173">
        <w:rPr>
          <w:b/>
          <w:bCs/>
          <w:i/>
        </w:rPr>
        <w:t xml:space="preserve">Podvojné sledování </w:t>
      </w:r>
      <w:r w:rsidRPr="00427173">
        <w:rPr>
          <w:i/>
        </w:rPr>
        <w:t>výdajů na výzkum a vývoj podle </w:t>
      </w:r>
      <w:r w:rsidRPr="00427173">
        <w:rPr>
          <w:rFonts w:cs="Arial"/>
          <w:i/>
          <w:szCs w:val="16"/>
        </w:rPr>
        <w:t>zdrojů</w:t>
      </w:r>
      <w:r w:rsidRPr="00427173">
        <w:rPr>
          <w:i/>
        </w:rPr>
        <w:t xml:space="preserve"> financování a </w:t>
      </w:r>
      <w:r w:rsidRPr="00427173">
        <w:rPr>
          <w:rFonts w:cs="Arial"/>
          <w:i/>
          <w:szCs w:val="16"/>
        </w:rPr>
        <w:t>sektorů</w:t>
      </w:r>
      <w:r w:rsidRPr="00427173">
        <w:rPr>
          <w:i/>
        </w:rPr>
        <w:t xml:space="preserve"> provádění umožňuje zjišťovat toky finančních prostředků mezi sektory a hodnotit tak stav vzájemných interakcí (jejich otevřenost či uzavřenost).</w:t>
      </w:r>
      <w:r>
        <w:rPr>
          <w:i/>
        </w:rPr>
        <w:t xml:space="preserve"> </w:t>
      </w:r>
      <w:r w:rsidRPr="00880087">
        <w:rPr>
          <w:i/>
        </w:rPr>
        <w:t>Z tohoto důvodu byla vytvořena samostatná grafická (schematická) příloha této publikace: „Spolupráce mezi sektory v oblasti VaV v ČR za rok 2012“ znázorňující výše uvedené finanční toky v oblasti VaV.</w:t>
      </w:r>
      <w:r>
        <w:t xml:space="preserve">  </w:t>
      </w:r>
    </w:p>
    <w:p w:rsidR="00137887" w:rsidRPr="003E275A" w:rsidRDefault="00DF56AE" w:rsidP="00DF56AE">
      <w:pPr>
        <w:spacing w:before="60" w:after="0"/>
        <w:jc w:val="both"/>
        <w:rPr>
          <w:rFonts w:cs="Arial"/>
          <w:szCs w:val="20"/>
        </w:rPr>
      </w:pPr>
      <w:r>
        <w:rPr>
          <w:rFonts w:cs="Arial"/>
          <w:b/>
          <w:bCs/>
          <w:szCs w:val="20"/>
        </w:rPr>
        <w:t xml:space="preserve">B) </w:t>
      </w:r>
      <w:r w:rsidR="00137887" w:rsidRPr="003E275A">
        <w:rPr>
          <w:rFonts w:cs="Arial"/>
          <w:b/>
          <w:bCs/>
          <w:szCs w:val="20"/>
        </w:rPr>
        <w:t>funkční hledisk</w:t>
      </w:r>
      <w:r w:rsidR="005A737C">
        <w:rPr>
          <w:rFonts w:cs="Arial"/>
          <w:b/>
          <w:bCs/>
          <w:szCs w:val="20"/>
        </w:rPr>
        <w:t>o</w:t>
      </w:r>
      <w:r w:rsidR="00137887" w:rsidRPr="003E275A">
        <w:rPr>
          <w:rFonts w:cs="Arial"/>
          <w:b/>
          <w:bCs/>
          <w:szCs w:val="20"/>
        </w:rPr>
        <w:t xml:space="preserve"> </w:t>
      </w:r>
      <w:r w:rsidR="00137887" w:rsidRPr="003E275A">
        <w:rPr>
          <w:rFonts w:cs="Arial"/>
          <w:szCs w:val="20"/>
        </w:rPr>
        <w:t>vynaložených prostředků na vlastní VaV</w:t>
      </w:r>
      <w:r w:rsidR="00727765">
        <w:rPr>
          <w:rFonts w:cs="Arial"/>
          <w:szCs w:val="20"/>
        </w:rPr>
        <w:t>,</w:t>
      </w:r>
      <w:r w:rsidR="00137887" w:rsidRPr="003E275A">
        <w:rPr>
          <w:rFonts w:cs="Arial"/>
          <w:szCs w:val="20"/>
        </w:rPr>
        <w:t xml:space="preserve"> jež zahrnuje: </w:t>
      </w:r>
    </w:p>
    <w:p w:rsidR="00137887" w:rsidRPr="003E275A" w:rsidRDefault="00137887" w:rsidP="00137887">
      <w:pPr>
        <w:numPr>
          <w:ilvl w:val="0"/>
          <w:numId w:val="41"/>
        </w:numPr>
        <w:spacing w:before="60" w:after="0"/>
        <w:ind w:left="714" w:hanging="357"/>
        <w:jc w:val="both"/>
        <w:rPr>
          <w:szCs w:val="20"/>
        </w:rPr>
      </w:pPr>
      <w:r w:rsidRPr="003E275A">
        <w:rPr>
          <w:b/>
          <w:bCs/>
          <w:szCs w:val="20"/>
        </w:rPr>
        <w:t xml:space="preserve">druh nákladů na VaV </w:t>
      </w:r>
      <w:r w:rsidRPr="003E275A">
        <w:rPr>
          <w:szCs w:val="20"/>
        </w:rPr>
        <w:t>(mzdové, ostatní běžné a investiční)</w:t>
      </w:r>
    </w:p>
    <w:p w:rsidR="00137887" w:rsidRPr="003E275A" w:rsidRDefault="00137887" w:rsidP="00137887">
      <w:pPr>
        <w:numPr>
          <w:ilvl w:val="0"/>
          <w:numId w:val="41"/>
        </w:numPr>
        <w:spacing w:before="60" w:after="0"/>
        <w:ind w:left="714" w:hanging="357"/>
        <w:jc w:val="both"/>
        <w:rPr>
          <w:szCs w:val="20"/>
        </w:rPr>
      </w:pPr>
      <w:r w:rsidRPr="003E275A">
        <w:rPr>
          <w:b/>
          <w:bCs/>
          <w:szCs w:val="20"/>
        </w:rPr>
        <w:t xml:space="preserve">typ VaV činnosti </w:t>
      </w:r>
      <w:r w:rsidRPr="003E275A">
        <w:rPr>
          <w:szCs w:val="20"/>
        </w:rPr>
        <w:t xml:space="preserve">(základní výzkum, aplikovaný výzkum a experimentální vývoj) </w:t>
      </w:r>
    </w:p>
    <w:p w:rsidR="00DF56AE" w:rsidRPr="00DF56AE" w:rsidRDefault="00DF56AE" w:rsidP="00DF56AE">
      <w:pPr>
        <w:pStyle w:val="Zkladntext"/>
        <w:widowControl w:val="0"/>
        <w:numPr>
          <w:ilvl w:val="0"/>
          <w:numId w:val="41"/>
        </w:numPr>
        <w:spacing w:before="60" w:after="0"/>
        <w:jc w:val="both"/>
        <w:rPr>
          <w:i/>
        </w:rPr>
      </w:pPr>
      <w:r>
        <w:t xml:space="preserve">vybrané </w:t>
      </w:r>
      <w:r w:rsidRPr="00DF56AE">
        <w:rPr>
          <w:b/>
        </w:rPr>
        <w:t>technologické oblasti</w:t>
      </w:r>
      <w:r>
        <w:t xml:space="preserve"> (</w:t>
      </w:r>
      <w:r w:rsidRPr="00723B50">
        <w:t xml:space="preserve">informační a komunikační technologie, biotechnologie, </w:t>
      </w:r>
      <w:proofErr w:type="spellStart"/>
      <w:r>
        <w:t>nanotechnologie</w:t>
      </w:r>
      <w:proofErr w:type="spellEnd"/>
      <w:r>
        <w:t xml:space="preserve"> a </w:t>
      </w:r>
      <w:proofErr w:type="spellStart"/>
      <w:r>
        <w:t>nanomateriály</w:t>
      </w:r>
      <w:proofErr w:type="spellEnd"/>
      <w:r>
        <w:t xml:space="preserve">). </w:t>
      </w:r>
      <w:r w:rsidRPr="00DF56AE">
        <w:rPr>
          <w:i/>
        </w:rPr>
        <w:t xml:space="preserve">Údaje o výdajích na VaV ve vybraných oblastech jsou dostupné až od roku 2005. </w:t>
      </w:r>
    </w:p>
    <w:p w:rsidR="00DF56AE" w:rsidRPr="00383B49" w:rsidRDefault="00383B49" w:rsidP="00DF56AE">
      <w:pPr>
        <w:spacing w:before="60" w:after="0"/>
        <w:ind w:left="708"/>
        <w:jc w:val="both"/>
        <w:rPr>
          <w:rFonts w:cs="Arial"/>
          <w:i/>
          <w:szCs w:val="20"/>
        </w:rPr>
      </w:pPr>
      <w:r w:rsidRPr="00383B49">
        <w:rPr>
          <w:rFonts w:cs="Arial"/>
          <w:b/>
          <w:i/>
          <w:szCs w:val="20"/>
        </w:rPr>
        <w:t>I</w:t>
      </w:r>
      <w:r w:rsidR="00880087">
        <w:rPr>
          <w:rFonts w:cs="Arial"/>
          <w:b/>
          <w:i/>
          <w:szCs w:val="20"/>
        </w:rPr>
        <w:t>nformační a komunikační technologie</w:t>
      </w:r>
      <w:r w:rsidR="00DF56AE" w:rsidRPr="00383B49">
        <w:rPr>
          <w:rFonts w:cs="Arial"/>
          <w:b/>
          <w:i/>
          <w:szCs w:val="20"/>
        </w:rPr>
        <w:t xml:space="preserve"> (ICT)</w:t>
      </w:r>
      <w:r w:rsidR="00DF56AE" w:rsidRPr="00383B49">
        <w:rPr>
          <w:rFonts w:cs="Arial"/>
          <w:i/>
          <w:szCs w:val="20"/>
        </w:rPr>
        <w:t xml:space="preserve"> j</w:t>
      </w:r>
      <w:r w:rsidRPr="00383B49">
        <w:rPr>
          <w:rFonts w:cs="Arial"/>
          <w:i/>
          <w:szCs w:val="20"/>
        </w:rPr>
        <w:t>sou</w:t>
      </w:r>
      <w:r w:rsidR="00DF56AE" w:rsidRPr="00383B49">
        <w:rPr>
          <w:rFonts w:cs="Arial"/>
          <w:i/>
          <w:szCs w:val="20"/>
        </w:rPr>
        <w:t xml:space="preserve"> definován</w:t>
      </w:r>
      <w:r w:rsidRPr="00383B49">
        <w:rPr>
          <w:rFonts w:cs="Arial"/>
          <w:i/>
          <w:szCs w:val="20"/>
        </w:rPr>
        <w:t>y</w:t>
      </w:r>
      <w:r w:rsidR="00DF56AE" w:rsidRPr="00383B49">
        <w:rPr>
          <w:rFonts w:cs="Arial"/>
          <w:i/>
          <w:szCs w:val="20"/>
        </w:rPr>
        <w:t xml:space="preserve"> podle Klasifikace produkce (CZ-CPA) následovně:</w:t>
      </w:r>
    </w:p>
    <w:p w:rsidR="00383B49" w:rsidRPr="00383B49" w:rsidRDefault="00DF56AE" w:rsidP="00383B49">
      <w:pPr>
        <w:numPr>
          <w:ilvl w:val="0"/>
          <w:numId w:val="41"/>
        </w:numPr>
        <w:tabs>
          <w:tab w:val="clear" w:pos="720"/>
          <w:tab w:val="num" w:pos="1134"/>
        </w:tabs>
        <w:spacing w:before="60" w:after="0"/>
        <w:ind w:left="1134"/>
        <w:jc w:val="both"/>
        <w:rPr>
          <w:rFonts w:cs="Arial"/>
          <w:i/>
          <w:szCs w:val="20"/>
        </w:rPr>
      </w:pPr>
      <w:r w:rsidRPr="00383B49">
        <w:rPr>
          <w:rFonts w:cs="Arial"/>
          <w:b/>
          <w:i/>
          <w:szCs w:val="20"/>
        </w:rPr>
        <w:t>ICT zařízení a vybavení (hardware):</w:t>
      </w:r>
      <w:r w:rsidRPr="00383B49">
        <w:rPr>
          <w:rFonts w:cs="Arial"/>
          <w:i/>
          <w:szCs w:val="20"/>
        </w:rPr>
        <w:t xml:space="preserve"> CZ-CPA 26.1 (Elektronické součástky a desky); CZ-CPA 26.2 (Počítače, jejich díly, příslušenství a periferní zařízení); CZ-CPA 26.3 (Komunikační zařízení, jejich díly a příslušenství a CZ-CPA 26.4 (Spotřební elektronika - audiovizuální přístroje a zařízení</w:t>
      </w:r>
      <w:r w:rsidR="00383B49" w:rsidRPr="00383B49">
        <w:rPr>
          <w:rFonts w:cs="Arial"/>
          <w:i/>
          <w:szCs w:val="20"/>
        </w:rPr>
        <w:t xml:space="preserve">). </w:t>
      </w:r>
    </w:p>
    <w:p w:rsidR="00383B49" w:rsidRPr="00383B49" w:rsidRDefault="00383B49" w:rsidP="00383B49">
      <w:pPr>
        <w:numPr>
          <w:ilvl w:val="0"/>
          <w:numId w:val="41"/>
        </w:numPr>
        <w:tabs>
          <w:tab w:val="clear" w:pos="720"/>
          <w:tab w:val="num" w:pos="1134"/>
        </w:tabs>
        <w:spacing w:before="60" w:after="0"/>
        <w:ind w:left="1134"/>
        <w:jc w:val="both"/>
        <w:rPr>
          <w:rFonts w:cs="Arial"/>
          <w:i/>
          <w:szCs w:val="20"/>
        </w:rPr>
      </w:pPr>
      <w:r w:rsidRPr="00383B49">
        <w:rPr>
          <w:rFonts w:cs="Arial"/>
          <w:b/>
          <w:i/>
          <w:szCs w:val="20"/>
        </w:rPr>
        <w:t xml:space="preserve">Programování a poskytování ICT služeb (software): </w:t>
      </w:r>
      <w:r w:rsidRPr="00383B49">
        <w:rPr>
          <w:rFonts w:cs="Arial"/>
          <w:i/>
          <w:szCs w:val="20"/>
        </w:rPr>
        <w:t>CZ-CPA 61 (Telekomunikační a internetové služby); CZ-CPA 60 (Služby v oblasti programování a související služby) a CZ-CPA 63.1 (Zpracování dat, související služby, we</w:t>
      </w:r>
      <w:r w:rsidR="003A1C9B">
        <w:rPr>
          <w:rFonts w:cs="Arial"/>
          <w:i/>
          <w:szCs w:val="20"/>
        </w:rPr>
        <w:t>bové portály). Výzkum a vývoj v </w:t>
      </w:r>
      <w:r w:rsidRPr="00383B49">
        <w:rPr>
          <w:rFonts w:cs="Arial"/>
          <w:i/>
          <w:szCs w:val="20"/>
        </w:rPr>
        <w:t xml:space="preserve">oblasti programování a poskytování ICT služeb </w:t>
      </w:r>
      <w:r w:rsidRPr="00383B49">
        <w:rPr>
          <w:rFonts w:cs="Arial"/>
          <w:b/>
          <w:i/>
          <w:szCs w:val="20"/>
        </w:rPr>
        <w:t>zahrnuje pouze</w:t>
      </w:r>
      <w:r w:rsidRPr="00383B49">
        <w:rPr>
          <w:rFonts w:cs="Arial"/>
          <w:i/>
          <w:szCs w:val="20"/>
        </w:rPr>
        <w:t xml:space="preserve"> takové činnosti, které představují vědecko-technologický pokrok. Například nové poučky a algoritmy počítačové vědy, nové nebo významně změněné operační systémy, programovací jazyky, aplikační programy, vývoj internetové technologie atd.</w:t>
      </w:r>
    </w:p>
    <w:p w:rsidR="00DF56AE" w:rsidRPr="00383B49" w:rsidRDefault="00383B49" w:rsidP="00383B49">
      <w:pPr>
        <w:spacing w:before="60" w:after="0"/>
        <w:ind w:left="1134"/>
        <w:jc w:val="both"/>
        <w:rPr>
          <w:rFonts w:cs="Arial"/>
          <w:i/>
          <w:szCs w:val="20"/>
        </w:rPr>
      </w:pPr>
      <w:r w:rsidRPr="00383B49">
        <w:rPr>
          <w:rFonts w:cs="Arial"/>
          <w:i/>
          <w:szCs w:val="20"/>
        </w:rPr>
        <w:t xml:space="preserve">Poznámka: </w:t>
      </w:r>
      <w:r w:rsidR="00DF56AE" w:rsidRPr="00383B49">
        <w:rPr>
          <w:rFonts w:cs="Arial"/>
          <w:i/>
          <w:szCs w:val="20"/>
        </w:rPr>
        <w:t>Podrobné vymezení výše uvedených produkt</w:t>
      </w:r>
      <w:r w:rsidR="00727765">
        <w:rPr>
          <w:rFonts w:cs="Arial"/>
          <w:i/>
          <w:szCs w:val="20"/>
        </w:rPr>
        <w:t>ů</w:t>
      </w:r>
      <w:r w:rsidR="00DF56AE" w:rsidRPr="00383B49">
        <w:rPr>
          <w:rFonts w:cs="Arial"/>
          <w:i/>
          <w:szCs w:val="20"/>
        </w:rPr>
        <w:t xml:space="preserve"> (výrobk</w:t>
      </w:r>
      <w:r w:rsidR="00727765">
        <w:rPr>
          <w:rFonts w:cs="Arial"/>
          <w:i/>
          <w:szCs w:val="20"/>
        </w:rPr>
        <w:t>ů</w:t>
      </w:r>
      <w:r w:rsidR="00DF56AE" w:rsidRPr="00383B49">
        <w:rPr>
          <w:rFonts w:cs="Arial"/>
          <w:i/>
          <w:szCs w:val="20"/>
        </w:rPr>
        <w:t xml:space="preserve"> a služeb) spadající</w:t>
      </w:r>
      <w:r w:rsidR="00727765">
        <w:rPr>
          <w:rFonts w:cs="Arial"/>
          <w:i/>
          <w:szCs w:val="20"/>
        </w:rPr>
        <w:t>ch</w:t>
      </w:r>
      <w:r w:rsidR="00DF56AE" w:rsidRPr="00383B49">
        <w:rPr>
          <w:rFonts w:cs="Arial"/>
          <w:i/>
          <w:szCs w:val="20"/>
        </w:rPr>
        <w:t xml:space="preserve"> pod kategorii ICT dle klasifikace CZ-CPA naleznete pod</w:t>
      </w:r>
      <w:r w:rsidRPr="00383B49">
        <w:rPr>
          <w:rFonts w:cs="Arial"/>
          <w:i/>
          <w:szCs w:val="20"/>
        </w:rPr>
        <w:t xml:space="preserve"> </w:t>
      </w:r>
      <w:r w:rsidR="00DF56AE" w:rsidRPr="00383B49">
        <w:rPr>
          <w:rFonts w:cs="Arial"/>
          <w:i/>
          <w:szCs w:val="20"/>
        </w:rPr>
        <w:t>následujícím odkazem: http//www-czso.cz/csu/klasifik.nsf/klasifikace_produkce_(cz_cpa)</w:t>
      </w:r>
    </w:p>
    <w:p w:rsidR="008744E1" w:rsidRPr="008744E1" w:rsidRDefault="00DF56AE" w:rsidP="008744E1">
      <w:pPr>
        <w:spacing w:before="60" w:after="0"/>
        <w:ind w:left="708"/>
        <w:jc w:val="both"/>
        <w:rPr>
          <w:rFonts w:cs="Arial"/>
          <w:szCs w:val="20"/>
        </w:rPr>
      </w:pPr>
      <w:r w:rsidRPr="00383B49">
        <w:rPr>
          <w:rFonts w:cs="Arial"/>
          <w:b/>
          <w:i/>
          <w:szCs w:val="20"/>
        </w:rPr>
        <w:t xml:space="preserve">Biotechnologie </w:t>
      </w:r>
      <w:r w:rsidRPr="00383B49">
        <w:rPr>
          <w:rFonts w:cs="Arial"/>
          <w:i/>
          <w:szCs w:val="20"/>
        </w:rPr>
        <w:t>podle definice OECD p</w:t>
      </w:r>
      <w:r w:rsidR="00383B49" w:rsidRPr="00383B49">
        <w:rPr>
          <w:rFonts w:cs="Arial"/>
          <w:i/>
          <w:szCs w:val="20"/>
        </w:rPr>
        <w:t>ř</w:t>
      </w:r>
      <w:r w:rsidRPr="00383B49">
        <w:rPr>
          <w:rFonts w:cs="Arial"/>
          <w:i/>
          <w:szCs w:val="20"/>
        </w:rPr>
        <w:t>edstavuje aplikování v</w:t>
      </w:r>
      <w:r w:rsidR="00383B49" w:rsidRPr="00383B49">
        <w:rPr>
          <w:rFonts w:cs="Arial"/>
          <w:i/>
          <w:szCs w:val="20"/>
        </w:rPr>
        <w:t>ě</w:t>
      </w:r>
      <w:r w:rsidRPr="00383B49">
        <w:rPr>
          <w:rFonts w:cs="Arial"/>
          <w:i/>
          <w:szCs w:val="20"/>
        </w:rPr>
        <w:t xml:space="preserve">deckých a technologických metod na živé organismy a jejich </w:t>
      </w:r>
      <w:r w:rsidR="00383B49" w:rsidRPr="00383B49">
        <w:rPr>
          <w:rFonts w:cs="Arial"/>
          <w:i/>
          <w:szCs w:val="20"/>
        </w:rPr>
        <w:t>č</w:t>
      </w:r>
      <w:r w:rsidRPr="00383B49">
        <w:rPr>
          <w:rFonts w:cs="Arial"/>
          <w:i/>
          <w:szCs w:val="20"/>
        </w:rPr>
        <w:t>ásti, produkty</w:t>
      </w:r>
      <w:r w:rsidR="00383B49" w:rsidRPr="00383B49">
        <w:rPr>
          <w:rFonts w:cs="Arial"/>
          <w:i/>
          <w:szCs w:val="20"/>
        </w:rPr>
        <w:t xml:space="preserve"> </w:t>
      </w:r>
      <w:r w:rsidRPr="00383B49">
        <w:rPr>
          <w:rFonts w:cs="Arial"/>
          <w:i/>
          <w:szCs w:val="20"/>
        </w:rPr>
        <w:t>nebo modely za ú</w:t>
      </w:r>
      <w:r w:rsidR="00383B49" w:rsidRPr="00383B49">
        <w:rPr>
          <w:rFonts w:cs="Arial"/>
          <w:i/>
          <w:szCs w:val="20"/>
        </w:rPr>
        <w:t>č</w:t>
      </w:r>
      <w:r w:rsidRPr="00383B49">
        <w:rPr>
          <w:rFonts w:cs="Arial"/>
          <w:i/>
          <w:szCs w:val="20"/>
        </w:rPr>
        <w:t>elem p</w:t>
      </w:r>
      <w:r w:rsidR="00383B49" w:rsidRPr="00383B49">
        <w:rPr>
          <w:rFonts w:cs="Arial"/>
          <w:i/>
          <w:szCs w:val="20"/>
        </w:rPr>
        <w:t>ř</w:t>
      </w:r>
      <w:r w:rsidRPr="00383B49">
        <w:rPr>
          <w:rFonts w:cs="Arial"/>
          <w:i/>
          <w:szCs w:val="20"/>
        </w:rPr>
        <w:t>em</w:t>
      </w:r>
      <w:r w:rsidR="00383B49" w:rsidRPr="00383B49">
        <w:rPr>
          <w:rFonts w:cs="Arial"/>
          <w:i/>
          <w:szCs w:val="20"/>
        </w:rPr>
        <w:t>ě</w:t>
      </w:r>
      <w:r w:rsidRPr="00383B49">
        <w:rPr>
          <w:rFonts w:cs="Arial"/>
          <w:i/>
          <w:szCs w:val="20"/>
        </w:rPr>
        <w:t>ny živých i neživých materiálu pro vytvá</w:t>
      </w:r>
      <w:r w:rsidR="00383B49" w:rsidRPr="00383B49">
        <w:rPr>
          <w:rFonts w:cs="Arial"/>
          <w:i/>
          <w:szCs w:val="20"/>
        </w:rPr>
        <w:t>ř</w:t>
      </w:r>
      <w:r w:rsidRPr="00383B49">
        <w:rPr>
          <w:rFonts w:cs="Arial"/>
          <w:i/>
          <w:szCs w:val="20"/>
        </w:rPr>
        <w:t>ení znalostí, zboží a služeb.</w:t>
      </w:r>
    </w:p>
    <w:p w:rsidR="00DF56AE" w:rsidRPr="008744E1" w:rsidRDefault="00DF56AE" w:rsidP="008744E1">
      <w:pPr>
        <w:spacing w:before="60" w:after="0"/>
        <w:ind w:left="708"/>
        <w:jc w:val="both"/>
        <w:rPr>
          <w:rFonts w:cs="Arial"/>
          <w:i/>
          <w:szCs w:val="20"/>
        </w:rPr>
      </w:pPr>
      <w:proofErr w:type="spellStart"/>
      <w:r w:rsidRPr="008744E1">
        <w:rPr>
          <w:rFonts w:cs="Arial"/>
          <w:b/>
          <w:i/>
          <w:szCs w:val="20"/>
        </w:rPr>
        <w:t>Nanotechnologie</w:t>
      </w:r>
      <w:proofErr w:type="spellEnd"/>
      <w:r w:rsidRPr="008744E1">
        <w:rPr>
          <w:rFonts w:cs="Arial"/>
          <w:b/>
          <w:i/>
          <w:szCs w:val="20"/>
        </w:rPr>
        <w:t xml:space="preserve"> </w:t>
      </w:r>
      <w:r w:rsidRPr="008744E1">
        <w:rPr>
          <w:rFonts w:cs="Arial"/>
          <w:i/>
          <w:szCs w:val="20"/>
        </w:rPr>
        <w:t>jsou definovány jako soubor v</w:t>
      </w:r>
      <w:r w:rsidR="008744E1" w:rsidRPr="008744E1">
        <w:rPr>
          <w:rFonts w:cs="Arial"/>
          <w:i/>
          <w:szCs w:val="20"/>
        </w:rPr>
        <w:t>ě</w:t>
      </w:r>
      <w:r w:rsidRPr="008744E1">
        <w:rPr>
          <w:rFonts w:cs="Arial"/>
          <w:i/>
          <w:szCs w:val="20"/>
        </w:rPr>
        <w:t>d a technologií, které umož</w:t>
      </w:r>
      <w:r w:rsidR="008744E1" w:rsidRPr="008744E1">
        <w:rPr>
          <w:rFonts w:cs="Arial"/>
          <w:i/>
          <w:szCs w:val="20"/>
        </w:rPr>
        <w:t>ňu</w:t>
      </w:r>
      <w:r w:rsidRPr="008744E1">
        <w:rPr>
          <w:rFonts w:cs="Arial"/>
          <w:i/>
          <w:szCs w:val="20"/>
        </w:rPr>
        <w:t>jí manipulaci, studium nebo využití velmi malých struktur</w:t>
      </w:r>
      <w:r w:rsidR="008744E1" w:rsidRPr="008744E1">
        <w:rPr>
          <w:rFonts w:cs="Arial"/>
          <w:i/>
          <w:szCs w:val="20"/>
        </w:rPr>
        <w:t xml:space="preserve"> </w:t>
      </w:r>
      <w:r w:rsidRPr="008744E1">
        <w:rPr>
          <w:rFonts w:cs="Arial"/>
          <w:i/>
          <w:szCs w:val="20"/>
        </w:rPr>
        <w:t>a systém</w:t>
      </w:r>
      <w:r w:rsidR="00727765">
        <w:rPr>
          <w:rFonts w:cs="Arial"/>
          <w:i/>
          <w:szCs w:val="20"/>
        </w:rPr>
        <w:t>ů</w:t>
      </w:r>
      <w:r w:rsidRPr="008744E1">
        <w:rPr>
          <w:rFonts w:cs="Arial"/>
          <w:i/>
          <w:szCs w:val="20"/>
        </w:rPr>
        <w:t xml:space="preserve"> (typicky v rozsahu 1-100 nanometru). </w:t>
      </w:r>
      <w:proofErr w:type="spellStart"/>
      <w:r w:rsidRPr="008744E1">
        <w:rPr>
          <w:rFonts w:cs="Arial"/>
          <w:i/>
          <w:szCs w:val="20"/>
        </w:rPr>
        <w:t>Nanotechnologie</w:t>
      </w:r>
      <w:proofErr w:type="spellEnd"/>
      <w:r w:rsidRPr="008744E1">
        <w:rPr>
          <w:rFonts w:cs="Arial"/>
          <w:i/>
          <w:szCs w:val="20"/>
        </w:rPr>
        <w:t xml:space="preserve"> je v podstat</w:t>
      </w:r>
      <w:r w:rsidR="008744E1" w:rsidRPr="008744E1">
        <w:rPr>
          <w:rFonts w:cs="Arial"/>
          <w:i/>
          <w:szCs w:val="20"/>
        </w:rPr>
        <w:t>ě</w:t>
      </w:r>
      <w:r w:rsidRPr="008744E1">
        <w:rPr>
          <w:rFonts w:cs="Arial"/>
          <w:i/>
          <w:szCs w:val="20"/>
        </w:rPr>
        <w:t xml:space="preserve"> materiálové inženýrství p</w:t>
      </w:r>
      <w:r w:rsidR="008744E1" w:rsidRPr="008744E1">
        <w:rPr>
          <w:rFonts w:cs="Arial"/>
          <w:i/>
          <w:szCs w:val="20"/>
        </w:rPr>
        <w:t>ř</w:t>
      </w:r>
      <w:r w:rsidRPr="008744E1">
        <w:rPr>
          <w:rFonts w:cs="Arial"/>
          <w:i/>
          <w:szCs w:val="20"/>
        </w:rPr>
        <w:t>ímo na úrovni jednotlivých atom</w:t>
      </w:r>
      <w:r w:rsidR="008744E1" w:rsidRPr="008744E1">
        <w:rPr>
          <w:rFonts w:cs="Arial"/>
          <w:i/>
          <w:szCs w:val="20"/>
        </w:rPr>
        <w:t>ů</w:t>
      </w:r>
      <w:r w:rsidRPr="008744E1">
        <w:rPr>
          <w:rFonts w:cs="Arial"/>
          <w:i/>
          <w:szCs w:val="20"/>
        </w:rPr>
        <w:t>.</w:t>
      </w:r>
    </w:p>
    <w:p w:rsidR="00C414C0" w:rsidRPr="0014020C" w:rsidRDefault="008744E1" w:rsidP="008744E1">
      <w:pPr>
        <w:widowControl w:val="0"/>
        <w:numPr>
          <w:ilvl w:val="0"/>
          <w:numId w:val="41"/>
        </w:numPr>
        <w:spacing w:before="60" w:after="0"/>
        <w:ind w:left="709" w:hanging="357"/>
        <w:jc w:val="both"/>
        <w:rPr>
          <w:i/>
        </w:rPr>
      </w:pPr>
      <w:r w:rsidRPr="0014020C">
        <w:rPr>
          <w:bCs/>
          <w:szCs w:val="20"/>
        </w:rPr>
        <w:t>pouze u podnikatelského sektoru i podle</w:t>
      </w:r>
      <w:r w:rsidRPr="0014020C">
        <w:rPr>
          <w:b/>
          <w:bCs/>
          <w:szCs w:val="20"/>
        </w:rPr>
        <w:t xml:space="preserve"> výsledné produkce VaV činností, </w:t>
      </w:r>
      <w:r w:rsidRPr="0014020C">
        <w:rPr>
          <w:bCs/>
          <w:szCs w:val="20"/>
        </w:rPr>
        <w:t>kterým</w:t>
      </w:r>
      <w:r w:rsidRPr="0014020C">
        <w:rPr>
          <w:b/>
          <w:bCs/>
          <w:szCs w:val="20"/>
        </w:rPr>
        <w:t xml:space="preserve"> </w:t>
      </w:r>
      <w:r w:rsidRPr="0014020C">
        <w:rPr>
          <w:bCs/>
          <w:szCs w:val="20"/>
        </w:rPr>
        <w:t>se rozumí</w:t>
      </w:r>
      <w:r w:rsidRPr="0014020C">
        <w:rPr>
          <w:b/>
          <w:bCs/>
          <w:szCs w:val="20"/>
        </w:rPr>
        <w:t xml:space="preserve"> </w:t>
      </w:r>
      <w:r>
        <w:t>výsledek nebo očekávaný výsledek VaV činností definovaný na základě upravené klasifikace produkce CZ-CPA, tj. povahy výrobků nebo služeb, jež jsou předmětem prováděné VaV činnosti zpravodajské jednotky (</w:t>
      </w:r>
      <w:r w:rsidRPr="0014020C">
        <w:rPr>
          <w:b/>
        </w:rPr>
        <w:t>kód produkce VaV</w:t>
      </w:r>
      <w:r>
        <w:t>).</w:t>
      </w:r>
      <w:r w:rsidR="0014020C">
        <w:t xml:space="preserve"> </w:t>
      </w:r>
      <w:r w:rsidRPr="0014020C">
        <w:rPr>
          <w:i/>
        </w:rPr>
        <w:t xml:space="preserve">Kód produkce VaV </w:t>
      </w:r>
      <w:r w:rsidR="0014020C">
        <w:rPr>
          <w:i/>
        </w:rPr>
        <w:t xml:space="preserve">tak </w:t>
      </w:r>
      <w:r w:rsidRPr="0014020C">
        <w:rPr>
          <w:i/>
        </w:rPr>
        <w:t>nemusí souhlasit s převažující ekonomickou činností sledované zpravodajské jednotky</w:t>
      </w:r>
      <w:r w:rsidR="0014020C">
        <w:rPr>
          <w:i/>
        </w:rPr>
        <w:t xml:space="preserve">. </w:t>
      </w:r>
      <w:r w:rsidRPr="0014020C">
        <w:rPr>
          <w:i/>
        </w:rPr>
        <w:t xml:space="preserve">     </w:t>
      </w:r>
    </w:p>
    <w:p w:rsidR="008744E1" w:rsidRPr="00DA2D0E" w:rsidRDefault="008744E1" w:rsidP="008744E1">
      <w:pPr>
        <w:spacing w:before="80" w:after="0"/>
        <w:jc w:val="both"/>
        <w:rPr>
          <w:rFonts w:cs="Arial"/>
          <w:szCs w:val="20"/>
        </w:rPr>
      </w:pPr>
      <w:r w:rsidRPr="00DA2D0E">
        <w:rPr>
          <w:rFonts w:cs="Arial"/>
          <w:szCs w:val="20"/>
        </w:rPr>
        <w:t xml:space="preserve">Uvedené charakteristiky </w:t>
      </w:r>
      <w:r>
        <w:rPr>
          <w:rFonts w:cs="Arial"/>
          <w:szCs w:val="20"/>
        </w:rPr>
        <w:t xml:space="preserve">výdajů na VaV </w:t>
      </w:r>
      <w:r w:rsidRPr="00DA2D0E">
        <w:rPr>
          <w:rFonts w:cs="Arial"/>
          <w:szCs w:val="20"/>
        </w:rPr>
        <w:t xml:space="preserve">jsou dostupné v členěních uvedených </w:t>
      </w:r>
      <w:r>
        <w:rPr>
          <w:rFonts w:cs="Arial"/>
          <w:szCs w:val="20"/>
        </w:rPr>
        <w:t xml:space="preserve">v metodologickém úvodu </w:t>
      </w:r>
      <w:r w:rsidR="00EE50C0">
        <w:rPr>
          <w:rFonts w:cs="Arial"/>
          <w:szCs w:val="20"/>
        </w:rPr>
        <w:t xml:space="preserve">a </w:t>
      </w:r>
      <w:r w:rsidRPr="00DA2D0E">
        <w:rPr>
          <w:rFonts w:cs="Arial"/>
          <w:szCs w:val="20"/>
        </w:rPr>
        <w:t>u jednotlivých sektorů provádění VaV</w:t>
      </w:r>
      <w:r w:rsidR="009E58DA">
        <w:rPr>
          <w:rFonts w:cs="Arial"/>
          <w:szCs w:val="20"/>
        </w:rPr>
        <w:t>.</w:t>
      </w:r>
      <w:r w:rsidRPr="00DA2D0E">
        <w:rPr>
          <w:rFonts w:cs="Arial"/>
          <w:szCs w:val="20"/>
        </w:rPr>
        <w:t xml:space="preserve"> </w:t>
      </w:r>
      <w:r w:rsidR="009E58DA">
        <w:rPr>
          <w:rFonts w:cs="Arial"/>
          <w:szCs w:val="20"/>
        </w:rPr>
        <w:t>Jedná se o</w:t>
      </w:r>
      <w:r>
        <w:rPr>
          <w:rFonts w:cs="Arial"/>
          <w:szCs w:val="20"/>
        </w:rPr>
        <w:t xml:space="preserve"> převažující eko</w:t>
      </w:r>
      <w:r w:rsidR="00727765">
        <w:rPr>
          <w:rFonts w:cs="Arial"/>
          <w:szCs w:val="20"/>
        </w:rPr>
        <w:t>nomick</w:t>
      </w:r>
      <w:r w:rsidR="009E58DA">
        <w:rPr>
          <w:rFonts w:cs="Arial"/>
          <w:szCs w:val="20"/>
        </w:rPr>
        <w:t>ou</w:t>
      </w:r>
      <w:r w:rsidR="00727765">
        <w:rPr>
          <w:rFonts w:cs="Arial"/>
          <w:szCs w:val="20"/>
        </w:rPr>
        <w:t xml:space="preserve"> činnost (klasifikace CZ-</w:t>
      </w:r>
      <w:r>
        <w:rPr>
          <w:rFonts w:cs="Arial"/>
          <w:szCs w:val="20"/>
        </w:rPr>
        <w:t>NACE), převažující skupin</w:t>
      </w:r>
      <w:r w:rsidR="009E58DA">
        <w:rPr>
          <w:rFonts w:cs="Arial"/>
          <w:szCs w:val="20"/>
        </w:rPr>
        <w:t>u</w:t>
      </w:r>
      <w:r>
        <w:rPr>
          <w:rFonts w:cs="Arial"/>
          <w:szCs w:val="20"/>
        </w:rPr>
        <w:t xml:space="preserve"> vědních oblastí (kl</w:t>
      </w:r>
      <w:r w:rsidR="00727765">
        <w:rPr>
          <w:rFonts w:cs="Arial"/>
          <w:szCs w:val="20"/>
        </w:rPr>
        <w:t>asifikace FOS), druh nebo sídlo</w:t>
      </w:r>
      <w:r>
        <w:rPr>
          <w:rFonts w:cs="Arial"/>
          <w:szCs w:val="20"/>
        </w:rPr>
        <w:t xml:space="preserve"> pracoviště</w:t>
      </w:r>
      <w:r w:rsidR="00727765">
        <w:rPr>
          <w:rFonts w:cs="Arial"/>
          <w:szCs w:val="20"/>
        </w:rPr>
        <w:t xml:space="preserve"> (klasifikace CZ-NUTS3)</w:t>
      </w:r>
      <w:r>
        <w:rPr>
          <w:rFonts w:cs="Arial"/>
          <w:szCs w:val="20"/>
        </w:rPr>
        <w:t>, kde se provádí VaV</w:t>
      </w:r>
      <w:r w:rsidRPr="00DA2D0E">
        <w:rPr>
          <w:rFonts w:cs="Arial"/>
          <w:szCs w:val="20"/>
        </w:rPr>
        <w:t xml:space="preserve">. </w:t>
      </w:r>
    </w:p>
    <w:p w:rsidR="00137B72" w:rsidRDefault="00137B72" w:rsidP="00C414C0">
      <w:pPr>
        <w:spacing w:before="0" w:after="120"/>
        <w:jc w:val="both"/>
        <w:rPr>
          <w:rFonts w:eastAsia="Times New Roman" w:cs="Arial"/>
          <w:b/>
          <w:sz w:val="24"/>
          <w:szCs w:val="24"/>
          <w:lang w:eastAsia="cs-CZ"/>
        </w:rPr>
      </w:pPr>
    </w:p>
    <w:p w:rsidR="00137B72" w:rsidRDefault="00137B72" w:rsidP="00C414C0">
      <w:pPr>
        <w:spacing w:before="0" w:after="120"/>
        <w:jc w:val="both"/>
        <w:rPr>
          <w:rFonts w:eastAsia="Times New Roman" w:cs="Arial"/>
          <w:b/>
          <w:sz w:val="24"/>
          <w:szCs w:val="24"/>
          <w:lang w:eastAsia="cs-CZ"/>
        </w:rPr>
      </w:pPr>
    </w:p>
    <w:p w:rsidR="00392597" w:rsidRDefault="00392597" w:rsidP="00C414C0">
      <w:pPr>
        <w:spacing w:before="0" w:after="120"/>
        <w:jc w:val="both"/>
        <w:rPr>
          <w:rFonts w:eastAsia="Times New Roman" w:cs="Arial"/>
          <w:b/>
          <w:sz w:val="24"/>
          <w:szCs w:val="24"/>
          <w:lang w:eastAsia="cs-CZ"/>
        </w:rPr>
      </w:pPr>
    </w:p>
    <w:p w:rsidR="00EE50C0" w:rsidRDefault="00EE50C0" w:rsidP="00C414C0">
      <w:pPr>
        <w:spacing w:before="0" w:after="120"/>
        <w:jc w:val="both"/>
        <w:rPr>
          <w:rFonts w:eastAsia="Times New Roman" w:cs="Arial"/>
          <w:b/>
          <w:sz w:val="24"/>
          <w:szCs w:val="24"/>
          <w:lang w:eastAsia="cs-CZ"/>
        </w:rPr>
      </w:pPr>
    </w:p>
    <w:p w:rsidR="00C071D3" w:rsidRPr="00440355" w:rsidRDefault="00C071D3" w:rsidP="00C414C0">
      <w:pPr>
        <w:spacing w:before="0" w:after="120"/>
        <w:jc w:val="both"/>
        <w:rPr>
          <w:rFonts w:eastAsia="Times New Roman" w:cs="Arial"/>
          <w:b/>
          <w:sz w:val="24"/>
          <w:szCs w:val="24"/>
          <w:lang w:eastAsia="cs-CZ"/>
        </w:rPr>
      </w:pPr>
      <w:r w:rsidRPr="00440355">
        <w:rPr>
          <w:rFonts w:eastAsia="Times New Roman" w:cs="Arial"/>
          <w:b/>
          <w:sz w:val="24"/>
          <w:szCs w:val="24"/>
          <w:lang w:eastAsia="cs-CZ"/>
        </w:rPr>
        <w:lastRenderedPageBreak/>
        <w:t>Mimořádná revize údajů o výdajích na výzkum a vývoj za roky 2005-2011</w:t>
      </w:r>
    </w:p>
    <w:p w:rsidR="00C071D3" w:rsidRDefault="00C071D3" w:rsidP="00C414C0">
      <w:pPr>
        <w:spacing w:before="0" w:after="120"/>
        <w:jc w:val="both"/>
      </w:pPr>
      <w:r>
        <w:t xml:space="preserve">V roce 2013 provedl Český statistický úřad revizi údajů o výdajích na výzkum a vývoj. Revize se opírá o nově zjištěné informace k údajům vykázaným v minulosti respondenty v rámci Ročního šetření výzkumu a vývoje VTR 5-01. Výsledky revize se promítly do dat o výdajích za provedený výzkum a vývoj v České republice za období 2005 až 2011. Některé publikované údaje se proto liší od údajů publikovaných v předchozích letech. Jde především o </w:t>
      </w:r>
      <w:r w:rsidR="00D30F23">
        <w:t>změnu</w:t>
      </w:r>
      <w:r>
        <w:t xml:space="preserve"> </w:t>
      </w:r>
      <w:r w:rsidR="00D30F23">
        <w:t>ve</w:t>
      </w:r>
      <w:r>
        <w:t xml:space="preserve"> výdajích na VaV realizovaný ve zpracovatelském průmyslu</w:t>
      </w:r>
      <w:r w:rsidR="00D30F23">
        <w:t>,</w:t>
      </w:r>
      <w:r>
        <w:t xml:space="preserve"> </w:t>
      </w:r>
      <w:r w:rsidR="00D30F23">
        <w:t>která se promítla</w:t>
      </w:r>
      <w:r>
        <w:t xml:space="preserve"> i do údajů za podnikatelský sektor a do celkových výdajů na VaV, včetně souvisejících poměrových ukazatelů jako je např. jejich podíl na HDP a meziroční nárůsty.</w:t>
      </w:r>
    </w:p>
    <w:p w:rsidR="00D30F23" w:rsidRDefault="00D30F23" w:rsidP="00FA266A">
      <w:pPr>
        <w:spacing w:before="0" w:after="0"/>
        <w:jc w:val="both"/>
      </w:pPr>
      <w:r>
        <w:t xml:space="preserve">Více se o revizi dočtete na: </w:t>
      </w:r>
    </w:p>
    <w:p w:rsidR="00D30F23" w:rsidRPr="00D30F23" w:rsidRDefault="00D30F23" w:rsidP="00C414C0">
      <w:pPr>
        <w:spacing w:before="0" w:after="120"/>
        <w:jc w:val="both"/>
        <w:rPr>
          <w:rFonts w:eastAsia="Times New Roman" w:cs="Arial"/>
          <w:szCs w:val="24"/>
          <w:u w:val="single"/>
          <w:lang w:eastAsia="cs-CZ"/>
        </w:rPr>
      </w:pPr>
      <w:r w:rsidRPr="00D30F23">
        <w:rPr>
          <w:rFonts w:eastAsia="Times New Roman" w:cs="Arial"/>
          <w:szCs w:val="24"/>
          <w:u w:val="single"/>
          <w:lang w:eastAsia="cs-CZ"/>
        </w:rPr>
        <w:t>http://www.czso.cz/csu/redakce.nsf/i/mimoradna_revize_udaju_o_vydajich_na_vyzkum_a_vyvoj_za_roky_2005_2011</w:t>
      </w:r>
    </w:p>
    <w:p w:rsidR="00880087" w:rsidRDefault="00880087" w:rsidP="00FA266A">
      <w:pPr>
        <w:spacing w:after="120"/>
        <w:jc w:val="both"/>
        <w:rPr>
          <w:rFonts w:eastAsia="Times New Roman" w:cs="Arial"/>
          <w:b/>
          <w:szCs w:val="20"/>
          <w:lang w:eastAsia="cs-CZ"/>
        </w:rPr>
      </w:pPr>
    </w:p>
    <w:p w:rsidR="00880087" w:rsidRDefault="00880087" w:rsidP="00FA266A">
      <w:pPr>
        <w:spacing w:after="120"/>
        <w:jc w:val="both"/>
        <w:rPr>
          <w:rFonts w:eastAsia="Times New Roman" w:cs="Arial"/>
          <w:b/>
          <w:szCs w:val="20"/>
          <w:lang w:eastAsia="cs-CZ"/>
        </w:rPr>
      </w:pPr>
    </w:p>
    <w:p w:rsidR="00C414C0" w:rsidRPr="00FA266A" w:rsidRDefault="00C414C0" w:rsidP="00FA266A">
      <w:pPr>
        <w:spacing w:after="120"/>
        <w:jc w:val="both"/>
        <w:rPr>
          <w:rFonts w:eastAsia="Times New Roman" w:cs="Arial"/>
          <w:b/>
          <w:szCs w:val="20"/>
          <w:lang w:eastAsia="cs-CZ"/>
        </w:rPr>
      </w:pPr>
      <w:r w:rsidRPr="00FA266A">
        <w:rPr>
          <w:rFonts w:eastAsia="Times New Roman" w:cs="Arial"/>
          <w:b/>
          <w:szCs w:val="20"/>
          <w:lang w:eastAsia="cs-CZ"/>
        </w:rPr>
        <w:t>Poznámky k údajům v tabulkách a grafech</w:t>
      </w:r>
    </w:p>
    <w:p w:rsidR="00C414C0" w:rsidRPr="00137B72" w:rsidRDefault="00C414C0" w:rsidP="00C414C0">
      <w:pPr>
        <w:numPr>
          <w:ilvl w:val="0"/>
          <w:numId w:val="29"/>
        </w:numPr>
        <w:spacing w:before="60" w:after="0" w:line="288" w:lineRule="auto"/>
        <w:ind w:left="357" w:hanging="357"/>
        <w:jc w:val="both"/>
        <w:rPr>
          <w:rFonts w:eastAsia="Times New Roman" w:cs="Arial"/>
          <w:sz w:val="18"/>
          <w:szCs w:val="20"/>
          <w:lang w:eastAsia="cs-CZ"/>
        </w:rPr>
      </w:pPr>
      <w:r w:rsidRPr="00137B72">
        <w:rPr>
          <w:rFonts w:eastAsia="Times New Roman" w:cs="Arial"/>
          <w:b/>
          <w:bCs/>
          <w:sz w:val="18"/>
          <w:szCs w:val="20"/>
          <w:lang w:eastAsia="cs-CZ"/>
        </w:rPr>
        <w:t>0</w:t>
      </w:r>
      <w:r w:rsidRPr="00137B72">
        <w:rPr>
          <w:rFonts w:eastAsia="Times New Roman" w:cs="Arial"/>
          <w:sz w:val="18"/>
          <w:szCs w:val="20"/>
          <w:lang w:eastAsia="cs-CZ"/>
        </w:rPr>
        <w:t xml:space="preserve"> = nula se používá pro označení číselných údajů menších než polovina zvolené měřící jednotky</w:t>
      </w:r>
    </w:p>
    <w:p w:rsidR="00C414C0" w:rsidRPr="00137B72" w:rsidRDefault="00C414C0" w:rsidP="00C414C0">
      <w:pPr>
        <w:numPr>
          <w:ilvl w:val="0"/>
          <w:numId w:val="29"/>
        </w:numPr>
        <w:spacing w:before="60" w:after="0" w:line="288" w:lineRule="auto"/>
        <w:ind w:left="357" w:hanging="357"/>
        <w:jc w:val="both"/>
        <w:rPr>
          <w:rFonts w:eastAsia="Times New Roman" w:cs="Arial"/>
          <w:sz w:val="18"/>
          <w:szCs w:val="20"/>
          <w:lang w:eastAsia="cs-CZ"/>
        </w:rPr>
      </w:pPr>
      <w:r w:rsidRPr="00137B72">
        <w:rPr>
          <w:rFonts w:eastAsia="Times New Roman" w:cs="Arial"/>
          <w:b/>
          <w:bCs/>
          <w:sz w:val="18"/>
          <w:szCs w:val="20"/>
          <w:lang w:eastAsia="cs-CZ"/>
        </w:rPr>
        <w:t>-</w:t>
      </w:r>
      <w:r w:rsidRPr="00137B72">
        <w:rPr>
          <w:rFonts w:eastAsia="Times New Roman" w:cs="Arial"/>
          <w:sz w:val="18"/>
          <w:szCs w:val="20"/>
          <w:lang w:eastAsia="cs-CZ"/>
        </w:rPr>
        <w:t xml:space="preserve"> = údaj není k dispozici (nespolehlivý, jev se nevyskytoval, ukazatel se nezjišťoval, individuální údaj)</w:t>
      </w:r>
    </w:p>
    <w:p w:rsidR="00C414C0" w:rsidRPr="00137B72" w:rsidRDefault="00C414C0" w:rsidP="00C414C0">
      <w:pPr>
        <w:numPr>
          <w:ilvl w:val="0"/>
          <w:numId w:val="29"/>
        </w:numPr>
        <w:spacing w:before="60" w:after="0" w:line="288" w:lineRule="auto"/>
        <w:ind w:left="357" w:hanging="357"/>
        <w:jc w:val="both"/>
        <w:rPr>
          <w:rFonts w:eastAsia="Times New Roman" w:cs="Arial"/>
          <w:sz w:val="18"/>
          <w:szCs w:val="20"/>
          <w:lang w:eastAsia="cs-CZ"/>
        </w:rPr>
      </w:pPr>
      <w:r w:rsidRPr="00137B72">
        <w:rPr>
          <w:rFonts w:eastAsia="Times New Roman" w:cs="Arial"/>
          <w:sz w:val="18"/>
          <w:szCs w:val="20"/>
          <w:lang w:eastAsia="cs-CZ"/>
        </w:rPr>
        <w:t xml:space="preserve">Výpočty v tabulkách jsou prováděny </w:t>
      </w:r>
      <w:r w:rsidRPr="00137B72">
        <w:rPr>
          <w:rFonts w:eastAsia="Times New Roman" w:cs="Arial"/>
          <w:b/>
          <w:bCs/>
          <w:sz w:val="18"/>
          <w:szCs w:val="20"/>
          <w:lang w:eastAsia="cs-CZ"/>
        </w:rPr>
        <w:t>z nezaokrouhlených údajů</w:t>
      </w:r>
      <w:r w:rsidRPr="00137B72">
        <w:rPr>
          <w:rFonts w:eastAsia="Times New Roman" w:cs="Arial"/>
          <w:sz w:val="18"/>
          <w:szCs w:val="20"/>
          <w:lang w:eastAsia="cs-CZ"/>
        </w:rPr>
        <w:t xml:space="preserve">. </w:t>
      </w:r>
    </w:p>
    <w:p w:rsidR="00C414C0" w:rsidRPr="00137B72" w:rsidRDefault="00C414C0" w:rsidP="00C414C0">
      <w:pPr>
        <w:numPr>
          <w:ilvl w:val="0"/>
          <w:numId w:val="29"/>
        </w:numPr>
        <w:spacing w:before="60" w:after="0" w:line="288" w:lineRule="auto"/>
        <w:ind w:left="357" w:hanging="357"/>
        <w:jc w:val="both"/>
        <w:rPr>
          <w:rFonts w:eastAsia="Times New Roman" w:cs="Arial"/>
          <w:sz w:val="18"/>
          <w:szCs w:val="20"/>
          <w:lang w:eastAsia="cs-CZ"/>
        </w:rPr>
      </w:pPr>
      <w:r w:rsidRPr="00137B72">
        <w:rPr>
          <w:rFonts w:eastAsia="Times New Roman" w:cs="Arial"/>
          <w:sz w:val="18"/>
          <w:szCs w:val="20"/>
          <w:lang w:eastAsia="cs-CZ"/>
        </w:rPr>
        <w:t xml:space="preserve">Uvedené úhrny (součty a mezisoučty) nemusí odpovídat součtu dílčích hodnot z důvodu </w:t>
      </w:r>
      <w:r w:rsidRPr="00137B72">
        <w:rPr>
          <w:rFonts w:eastAsia="Times New Roman" w:cs="Arial"/>
          <w:b/>
          <w:bCs/>
          <w:sz w:val="18"/>
          <w:szCs w:val="20"/>
          <w:lang w:eastAsia="cs-CZ"/>
        </w:rPr>
        <w:t>zaokrouhlování.</w:t>
      </w:r>
    </w:p>
    <w:p w:rsidR="00C414C0" w:rsidRPr="00137B72" w:rsidRDefault="00C414C0" w:rsidP="00C414C0">
      <w:pPr>
        <w:numPr>
          <w:ilvl w:val="0"/>
          <w:numId w:val="29"/>
        </w:numPr>
        <w:spacing w:before="60" w:after="0" w:line="288" w:lineRule="auto"/>
        <w:ind w:left="357" w:hanging="357"/>
        <w:jc w:val="both"/>
        <w:rPr>
          <w:rFonts w:eastAsia="Times New Roman" w:cs="Arial"/>
          <w:sz w:val="18"/>
          <w:szCs w:val="20"/>
          <w:lang w:eastAsia="cs-CZ"/>
        </w:rPr>
      </w:pPr>
      <w:r w:rsidRPr="00137B72">
        <w:rPr>
          <w:rFonts w:eastAsia="Times New Roman" w:cs="Arial"/>
          <w:b/>
          <w:bCs/>
          <w:sz w:val="18"/>
          <w:szCs w:val="20"/>
          <w:lang w:eastAsia="cs-CZ"/>
        </w:rPr>
        <w:t>Průměrný reálný roční nárůst</w:t>
      </w:r>
      <w:r w:rsidRPr="00137B72">
        <w:rPr>
          <w:rFonts w:eastAsia="Times New Roman" w:cs="Arial"/>
          <w:sz w:val="18"/>
          <w:szCs w:val="20"/>
          <w:lang w:eastAsia="cs-CZ"/>
        </w:rPr>
        <w:t xml:space="preserve"> uváděný v grafech pro mezinárodní srovnání je vypočten z hodnot vyjádřených ve stálých cenách v paritě kupních sil. Tento ukazatel byl vypočten jako geometrický průměr.</w:t>
      </w:r>
    </w:p>
    <w:p w:rsidR="00C414C0" w:rsidRPr="00137B72" w:rsidRDefault="00C414C0" w:rsidP="00C414C0">
      <w:pPr>
        <w:numPr>
          <w:ilvl w:val="0"/>
          <w:numId w:val="29"/>
        </w:numPr>
        <w:spacing w:before="60" w:after="0" w:line="288" w:lineRule="auto"/>
        <w:ind w:left="357" w:hanging="357"/>
        <w:jc w:val="both"/>
        <w:rPr>
          <w:rFonts w:eastAsia="Times New Roman" w:cs="Arial"/>
          <w:sz w:val="18"/>
          <w:szCs w:val="20"/>
          <w:lang w:eastAsia="cs-CZ"/>
        </w:rPr>
      </w:pPr>
      <w:r w:rsidRPr="00137B72">
        <w:rPr>
          <w:rFonts w:eastAsia="Times New Roman" w:cs="Arial"/>
          <w:b/>
          <w:bCs/>
          <w:sz w:val="18"/>
          <w:szCs w:val="20"/>
          <w:lang w:eastAsia="cs-CZ"/>
        </w:rPr>
        <w:t xml:space="preserve">Procentní bod </w:t>
      </w:r>
      <w:r w:rsidRPr="00137B72">
        <w:rPr>
          <w:rFonts w:eastAsia="Times New Roman" w:cs="Arial"/>
          <w:sz w:val="18"/>
          <w:szCs w:val="20"/>
          <w:lang w:eastAsia="cs-CZ"/>
        </w:rPr>
        <w:t>udává rozdíl procentních hodnot. Např. pokud byly výdaje na VaV jako podíl HDP v jednom roce na úrovni 5 % a v dalším roce na úrovni 6 %, pak došlo k navýšení o 1 procentní bod.</w:t>
      </w:r>
    </w:p>
    <w:p w:rsidR="00C414C0" w:rsidRPr="00137B72" w:rsidRDefault="00C414C0" w:rsidP="00C414C0">
      <w:pPr>
        <w:numPr>
          <w:ilvl w:val="0"/>
          <w:numId w:val="29"/>
        </w:numPr>
        <w:spacing w:before="60" w:after="0" w:line="288" w:lineRule="auto"/>
        <w:ind w:left="357" w:hanging="357"/>
        <w:jc w:val="both"/>
        <w:rPr>
          <w:rFonts w:eastAsia="Times New Roman" w:cs="Arial"/>
          <w:sz w:val="18"/>
          <w:szCs w:val="20"/>
          <w:lang w:eastAsia="cs-CZ"/>
        </w:rPr>
      </w:pPr>
      <w:r w:rsidRPr="00137B72">
        <w:rPr>
          <w:rFonts w:eastAsia="Times New Roman" w:cs="Arial"/>
          <w:b/>
          <w:bCs/>
          <w:sz w:val="18"/>
          <w:szCs w:val="20"/>
          <w:lang w:eastAsia="cs-CZ"/>
        </w:rPr>
        <w:t xml:space="preserve">Údaje za mezinárodní srovnání: </w:t>
      </w:r>
      <w:r w:rsidRPr="00137B72">
        <w:rPr>
          <w:rFonts w:eastAsia="Times New Roman" w:cs="Arial"/>
          <w:bCs/>
          <w:sz w:val="18"/>
          <w:szCs w:val="20"/>
          <w:lang w:eastAsia="cs-CZ"/>
        </w:rPr>
        <w:t>Údaje pro mezinárodní srovnání pochází z publikace OECD: „</w:t>
      </w:r>
      <w:proofErr w:type="spellStart"/>
      <w:r w:rsidRPr="00137B72">
        <w:rPr>
          <w:rFonts w:eastAsia="Times New Roman" w:cs="Arial"/>
          <w:bCs/>
          <w:sz w:val="18"/>
          <w:szCs w:val="20"/>
          <w:lang w:eastAsia="cs-CZ"/>
        </w:rPr>
        <w:t>Main</w:t>
      </w:r>
      <w:proofErr w:type="spellEnd"/>
      <w:r w:rsidRPr="00137B72">
        <w:rPr>
          <w:rFonts w:eastAsia="Times New Roman" w:cs="Arial"/>
          <w:bCs/>
          <w:sz w:val="18"/>
          <w:szCs w:val="20"/>
          <w:lang w:eastAsia="cs-CZ"/>
        </w:rPr>
        <w:t xml:space="preserve"> Science </w:t>
      </w:r>
      <w:proofErr w:type="spellStart"/>
      <w:r w:rsidRPr="00137B72">
        <w:rPr>
          <w:rFonts w:eastAsia="Times New Roman" w:cs="Arial"/>
          <w:bCs/>
          <w:sz w:val="18"/>
          <w:szCs w:val="20"/>
          <w:lang w:eastAsia="cs-CZ"/>
        </w:rPr>
        <w:t>and</w:t>
      </w:r>
      <w:proofErr w:type="spellEnd"/>
      <w:r w:rsidRPr="00137B72">
        <w:rPr>
          <w:rFonts w:eastAsia="Times New Roman" w:cs="Arial"/>
          <w:bCs/>
          <w:sz w:val="18"/>
          <w:szCs w:val="20"/>
          <w:lang w:eastAsia="cs-CZ"/>
        </w:rPr>
        <w:t xml:space="preserve"> Technology </w:t>
      </w:r>
      <w:proofErr w:type="spellStart"/>
      <w:r w:rsidRPr="00137B72">
        <w:rPr>
          <w:rFonts w:eastAsia="Times New Roman" w:cs="Arial"/>
          <w:bCs/>
          <w:sz w:val="18"/>
          <w:szCs w:val="20"/>
          <w:lang w:eastAsia="cs-CZ"/>
        </w:rPr>
        <w:t>Indicators</w:t>
      </w:r>
      <w:proofErr w:type="spellEnd"/>
      <w:r w:rsidRPr="00137B72">
        <w:rPr>
          <w:rFonts w:eastAsia="Times New Roman" w:cs="Arial"/>
          <w:bCs/>
          <w:sz w:val="18"/>
          <w:szCs w:val="20"/>
          <w:lang w:eastAsia="cs-CZ"/>
        </w:rPr>
        <w:t xml:space="preserve"> (MSTI 201</w:t>
      </w:r>
      <w:r w:rsidR="001324F8" w:rsidRPr="00137B72">
        <w:rPr>
          <w:rFonts w:eastAsia="Times New Roman" w:cs="Arial"/>
          <w:bCs/>
          <w:sz w:val="18"/>
          <w:szCs w:val="20"/>
          <w:lang w:eastAsia="cs-CZ"/>
        </w:rPr>
        <w:t>3</w:t>
      </w:r>
      <w:r w:rsidRPr="00137B72">
        <w:rPr>
          <w:rFonts w:eastAsia="Times New Roman" w:cs="Arial"/>
          <w:bCs/>
          <w:sz w:val="18"/>
          <w:szCs w:val="20"/>
          <w:lang w:eastAsia="cs-CZ"/>
        </w:rPr>
        <w:t xml:space="preserve">/1)“. Údaje za státy EU, které nejsou členy OECD, byly dopočteny ČSÚ z datových zdrojů </w:t>
      </w:r>
      <w:proofErr w:type="spellStart"/>
      <w:r w:rsidRPr="00137B72">
        <w:rPr>
          <w:rFonts w:eastAsia="Times New Roman" w:cs="Arial"/>
          <w:bCs/>
          <w:sz w:val="18"/>
          <w:szCs w:val="20"/>
          <w:lang w:eastAsia="cs-CZ"/>
        </w:rPr>
        <w:t>Eurostatu</w:t>
      </w:r>
      <w:proofErr w:type="spellEnd"/>
      <w:r w:rsidRPr="00137B72">
        <w:rPr>
          <w:rFonts w:eastAsia="Times New Roman" w:cs="Arial"/>
          <w:bCs/>
          <w:sz w:val="18"/>
          <w:szCs w:val="20"/>
          <w:lang w:eastAsia="cs-CZ"/>
        </w:rPr>
        <w:t>. Mezinárodní srovnání by mělo být prováděno vždy v kontextu vývoje, velikosti a zaměření jednotlivých ekonomik. Srovnávat by se pak měly především státy s podobnými populačními, geografickými a ekonomickými podmínkami.</w:t>
      </w:r>
    </w:p>
    <w:p w:rsidR="00DE277E" w:rsidRPr="00FA266A" w:rsidRDefault="00DE277E" w:rsidP="009E11FE">
      <w:pPr>
        <w:spacing w:before="0" w:after="120"/>
        <w:jc w:val="both"/>
        <w:rPr>
          <w:rFonts w:eastAsia="Times New Roman" w:cs="Arial"/>
          <w:b/>
          <w:szCs w:val="20"/>
          <w:lang w:eastAsia="cs-CZ"/>
        </w:rPr>
      </w:pPr>
    </w:p>
    <w:p w:rsidR="00880087" w:rsidRDefault="00880087" w:rsidP="009E11FE">
      <w:pPr>
        <w:spacing w:before="0" w:after="120"/>
        <w:jc w:val="both"/>
        <w:rPr>
          <w:rFonts w:eastAsia="Times New Roman" w:cs="Arial"/>
          <w:b/>
          <w:szCs w:val="20"/>
          <w:lang w:eastAsia="cs-CZ"/>
        </w:rPr>
      </w:pPr>
    </w:p>
    <w:p w:rsidR="00880087" w:rsidRDefault="00880087" w:rsidP="009E11FE">
      <w:pPr>
        <w:spacing w:before="0" w:after="120"/>
        <w:jc w:val="both"/>
        <w:rPr>
          <w:rFonts w:eastAsia="Times New Roman" w:cs="Arial"/>
          <w:b/>
          <w:szCs w:val="20"/>
          <w:lang w:eastAsia="cs-CZ"/>
        </w:rPr>
      </w:pPr>
    </w:p>
    <w:p w:rsidR="009E11FE" w:rsidRPr="00FA266A" w:rsidRDefault="009E11FE" w:rsidP="009E11FE">
      <w:pPr>
        <w:spacing w:before="0" w:after="120"/>
        <w:jc w:val="both"/>
        <w:rPr>
          <w:rFonts w:eastAsia="Times New Roman" w:cs="Arial"/>
          <w:b/>
          <w:szCs w:val="20"/>
          <w:lang w:eastAsia="cs-CZ"/>
        </w:rPr>
      </w:pPr>
      <w:r w:rsidRPr="00FA266A">
        <w:rPr>
          <w:rFonts w:eastAsia="Times New Roman" w:cs="Arial"/>
          <w:b/>
          <w:szCs w:val="20"/>
          <w:lang w:eastAsia="cs-CZ"/>
        </w:rPr>
        <w:t>Seznam použitých zkratek</w:t>
      </w:r>
    </w:p>
    <w:p w:rsidR="009E11FE" w:rsidRPr="00137B72" w:rsidRDefault="009E11FE" w:rsidP="009E11FE">
      <w:pPr>
        <w:tabs>
          <w:tab w:val="left" w:pos="900"/>
        </w:tabs>
        <w:spacing w:before="0" w:after="0" w:line="288" w:lineRule="auto"/>
        <w:jc w:val="both"/>
        <w:rPr>
          <w:rFonts w:eastAsia="Times New Roman" w:cs="Arial"/>
          <w:sz w:val="18"/>
          <w:szCs w:val="20"/>
          <w:lang w:eastAsia="cs-CZ"/>
        </w:rPr>
      </w:pPr>
      <w:r w:rsidRPr="00137B72">
        <w:rPr>
          <w:rFonts w:eastAsia="Times New Roman" w:cs="Arial"/>
          <w:sz w:val="18"/>
          <w:szCs w:val="20"/>
          <w:lang w:eastAsia="cs-CZ"/>
        </w:rPr>
        <w:t xml:space="preserve">BERD </w:t>
      </w:r>
      <w:r w:rsidRPr="00137B72">
        <w:rPr>
          <w:rFonts w:eastAsia="Times New Roman" w:cs="Arial"/>
          <w:sz w:val="18"/>
          <w:szCs w:val="20"/>
          <w:lang w:eastAsia="cs-CZ"/>
        </w:rPr>
        <w:tab/>
        <w:t xml:space="preserve">Business </w:t>
      </w:r>
      <w:proofErr w:type="spellStart"/>
      <w:r w:rsidRPr="00137B72">
        <w:rPr>
          <w:rFonts w:eastAsia="Times New Roman" w:cs="Arial"/>
          <w:sz w:val="18"/>
          <w:szCs w:val="20"/>
          <w:lang w:eastAsia="cs-CZ"/>
        </w:rPr>
        <w:t>Enterprise</w:t>
      </w:r>
      <w:proofErr w:type="spellEnd"/>
      <w:r w:rsidRPr="00137B72">
        <w:rPr>
          <w:rFonts w:eastAsia="Times New Roman" w:cs="Arial"/>
          <w:sz w:val="18"/>
          <w:szCs w:val="20"/>
          <w:lang w:eastAsia="cs-CZ"/>
        </w:rPr>
        <w:t xml:space="preserve"> </w:t>
      </w:r>
      <w:proofErr w:type="spellStart"/>
      <w:r w:rsidRPr="00137B72">
        <w:rPr>
          <w:rFonts w:eastAsia="Times New Roman" w:cs="Arial"/>
          <w:sz w:val="18"/>
          <w:szCs w:val="20"/>
          <w:lang w:eastAsia="cs-CZ"/>
        </w:rPr>
        <w:t>Expenditure</w:t>
      </w:r>
      <w:proofErr w:type="spellEnd"/>
      <w:r w:rsidRPr="00137B72">
        <w:rPr>
          <w:rFonts w:eastAsia="Times New Roman" w:cs="Arial"/>
          <w:sz w:val="18"/>
          <w:szCs w:val="20"/>
          <w:lang w:eastAsia="cs-CZ"/>
        </w:rPr>
        <w:t xml:space="preserve"> on R</w:t>
      </w:r>
      <w:r w:rsidRPr="00137B72">
        <w:rPr>
          <w:rFonts w:eastAsia="Times New Roman" w:cs="Arial"/>
          <w:sz w:val="18"/>
          <w:szCs w:val="20"/>
          <w:lang w:val="en-US" w:eastAsia="cs-CZ"/>
        </w:rPr>
        <w:t>&amp;</w:t>
      </w:r>
      <w:r w:rsidRPr="00137B72">
        <w:rPr>
          <w:rFonts w:eastAsia="Times New Roman" w:cs="Arial"/>
          <w:sz w:val="18"/>
          <w:szCs w:val="20"/>
          <w:lang w:eastAsia="cs-CZ"/>
        </w:rPr>
        <w:t>D – výdaje na VaV v podnikatelském sektoru</w:t>
      </w:r>
    </w:p>
    <w:p w:rsidR="009E11FE" w:rsidRPr="00137B72" w:rsidRDefault="009E11FE" w:rsidP="009E11FE">
      <w:pPr>
        <w:tabs>
          <w:tab w:val="left" w:pos="900"/>
        </w:tabs>
        <w:spacing w:before="0" w:after="0" w:line="288" w:lineRule="auto"/>
        <w:jc w:val="both"/>
        <w:rPr>
          <w:rFonts w:eastAsia="Times New Roman" w:cs="Arial"/>
          <w:sz w:val="18"/>
          <w:szCs w:val="20"/>
          <w:lang w:eastAsia="cs-CZ"/>
        </w:rPr>
      </w:pPr>
      <w:r w:rsidRPr="00137B72">
        <w:rPr>
          <w:rFonts w:eastAsia="Times New Roman" w:cs="Arial"/>
          <w:sz w:val="18"/>
          <w:szCs w:val="20"/>
          <w:lang w:eastAsia="cs-CZ"/>
        </w:rPr>
        <w:t>ČSÚ</w:t>
      </w:r>
      <w:r w:rsidRPr="00137B72">
        <w:rPr>
          <w:rFonts w:eastAsia="Times New Roman" w:cs="Arial"/>
          <w:sz w:val="18"/>
          <w:szCs w:val="20"/>
          <w:lang w:eastAsia="cs-CZ"/>
        </w:rPr>
        <w:tab/>
        <w:t>Český statistický úřad</w:t>
      </w:r>
    </w:p>
    <w:p w:rsidR="009E11FE" w:rsidRPr="00137B72" w:rsidRDefault="009E11FE" w:rsidP="009E11FE">
      <w:pPr>
        <w:tabs>
          <w:tab w:val="left" w:pos="900"/>
        </w:tabs>
        <w:spacing w:before="0" w:after="0" w:line="288" w:lineRule="auto"/>
        <w:jc w:val="both"/>
        <w:rPr>
          <w:rFonts w:eastAsia="Times New Roman" w:cs="Arial"/>
          <w:sz w:val="18"/>
          <w:szCs w:val="20"/>
          <w:lang w:eastAsia="cs-CZ"/>
        </w:rPr>
      </w:pPr>
      <w:r w:rsidRPr="00137B72">
        <w:rPr>
          <w:rFonts w:eastAsia="Times New Roman" w:cs="Arial"/>
          <w:sz w:val="18"/>
          <w:szCs w:val="20"/>
          <w:lang w:eastAsia="cs-CZ"/>
        </w:rPr>
        <w:t>EU2</w:t>
      </w:r>
      <w:r w:rsidR="003F3414" w:rsidRPr="00137B72">
        <w:rPr>
          <w:rFonts w:eastAsia="Times New Roman" w:cs="Arial"/>
          <w:sz w:val="18"/>
          <w:szCs w:val="20"/>
          <w:lang w:eastAsia="cs-CZ"/>
        </w:rPr>
        <w:t>8</w:t>
      </w:r>
      <w:r w:rsidRPr="00137B72">
        <w:rPr>
          <w:rFonts w:eastAsia="Times New Roman" w:cs="Arial"/>
          <w:sz w:val="18"/>
          <w:szCs w:val="20"/>
          <w:lang w:eastAsia="cs-CZ"/>
        </w:rPr>
        <w:tab/>
        <w:t>Evropská unie (2</w:t>
      </w:r>
      <w:r w:rsidR="003F3414" w:rsidRPr="00137B72">
        <w:rPr>
          <w:rFonts w:eastAsia="Times New Roman" w:cs="Arial"/>
          <w:sz w:val="18"/>
          <w:szCs w:val="20"/>
          <w:lang w:eastAsia="cs-CZ"/>
        </w:rPr>
        <w:t>8</w:t>
      </w:r>
      <w:r w:rsidRPr="00137B72">
        <w:rPr>
          <w:rFonts w:eastAsia="Times New Roman" w:cs="Arial"/>
          <w:sz w:val="18"/>
          <w:szCs w:val="20"/>
          <w:lang w:eastAsia="cs-CZ"/>
        </w:rPr>
        <w:t xml:space="preserve"> členských států)</w:t>
      </w:r>
    </w:p>
    <w:p w:rsidR="009E11FE" w:rsidRPr="00137B72" w:rsidRDefault="009E11FE" w:rsidP="009E11FE">
      <w:pPr>
        <w:tabs>
          <w:tab w:val="left" w:pos="900"/>
        </w:tabs>
        <w:spacing w:before="0" w:after="0" w:line="288" w:lineRule="auto"/>
        <w:jc w:val="both"/>
        <w:rPr>
          <w:rFonts w:eastAsia="Times New Roman" w:cs="Arial"/>
          <w:sz w:val="18"/>
          <w:szCs w:val="20"/>
          <w:lang w:eastAsia="cs-CZ"/>
        </w:rPr>
      </w:pPr>
      <w:proofErr w:type="spellStart"/>
      <w:r w:rsidRPr="00137B72">
        <w:rPr>
          <w:rFonts w:eastAsia="Times New Roman" w:cs="Arial"/>
          <w:sz w:val="18"/>
          <w:szCs w:val="20"/>
          <w:lang w:eastAsia="cs-CZ"/>
        </w:rPr>
        <w:t>Eurostat</w:t>
      </w:r>
      <w:proofErr w:type="spellEnd"/>
      <w:r w:rsidRPr="00137B72">
        <w:rPr>
          <w:rFonts w:eastAsia="Times New Roman" w:cs="Arial"/>
          <w:sz w:val="18"/>
          <w:szCs w:val="20"/>
          <w:lang w:eastAsia="cs-CZ"/>
        </w:rPr>
        <w:tab/>
        <w:t>Statistický úřad Evropsk</w:t>
      </w:r>
      <w:r w:rsidR="003F3414" w:rsidRPr="00137B72">
        <w:rPr>
          <w:rFonts w:eastAsia="Times New Roman" w:cs="Arial"/>
          <w:sz w:val="18"/>
          <w:szCs w:val="20"/>
          <w:lang w:eastAsia="cs-CZ"/>
        </w:rPr>
        <w:t>é unie</w:t>
      </w:r>
    </w:p>
    <w:p w:rsidR="009E11FE" w:rsidRPr="00137B72" w:rsidRDefault="009E11FE" w:rsidP="009E11FE">
      <w:pPr>
        <w:tabs>
          <w:tab w:val="left" w:pos="900"/>
        </w:tabs>
        <w:spacing w:before="0" w:after="0" w:line="288" w:lineRule="auto"/>
        <w:jc w:val="both"/>
        <w:rPr>
          <w:rFonts w:eastAsia="Times New Roman" w:cs="Arial"/>
          <w:sz w:val="18"/>
          <w:szCs w:val="20"/>
          <w:lang w:eastAsia="cs-CZ"/>
        </w:rPr>
      </w:pPr>
      <w:r w:rsidRPr="00137B72">
        <w:rPr>
          <w:rFonts w:eastAsia="Times New Roman" w:cs="Arial"/>
          <w:sz w:val="18"/>
          <w:szCs w:val="20"/>
          <w:lang w:eastAsia="cs-CZ"/>
        </w:rPr>
        <w:t xml:space="preserve">FTE </w:t>
      </w:r>
      <w:r w:rsidRPr="00137B72">
        <w:rPr>
          <w:rFonts w:eastAsia="Times New Roman" w:cs="Arial"/>
          <w:sz w:val="18"/>
          <w:szCs w:val="20"/>
          <w:lang w:eastAsia="cs-CZ"/>
        </w:rPr>
        <w:tab/>
      </w:r>
      <w:proofErr w:type="spellStart"/>
      <w:r w:rsidRPr="00137B72">
        <w:rPr>
          <w:rFonts w:eastAsia="Times New Roman" w:cs="Arial"/>
          <w:sz w:val="18"/>
          <w:szCs w:val="20"/>
          <w:lang w:eastAsia="cs-CZ"/>
        </w:rPr>
        <w:t>Full</w:t>
      </w:r>
      <w:proofErr w:type="spellEnd"/>
      <w:r w:rsidRPr="00137B72">
        <w:rPr>
          <w:rFonts w:eastAsia="Times New Roman" w:cs="Arial"/>
          <w:sz w:val="18"/>
          <w:szCs w:val="20"/>
          <w:lang w:eastAsia="cs-CZ"/>
        </w:rPr>
        <w:t xml:space="preserve"> </w:t>
      </w:r>
      <w:proofErr w:type="spellStart"/>
      <w:r w:rsidRPr="00137B72">
        <w:rPr>
          <w:rFonts w:eastAsia="Times New Roman" w:cs="Arial"/>
          <w:sz w:val="18"/>
          <w:szCs w:val="20"/>
          <w:lang w:eastAsia="cs-CZ"/>
        </w:rPr>
        <w:t>Time</w:t>
      </w:r>
      <w:proofErr w:type="spellEnd"/>
      <w:r w:rsidRPr="00137B72">
        <w:rPr>
          <w:rFonts w:eastAsia="Times New Roman" w:cs="Arial"/>
          <w:sz w:val="18"/>
          <w:szCs w:val="20"/>
          <w:lang w:eastAsia="cs-CZ"/>
        </w:rPr>
        <w:t xml:space="preserve"> </w:t>
      </w:r>
      <w:proofErr w:type="spellStart"/>
      <w:r w:rsidRPr="00137B72">
        <w:rPr>
          <w:rFonts w:eastAsia="Times New Roman" w:cs="Arial"/>
          <w:sz w:val="18"/>
          <w:szCs w:val="20"/>
          <w:lang w:eastAsia="cs-CZ"/>
        </w:rPr>
        <w:t>Equivalent</w:t>
      </w:r>
      <w:proofErr w:type="spellEnd"/>
      <w:r w:rsidRPr="00137B72">
        <w:rPr>
          <w:rFonts w:eastAsia="Times New Roman" w:cs="Arial"/>
          <w:sz w:val="18"/>
          <w:szCs w:val="20"/>
          <w:lang w:eastAsia="cs-CZ"/>
        </w:rPr>
        <w:t xml:space="preserve"> – </w:t>
      </w:r>
      <w:r w:rsidRPr="00137B72">
        <w:rPr>
          <w:rFonts w:eastAsia="Times New Roman" w:cs="Arial"/>
          <w:bCs/>
          <w:sz w:val="18"/>
          <w:szCs w:val="20"/>
          <w:lang w:eastAsia="cs-CZ"/>
        </w:rPr>
        <w:t>Přepočtený počet zaměstnaných osob</w:t>
      </w:r>
    </w:p>
    <w:p w:rsidR="009E11FE" w:rsidRPr="00137B72" w:rsidRDefault="009E11FE" w:rsidP="009E11FE">
      <w:pPr>
        <w:tabs>
          <w:tab w:val="left" w:pos="900"/>
        </w:tabs>
        <w:spacing w:before="0" w:after="0" w:line="288" w:lineRule="auto"/>
        <w:jc w:val="both"/>
        <w:rPr>
          <w:rFonts w:eastAsia="Times New Roman" w:cs="Arial"/>
          <w:sz w:val="18"/>
          <w:szCs w:val="20"/>
          <w:lang w:eastAsia="cs-CZ"/>
        </w:rPr>
      </w:pPr>
      <w:r w:rsidRPr="00137B72">
        <w:rPr>
          <w:rFonts w:eastAsia="Times New Roman" w:cs="Arial"/>
          <w:sz w:val="18"/>
          <w:szCs w:val="20"/>
          <w:lang w:eastAsia="cs-CZ"/>
        </w:rPr>
        <w:t>GERD</w:t>
      </w:r>
      <w:r w:rsidRPr="00137B72">
        <w:rPr>
          <w:rFonts w:eastAsia="Times New Roman" w:cs="Arial"/>
          <w:sz w:val="18"/>
          <w:szCs w:val="20"/>
          <w:lang w:eastAsia="cs-CZ"/>
        </w:rPr>
        <w:tab/>
        <w:t xml:space="preserve">Gross </w:t>
      </w:r>
      <w:proofErr w:type="spellStart"/>
      <w:r w:rsidRPr="00137B72">
        <w:rPr>
          <w:rFonts w:eastAsia="Times New Roman" w:cs="Arial"/>
          <w:sz w:val="18"/>
          <w:szCs w:val="20"/>
          <w:lang w:eastAsia="cs-CZ"/>
        </w:rPr>
        <w:t>Domestic</w:t>
      </w:r>
      <w:proofErr w:type="spellEnd"/>
      <w:r w:rsidRPr="00137B72">
        <w:rPr>
          <w:rFonts w:eastAsia="Times New Roman" w:cs="Arial"/>
          <w:sz w:val="18"/>
          <w:szCs w:val="20"/>
          <w:lang w:eastAsia="cs-CZ"/>
        </w:rPr>
        <w:t xml:space="preserve"> </w:t>
      </w:r>
      <w:proofErr w:type="spellStart"/>
      <w:r w:rsidRPr="00137B72">
        <w:rPr>
          <w:rFonts w:eastAsia="Times New Roman" w:cs="Arial"/>
          <w:sz w:val="18"/>
          <w:szCs w:val="20"/>
          <w:lang w:eastAsia="cs-CZ"/>
        </w:rPr>
        <w:t>Expenditure</w:t>
      </w:r>
      <w:proofErr w:type="spellEnd"/>
      <w:r w:rsidRPr="00137B72">
        <w:rPr>
          <w:rFonts w:eastAsia="Times New Roman" w:cs="Arial"/>
          <w:sz w:val="18"/>
          <w:szCs w:val="20"/>
          <w:lang w:eastAsia="cs-CZ"/>
        </w:rPr>
        <w:t xml:space="preserve"> on R&amp;D – celkové výdaje na VaV</w:t>
      </w:r>
    </w:p>
    <w:p w:rsidR="009E11FE" w:rsidRPr="00137B72" w:rsidRDefault="009E11FE" w:rsidP="009E11FE">
      <w:pPr>
        <w:tabs>
          <w:tab w:val="left" w:pos="900"/>
        </w:tabs>
        <w:spacing w:before="0" w:after="0" w:line="288" w:lineRule="auto"/>
        <w:jc w:val="both"/>
        <w:rPr>
          <w:rFonts w:eastAsia="Times New Roman" w:cs="Arial"/>
          <w:sz w:val="18"/>
          <w:szCs w:val="20"/>
          <w:lang w:eastAsia="cs-CZ"/>
        </w:rPr>
      </w:pPr>
      <w:r w:rsidRPr="00137B72">
        <w:rPr>
          <w:rFonts w:eastAsia="Times New Roman" w:cs="Arial"/>
          <w:sz w:val="18"/>
          <w:szCs w:val="20"/>
          <w:lang w:eastAsia="cs-CZ"/>
        </w:rPr>
        <w:t>GOVERD</w:t>
      </w:r>
      <w:r w:rsidRPr="00137B72">
        <w:rPr>
          <w:rFonts w:eastAsia="Times New Roman" w:cs="Arial"/>
          <w:sz w:val="18"/>
          <w:szCs w:val="20"/>
          <w:lang w:eastAsia="cs-CZ"/>
        </w:rPr>
        <w:tab/>
      </w:r>
      <w:proofErr w:type="spellStart"/>
      <w:r w:rsidRPr="00137B72">
        <w:rPr>
          <w:rFonts w:eastAsia="Times New Roman" w:cs="Arial"/>
          <w:sz w:val="18"/>
          <w:szCs w:val="20"/>
          <w:lang w:eastAsia="cs-CZ"/>
        </w:rPr>
        <w:t>Government</w:t>
      </w:r>
      <w:proofErr w:type="spellEnd"/>
      <w:r w:rsidRPr="00137B72">
        <w:rPr>
          <w:rFonts w:eastAsia="Times New Roman" w:cs="Arial"/>
          <w:sz w:val="18"/>
          <w:szCs w:val="20"/>
          <w:lang w:eastAsia="cs-CZ"/>
        </w:rPr>
        <w:t xml:space="preserve"> </w:t>
      </w:r>
      <w:proofErr w:type="spellStart"/>
      <w:r w:rsidRPr="00137B72">
        <w:rPr>
          <w:rFonts w:eastAsia="Times New Roman" w:cs="Arial"/>
          <w:sz w:val="18"/>
          <w:szCs w:val="20"/>
          <w:lang w:eastAsia="cs-CZ"/>
        </w:rPr>
        <w:t>Ependiture</w:t>
      </w:r>
      <w:proofErr w:type="spellEnd"/>
      <w:r w:rsidRPr="00137B72">
        <w:rPr>
          <w:rFonts w:eastAsia="Times New Roman" w:cs="Arial"/>
          <w:sz w:val="18"/>
          <w:szCs w:val="20"/>
          <w:lang w:eastAsia="cs-CZ"/>
        </w:rPr>
        <w:t xml:space="preserve"> on R&amp;D – výdaje na VaV ve vládním sektoru</w:t>
      </w:r>
    </w:p>
    <w:p w:rsidR="009E11FE" w:rsidRPr="00137B72" w:rsidRDefault="009E11FE" w:rsidP="009E11FE">
      <w:pPr>
        <w:tabs>
          <w:tab w:val="left" w:pos="900"/>
        </w:tabs>
        <w:spacing w:before="0" w:after="0" w:line="288" w:lineRule="auto"/>
        <w:jc w:val="both"/>
        <w:rPr>
          <w:rFonts w:eastAsia="Times New Roman" w:cs="Arial"/>
          <w:bCs/>
          <w:sz w:val="18"/>
          <w:szCs w:val="20"/>
          <w:lang w:eastAsia="cs-CZ"/>
        </w:rPr>
      </w:pPr>
      <w:r w:rsidRPr="00137B72">
        <w:rPr>
          <w:rFonts w:eastAsia="Times New Roman" w:cs="Arial"/>
          <w:sz w:val="18"/>
          <w:szCs w:val="20"/>
          <w:lang w:eastAsia="cs-CZ"/>
        </w:rPr>
        <w:t xml:space="preserve">HC </w:t>
      </w:r>
      <w:r w:rsidRPr="00137B72">
        <w:rPr>
          <w:rFonts w:eastAsia="Times New Roman" w:cs="Arial"/>
          <w:sz w:val="18"/>
          <w:szCs w:val="20"/>
          <w:lang w:eastAsia="cs-CZ"/>
        </w:rPr>
        <w:tab/>
      </w:r>
      <w:proofErr w:type="spellStart"/>
      <w:r w:rsidRPr="00137B72">
        <w:rPr>
          <w:rFonts w:eastAsia="Times New Roman" w:cs="Arial"/>
          <w:sz w:val="18"/>
          <w:szCs w:val="20"/>
          <w:lang w:eastAsia="cs-CZ"/>
        </w:rPr>
        <w:t>Headcount</w:t>
      </w:r>
      <w:proofErr w:type="spellEnd"/>
      <w:r w:rsidRPr="00137B72">
        <w:rPr>
          <w:rFonts w:eastAsia="Times New Roman" w:cs="Arial"/>
          <w:sz w:val="18"/>
          <w:szCs w:val="20"/>
          <w:lang w:eastAsia="cs-CZ"/>
        </w:rPr>
        <w:t xml:space="preserve"> – </w:t>
      </w:r>
      <w:r w:rsidRPr="00137B72">
        <w:rPr>
          <w:rFonts w:eastAsia="Times New Roman" w:cs="Arial"/>
          <w:bCs/>
          <w:sz w:val="18"/>
          <w:szCs w:val="20"/>
          <w:lang w:eastAsia="cs-CZ"/>
        </w:rPr>
        <w:t>Evidenční počet fyzických osob zaměstnaných ke konci sledovaného roku</w:t>
      </w:r>
    </w:p>
    <w:p w:rsidR="009E11FE" w:rsidRPr="00137B72" w:rsidRDefault="009E11FE" w:rsidP="009E11FE">
      <w:pPr>
        <w:tabs>
          <w:tab w:val="left" w:pos="900"/>
        </w:tabs>
        <w:spacing w:before="0" w:after="0" w:line="288" w:lineRule="auto"/>
        <w:jc w:val="both"/>
        <w:rPr>
          <w:rFonts w:eastAsia="Times New Roman" w:cs="Arial"/>
          <w:sz w:val="18"/>
          <w:szCs w:val="20"/>
          <w:lang w:eastAsia="cs-CZ"/>
        </w:rPr>
      </w:pPr>
      <w:r w:rsidRPr="00137B72">
        <w:rPr>
          <w:rFonts w:eastAsia="Times New Roman" w:cs="Arial"/>
          <w:sz w:val="18"/>
          <w:szCs w:val="20"/>
          <w:lang w:eastAsia="cs-CZ"/>
        </w:rPr>
        <w:t xml:space="preserve">HERD </w:t>
      </w:r>
      <w:r w:rsidRPr="00137B72">
        <w:rPr>
          <w:rFonts w:eastAsia="Times New Roman" w:cs="Arial"/>
          <w:sz w:val="18"/>
          <w:szCs w:val="20"/>
          <w:lang w:eastAsia="cs-CZ"/>
        </w:rPr>
        <w:tab/>
      </w:r>
      <w:proofErr w:type="spellStart"/>
      <w:r w:rsidRPr="00137B72">
        <w:rPr>
          <w:rFonts w:eastAsia="Times New Roman" w:cs="Arial"/>
          <w:sz w:val="18"/>
          <w:szCs w:val="20"/>
          <w:lang w:eastAsia="cs-CZ"/>
        </w:rPr>
        <w:t>Expenditure</w:t>
      </w:r>
      <w:proofErr w:type="spellEnd"/>
      <w:r w:rsidRPr="00137B72">
        <w:rPr>
          <w:rFonts w:eastAsia="Times New Roman" w:cs="Arial"/>
          <w:sz w:val="18"/>
          <w:szCs w:val="20"/>
          <w:lang w:eastAsia="cs-CZ"/>
        </w:rPr>
        <w:t xml:space="preserve"> on R&amp;D in </w:t>
      </w:r>
      <w:proofErr w:type="spellStart"/>
      <w:r w:rsidRPr="00137B72">
        <w:rPr>
          <w:rFonts w:eastAsia="Times New Roman" w:cs="Arial"/>
          <w:sz w:val="18"/>
          <w:szCs w:val="20"/>
          <w:lang w:eastAsia="cs-CZ"/>
        </w:rPr>
        <w:t>Higher</w:t>
      </w:r>
      <w:proofErr w:type="spellEnd"/>
      <w:r w:rsidRPr="00137B72">
        <w:rPr>
          <w:rFonts w:eastAsia="Times New Roman" w:cs="Arial"/>
          <w:sz w:val="18"/>
          <w:szCs w:val="20"/>
          <w:lang w:eastAsia="cs-CZ"/>
        </w:rPr>
        <w:t xml:space="preserve"> </w:t>
      </w:r>
      <w:proofErr w:type="spellStart"/>
      <w:r w:rsidRPr="00137B72">
        <w:rPr>
          <w:rFonts w:eastAsia="Times New Roman" w:cs="Arial"/>
          <w:sz w:val="18"/>
          <w:szCs w:val="20"/>
          <w:lang w:eastAsia="cs-CZ"/>
        </w:rPr>
        <w:t>Education</w:t>
      </w:r>
      <w:proofErr w:type="spellEnd"/>
      <w:r w:rsidRPr="00137B72">
        <w:rPr>
          <w:rFonts w:eastAsia="Times New Roman" w:cs="Arial"/>
          <w:sz w:val="18"/>
          <w:szCs w:val="20"/>
          <w:lang w:eastAsia="cs-CZ"/>
        </w:rPr>
        <w:t xml:space="preserve"> </w:t>
      </w:r>
      <w:proofErr w:type="spellStart"/>
      <w:r w:rsidRPr="00137B72">
        <w:rPr>
          <w:rFonts w:eastAsia="Times New Roman" w:cs="Arial"/>
          <w:sz w:val="18"/>
          <w:szCs w:val="20"/>
          <w:lang w:eastAsia="cs-CZ"/>
        </w:rPr>
        <w:t>Sector</w:t>
      </w:r>
      <w:proofErr w:type="spellEnd"/>
      <w:r w:rsidRPr="00137B72">
        <w:rPr>
          <w:rFonts w:eastAsia="Times New Roman" w:cs="Arial"/>
          <w:sz w:val="18"/>
          <w:szCs w:val="20"/>
          <w:lang w:eastAsia="cs-CZ"/>
        </w:rPr>
        <w:t xml:space="preserve"> – výdaje na VaV ve vysokoškolském sektoru</w:t>
      </w:r>
    </w:p>
    <w:p w:rsidR="009E11FE" w:rsidRPr="00137B72" w:rsidRDefault="009E11FE" w:rsidP="009E11FE">
      <w:pPr>
        <w:tabs>
          <w:tab w:val="left" w:pos="900"/>
        </w:tabs>
        <w:spacing w:before="0" w:after="0" w:line="288" w:lineRule="auto"/>
        <w:jc w:val="both"/>
        <w:rPr>
          <w:rFonts w:eastAsia="Times New Roman" w:cs="Arial"/>
          <w:sz w:val="18"/>
          <w:szCs w:val="20"/>
          <w:lang w:eastAsia="cs-CZ"/>
        </w:rPr>
      </w:pPr>
      <w:r w:rsidRPr="00137B72">
        <w:rPr>
          <w:rFonts w:eastAsia="Times New Roman" w:cs="Arial"/>
          <w:sz w:val="18"/>
          <w:szCs w:val="20"/>
          <w:lang w:eastAsia="cs-CZ"/>
        </w:rPr>
        <w:t>MSTI</w:t>
      </w:r>
      <w:r w:rsidRPr="00137B72">
        <w:rPr>
          <w:rFonts w:eastAsia="Times New Roman" w:cs="Arial"/>
          <w:sz w:val="18"/>
          <w:szCs w:val="20"/>
          <w:lang w:eastAsia="cs-CZ"/>
        </w:rPr>
        <w:tab/>
      </w:r>
      <w:proofErr w:type="spellStart"/>
      <w:r w:rsidRPr="00137B72">
        <w:rPr>
          <w:rFonts w:eastAsia="Times New Roman" w:cs="Arial"/>
          <w:sz w:val="18"/>
          <w:szCs w:val="20"/>
          <w:lang w:eastAsia="cs-CZ"/>
        </w:rPr>
        <w:t>Main</w:t>
      </w:r>
      <w:proofErr w:type="spellEnd"/>
      <w:r w:rsidRPr="00137B72">
        <w:rPr>
          <w:rFonts w:eastAsia="Times New Roman" w:cs="Arial"/>
          <w:sz w:val="18"/>
          <w:szCs w:val="20"/>
          <w:lang w:eastAsia="cs-CZ"/>
        </w:rPr>
        <w:t xml:space="preserve"> Science </w:t>
      </w:r>
      <w:proofErr w:type="spellStart"/>
      <w:r w:rsidRPr="00137B72">
        <w:rPr>
          <w:rFonts w:eastAsia="Times New Roman" w:cs="Arial"/>
          <w:sz w:val="18"/>
          <w:szCs w:val="20"/>
          <w:lang w:eastAsia="cs-CZ"/>
        </w:rPr>
        <w:t>and</w:t>
      </w:r>
      <w:proofErr w:type="spellEnd"/>
      <w:r w:rsidRPr="00137B72">
        <w:rPr>
          <w:rFonts w:eastAsia="Times New Roman" w:cs="Arial"/>
          <w:sz w:val="18"/>
          <w:szCs w:val="20"/>
          <w:lang w:eastAsia="cs-CZ"/>
        </w:rPr>
        <w:t xml:space="preserve"> Technology </w:t>
      </w:r>
      <w:proofErr w:type="spellStart"/>
      <w:r w:rsidRPr="00137B72">
        <w:rPr>
          <w:rFonts w:eastAsia="Times New Roman" w:cs="Arial"/>
          <w:sz w:val="18"/>
          <w:szCs w:val="20"/>
          <w:lang w:eastAsia="cs-CZ"/>
        </w:rPr>
        <w:t>Indicators</w:t>
      </w:r>
      <w:proofErr w:type="spellEnd"/>
      <w:r w:rsidRPr="00137B72">
        <w:rPr>
          <w:rFonts w:eastAsia="Times New Roman" w:cs="Arial"/>
          <w:sz w:val="18"/>
          <w:szCs w:val="20"/>
          <w:lang w:eastAsia="cs-CZ"/>
        </w:rPr>
        <w:t xml:space="preserve"> – Hlavní ukazatele za oblast vědy a techniky</w:t>
      </w:r>
    </w:p>
    <w:p w:rsidR="009E11FE" w:rsidRPr="00137B72" w:rsidRDefault="009E11FE" w:rsidP="009E11FE">
      <w:pPr>
        <w:tabs>
          <w:tab w:val="left" w:pos="900"/>
        </w:tabs>
        <w:spacing w:before="0" w:after="0" w:line="288" w:lineRule="auto"/>
        <w:ind w:left="900" w:hanging="900"/>
        <w:jc w:val="both"/>
        <w:rPr>
          <w:rFonts w:eastAsia="Times New Roman" w:cs="Arial"/>
          <w:i/>
          <w:iCs/>
          <w:sz w:val="18"/>
          <w:szCs w:val="20"/>
          <w:lang w:eastAsia="cs-CZ"/>
        </w:rPr>
      </w:pPr>
      <w:r w:rsidRPr="00137B72">
        <w:rPr>
          <w:rFonts w:eastAsia="Times New Roman" w:cs="Arial"/>
          <w:sz w:val="18"/>
          <w:szCs w:val="20"/>
          <w:lang w:eastAsia="cs-CZ"/>
        </w:rPr>
        <w:t>OECD</w:t>
      </w:r>
      <w:r w:rsidRPr="00137B72">
        <w:rPr>
          <w:rFonts w:eastAsia="Times New Roman" w:cs="Arial"/>
          <w:sz w:val="18"/>
          <w:szCs w:val="20"/>
          <w:lang w:eastAsia="cs-CZ"/>
        </w:rPr>
        <w:tab/>
      </w:r>
      <w:proofErr w:type="spellStart"/>
      <w:r w:rsidRPr="00137B72">
        <w:rPr>
          <w:rFonts w:eastAsia="Times New Roman" w:cs="Arial"/>
          <w:sz w:val="18"/>
          <w:szCs w:val="20"/>
          <w:lang w:eastAsia="cs-CZ"/>
        </w:rPr>
        <w:t>Organization</w:t>
      </w:r>
      <w:proofErr w:type="spellEnd"/>
      <w:r w:rsidRPr="00137B72">
        <w:rPr>
          <w:rFonts w:eastAsia="Times New Roman" w:cs="Arial"/>
          <w:sz w:val="18"/>
          <w:szCs w:val="20"/>
          <w:lang w:eastAsia="cs-CZ"/>
        </w:rPr>
        <w:t xml:space="preserve"> </w:t>
      </w:r>
      <w:proofErr w:type="spellStart"/>
      <w:r w:rsidRPr="00137B72">
        <w:rPr>
          <w:rFonts w:eastAsia="Times New Roman" w:cs="Arial"/>
          <w:sz w:val="18"/>
          <w:szCs w:val="20"/>
          <w:lang w:eastAsia="cs-CZ"/>
        </w:rPr>
        <w:t>for</w:t>
      </w:r>
      <w:proofErr w:type="spellEnd"/>
      <w:r w:rsidRPr="00137B72">
        <w:rPr>
          <w:rFonts w:eastAsia="Times New Roman" w:cs="Arial"/>
          <w:sz w:val="18"/>
          <w:szCs w:val="20"/>
          <w:lang w:eastAsia="cs-CZ"/>
        </w:rPr>
        <w:t xml:space="preserve"> </w:t>
      </w:r>
      <w:proofErr w:type="spellStart"/>
      <w:r w:rsidRPr="00137B72">
        <w:rPr>
          <w:rFonts w:eastAsia="Times New Roman" w:cs="Arial"/>
          <w:sz w:val="18"/>
          <w:szCs w:val="20"/>
          <w:lang w:eastAsia="cs-CZ"/>
        </w:rPr>
        <w:t>Economic</w:t>
      </w:r>
      <w:proofErr w:type="spellEnd"/>
      <w:r w:rsidRPr="00137B72">
        <w:rPr>
          <w:rFonts w:eastAsia="Times New Roman" w:cs="Arial"/>
          <w:sz w:val="18"/>
          <w:szCs w:val="20"/>
          <w:lang w:eastAsia="cs-CZ"/>
        </w:rPr>
        <w:t xml:space="preserve"> Co-</w:t>
      </w:r>
      <w:proofErr w:type="spellStart"/>
      <w:r w:rsidRPr="00137B72">
        <w:rPr>
          <w:rFonts w:eastAsia="Times New Roman" w:cs="Arial"/>
          <w:sz w:val="18"/>
          <w:szCs w:val="20"/>
          <w:lang w:eastAsia="cs-CZ"/>
        </w:rPr>
        <w:t>operation</w:t>
      </w:r>
      <w:proofErr w:type="spellEnd"/>
      <w:r w:rsidRPr="00137B72">
        <w:rPr>
          <w:rFonts w:eastAsia="Times New Roman" w:cs="Arial"/>
          <w:sz w:val="18"/>
          <w:szCs w:val="20"/>
          <w:lang w:eastAsia="cs-CZ"/>
        </w:rPr>
        <w:t xml:space="preserve"> </w:t>
      </w:r>
      <w:proofErr w:type="spellStart"/>
      <w:r w:rsidRPr="00137B72">
        <w:rPr>
          <w:rFonts w:eastAsia="Times New Roman" w:cs="Arial"/>
          <w:sz w:val="18"/>
          <w:szCs w:val="20"/>
          <w:lang w:eastAsia="cs-CZ"/>
        </w:rPr>
        <w:t>and</w:t>
      </w:r>
      <w:proofErr w:type="spellEnd"/>
      <w:r w:rsidRPr="00137B72">
        <w:rPr>
          <w:rFonts w:eastAsia="Times New Roman" w:cs="Arial"/>
          <w:sz w:val="18"/>
          <w:szCs w:val="20"/>
          <w:lang w:eastAsia="cs-CZ"/>
        </w:rPr>
        <w:t xml:space="preserve"> </w:t>
      </w:r>
      <w:proofErr w:type="spellStart"/>
      <w:r w:rsidRPr="00137B72">
        <w:rPr>
          <w:rFonts w:eastAsia="Times New Roman" w:cs="Arial"/>
          <w:sz w:val="18"/>
          <w:szCs w:val="20"/>
          <w:lang w:eastAsia="cs-CZ"/>
        </w:rPr>
        <w:t>Development</w:t>
      </w:r>
      <w:proofErr w:type="spellEnd"/>
      <w:r w:rsidRPr="00137B72">
        <w:rPr>
          <w:rFonts w:eastAsia="Times New Roman" w:cs="Arial"/>
          <w:sz w:val="18"/>
          <w:szCs w:val="20"/>
          <w:lang w:eastAsia="cs-CZ"/>
        </w:rPr>
        <w:t xml:space="preserve"> – Organizace pro hospodářskou spolupráci a rozvoj. </w:t>
      </w:r>
    </w:p>
    <w:p w:rsidR="009E11FE" w:rsidRPr="00137B72" w:rsidRDefault="009E11FE" w:rsidP="009E11FE">
      <w:pPr>
        <w:tabs>
          <w:tab w:val="left" w:pos="900"/>
        </w:tabs>
        <w:spacing w:before="0" w:after="0" w:line="288" w:lineRule="auto"/>
        <w:ind w:left="900" w:hanging="900"/>
        <w:jc w:val="both"/>
        <w:rPr>
          <w:rFonts w:eastAsia="Times New Roman" w:cs="Arial"/>
          <w:sz w:val="18"/>
          <w:szCs w:val="20"/>
          <w:lang w:eastAsia="cs-CZ"/>
        </w:rPr>
      </w:pPr>
      <w:r w:rsidRPr="00137B72">
        <w:rPr>
          <w:rFonts w:eastAsia="Times New Roman" w:cs="Arial"/>
          <w:sz w:val="18"/>
          <w:szCs w:val="20"/>
          <w:lang w:eastAsia="cs-CZ"/>
        </w:rPr>
        <w:t>PPP</w:t>
      </w:r>
      <w:r w:rsidRPr="00137B72">
        <w:rPr>
          <w:rFonts w:eastAsia="Times New Roman" w:cs="Arial"/>
          <w:sz w:val="18"/>
          <w:szCs w:val="20"/>
          <w:lang w:eastAsia="cs-CZ"/>
        </w:rPr>
        <w:tab/>
      </w:r>
      <w:proofErr w:type="spellStart"/>
      <w:r w:rsidRPr="00137B72">
        <w:rPr>
          <w:rFonts w:eastAsia="Times New Roman" w:cs="Arial"/>
          <w:sz w:val="18"/>
          <w:szCs w:val="20"/>
          <w:lang w:eastAsia="cs-CZ"/>
        </w:rPr>
        <w:t>Purchasing</w:t>
      </w:r>
      <w:proofErr w:type="spellEnd"/>
      <w:r w:rsidRPr="00137B72">
        <w:rPr>
          <w:rFonts w:eastAsia="Times New Roman" w:cs="Arial"/>
          <w:sz w:val="18"/>
          <w:szCs w:val="20"/>
          <w:lang w:eastAsia="cs-CZ"/>
        </w:rPr>
        <w:t xml:space="preserve"> </w:t>
      </w:r>
      <w:proofErr w:type="spellStart"/>
      <w:r w:rsidRPr="00137B72">
        <w:rPr>
          <w:rFonts w:eastAsia="Times New Roman" w:cs="Arial"/>
          <w:sz w:val="18"/>
          <w:szCs w:val="20"/>
          <w:lang w:eastAsia="cs-CZ"/>
        </w:rPr>
        <w:t>Power</w:t>
      </w:r>
      <w:proofErr w:type="spellEnd"/>
      <w:r w:rsidRPr="00137B72">
        <w:rPr>
          <w:rFonts w:eastAsia="Times New Roman" w:cs="Arial"/>
          <w:sz w:val="18"/>
          <w:szCs w:val="20"/>
          <w:lang w:eastAsia="cs-CZ"/>
        </w:rPr>
        <w:t xml:space="preserve"> Parity - standard kupní síly; jednotka pro měření kupní síly příslušné měnové jednotky</w:t>
      </w:r>
    </w:p>
    <w:p w:rsidR="00FA266A" w:rsidRDefault="00FA266A" w:rsidP="00FA266A">
      <w:pPr>
        <w:pStyle w:val="Nadpis4"/>
        <w:keepNext w:val="0"/>
        <w:pageBreakBefore/>
        <w:spacing w:before="0" w:after="0" w:line="240" w:lineRule="auto"/>
        <w:rPr>
          <w:sz w:val="22"/>
        </w:rPr>
      </w:pPr>
      <w:r>
        <w:rPr>
          <w:sz w:val="22"/>
        </w:rPr>
        <w:lastRenderedPageBreak/>
        <w:t>Webové odkazy</w:t>
      </w:r>
    </w:p>
    <w:p w:rsidR="00FA266A" w:rsidRDefault="00FA266A" w:rsidP="00FA266A">
      <w:pPr>
        <w:pStyle w:val="Nadpis4"/>
        <w:keepNext w:val="0"/>
        <w:spacing w:after="120" w:line="240" w:lineRule="auto"/>
        <w:rPr>
          <w:rFonts w:ascii="Arial" w:hAnsi="Arial" w:cs="Arial"/>
          <w:sz w:val="20"/>
          <w:szCs w:val="20"/>
        </w:rPr>
      </w:pPr>
      <w:r>
        <w:rPr>
          <w:rFonts w:ascii="Arial" w:hAnsi="Arial" w:cs="Arial"/>
          <w:sz w:val="20"/>
          <w:szCs w:val="20"/>
        </w:rPr>
        <w:t>Metodologie, manuály, nařízení  a</w:t>
      </w:r>
      <w:r w:rsidR="003E241A">
        <w:rPr>
          <w:rFonts w:ascii="Arial" w:hAnsi="Arial" w:cs="Arial"/>
          <w:sz w:val="20"/>
          <w:szCs w:val="20"/>
        </w:rPr>
        <w:t xml:space="preserve"> </w:t>
      </w:r>
      <w:r>
        <w:rPr>
          <w:rFonts w:ascii="Arial" w:hAnsi="Arial" w:cs="Arial"/>
          <w:sz w:val="20"/>
          <w:szCs w:val="20"/>
        </w:rPr>
        <w:t xml:space="preserve">klasifikace: </w:t>
      </w:r>
    </w:p>
    <w:p w:rsidR="00FA266A" w:rsidRPr="00FA266A" w:rsidRDefault="00FA266A" w:rsidP="00FA266A">
      <w:pPr>
        <w:pStyle w:val="Nadpis4"/>
        <w:keepNext w:val="0"/>
        <w:spacing w:after="120" w:line="240" w:lineRule="auto"/>
        <w:rPr>
          <w:rFonts w:ascii="Arial" w:hAnsi="Arial" w:cs="Arial"/>
          <w:sz w:val="18"/>
          <w:szCs w:val="20"/>
        </w:rPr>
      </w:pPr>
      <w:r w:rsidRPr="00FA266A">
        <w:rPr>
          <w:rFonts w:ascii="Arial" w:hAnsi="Arial" w:cs="Arial"/>
          <w:sz w:val="18"/>
          <w:szCs w:val="20"/>
        </w:rPr>
        <w:t xml:space="preserve">Organizace pro ekonomickou spolupráci a rozvoj (OECD): </w:t>
      </w:r>
      <w:proofErr w:type="spellStart"/>
      <w:r w:rsidRPr="00FA266A">
        <w:rPr>
          <w:rFonts w:ascii="Arial" w:hAnsi="Arial" w:cs="Arial"/>
          <w:bCs w:val="0"/>
          <w:sz w:val="18"/>
          <w:szCs w:val="20"/>
        </w:rPr>
        <w:t>Frascati</w:t>
      </w:r>
      <w:proofErr w:type="spellEnd"/>
      <w:r w:rsidRPr="00FA266A">
        <w:rPr>
          <w:rFonts w:ascii="Arial" w:hAnsi="Arial" w:cs="Arial"/>
          <w:bCs w:val="0"/>
          <w:sz w:val="18"/>
          <w:szCs w:val="20"/>
        </w:rPr>
        <w:t xml:space="preserve"> </w:t>
      </w:r>
      <w:proofErr w:type="spellStart"/>
      <w:r w:rsidRPr="00FA266A">
        <w:rPr>
          <w:rFonts w:ascii="Arial" w:hAnsi="Arial" w:cs="Arial"/>
          <w:bCs w:val="0"/>
          <w:sz w:val="18"/>
          <w:szCs w:val="20"/>
        </w:rPr>
        <w:t>Manual</w:t>
      </w:r>
      <w:proofErr w:type="spellEnd"/>
      <w:r w:rsidRPr="00FA266A">
        <w:rPr>
          <w:rFonts w:ascii="Arial" w:hAnsi="Arial" w:cs="Arial"/>
          <w:bCs w:val="0"/>
          <w:sz w:val="18"/>
          <w:szCs w:val="20"/>
        </w:rPr>
        <w:t xml:space="preserve"> 2002</w:t>
      </w:r>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Proposed</w:t>
      </w:r>
      <w:proofErr w:type="spellEnd"/>
      <w:r w:rsidRPr="00FA266A">
        <w:rPr>
          <w:rFonts w:ascii="Arial" w:hAnsi="Arial" w:cs="Arial"/>
          <w:b w:val="0"/>
          <w:bCs w:val="0"/>
          <w:sz w:val="18"/>
          <w:szCs w:val="20"/>
        </w:rPr>
        <w:t xml:space="preserve"> Standard </w:t>
      </w:r>
      <w:proofErr w:type="spellStart"/>
      <w:r w:rsidRPr="00FA266A">
        <w:rPr>
          <w:rFonts w:ascii="Arial" w:hAnsi="Arial" w:cs="Arial"/>
          <w:b w:val="0"/>
          <w:bCs w:val="0"/>
          <w:sz w:val="18"/>
          <w:szCs w:val="20"/>
        </w:rPr>
        <w:t>Practice</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for</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Surveys</w:t>
      </w:r>
      <w:proofErr w:type="spellEnd"/>
      <w:r w:rsidRPr="00FA266A">
        <w:rPr>
          <w:rFonts w:ascii="Arial" w:hAnsi="Arial" w:cs="Arial"/>
          <w:b w:val="0"/>
          <w:bCs w:val="0"/>
          <w:sz w:val="18"/>
          <w:szCs w:val="20"/>
        </w:rPr>
        <w:t xml:space="preserve"> on </w:t>
      </w:r>
      <w:proofErr w:type="spellStart"/>
      <w:r w:rsidRPr="00FA266A">
        <w:rPr>
          <w:rFonts w:ascii="Arial" w:hAnsi="Arial" w:cs="Arial"/>
          <w:b w:val="0"/>
          <w:bCs w:val="0"/>
          <w:sz w:val="18"/>
          <w:szCs w:val="20"/>
        </w:rPr>
        <w:t>Research</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and</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Experimental</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Development</w:t>
      </w:r>
      <w:proofErr w:type="spellEnd"/>
    </w:p>
    <w:p w:rsidR="00FA266A" w:rsidRPr="00FA266A" w:rsidRDefault="00FA266A" w:rsidP="00FA266A">
      <w:pPr>
        <w:pStyle w:val="Nadpis4"/>
        <w:keepNext w:val="0"/>
        <w:spacing w:before="0" w:after="120" w:line="240" w:lineRule="auto"/>
        <w:rPr>
          <w:rFonts w:ascii="Arial" w:hAnsi="Arial" w:cs="Arial"/>
          <w:b w:val="0"/>
          <w:bCs w:val="0"/>
          <w:i/>
          <w:iCs/>
          <w:sz w:val="18"/>
          <w:szCs w:val="20"/>
          <w:u w:val="single"/>
        </w:rPr>
      </w:pPr>
      <w:hyperlink r:id="rId6" w:history="1">
        <w:r w:rsidRPr="00FA266A">
          <w:rPr>
            <w:rFonts w:ascii="Arial" w:hAnsi="Arial" w:cs="Arial"/>
            <w:b w:val="0"/>
            <w:bCs w:val="0"/>
            <w:i/>
            <w:iCs/>
            <w:sz w:val="18"/>
            <w:szCs w:val="20"/>
            <w:u w:val="single"/>
          </w:rPr>
          <w:t>http://www.oecd.org/document/6/0,3343,en_2649_34451_33828550_1_1_1_1,00.html</w:t>
        </w:r>
      </w:hyperlink>
    </w:p>
    <w:p w:rsidR="00FA266A" w:rsidRPr="00FA266A" w:rsidRDefault="00FA266A" w:rsidP="00FA266A">
      <w:pPr>
        <w:pStyle w:val="Nadpis4"/>
        <w:keepNext w:val="0"/>
        <w:spacing w:after="120" w:line="240" w:lineRule="auto"/>
        <w:rPr>
          <w:rFonts w:ascii="Arial" w:hAnsi="Arial" w:cs="Arial"/>
          <w:sz w:val="18"/>
          <w:szCs w:val="20"/>
        </w:rPr>
      </w:pPr>
      <w:r w:rsidRPr="00FA266A">
        <w:rPr>
          <w:rFonts w:ascii="Arial" w:hAnsi="Arial" w:cs="Arial"/>
          <w:sz w:val="18"/>
          <w:szCs w:val="20"/>
        </w:rPr>
        <w:t xml:space="preserve">Statistický úřad Evropských společenství (EUROSTAT): </w:t>
      </w:r>
      <w:proofErr w:type="spellStart"/>
      <w:r w:rsidRPr="00FA266A">
        <w:rPr>
          <w:rFonts w:ascii="Arial" w:hAnsi="Arial" w:cs="Arial"/>
          <w:sz w:val="18"/>
          <w:szCs w:val="20"/>
        </w:rPr>
        <w:t>Statistics</w:t>
      </w:r>
      <w:proofErr w:type="spellEnd"/>
      <w:r w:rsidRPr="00FA266A">
        <w:rPr>
          <w:rFonts w:ascii="Arial" w:hAnsi="Arial" w:cs="Arial"/>
          <w:sz w:val="18"/>
          <w:szCs w:val="20"/>
        </w:rPr>
        <w:t xml:space="preserve"> on </w:t>
      </w:r>
      <w:proofErr w:type="spellStart"/>
      <w:r w:rsidRPr="00FA266A">
        <w:rPr>
          <w:rFonts w:ascii="Arial" w:hAnsi="Arial" w:cs="Arial"/>
          <w:sz w:val="18"/>
          <w:szCs w:val="20"/>
        </w:rPr>
        <w:t>research</w:t>
      </w:r>
      <w:proofErr w:type="spellEnd"/>
      <w:r w:rsidRPr="00FA266A">
        <w:rPr>
          <w:rFonts w:ascii="Arial" w:hAnsi="Arial" w:cs="Arial"/>
          <w:sz w:val="18"/>
          <w:szCs w:val="20"/>
        </w:rPr>
        <w:t xml:space="preserve"> </w:t>
      </w:r>
      <w:proofErr w:type="spellStart"/>
      <w:r w:rsidRPr="00FA266A">
        <w:rPr>
          <w:rFonts w:ascii="Arial" w:hAnsi="Arial" w:cs="Arial"/>
          <w:sz w:val="18"/>
          <w:szCs w:val="20"/>
        </w:rPr>
        <w:t>and</w:t>
      </w:r>
      <w:proofErr w:type="spellEnd"/>
      <w:r w:rsidRPr="00FA266A">
        <w:rPr>
          <w:rFonts w:ascii="Arial" w:hAnsi="Arial" w:cs="Arial"/>
          <w:sz w:val="18"/>
          <w:szCs w:val="20"/>
        </w:rPr>
        <w:t xml:space="preserve"> </w:t>
      </w:r>
      <w:proofErr w:type="spellStart"/>
      <w:r w:rsidRPr="00FA266A">
        <w:rPr>
          <w:rFonts w:ascii="Arial" w:hAnsi="Arial" w:cs="Arial"/>
          <w:sz w:val="18"/>
          <w:szCs w:val="20"/>
        </w:rPr>
        <w:t>development</w:t>
      </w:r>
      <w:proofErr w:type="spellEnd"/>
      <w:r w:rsidRPr="00FA266A">
        <w:rPr>
          <w:rFonts w:ascii="Arial" w:hAnsi="Arial" w:cs="Arial"/>
          <w:sz w:val="18"/>
          <w:szCs w:val="20"/>
        </w:rPr>
        <w:t xml:space="preserve"> (metodologie)</w:t>
      </w:r>
    </w:p>
    <w:p w:rsidR="00FA266A" w:rsidRPr="00FA266A" w:rsidRDefault="00FA266A" w:rsidP="00FA266A">
      <w:pPr>
        <w:pStyle w:val="Nadpis4"/>
        <w:keepNext w:val="0"/>
        <w:spacing w:before="0" w:after="120" w:line="240" w:lineRule="auto"/>
        <w:rPr>
          <w:rFonts w:ascii="Arial" w:hAnsi="Arial" w:cs="Arial"/>
          <w:b w:val="0"/>
          <w:bCs w:val="0"/>
          <w:i/>
          <w:iCs/>
          <w:sz w:val="18"/>
          <w:szCs w:val="20"/>
          <w:u w:val="single"/>
        </w:rPr>
      </w:pPr>
      <w:hyperlink r:id="rId7" w:history="1">
        <w:r w:rsidRPr="00FA266A">
          <w:rPr>
            <w:rFonts w:ascii="Arial" w:hAnsi="Arial" w:cs="Arial"/>
            <w:b w:val="0"/>
            <w:bCs w:val="0"/>
            <w:i/>
            <w:iCs/>
            <w:sz w:val="18"/>
            <w:szCs w:val="20"/>
            <w:u w:val="single"/>
          </w:rPr>
          <w:t>http://epp.eurostat</w:t>
        </w:r>
        <w:r w:rsidRPr="00FA266A">
          <w:rPr>
            <w:rFonts w:ascii="Arial" w:hAnsi="Arial" w:cs="Arial"/>
            <w:b w:val="0"/>
            <w:bCs w:val="0"/>
            <w:i/>
            <w:iCs/>
            <w:sz w:val="18"/>
            <w:szCs w:val="20"/>
            <w:u w:val="single"/>
          </w:rPr>
          <w:t>.</w:t>
        </w:r>
        <w:r w:rsidRPr="00FA266A">
          <w:rPr>
            <w:rFonts w:ascii="Arial" w:hAnsi="Arial" w:cs="Arial"/>
            <w:b w:val="0"/>
            <w:bCs w:val="0"/>
            <w:i/>
            <w:iCs/>
            <w:sz w:val="18"/>
            <w:szCs w:val="20"/>
            <w:u w:val="single"/>
          </w:rPr>
          <w:t>ec.europ</w:t>
        </w:r>
        <w:r w:rsidRPr="00FA266A">
          <w:rPr>
            <w:rFonts w:ascii="Arial" w:hAnsi="Arial" w:cs="Arial"/>
            <w:b w:val="0"/>
            <w:bCs w:val="0"/>
            <w:i/>
            <w:iCs/>
            <w:sz w:val="18"/>
            <w:szCs w:val="20"/>
            <w:u w:val="single"/>
          </w:rPr>
          <w:t>a</w:t>
        </w:r>
        <w:r w:rsidRPr="00FA266A">
          <w:rPr>
            <w:rFonts w:ascii="Arial" w:hAnsi="Arial" w:cs="Arial"/>
            <w:b w:val="0"/>
            <w:bCs w:val="0"/>
            <w:i/>
            <w:iCs/>
            <w:sz w:val="18"/>
            <w:szCs w:val="20"/>
            <w:u w:val="single"/>
          </w:rPr>
          <w:t>.eu/cache/ITY_SDDS/en/rd_esms.htm</w:t>
        </w:r>
      </w:hyperlink>
    </w:p>
    <w:p w:rsidR="00FA266A" w:rsidRPr="00FA266A" w:rsidRDefault="00FA266A" w:rsidP="00FA266A">
      <w:pPr>
        <w:pStyle w:val="Nadpis4"/>
        <w:keepNext w:val="0"/>
        <w:spacing w:after="120" w:line="240" w:lineRule="auto"/>
        <w:rPr>
          <w:rFonts w:ascii="Arial" w:hAnsi="Arial" w:cs="Arial"/>
          <w:sz w:val="20"/>
          <w:szCs w:val="20"/>
        </w:rPr>
      </w:pPr>
      <w:r w:rsidRPr="00FA266A">
        <w:rPr>
          <w:rFonts w:ascii="Arial" w:hAnsi="Arial" w:cs="Arial"/>
          <w:sz w:val="20"/>
          <w:szCs w:val="20"/>
        </w:rPr>
        <w:t>Nařízení Evropské unie:</w:t>
      </w:r>
    </w:p>
    <w:p w:rsidR="00FA266A" w:rsidRPr="00FA266A" w:rsidRDefault="00FA266A" w:rsidP="00FA266A">
      <w:pPr>
        <w:pStyle w:val="Nadpis4"/>
        <w:keepNext w:val="0"/>
        <w:spacing w:before="0" w:after="0" w:line="240" w:lineRule="auto"/>
        <w:rPr>
          <w:rFonts w:ascii="Arial" w:hAnsi="Arial" w:cs="Arial"/>
          <w:b w:val="0"/>
          <w:bCs w:val="0"/>
          <w:sz w:val="18"/>
          <w:szCs w:val="20"/>
        </w:rPr>
      </w:pPr>
      <w:proofErr w:type="spellStart"/>
      <w:r w:rsidRPr="00FA266A">
        <w:rPr>
          <w:rFonts w:ascii="Arial" w:hAnsi="Arial" w:cs="Arial"/>
          <w:b w:val="0"/>
          <w:bCs w:val="0"/>
          <w:sz w:val="18"/>
          <w:szCs w:val="20"/>
        </w:rPr>
        <w:t>Decision</w:t>
      </w:r>
      <w:proofErr w:type="spellEnd"/>
      <w:r w:rsidRPr="00FA266A">
        <w:rPr>
          <w:rFonts w:ascii="Arial" w:hAnsi="Arial" w:cs="Arial"/>
          <w:b w:val="0"/>
          <w:bCs w:val="0"/>
          <w:sz w:val="18"/>
          <w:szCs w:val="20"/>
        </w:rPr>
        <w:t xml:space="preserve"> No 1608/2003/EC </w:t>
      </w:r>
      <w:proofErr w:type="spellStart"/>
      <w:r w:rsidRPr="00FA266A">
        <w:rPr>
          <w:rFonts w:ascii="Arial" w:hAnsi="Arial" w:cs="Arial"/>
          <w:b w:val="0"/>
          <w:bCs w:val="0"/>
          <w:sz w:val="18"/>
          <w:szCs w:val="20"/>
        </w:rPr>
        <w:t>of</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the</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European</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Parliament</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and</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of</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the</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Council</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of</w:t>
      </w:r>
      <w:proofErr w:type="spellEnd"/>
      <w:r w:rsidRPr="00FA266A">
        <w:rPr>
          <w:rFonts w:ascii="Arial" w:hAnsi="Arial" w:cs="Arial"/>
          <w:b w:val="0"/>
          <w:bCs w:val="0"/>
          <w:sz w:val="18"/>
          <w:szCs w:val="20"/>
        </w:rPr>
        <w:t xml:space="preserve"> 22 </w:t>
      </w:r>
      <w:proofErr w:type="spellStart"/>
      <w:r w:rsidRPr="00FA266A">
        <w:rPr>
          <w:rFonts w:ascii="Arial" w:hAnsi="Arial" w:cs="Arial"/>
          <w:b w:val="0"/>
          <w:bCs w:val="0"/>
          <w:sz w:val="18"/>
          <w:szCs w:val="20"/>
        </w:rPr>
        <w:t>July</w:t>
      </w:r>
      <w:proofErr w:type="spellEnd"/>
      <w:r w:rsidRPr="00FA266A">
        <w:rPr>
          <w:rFonts w:ascii="Arial" w:hAnsi="Arial" w:cs="Arial"/>
          <w:b w:val="0"/>
          <w:bCs w:val="0"/>
          <w:sz w:val="18"/>
          <w:szCs w:val="20"/>
        </w:rPr>
        <w:t xml:space="preserve"> 2003 </w:t>
      </w:r>
      <w:proofErr w:type="spellStart"/>
      <w:r w:rsidRPr="00FA266A">
        <w:rPr>
          <w:rFonts w:ascii="Arial" w:hAnsi="Arial" w:cs="Arial"/>
          <w:b w:val="0"/>
          <w:bCs w:val="0"/>
          <w:sz w:val="18"/>
          <w:szCs w:val="20"/>
        </w:rPr>
        <w:t>concerning</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the</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production</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and</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development</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of</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Community</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statistics</w:t>
      </w:r>
      <w:proofErr w:type="spellEnd"/>
      <w:r w:rsidRPr="00FA266A">
        <w:rPr>
          <w:rFonts w:ascii="Arial" w:hAnsi="Arial" w:cs="Arial"/>
          <w:b w:val="0"/>
          <w:bCs w:val="0"/>
          <w:sz w:val="18"/>
          <w:szCs w:val="20"/>
        </w:rPr>
        <w:t xml:space="preserve"> on science </w:t>
      </w:r>
      <w:proofErr w:type="spellStart"/>
      <w:r w:rsidRPr="00FA266A">
        <w:rPr>
          <w:rFonts w:ascii="Arial" w:hAnsi="Arial" w:cs="Arial"/>
          <w:b w:val="0"/>
          <w:bCs w:val="0"/>
          <w:sz w:val="18"/>
          <w:szCs w:val="20"/>
        </w:rPr>
        <w:t>and</w:t>
      </w:r>
      <w:proofErr w:type="spellEnd"/>
      <w:r w:rsidRPr="00FA266A">
        <w:rPr>
          <w:rFonts w:ascii="Arial" w:hAnsi="Arial" w:cs="Arial"/>
          <w:b w:val="0"/>
          <w:bCs w:val="0"/>
          <w:sz w:val="18"/>
          <w:szCs w:val="20"/>
        </w:rPr>
        <w:t xml:space="preserve"> technology</w:t>
      </w:r>
    </w:p>
    <w:p w:rsidR="00FA266A" w:rsidRPr="00FA266A" w:rsidRDefault="00FA266A" w:rsidP="00FA266A">
      <w:pPr>
        <w:pStyle w:val="Nadpis4"/>
        <w:keepNext w:val="0"/>
        <w:spacing w:before="0" w:after="120" w:line="240" w:lineRule="auto"/>
        <w:rPr>
          <w:rFonts w:ascii="Arial" w:hAnsi="Arial" w:cs="Arial"/>
          <w:sz w:val="18"/>
          <w:szCs w:val="20"/>
        </w:rPr>
      </w:pPr>
      <w:hyperlink r:id="rId8" w:history="1">
        <w:r w:rsidRPr="00FA266A">
          <w:rPr>
            <w:rFonts w:ascii="Arial" w:hAnsi="Arial" w:cs="Arial"/>
            <w:b w:val="0"/>
            <w:bCs w:val="0"/>
            <w:i/>
            <w:iCs/>
            <w:sz w:val="18"/>
            <w:szCs w:val="20"/>
            <w:u w:val="single"/>
          </w:rPr>
          <w:t>http://eur-lex.europa.eu/LexUriServ/LexUriServ.do?uri=CELEX:32003D1608:EN:HTML</w:t>
        </w:r>
      </w:hyperlink>
    </w:p>
    <w:p w:rsidR="00FA266A" w:rsidRPr="00FA266A" w:rsidRDefault="00FA266A" w:rsidP="00FA266A">
      <w:pPr>
        <w:pStyle w:val="Nadpis4"/>
        <w:keepNext w:val="0"/>
        <w:spacing w:before="0" w:after="0" w:line="240" w:lineRule="auto"/>
        <w:rPr>
          <w:rFonts w:ascii="Arial" w:hAnsi="Arial" w:cs="Arial"/>
          <w:b w:val="0"/>
          <w:bCs w:val="0"/>
          <w:sz w:val="18"/>
          <w:szCs w:val="20"/>
        </w:rPr>
      </w:pPr>
      <w:r w:rsidRPr="00FA266A">
        <w:rPr>
          <w:rFonts w:ascii="Arial" w:hAnsi="Arial" w:cs="Arial"/>
          <w:b w:val="0"/>
          <w:bCs w:val="0"/>
          <w:sz w:val="18"/>
          <w:szCs w:val="20"/>
        </w:rPr>
        <w:t xml:space="preserve">COMMISSION IMPLEMENTING REGULATION (EU) No 995/2012 </w:t>
      </w:r>
      <w:proofErr w:type="spellStart"/>
      <w:r w:rsidRPr="00FA266A">
        <w:rPr>
          <w:rFonts w:ascii="Arial" w:hAnsi="Arial" w:cs="Arial"/>
          <w:b w:val="0"/>
          <w:bCs w:val="0"/>
          <w:sz w:val="18"/>
          <w:szCs w:val="20"/>
        </w:rPr>
        <w:t>of</w:t>
      </w:r>
      <w:proofErr w:type="spellEnd"/>
      <w:r w:rsidRPr="00FA266A">
        <w:rPr>
          <w:rFonts w:ascii="Arial" w:hAnsi="Arial" w:cs="Arial"/>
          <w:b w:val="0"/>
          <w:bCs w:val="0"/>
          <w:sz w:val="18"/>
          <w:szCs w:val="20"/>
        </w:rPr>
        <w:t xml:space="preserve"> 26 </w:t>
      </w:r>
      <w:proofErr w:type="spellStart"/>
      <w:r w:rsidRPr="00FA266A">
        <w:rPr>
          <w:rFonts w:ascii="Arial" w:hAnsi="Arial" w:cs="Arial"/>
          <w:b w:val="0"/>
          <w:bCs w:val="0"/>
          <w:sz w:val="18"/>
          <w:szCs w:val="20"/>
        </w:rPr>
        <w:t>October</w:t>
      </w:r>
      <w:proofErr w:type="spellEnd"/>
      <w:r w:rsidRPr="00FA266A">
        <w:rPr>
          <w:rFonts w:ascii="Arial" w:hAnsi="Arial" w:cs="Arial"/>
          <w:b w:val="0"/>
          <w:bCs w:val="0"/>
          <w:sz w:val="18"/>
          <w:szCs w:val="20"/>
        </w:rPr>
        <w:t xml:space="preserve"> 2012 </w:t>
      </w:r>
      <w:proofErr w:type="spellStart"/>
      <w:r w:rsidRPr="00FA266A">
        <w:rPr>
          <w:rFonts w:ascii="Arial" w:hAnsi="Arial" w:cs="Arial"/>
          <w:b w:val="0"/>
          <w:bCs w:val="0"/>
          <w:sz w:val="18"/>
          <w:szCs w:val="20"/>
        </w:rPr>
        <w:t>laying</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down</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detailed</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rules</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for</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the</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implementation</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of</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Decision</w:t>
      </w:r>
      <w:proofErr w:type="spellEnd"/>
      <w:r w:rsidRPr="00FA266A">
        <w:rPr>
          <w:rFonts w:ascii="Arial" w:hAnsi="Arial" w:cs="Arial"/>
          <w:b w:val="0"/>
          <w:bCs w:val="0"/>
          <w:sz w:val="18"/>
          <w:szCs w:val="20"/>
        </w:rPr>
        <w:t xml:space="preserve"> No 1608/2003/EC </w:t>
      </w:r>
      <w:proofErr w:type="spellStart"/>
      <w:r w:rsidRPr="00FA266A">
        <w:rPr>
          <w:rFonts w:ascii="Arial" w:hAnsi="Arial" w:cs="Arial"/>
          <w:b w:val="0"/>
          <w:bCs w:val="0"/>
          <w:sz w:val="18"/>
          <w:szCs w:val="20"/>
        </w:rPr>
        <w:t>of</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the</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European</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Parliament</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and</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of</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the</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Council</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concerning</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the</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production</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and</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development</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of</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Community</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statistics</w:t>
      </w:r>
      <w:proofErr w:type="spellEnd"/>
      <w:r w:rsidRPr="00FA266A">
        <w:rPr>
          <w:rFonts w:ascii="Arial" w:hAnsi="Arial" w:cs="Arial"/>
          <w:b w:val="0"/>
          <w:bCs w:val="0"/>
          <w:sz w:val="18"/>
          <w:szCs w:val="20"/>
        </w:rPr>
        <w:t xml:space="preserve"> on science </w:t>
      </w:r>
      <w:proofErr w:type="spellStart"/>
      <w:r w:rsidRPr="00FA266A">
        <w:rPr>
          <w:rFonts w:ascii="Arial" w:hAnsi="Arial" w:cs="Arial"/>
          <w:b w:val="0"/>
          <w:bCs w:val="0"/>
          <w:sz w:val="18"/>
          <w:szCs w:val="20"/>
        </w:rPr>
        <w:t>and</w:t>
      </w:r>
      <w:proofErr w:type="spellEnd"/>
      <w:r w:rsidRPr="00FA266A">
        <w:rPr>
          <w:rFonts w:ascii="Arial" w:hAnsi="Arial" w:cs="Arial"/>
          <w:b w:val="0"/>
          <w:bCs w:val="0"/>
          <w:sz w:val="18"/>
          <w:szCs w:val="20"/>
        </w:rPr>
        <w:t xml:space="preserve"> technology.</w:t>
      </w:r>
    </w:p>
    <w:p w:rsidR="00FA266A" w:rsidRPr="00FA266A" w:rsidRDefault="00FA266A" w:rsidP="00FA266A">
      <w:pPr>
        <w:pStyle w:val="Nadpis4"/>
        <w:keepNext w:val="0"/>
        <w:spacing w:before="0" w:after="0" w:line="240" w:lineRule="auto"/>
        <w:rPr>
          <w:rFonts w:ascii="Arial" w:hAnsi="Arial" w:cs="Arial"/>
          <w:b w:val="0"/>
          <w:bCs w:val="0"/>
          <w:i/>
          <w:iCs/>
          <w:sz w:val="18"/>
          <w:szCs w:val="20"/>
          <w:u w:val="single"/>
        </w:rPr>
      </w:pPr>
      <w:hyperlink r:id="rId9" w:history="1">
        <w:r w:rsidRPr="00FA266A">
          <w:rPr>
            <w:rFonts w:ascii="Arial" w:hAnsi="Arial" w:cs="Arial"/>
            <w:b w:val="0"/>
            <w:bCs w:val="0"/>
            <w:i/>
            <w:iCs/>
            <w:sz w:val="18"/>
            <w:szCs w:val="20"/>
            <w:u w:val="single"/>
          </w:rPr>
          <w:t>http://eur-lex.europa.eu/LexUriServ/LexUriServ.do?uri=OJ:L:2012:299:0018:0030:EN:PDF</w:t>
        </w:r>
      </w:hyperlink>
    </w:p>
    <w:p w:rsidR="00FA266A" w:rsidRPr="00FA266A" w:rsidRDefault="00FA266A" w:rsidP="00FA266A">
      <w:pPr>
        <w:pStyle w:val="Nadpis4"/>
        <w:keepNext w:val="0"/>
        <w:spacing w:before="0" w:after="120" w:line="240" w:lineRule="auto"/>
        <w:rPr>
          <w:rFonts w:ascii="Arial" w:hAnsi="Arial" w:cs="Arial"/>
          <w:b w:val="0"/>
          <w:bCs w:val="0"/>
          <w:i/>
          <w:iCs/>
          <w:sz w:val="18"/>
          <w:szCs w:val="20"/>
          <w:u w:val="single"/>
        </w:rPr>
      </w:pPr>
      <w:hyperlink r:id="rId10" w:history="1">
        <w:r w:rsidRPr="00FA266A">
          <w:rPr>
            <w:rFonts w:ascii="Arial" w:hAnsi="Arial" w:cs="Arial"/>
            <w:b w:val="0"/>
            <w:bCs w:val="0"/>
            <w:i/>
            <w:iCs/>
            <w:sz w:val="18"/>
            <w:szCs w:val="20"/>
            <w:u w:val="single"/>
          </w:rPr>
          <w:t>http://eur-lex.europa.eu/LexUriServ/LexUriServ.do?uri=OJ:L:2012:299:0018:0030:CS:PDF</w:t>
        </w:r>
      </w:hyperlink>
    </w:p>
    <w:p w:rsidR="00FA266A" w:rsidRPr="00FA266A" w:rsidRDefault="00FA266A" w:rsidP="00FA266A">
      <w:pPr>
        <w:pStyle w:val="Nadpis4"/>
        <w:keepNext w:val="0"/>
        <w:spacing w:after="120" w:line="240" w:lineRule="auto"/>
        <w:rPr>
          <w:rFonts w:ascii="Arial" w:hAnsi="Arial" w:cs="Arial"/>
          <w:sz w:val="20"/>
          <w:szCs w:val="20"/>
        </w:rPr>
      </w:pPr>
      <w:r w:rsidRPr="00FA266A">
        <w:rPr>
          <w:rFonts w:ascii="Arial" w:hAnsi="Arial" w:cs="Arial"/>
          <w:sz w:val="20"/>
          <w:szCs w:val="20"/>
        </w:rPr>
        <w:t>Klasifikace:</w:t>
      </w:r>
    </w:p>
    <w:p w:rsidR="00FA266A" w:rsidRPr="00FA266A" w:rsidRDefault="00FA266A" w:rsidP="00FA266A">
      <w:pPr>
        <w:pStyle w:val="Nadpis4"/>
        <w:keepNext w:val="0"/>
        <w:spacing w:before="0" w:after="0" w:line="240" w:lineRule="auto"/>
        <w:rPr>
          <w:rFonts w:ascii="Arial" w:hAnsi="Arial" w:cs="Arial"/>
          <w:b w:val="0"/>
          <w:bCs w:val="0"/>
          <w:sz w:val="18"/>
          <w:szCs w:val="20"/>
        </w:rPr>
      </w:pPr>
      <w:r w:rsidRPr="00FA266A">
        <w:rPr>
          <w:rFonts w:ascii="Arial" w:hAnsi="Arial" w:cs="Arial"/>
          <w:b w:val="0"/>
          <w:bCs w:val="0"/>
          <w:sz w:val="18"/>
          <w:szCs w:val="20"/>
        </w:rPr>
        <w:t>FOS (</w:t>
      </w:r>
      <w:proofErr w:type="spellStart"/>
      <w:r w:rsidRPr="00FA266A">
        <w:rPr>
          <w:rFonts w:ascii="Arial" w:hAnsi="Arial" w:cs="Arial"/>
          <w:b w:val="0"/>
          <w:bCs w:val="0"/>
          <w:sz w:val="18"/>
          <w:szCs w:val="20"/>
        </w:rPr>
        <w:t>Field</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of</w:t>
      </w:r>
      <w:proofErr w:type="spellEnd"/>
      <w:r w:rsidRPr="00FA266A">
        <w:rPr>
          <w:rFonts w:ascii="Arial" w:hAnsi="Arial" w:cs="Arial"/>
          <w:b w:val="0"/>
          <w:bCs w:val="0"/>
          <w:sz w:val="18"/>
          <w:szCs w:val="20"/>
        </w:rPr>
        <w:t xml:space="preserve"> Science </w:t>
      </w:r>
      <w:proofErr w:type="spellStart"/>
      <w:r w:rsidRPr="00FA266A">
        <w:rPr>
          <w:rFonts w:ascii="Arial" w:hAnsi="Arial" w:cs="Arial"/>
          <w:b w:val="0"/>
          <w:bCs w:val="0"/>
          <w:sz w:val="18"/>
          <w:szCs w:val="20"/>
        </w:rPr>
        <w:t>and</w:t>
      </w:r>
      <w:proofErr w:type="spellEnd"/>
      <w:r w:rsidRPr="00FA266A">
        <w:rPr>
          <w:rFonts w:ascii="Arial" w:hAnsi="Arial" w:cs="Arial"/>
          <w:b w:val="0"/>
          <w:bCs w:val="0"/>
          <w:sz w:val="18"/>
          <w:szCs w:val="20"/>
        </w:rPr>
        <w:t xml:space="preserve"> Technology </w:t>
      </w:r>
      <w:proofErr w:type="spellStart"/>
      <w:r w:rsidRPr="00FA266A">
        <w:rPr>
          <w:rFonts w:ascii="Arial" w:hAnsi="Arial" w:cs="Arial"/>
          <w:b w:val="0"/>
          <w:bCs w:val="0"/>
          <w:sz w:val="18"/>
          <w:szCs w:val="20"/>
        </w:rPr>
        <w:t>Classification</w:t>
      </w:r>
      <w:proofErr w:type="spellEnd"/>
      <w:r w:rsidRPr="00FA266A">
        <w:rPr>
          <w:rFonts w:ascii="Arial" w:hAnsi="Arial" w:cs="Arial"/>
          <w:b w:val="0"/>
          <w:bCs w:val="0"/>
          <w:sz w:val="18"/>
          <w:szCs w:val="20"/>
        </w:rPr>
        <w:t xml:space="preserve">, 2002 </w:t>
      </w:r>
      <w:proofErr w:type="spellStart"/>
      <w:r w:rsidRPr="00FA266A">
        <w:rPr>
          <w:rFonts w:ascii="Arial" w:hAnsi="Arial" w:cs="Arial"/>
          <w:b w:val="0"/>
          <w:bCs w:val="0"/>
          <w:sz w:val="18"/>
          <w:szCs w:val="20"/>
        </w:rPr>
        <w:t>version</w:t>
      </w:r>
      <w:proofErr w:type="spellEnd"/>
      <w:r w:rsidRPr="00FA266A">
        <w:rPr>
          <w:rFonts w:ascii="Arial" w:hAnsi="Arial" w:cs="Arial"/>
          <w:b w:val="0"/>
          <w:bCs w:val="0"/>
          <w:sz w:val="18"/>
          <w:szCs w:val="20"/>
        </w:rPr>
        <w:t>) – Oblast vědy a technologie</w:t>
      </w:r>
    </w:p>
    <w:p w:rsidR="00FA266A" w:rsidRPr="00FA266A" w:rsidRDefault="00FA266A" w:rsidP="00FA266A">
      <w:pPr>
        <w:pStyle w:val="Nadpis4"/>
        <w:keepNext w:val="0"/>
        <w:spacing w:before="0" w:after="120" w:line="240" w:lineRule="auto"/>
        <w:rPr>
          <w:rFonts w:ascii="Arial" w:hAnsi="Arial" w:cs="Arial"/>
          <w:b w:val="0"/>
          <w:bCs w:val="0"/>
          <w:i/>
          <w:iCs/>
          <w:sz w:val="18"/>
          <w:szCs w:val="20"/>
          <w:u w:val="single"/>
        </w:rPr>
      </w:pPr>
      <w:hyperlink r:id="rId11" w:history="1">
        <w:r w:rsidRPr="00FA266A">
          <w:rPr>
            <w:rFonts w:ascii="Arial" w:hAnsi="Arial" w:cs="Arial"/>
            <w:b w:val="0"/>
            <w:bCs w:val="0"/>
            <w:i/>
            <w:iCs/>
            <w:sz w:val="18"/>
            <w:szCs w:val="20"/>
            <w:u w:val="single"/>
          </w:rPr>
          <w:t>http://www.oecd.org/dataoecd/36/44/38235147.pdf</w:t>
        </w:r>
      </w:hyperlink>
    </w:p>
    <w:p w:rsidR="00FA266A" w:rsidRPr="00FA266A" w:rsidRDefault="00FA266A" w:rsidP="00FA266A">
      <w:pPr>
        <w:pStyle w:val="Nadpis4"/>
        <w:keepNext w:val="0"/>
        <w:spacing w:before="0" w:after="0" w:line="240" w:lineRule="auto"/>
        <w:rPr>
          <w:rFonts w:ascii="Arial" w:hAnsi="Arial" w:cs="Arial"/>
          <w:b w:val="0"/>
          <w:bCs w:val="0"/>
          <w:sz w:val="18"/>
          <w:szCs w:val="20"/>
        </w:rPr>
      </w:pPr>
      <w:r w:rsidRPr="00FA266A">
        <w:rPr>
          <w:rFonts w:ascii="Arial" w:hAnsi="Arial" w:cs="Arial"/>
          <w:b w:val="0"/>
          <w:bCs w:val="0"/>
          <w:sz w:val="18"/>
          <w:szCs w:val="20"/>
        </w:rPr>
        <w:t>ISCED 97 (</w:t>
      </w:r>
      <w:proofErr w:type="spellStart"/>
      <w:r w:rsidRPr="00FA266A">
        <w:rPr>
          <w:rFonts w:ascii="Arial" w:hAnsi="Arial" w:cs="Arial"/>
          <w:b w:val="0"/>
          <w:bCs w:val="0"/>
          <w:sz w:val="18"/>
          <w:szCs w:val="20"/>
        </w:rPr>
        <w:t>International</w:t>
      </w:r>
      <w:proofErr w:type="spellEnd"/>
      <w:r w:rsidRPr="00FA266A">
        <w:rPr>
          <w:rFonts w:ascii="Arial" w:hAnsi="Arial" w:cs="Arial"/>
          <w:b w:val="0"/>
          <w:bCs w:val="0"/>
          <w:sz w:val="18"/>
          <w:szCs w:val="20"/>
        </w:rPr>
        <w:t xml:space="preserve"> Standard </w:t>
      </w:r>
      <w:proofErr w:type="spellStart"/>
      <w:r w:rsidRPr="00FA266A">
        <w:rPr>
          <w:rFonts w:ascii="Arial" w:hAnsi="Arial" w:cs="Arial"/>
          <w:b w:val="0"/>
          <w:bCs w:val="0"/>
          <w:sz w:val="18"/>
          <w:szCs w:val="20"/>
        </w:rPr>
        <w:t>Classification</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of</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Education</w:t>
      </w:r>
      <w:proofErr w:type="spellEnd"/>
      <w:r w:rsidRPr="00FA266A">
        <w:rPr>
          <w:rFonts w:ascii="Arial" w:hAnsi="Arial" w:cs="Arial"/>
          <w:b w:val="0"/>
          <w:bCs w:val="0"/>
          <w:sz w:val="18"/>
          <w:szCs w:val="20"/>
        </w:rPr>
        <w:t>) – Mezinárodní standardní klasifikace vzdělávání</w:t>
      </w:r>
    </w:p>
    <w:p w:rsidR="00FA266A" w:rsidRPr="00FA266A" w:rsidRDefault="00FA266A" w:rsidP="00FA266A">
      <w:pPr>
        <w:pStyle w:val="Nadpis4"/>
        <w:keepNext w:val="0"/>
        <w:spacing w:before="0" w:after="0" w:line="240" w:lineRule="auto"/>
        <w:rPr>
          <w:rFonts w:ascii="Arial" w:hAnsi="Arial" w:cs="Arial"/>
          <w:b w:val="0"/>
          <w:bCs w:val="0"/>
          <w:i/>
          <w:iCs/>
          <w:sz w:val="18"/>
          <w:szCs w:val="20"/>
          <w:u w:val="single"/>
        </w:rPr>
      </w:pPr>
      <w:hyperlink r:id="rId12" w:history="1">
        <w:r w:rsidRPr="00FA266A">
          <w:rPr>
            <w:rFonts w:ascii="Arial" w:hAnsi="Arial" w:cs="Arial"/>
            <w:b w:val="0"/>
            <w:bCs w:val="0"/>
            <w:i/>
            <w:iCs/>
            <w:sz w:val="18"/>
            <w:szCs w:val="20"/>
            <w:u w:val="single"/>
          </w:rPr>
          <w:t>h</w:t>
        </w:r>
        <w:r w:rsidRPr="00FA266A">
          <w:rPr>
            <w:rFonts w:ascii="Arial" w:hAnsi="Arial" w:cs="Arial"/>
            <w:b w:val="0"/>
            <w:bCs w:val="0"/>
            <w:i/>
            <w:iCs/>
            <w:sz w:val="18"/>
            <w:szCs w:val="20"/>
            <w:u w:val="single"/>
          </w:rPr>
          <w:t>t</w:t>
        </w:r>
        <w:r w:rsidRPr="00FA266A">
          <w:rPr>
            <w:rFonts w:ascii="Arial" w:hAnsi="Arial" w:cs="Arial"/>
            <w:b w:val="0"/>
            <w:bCs w:val="0"/>
            <w:i/>
            <w:iCs/>
            <w:sz w:val="18"/>
            <w:szCs w:val="20"/>
            <w:u w:val="single"/>
          </w:rPr>
          <w:t>tp://www.uis.unesco.org/ev.php?ID=7433_201&amp;ID2=DO_TOPIC</w:t>
        </w:r>
      </w:hyperlink>
    </w:p>
    <w:p w:rsidR="00FA266A" w:rsidRPr="00FA266A" w:rsidRDefault="00FA266A" w:rsidP="00FA266A">
      <w:pPr>
        <w:pStyle w:val="Nadpis4"/>
        <w:keepNext w:val="0"/>
        <w:spacing w:before="0" w:after="120" w:line="240" w:lineRule="auto"/>
        <w:rPr>
          <w:rFonts w:ascii="Arial" w:hAnsi="Arial" w:cs="Arial"/>
          <w:b w:val="0"/>
          <w:bCs w:val="0"/>
          <w:i/>
          <w:iCs/>
          <w:sz w:val="18"/>
          <w:szCs w:val="20"/>
          <w:u w:val="single"/>
        </w:rPr>
      </w:pPr>
      <w:hyperlink r:id="rId13" w:history="1">
        <w:r w:rsidRPr="00FA266A">
          <w:rPr>
            <w:rFonts w:ascii="Arial" w:hAnsi="Arial" w:cs="Arial"/>
            <w:b w:val="0"/>
            <w:bCs w:val="0"/>
            <w:i/>
            <w:iCs/>
            <w:sz w:val="18"/>
            <w:szCs w:val="20"/>
            <w:u w:val="single"/>
          </w:rPr>
          <w:t>http://www.czso.cz/csu/klasifik.nsf/i/mezinarodni_standardni_klasifikace_vzdelavani_isced_</w:t>
        </w:r>
      </w:hyperlink>
    </w:p>
    <w:p w:rsidR="00FA266A" w:rsidRPr="00FA266A" w:rsidRDefault="00FA266A" w:rsidP="00FA266A">
      <w:pPr>
        <w:pStyle w:val="Nadpis4"/>
        <w:keepNext w:val="0"/>
        <w:spacing w:before="0" w:after="0" w:line="240" w:lineRule="auto"/>
        <w:rPr>
          <w:rFonts w:ascii="Arial" w:hAnsi="Arial" w:cs="Arial"/>
          <w:b w:val="0"/>
          <w:bCs w:val="0"/>
          <w:sz w:val="18"/>
          <w:szCs w:val="20"/>
        </w:rPr>
      </w:pPr>
      <w:r w:rsidRPr="00FA266A">
        <w:rPr>
          <w:rFonts w:ascii="Arial" w:hAnsi="Arial" w:cs="Arial"/>
          <w:b w:val="0"/>
          <w:bCs w:val="0"/>
          <w:sz w:val="18"/>
          <w:szCs w:val="20"/>
        </w:rPr>
        <w:t>ISCO-08 (</w:t>
      </w:r>
      <w:proofErr w:type="spellStart"/>
      <w:r w:rsidRPr="00FA266A">
        <w:rPr>
          <w:rFonts w:ascii="Arial" w:hAnsi="Arial" w:cs="Arial"/>
          <w:b w:val="0"/>
          <w:bCs w:val="0"/>
          <w:sz w:val="18"/>
          <w:szCs w:val="20"/>
        </w:rPr>
        <w:t>International</w:t>
      </w:r>
      <w:proofErr w:type="spellEnd"/>
      <w:r w:rsidRPr="00FA266A">
        <w:rPr>
          <w:rFonts w:ascii="Arial" w:hAnsi="Arial" w:cs="Arial"/>
          <w:b w:val="0"/>
          <w:bCs w:val="0"/>
          <w:sz w:val="18"/>
          <w:szCs w:val="20"/>
        </w:rPr>
        <w:t xml:space="preserve"> Standard </w:t>
      </w:r>
      <w:proofErr w:type="spellStart"/>
      <w:r w:rsidRPr="00FA266A">
        <w:rPr>
          <w:rFonts w:ascii="Arial" w:hAnsi="Arial" w:cs="Arial"/>
          <w:b w:val="0"/>
          <w:bCs w:val="0"/>
          <w:sz w:val="18"/>
          <w:szCs w:val="20"/>
        </w:rPr>
        <w:t>Classification</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of</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Occupations</w:t>
      </w:r>
      <w:proofErr w:type="spellEnd"/>
      <w:r w:rsidRPr="00FA266A">
        <w:rPr>
          <w:rFonts w:ascii="Arial" w:hAnsi="Arial" w:cs="Arial"/>
          <w:b w:val="0"/>
          <w:bCs w:val="0"/>
          <w:sz w:val="18"/>
          <w:szCs w:val="20"/>
        </w:rPr>
        <w:t>) – Mezinárodní klasifikace zaměstnání (CZ-ISCO)</w:t>
      </w:r>
    </w:p>
    <w:p w:rsidR="00FA266A" w:rsidRPr="00FA266A" w:rsidRDefault="00FA266A" w:rsidP="00FA266A">
      <w:pPr>
        <w:pStyle w:val="Nadpis4"/>
        <w:keepNext w:val="0"/>
        <w:spacing w:before="0" w:after="0" w:line="240" w:lineRule="auto"/>
        <w:rPr>
          <w:rFonts w:ascii="Arial" w:hAnsi="Arial" w:cs="Arial"/>
          <w:b w:val="0"/>
          <w:bCs w:val="0"/>
          <w:i/>
          <w:iCs/>
          <w:sz w:val="18"/>
          <w:szCs w:val="20"/>
          <w:u w:val="single"/>
        </w:rPr>
      </w:pPr>
      <w:hyperlink r:id="rId14" w:history="1">
        <w:r w:rsidRPr="00FA266A">
          <w:rPr>
            <w:rFonts w:ascii="Arial" w:hAnsi="Arial" w:cs="Arial"/>
            <w:b w:val="0"/>
            <w:bCs w:val="0"/>
            <w:i/>
            <w:iCs/>
            <w:sz w:val="18"/>
            <w:szCs w:val="20"/>
            <w:u w:val="single"/>
          </w:rPr>
          <w:t>http://www.ilo.org/public/english/bureau/stat/isco/index.htm</w:t>
        </w:r>
      </w:hyperlink>
    </w:p>
    <w:p w:rsidR="00FA266A" w:rsidRPr="00880087" w:rsidRDefault="00FA266A" w:rsidP="00FA266A">
      <w:pPr>
        <w:pStyle w:val="Nadpis4"/>
        <w:keepNext w:val="0"/>
        <w:spacing w:before="0" w:after="120" w:line="240" w:lineRule="auto"/>
        <w:rPr>
          <w:rFonts w:ascii="Arial" w:hAnsi="Arial" w:cs="Arial"/>
          <w:b w:val="0"/>
          <w:bCs w:val="0"/>
          <w:i/>
          <w:iCs/>
          <w:sz w:val="18"/>
          <w:szCs w:val="20"/>
          <w:u w:val="single"/>
        </w:rPr>
      </w:pPr>
      <w:hyperlink r:id="rId15" w:history="1">
        <w:r w:rsidRPr="00880087">
          <w:rPr>
            <w:rStyle w:val="Hypertextovodkaz"/>
            <w:rFonts w:ascii="Arial" w:hAnsi="Arial" w:cs="Arial"/>
            <w:b w:val="0"/>
            <w:bCs w:val="0"/>
            <w:i/>
            <w:iCs/>
            <w:color w:val="auto"/>
            <w:sz w:val="18"/>
            <w:szCs w:val="20"/>
          </w:rPr>
          <w:t>http://www.czso.cz/csu/2010edicniplan.nsf/p/0011-10</w:t>
        </w:r>
      </w:hyperlink>
      <w:r w:rsidRPr="00880087">
        <w:rPr>
          <w:rFonts w:ascii="Arial" w:hAnsi="Arial" w:cs="Arial"/>
          <w:b w:val="0"/>
          <w:bCs w:val="0"/>
          <w:i/>
          <w:iCs/>
          <w:sz w:val="18"/>
          <w:szCs w:val="20"/>
          <w:u w:val="single"/>
        </w:rPr>
        <w:t xml:space="preserve"> </w:t>
      </w:r>
    </w:p>
    <w:p w:rsidR="00FA266A" w:rsidRPr="00FA266A" w:rsidRDefault="00FA266A" w:rsidP="00FA266A">
      <w:pPr>
        <w:pStyle w:val="Nadpis4"/>
        <w:keepNext w:val="0"/>
        <w:spacing w:before="0" w:after="0" w:line="240" w:lineRule="auto"/>
        <w:rPr>
          <w:rFonts w:ascii="Arial" w:hAnsi="Arial" w:cs="Arial"/>
          <w:b w:val="0"/>
          <w:bCs w:val="0"/>
          <w:sz w:val="18"/>
          <w:szCs w:val="20"/>
        </w:rPr>
      </w:pPr>
      <w:r w:rsidRPr="00FA266A">
        <w:rPr>
          <w:rFonts w:ascii="Arial" w:hAnsi="Arial" w:cs="Arial"/>
          <w:b w:val="0"/>
          <w:bCs w:val="0"/>
          <w:sz w:val="18"/>
          <w:szCs w:val="20"/>
        </w:rPr>
        <w:t>ISIC (</w:t>
      </w:r>
      <w:proofErr w:type="spellStart"/>
      <w:r w:rsidRPr="00FA266A">
        <w:rPr>
          <w:rFonts w:ascii="Arial" w:hAnsi="Arial" w:cs="Arial"/>
          <w:b w:val="0"/>
          <w:bCs w:val="0"/>
          <w:sz w:val="18"/>
          <w:szCs w:val="20"/>
        </w:rPr>
        <w:t>International</w:t>
      </w:r>
      <w:proofErr w:type="spellEnd"/>
      <w:r w:rsidRPr="00FA266A">
        <w:rPr>
          <w:rFonts w:ascii="Arial" w:hAnsi="Arial" w:cs="Arial"/>
          <w:b w:val="0"/>
          <w:bCs w:val="0"/>
          <w:sz w:val="18"/>
          <w:szCs w:val="20"/>
        </w:rPr>
        <w:t xml:space="preserve"> Standard </w:t>
      </w:r>
      <w:proofErr w:type="spellStart"/>
      <w:r w:rsidRPr="00FA266A">
        <w:rPr>
          <w:rFonts w:ascii="Arial" w:hAnsi="Arial" w:cs="Arial"/>
          <w:b w:val="0"/>
          <w:bCs w:val="0"/>
          <w:sz w:val="18"/>
          <w:szCs w:val="20"/>
        </w:rPr>
        <w:t>Industrial</w:t>
      </w:r>
      <w:proofErr w:type="spellEnd"/>
      <w:r w:rsidRPr="00FA266A">
        <w:rPr>
          <w:rFonts w:ascii="Arial" w:hAnsi="Arial" w:cs="Arial"/>
          <w:b w:val="0"/>
          <w:bCs w:val="0"/>
          <w:sz w:val="18"/>
          <w:szCs w:val="20"/>
        </w:rPr>
        <w:t xml:space="preserve"> </w:t>
      </w:r>
      <w:proofErr w:type="spellStart"/>
      <w:r w:rsidRPr="00FA266A">
        <w:rPr>
          <w:rFonts w:ascii="Arial" w:hAnsi="Arial" w:cs="Arial"/>
          <w:b w:val="0"/>
          <w:bCs w:val="0"/>
          <w:sz w:val="18"/>
          <w:szCs w:val="20"/>
        </w:rPr>
        <w:t>Classification</w:t>
      </w:r>
      <w:proofErr w:type="spellEnd"/>
      <w:r w:rsidRPr="00FA266A">
        <w:rPr>
          <w:rFonts w:ascii="Arial" w:hAnsi="Arial" w:cs="Arial"/>
          <w:b w:val="0"/>
          <w:bCs w:val="0"/>
          <w:sz w:val="18"/>
          <w:szCs w:val="20"/>
        </w:rPr>
        <w:t xml:space="preserve">) – Mezinárodní standardní klasifikace ekonomických činností </w:t>
      </w:r>
    </w:p>
    <w:p w:rsidR="00FA266A" w:rsidRPr="00FA266A" w:rsidRDefault="00FA266A" w:rsidP="00FA266A">
      <w:pPr>
        <w:pStyle w:val="Nadpis4"/>
        <w:keepNext w:val="0"/>
        <w:spacing w:before="0" w:after="0" w:line="240" w:lineRule="auto"/>
        <w:rPr>
          <w:rFonts w:ascii="Arial" w:hAnsi="Arial" w:cs="Arial"/>
          <w:b w:val="0"/>
          <w:bCs w:val="0"/>
          <w:i/>
          <w:iCs/>
          <w:sz w:val="18"/>
          <w:szCs w:val="20"/>
          <w:u w:val="single"/>
        </w:rPr>
      </w:pPr>
      <w:hyperlink r:id="rId16" w:history="1">
        <w:r w:rsidRPr="00FA266A">
          <w:rPr>
            <w:rFonts w:ascii="Arial" w:hAnsi="Arial" w:cs="Arial"/>
            <w:b w:val="0"/>
            <w:bCs w:val="0"/>
            <w:i/>
            <w:iCs/>
            <w:sz w:val="18"/>
            <w:szCs w:val="20"/>
            <w:u w:val="single"/>
          </w:rPr>
          <w:t>http://unstats.un.o</w:t>
        </w:r>
        <w:r w:rsidRPr="00FA266A">
          <w:rPr>
            <w:rFonts w:ascii="Arial" w:hAnsi="Arial" w:cs="Arial"/>
            <w:b w:val="0"/>
            <w:bCs w:val="0"/>
            <w:i/>
            <w:iCs/>
            <w:sz w:val="18"/>
            <w:szCs w:val="20"/>
            <w:u w:val="single"/>
          </w:rPr>
          <w:t>r</w:t>
        </w:r>
        <w:r w:rsidRPr="00FA266A">
          <w:rPr>
            <w:rFonts w:ascii="Arial" w:hAnsi="Arial" w:cs="Arial"/>
            <w:b w:val="0"/>
            <w:bCs w:val="0"/>
            <w:i/>
            <w:iCs/>
            <w:sz w:val="18"/>
            <w:szCs w:val="20"/>
            <w:u w:val="single"/>
          </w:rPr>
          <w:t>g/unsd/cr/r</w:t>
        </w:r>
        <w:r w:rsidRPr="00FA266A">
          <w:rPr>
            <w:rFonts w:ascii="Arial" w:hAnsi="Arial" w:cs="Arial"/>
            <w:b w:val="0"/>
            <w:bCs w:val="0"/>
            <w:i/>
            <w:iCs/>
            <w:sz w:val="18"/>
            <w:szCs w:val="20"/>
            <w:u w:val="single"/>
          </w:rPr>
          <w:t>e</w:t>
        </w:r>
        <w:r w:rsidRPr="00FA266A">
          <w:rPr>
            <w:rFonts w:ascii="Arial" w:hAnsi="Arial" w:cs="Arial"/>
            <w:b w:val="0"/>
            <w:bCs w:val="0"/>
            <w:i/>
            <w:iCs/>
            <w:sz w:val="18"/>
            <w:szCs w:val="20"/>
            <w:u w:val="single"/>
          </w:rPr>
          <w:t>gistry/regct.asp?Lg=1</w:t>
        </w:r>
      </w:hyperlink>
    </w:p>
    <w:p w:rsidR="00FA266A" w:rsidRPr="00FA266A" w:rsidRDefault="00FA266A" w:rsidP="00FA266A">
      <w:pPr>
        <w:pStyle w:val="Nadpis4"/>
        <w:keepNext w:val="0"/>
        <w:spacing w:before="0" w:after="120" w:line="240" w:lineRule="auto"/>
        <w:rPr>
          <w:rFonts w:ascii="Arial" w:hAnsi="Arial" w:cs="Arial"/>
          <w:b w:val="0"/>
          <w:bCs w:val="0"/>
          <w:i/>
          <w:iCs/>
          <w:sz w:val="18"/>
          <w:szCs w:val="20"/>
          <w:u w:val="single"/>
        </w:rPr>
      </w:pPr>
      <w:hyperlink r:id="rId17" w:history="1">
        <w:r w:rsidRPr="00FA266A">
          <w:rPr>
            <w:rFonts w:ascii="Arial" w:hAnsi="Arial" w:cs="Arial"/>
            <w:b w:val="0"/>
            <w:bCs w:val="0"/>
            <w:i/>
            <w:iCs/>
            <w:sz w:val="18"/>
            <w:szCs w:val="20"/>
            <w:u w:val="single"/>
          </w:rPr>
          <w:t>http://www.czso.cz/csu/klasifik.nsf/i/klasifikace_ekonomickych_cinnosti_(cz_nace)</w:t>
        </w:r>
      </w:hyperlink>
    </w:p>
    <w:p w:rsidR="00FA266A" w:rsidRPr="00FA266A" w:rsidRDefault="00FA266A" w:rsidP="009E11FE">
      <w:pPr>
        <w:tabs>
          <w:tab w:val="left" w:pos="900"/>
        </w:tabs>
        <w:spacing w:before="0" w:after="0" w:line="288" w:lineRule="auto"/>
        <w:jc w:val="both"/>
        <w:rPr>
          <w:rFonts w:eastAsia="Times New Roman" w:cs="Arial"/>
          <w:b/>
          <w:szCs w:val="20"/>
          <w:lang w:eastAsia="cs-CZ"/>
        </w:rPr>
      </w:pPr>
    </w:p>
    <w:p w:rsidR="00FA266A" w:rsidRPr="00FA266A" w:rsidRDefault="00FA266A" w:rsidP="00FA266A">
      <w:pPr>
        <w:spacing w:before="0" w:after="120"/>
        <w:rPr>
          <w:rFonts w:eastAsia="Times New Roman"/>
          <w:b/>
          <w:bCs/>
          <w:szCs w:val="24"/>
          <w:lang w:eastAsia="cs-CZ"/>
        </w:rPr>
      </w:pPr>
      <w:r w:rsidRPr="00FA266A">
        <w:rPr>
          <w:rFonts w:eastAsia="Times New Roman"/>
          <w:b/>
          <w:bCs/>
          <w:szCs w:val="24"/>
          <w:lang w:eastAsia="cs-CZ"/>
        </w:rPr>
        <w:t>Výstupy ČSÚ za oblast statistik vědy, technologií a inovací</w:t>
      </w:r>
    </w:p>
    <w:p w:rsidR="00FA266A" w:rsidRPr="00FA266A" w:rsidRDefault="00FA266A" w:rsidP="00FA266A">
      <w:pPr>
        <w:spacing w:before="0" w:after="0"/>
        <w:jc w:val="both"/>
        <w:rPr>
          <w:rFonts w:eastAsia="Times New Roman"/>
          <w:b/>
          <w:bCs/>
          <w:i/>
          <w:szCs w:val="24"/>
          <w:lang w:eastAsia="cs-CZ"/>
        </w:rPr>
      </w:pPr>
      <w:r w:rsidRPr="00FA266A">
        <w:rPr>
          <w:rFonts w:eastAsia="Times New Roman"/>
          <w:b/>
          <w:bCs/>
          <w:i/>
          <w:szCs w:val="24"/>
          <w:lang w:eastAsia="cs-CZ"/>
        </w:rPr>
        <w:t>Webové stránky:</w:t>
      </w:r>
    </w:p>
    <w:p w:rsidR="00FA266A" w:rsidRPr="00FA266A" w:rsidRDefault="00FA266A" w:rsidP="00FA266A">
      <w:pPr>
        <w:spacing w:before="80" w:after="0"/>
        <w:jc w:val="both"/>
        <w:rPr>
          <w:rFonts w:eastAsia="Times New Roman"/>
          <w:sz w:val="18"/>
          <w:szCs w:val="24"/>
          <w:lang w:eastAsia="cs-CZ"/>
        </w:rPr>
      </w:pPr>
      <w:r w:rsidRPr="00FA266A">
        <w:rPr>
          <w:rFonts w:eastAsia="Times New Roman"/>
          <w:sz w:val="18"/>
          <w:szCs w:val="24"/>
          <w:lang w:eastAsia="cs-CZ"/>
        </w:rPr>
        <w:t>Výzkum a vývoj</w:t>
      </w:r>
    </w:p>
    <w:p w:rsidR="00FA266A" w:rsidRPr="00880087" w:rsidRDefault="00FA266A" w:rsidP="00FA266A">
      <w:pPr>
        <w:spacing w:before="0" w:after="0"/>
        <w:jc w:val="both"/>
        <w:rPr>
          <w:rFonts w:eastAsia="Times New Roman"/>
          <w:sz w:val="18"/>
          <w:szCs w:val="24"/>
          <w:lang w:eastAsia="cs-CZ"/>
        </w:rPr>
      </w:pPr>
      <w:hyperlink r:id="rId18" w:history="1">
        <w:r w:rsidRPr="00880087">
          <w:rPr>
            <w:rFonts w:eastAsia="Times New Roman"/>
            <w:sz w:val="18"/>
            <w:szCs w:val="24"/>
            <w:u w:val="single"/>
            <w:lang w:eastAsia="cs-CZ"/>
          </w:rPr>
          <w:t>http://www.czso.cz/csu/redakce.nsf/i/statistika_vyzkumu_a_vyvoje</w:t>
        </w:r>
      </w:hyperlink>
      <w:r w:rsidRPr="00880087">
        <w:rPr>
          <w:rFonts w:eastAsia="Times New Roman"/>
          <w:sz w:val="18"/>
          <w:szCs w:val="24"/>
          <w:lang w:eastAsia="cs-CZ"/>
        </w:rPr>
        <w:t xml:space="preserve"> </w:t>
      </w:r>
    </w:p>
    <w:p w:rsidR="00FA266A" w:rsidRPr="00880087" w:rsidRDefault="00FA266A" w:rsidP="00FA266A">
      <w:pPr>
        <w:spacing w:before="80" w:after="0"/>
        <w:jc w:val="both"/>
        <w:rPr>
          <w:rFonts w:eastAsia="Times New Roman"/>
          <w:sz w:val="18"/>
          <w:szCs w:val="24"/>
          <w:lang w:eastAsia="cs-CZ"/>
        </w:rPr>
      </w:pPr>
      <w:r w:rsidRPr="00880087">
        <w:rPr>
          <w:rFonts w:eastAsia="Times New Roman"/>
          <w:sz w:val="18"/>
          <w:szCs w:val="24"/>
          <w:lang w:eastAsia="cs-CZ"/>
        </w:rPr>
        <w:t>Státní rozpočtové výdaje a dotace na výzkum a vývoj</w:t>
      </w:r>
    </w:p>
    <w:p w:rsidR="00FA266A" w:rsidRPr="00880087" w:rsidRDefault="00FA266A" w:rsidP="00FA266A">
      <w:pPr>
        <w:spacing w:before="0" w:after="0"/>
        <w:jc w:val="both"/>
        <w:rPr>
          <w:rFonts w:eastAsia="Times New Roman"/>
          <w:sz w:val="18"/>
          <w:szCs w:val="24"/>
          <w:lang w:eastAsia="cs-CZ"/>
        </w:rPr>
      </w:pPr>
      <w:hyperlink r:id="rId19" w:history="1">
        <w:r w:rsidRPr="00880087">
          <w:rPr>
            <w:rFonts w:eastAsia="Times New Roman"/>
            <w:sz w:val="18"/>
            <w:szCs w:val="24"/>
            <w:u w:val="single"/>
            <w:lang w:eastAsia="cs-CZ"/>
          </w:rPr>
          <w:t>http://www.czso.cz/csu/redakce.nsf/i/statni_rozpoctove_vydaje_a_dotace_na_vyzkum_a_vyvoj_gbaord</w:t>
        </w:r>
      </w:hyperlink>
    </w:p>
    <w:p w:rsidR="00FA266A" w:rsidRPr="00880087" w:rsidRDefault="00FA266A" w:rsidP="00FA266A">
      <w:pPr>
        <w:spacing w:before="80" w:after="0"/>
        <w:jc w:val="both"/>
        <w:rPr>
          <w:rFonts w:eastAsia="Times New Roman"/>
          <w:sz w:val="18"/>
          <w:szCs w:val="24"/>
          <w:lang w:eastAsia="cs-CZ"/>
        </w:rPr>
      </w:pPr>
      <w:r w:rsidRPr="00880087">
        <w:rPr>
          <w:rFonts w:eastAsia="Times New Roman"/>
          <w:sz w:val="18"/>
          <w:szCs w:val="24"/>
          <w:lang w:eastAsia="cs-CZ"/>
        </w:rPr>
        <w:t>Lidské zdroje ve vědě a technologiích</w:t>
      </w:r>
    </w:p>
    <w:p w:rsidR="00FA266A" w:rsidRPr="00880087" w:rsidRDefault="00FA266A" w:rsidP="00FA266A">
      <w:pPr>
        <w:spacing w:before="0" w:after="0"/>
        <w:jc w:val="both"/>
        <w:rPr>
          <w:rFonts w:eastAsia="Times New Roman"/>
          <w:sz w:val="18"/>
          <w:szCs w:val="24"/>
          <w:lang w:eastAsia="cs-CZ"/>
        </w:rPr>
      </w:pPr>
      <w:hyperlink r:id="rId20" w:history="1">
        <w:r w:rsidRPr="00880087">
          <w:rPr>
            <w:rFonts w:eastAsia="Times New Roman"/>
            <w:sz w:val="18"/>
            <w:szCs w:val="24"/>
            <w:u w:val="single"/>
            <w:lang w:eastAsia="cs-CZ"/>
          </w:rPr>
          <w:t>http://www.czso.cz/csu/redakce.nsf/i/lidske_zdroje_ve_vede_a_technologiich</w:t>
        </w:r>
      </w:hyperlink>
    </w:p>
    <w:p w:rsidR="00FA266A" w:rsidRPr="00880087" w:rsidRDefault="00FA266A" w:rsidP="00FA266A">
      <w:pPr>
        <w:spacing w:before="80" w:after="0"/>
        <w:jc w:val="both"/>
        <w:rPr>
          <w:rFonts w:eastAsia="Times New Roman"/>
          <w:sz w:val="18"/>
          <w:szCs w:val="24"/>
          <w:lang w:eastAsia="cs-CZ"/>
        </w:rPr>
      </w:pPr>
      <w:r w:rsidRPr="00880087">
        <w:rPr>
          <w:rFonts w:eastAsia="Times New Roman"/>
          <w:sz w:val="18"/>
          <w:szCs w:val="24"/>
          <w:lang w:eastAsia="cs-CZ"/>
        </w:rPr>
        <w:t>Studenti a absolventi terciárního stupně vzdělávání</w:t>
      </w:r>
    </w:p>
    <w:p w:rsidR="00FA266A" w:rsidRPr="00880087" w:rsidRDefault="00FA266A" w:rsidP="00FA266A">
      <w:pPr>
        <w:spacing w:before="0" w:after="0"/>
        <w:jc w:val="both"/>
        <w:rPr>
          <w:rFonts w:eastAsia="Times New Roman"/>
          <w:sz w:val="18"/>
          <w:szCs w:val="24"/>
          <w:lang w:eastAsia="cs-CZ"/>
        </w:rPr>
      </w:pPr>
      <w:hyperlink r:id="rId21" w:history="1">
        <w:r w:rsidRPr="00880087">
          <w:rPr>
            <w:rFonts w:eastAsia="Times New Roman"/>
            <w:sz w:val="18"/>
            <w:szCs w:val="24"/>
            <w:u w:val="single"/>
            <w:lang w:eastAsia="cs-CZ"/>
          </w:rPr>
          <w:t>http://www.czso.cz/csu/redakce.nsf/i/studenti_a_absolventi_terciarniho_stupne_vzdelavani</w:t>
        </w:r>
      </w:hyperlink>
    </w:p>
    <w:p w:rsidR="00FA266A" w:rsidRPr="00880087" w:rsidRDefault="00FA266A" w:rsidP="00FA266A">
      <w:pPr>
        <w:spacing w:before="80" w:after="0"/>
        <w:jc w:val="both"/>
        <w:rPr>
          <w:rFonts w:eastAsia="Times New Roman"/>
          <w:sz w:val="18"/>
          <w:szCs w:val="24"/>
          <w:lang w:eastAsia="cs-CZ"/>
        </w:rPr>
      </w:pPr>
      <w:r w:rsidRPr="00880087">
        <w:rPr>
          <w:rFonts w:eastAsia="Times New Roman"/>
          <w:sz w:val="18"/>
          <w:szCs w:val="24"/>
          <w:lang w:eastAsia="cs-CZ"/>
        </w:rPr>
        <w:t>Inovace</w:t>
      </w:r>
    </w:p>
    <w:p w:rsidR="00FA266A" w:rsidRPr="00880087" w:rsidRDefault="00FA266A" w:rsidP="00FA266A">
      <w:pPr>
        <w:spacing w:before="0" w:after="0"/>
        <w:jc w:val="both"/>
        <w:rPr>
          <w:rFonts w:eastAsia="Times New Roman"/>
          <w:sz w:val="18"/>
          <w:szCs w:val="24"/>
          <w:lang w:eastAsia="cs-CZ"/>
        </w:rPr>
      </w:pPr>
      <w:hyperlink r:id="rId22" w:history="1">
        <w:r w:rsidRPr="00880087">
          <w:rPr>
            <w:rFonts w:eastAsia="Times New Roman"/>
            <w:sz w:val="18"/>
            <w:szCs w:val="24"/>
            <w:u w:val="single"/>
            <w:lang w:eastAsia="cs-CZ"/>
          </w:rPr>
          <w:t>http://www.czso.cz/csu/redakce.nsf/i/statistika_inovaci</w:t>
        </w:r>
      </w:hyperlink>
    </w:p>
    <w:p w:rsidR="00FA266A" w:rsidRPr="00880087" w:rsidRDefault="00FA266A" w:rsidP="00FA266A">
      <w:pPr>
        <w:spacing w:before="80" w:after="0"/>
        <w:jc w:val="both"/>
        <w:rPr>
          <w:rFonts w:eastAsia="Times New Roman"/>
          <w:sz w:val="18"/>
          <w:szCs w:val="24"/>
          <w:lang w:eastAsia="cs-CZ"/>
        </w:rPr>
      </w:pPr>
      <w:r w:rsidRPr="00880087">
        <w:rPr>
          <w:rFonts w:eastAsia="Times New Roman"/>
          <w:sz w:val="18"/>
          <w:szCs w:val="24"/>
          <w:lang w:eastAsia="cs-CZ"/>
        </w:rPr>
        <w:t>Patenty</w:t>
      </w:r>
    </w:p>
    <w:p w:rsidR="00FA266A" w:rsidRPr="00880087" w:rsidRDefault="00FA266A" w:rsidP="00FA266A">
      <w:pPr>
        <w:spacing w:before="0" w:after="0"/>
        <w:jc w:val="both"/>
        <w:rPr>
          <w:rFonts w:eastAsia="Times New Roman"/>
          <w:sz w:val="18"/>
          <w:szCs w:val="24"/>
          <w:lang w:eastAsia="cs-CZ"/>
        </w:rPr>
      </w:pPr>
      <w:hyperlink r:id="rId23" w:history="1">
        <w:r w:rsidRPr="00880087">
          <w:rPr>
            <w:rFonts w:eastAsia="Times New Roman"/>
            <w:sz w:val="18"/>
            <w:szCs w:val="24"/>
            <w:u w:val="single"/>
            <w:lang w:eastAsia="cs-CZ"/>
          </w:rPr>
          <w:t>http://www.czso.cz/csu/redakce.nsf/i/patentova_statistika</w:t>
        </w:r>
      </w:hyperlink>
    </w:p>
    <w:p w:rsidR="00FA266A" w:rsidRPr="00880087" w:rsidRDefault="00FA266A" w:rsidP="00FA266A">
      <w:pPr>
        <w:spacing w:before="80" w:after="0"/>
        <w:jc w:val="both"/>
        <w:rPr>
          <w:rFonts w:eastAsia="Times New Roman"/>
          <w:sz w:val="18"/>
          <w:szCs w:val="24"/>
          <w:lang w:eastAsia="cs-CZ"/>
        </w:rPr>
      </w:pPr>
      <w:r w:rsidRPr="00880087">
        <w:rPr>
          <w:rFonts w:eastAsia="Times New Roman"/>
          <w:sz w:val="18"/>
          <w:szCs w:val="24"/>
          <w:lang w:eastAsia="cs-CZ"/>
        </w:rPr>
        <w:t>Licence</w:t>
      </w:r>
    </w:p>
    <w:p w:rsidR="00FA266A" w:rsidRPr="00880087" w:rsidRDefault="00FA266A" w:rsidP="00FA266A">
      <w:pPr>
        <w:spacing w:before="0" w:after="0"/>
        <w:jc w:val="both"/>
        <w:rPr>
          <w:rFonts w:eastAsia="Times New Roman"/>
          <w:sz w:val="18"/>
          <w:szCs w:val="24"/>
          <w:lang w:eastAsia="cs-CZ"/>
        </w:rPr>
      </w:pPr>
      <w:hyperlink r:id="rId24" w:history="1">
        <w:r w:rsidRPr="00880087">
          <w:rPr>
            <w:rFonts w:eastAsia="Times New Roman"/>
            <w:sz w:val="18"/>
            <w:szCs w:val="24"/>
            <w:u w:val="single"/>
            <w:lang w:eastAsia="cs-CZ"/>
          </w:rPr>
          <w:t>http://www.czso.cz/csu/redakce.nsf/i/licence</w:t>
        </w:r>
      </w:hyperlink>
      <w:r w:rsidRPr="00880087">
        <w:rPr>
          <w:rFonts w:eastAsia="Times New Roman"/>
          <w:sz w:val="18"/>
          <w:szCs w:val="24"/>
          <w:lang w:eastAsia="cs-CZ"/>
        </w:rPr>
        <w:t xml:space="preserve"> </w:t>
      </w:r>
    </w:p>
    <w:p w:rsidR="00FA266A" w:rsidRPr="00880087" w:rsidRDefault="00FA266A" w:rsidP="00FA266A">
      <w:pPr>
        <w:spacing w:before="80" w:after="0"/>
        <w:jc w:val="both"/>
        <w:rPr>
          <w:rFonts w:eastAsia="Times New Roman"/>
          <w:sz w:val="18"/>
          <w:szCs w:val="24"/>
          <w:lang w:eastAsia="cs-CZ"/>
        </w:rPr>
      </w:pPr>
      <w:proofErr w:type="spellStart"/>
      <w:r w:rsidRPr="00880087">
        <w:rPr>
          <w:rFonts w:eastAsia="Times New Roman"/>
          <w:sz w:val="18"/>
          <w:szCs w:val="24"/>
          <w:lang w:eastAsia="cs-CZ"/>
        </w:rPr>
        <w:t>Bibliometrie</w:t>
      </w:r>
      <w:proofErr w:type="spellEnd"/>
    </w:p>
    <w:p w:rsidR="00FA266A" w:rsidRPr="00880087" w:rsidRDefault="00FA266A" w:rsidP="00FA266A">
      <w:pPr>
        <w:spacing w:before="0" w:after="0"/>
        <w:jc w:val="both"/>
        <w:rPr>
          <w:rFonts w:eastAsia="Times New Roman"/>
          <w:sz w:val="18"/>
          <w:szCs w:val="24"/>
          <w:lang w:eastAsia="cs-CZ"/>
        </w:rPr>
      </w:pPr>
      <w:hyperlink r:id="rId25" w:history="1">
        <w:r w:rsidRPr="00880087">
          <w:rPr>
            <w:rFonts w:eastAsia="Times New Roman"/>
            <w:sz w:val="18"/>
            <w:szCs w:val="24"/>
            <w:u w:val="single"/>
            <w:lang w:eastAsia="cs-CZ"/>
          </w:rPr>
          <w:t>http://www.czso.cz/csu/redakce.nsf/i/bibliometrie</w:t>
        </w:r>
      </w:hyperlink>
      <w:r w:rsidRPr="00880087">
        <w:rPr>
          <w:rFonts w:eastAsia="Times New Roman"/>
          <w:sz w:val="18"/>
          <w:szCs w:val="24"/>
          <w:lang w:eastAsia="cs-CZ"/>
        </w:rPr>
        <w:t xml:space="preserve"> </w:t>
      </w:r>
    </w:p>
    <w:p w:rsidR="00FA266A" w:rsidRPr="00FA266A" w:rsidRDefault="00FA266A" w:rsidP="00FA266A">
      <w:pPr>
        <w:spacing w:before="80" w:after="0"/>
        <w:jc w:val="both"/>
        <w:rPr>
          <w:rFonts w:eastAsia="Times New Roman"/>
          <w:sz w:val="18"/>
          <w:szCs w:val="24"/>
          <w:lang w:eastAsia="cs-CZ"/>
        </w:rPr>
      </w:pPr>
      <w:r w:rsidRPr="00FA266A">
        <w:rPr>
          <w:rFonts w:eastAsia="Times New Roman"/>
          <w:sz w:val="18"/>
          <w:szCs w:val="24"/>
          <w:lang w:eastAsia="cs-CZ"/>
        </w:rPr>
        <w:lastRenderedPageBreak/>
        <w:t>Technologická platební bilance</w:t>
      </w:r>
    </w:p>
    <w:p w:rsidR="00FA266A" w:rsidRPr="00880087" w:rsidRDefault="00FA266A" w:rsidP="00FA266A">
      <w:pPr>
        <w:spacing w:before="0" w:after="0"/>
        <w:jc w:val="both"/>
        <w:rPr>
          <w:rFonts w:eastAsia="Times New Roman"/>
          <w:sz w:val="18"/>
          <w:szCs w:val="24"/>
          <w:lang w:eastAsia="cs-CZ"/>
        </w:rPr>
      </w:pPr>
      <w:hyperlink r:id="rId26" w:history="1">
        <w:r w:rsidRPr="00880087">
          <w:rPr>
            <w:rFonts w:eastAsia="Times New Roman"/>
            <w:sz w:val="18"/>
            <w:szCs w:val="24"/>
            <w:u w:val="single"/>
            <w:lang w:eastAsia="cs-CZ"/>
          </w:rPr>
          <w:t>www.czso.cz/csu/redakce.nsf/i/technologicke_platebni_bilance_zahranicni_obchod_s_technologickymi_sluzbami</w:t>
        </w:r>
      </w:hyperlink>
      <w:r w:rsidRPr="00880087">
        <w:rPr>
          <w:rFonts w:eastAsia="Times New Roman"/>
          <w:sz w:val="18"/>
          <w:szCs w:val="24"/>
          <w:lang w:eastAsia="cs-CZ"/>
        </w:rPr>
        <w:t xml:space="preserve"> </w:t>
      </w:r>
    </w:p>
    <w:p w:rsidR="00FA266A" w:rsidRPr="00880087" w:rsidRDefault="00FA266A" w:rsidP="00FA266A">
      <w:pPr>
        <w:spacing w:before="200" w:after="0"/>
        <w:jc w:val="both"/>
        <w:rPr>
          <w:rFonts w:eastAsia="Times New Roman"/>
          <w:b/>
          <w:bCs/>
          <w:i/>
          <w:szCs w:val="24"/>
          <w:lang w:eastAsia="cs-CZ"/>
        </w:rPr>
      </w:pPr>
      <w:r w:rsidRPr="00880087">
        <w:rPr>
          <w:rFonts w:eastAsia="Times New Roman"/>
          <w:b/>
          <w:bCs/>
          <w:i/>
          <w:szCs w:val="24"/>
          <w:lang w:eastAsia="cs-CZ"/>
        </w:rPr>
        <w:t>Publikace:</w:t>
      </w:r>
    </w:p>
    <w:p w:rsidR="00FA266A" w:rsidRPr="00880087" w:rsidRDefault="00FA266A" w:rsidP="00FA266A">
      <w:pPr>
        <w:spacing w:before="60" w:after="0"/>
        <w:jc w:val="both"/>
        <w:rPr>
          <w:rFonts w:eastAsia="Times New Roman"/>
          <w:sz w:val="18"/>
          <w:szCs w:val="24"/>
          <w:lang w:eastAsia="cs-CZ"/>
        </w:rPr>
      </w:pPr>
      <w:r w:rsidRPr="00880087">
        <w:rPr>
          <w:rFonts w:eastAsia="Times New Roman"/>
          <w:i/>
          <w:iCs/>
          <w:szCs w:val="24"/>
          <w:lang w:eastAsia="cs-CZ"/>
        </w:rPr>
        <w:t xml:space="preserve">Publikace ČSÚ jsou volně dostupné na příslušných odkazech, nebo si je lze zakoupit v prodejně ČSÚ či prostřednictvím adresy </w:t>
      </w:r>
      <w:hyperlink r:id="rId27" w:history="1">
        <w:r w:rsidRPr="00880087">
          <w:rPr>
            <w:rFonts w:eastAsia="Times New Roman"/>
            <w:i/>
            <w:iCs/>
            <w:szCs w:val="24"/>
            <w:u w:val="single"/>
            <w:lang w:eastAsia="cs-CZ"/>
          </w:rPr>
          <w:t>objednavky@czso.cz</w:t>
        </w:r>
      </w:hyperlink>
      <w:r w:rsidRPr="00880087">
        <w:rPr>
          <w:rFonts w:eastAsia="Times New Roman"/>
          <w:i/>
          <w:iCs/>
          <w:szCs w:val="24"/>
          <w:lang w:eastAsia="cs-CZ"/>
        </w:rPr>
        <w:t xml:space="preserve">.  </w:t>
      </w:r>
      <w:r w:rsidRPr="00880087">
        <w:rPr>
          <w:rFonts w:eastAsia="Times New Roman"/>
          <w:sz w:val="18"/>
          <w:szCs w:val="24"/>
          <w:lang w:eastAsia="cs-CZ"/>
        </w:rPr>
        <w:t xml:space="preserve"> </w:t>
      </w:r>
    </w:p>
    <w:p w:rsidR="00FA266A" w:rsidRPr="00880087" w:rsidRDefault="00FA266A" w:rsidP="00FA266A">
      <w:pPr>
        <w:spacing w:before="80" w:after="0"/>
        <w:jc w:val="both"/>
        <w:rPr>
          <w:rFonts w:eastAsia="Times New Roman"/>
          <w:sz w:val="18"/>
          <w:szCs w:val="24"/>
          <w:lang w:eastAsia="cs-CZ"/>
        </w:rPr>
      </w:pPr>
      <w:r w:rsidRPr="00880087">
        <w:rPr>
          <w:rFonts w:eastAsia="Times New Roman"/>
          <w:sz w:val="18"/>
          <w:szCs w:val="24"/>
          <w:lang w:eastAsia="cs-CZ"/>
        </w:rPr>
        <w:t>Statistická ročenka vědy, technologií a inovací, kód 1005-10</w:t>
      </w:r>
    </w:p>
    <w:p w:rsidR="00FA266A" w:rsidRPr="00880087" w:rsidRDefault="00FA266A" w:rsidP="00FA266A">
      <w:pPr>
        <w:spacing w:before="0" w:after="0"/>
        <w:jc w:val="both"/>
        <w:rPr>
          <w:rFonts w:eastAsia="Times New Roman"/>
          <w:sz w:val="18"/>
          <w:szCs w:val="24"/>
          <w:lang w:eastAsia="cs-CZ"/>
        </w:rPr>
      </w:pPr>
      <w:hyperlink r:id="rId28" w:history="1">
        <w:r w:rsidRPr="00880087">
          <w:rPr>
            <w:rFonts w:eastAsia="Times New Roman"/>
            <w:sz w:val="18"/>
            <w:szCs w:val="24"/>
            <w:u w:val="single"/>
            <w:lang w:eastAsia="cs-CZ"/>
          </w:rPr>
          <w:t>http://www.czso.cz/csu/2010edicniplan.nsf/p/1005-10</w:t>
        </w:r>
      </w:hyperlink>
      <w:r w:rsidRPr="00880087">
        <w:rPr>
          <w:rFonts w:eastAsia="Times New Roman"/>
          <w:sz w:val="18"/>
          <w:szCs w:val="24"/>
          <w:lang w:eastAsia="cs-CZ"/>
        </w:rPr>
        <w:t xml:space="preserve"> </w:t>
      </w:r>
    </w:p>
    <w:p w:rsidR="00FA266A" w:rsidRPr="00880087" w:rsidRDefault="00FA266A" w:rsidP="00FA266A">
      <w:pPr>
        <w:spacing w:before="80" w:after="0"/>
        <w:jc w:val="both"/>
        <w:rPr>
          <w:rFonts w:eastAsia="Times New Roman"/>
          <w:sz w:val="18"/>
          <w:szCs w:val="24"/>
          <w:lang w:eastAsia="cs-CZ"/>
        </w:rPr>
      </w:pPr>
      <w:r w:rsidRPr="00880087">
        <w:rPr>
          <w:rFonts w:eastAsia="Times New Roman"/>
          <w:sz w:val="18"/>
          <w:szCs w:val="24"/>
          <w:lang w:eastAsia="cs-CZ"/>
        </w:rPr>
        <w:t>Inovační aktivity podniků v České republice v letech 2008 až 2010; kód 9605-12</w:t>
      </w:r>
    </w:p>
    <w:p w:rsidR="00FA266A" w:rsidRPr="00880087" w:rsidRDefault="00FA266A" w:rsidP="00FA266A">
      <w:pPr>
        <w:spacing w:before="0" w:after="0"/>
        <w:jc w:val="both"/>
        <w:rPr>
          <w:rFonts w:eastAsia="Times New Roman"/>
          <w:sz w:val="18"/>
          <w:szCs w:val="24"/>
          <w:lang w:eastAsia="cs-CZ"/>
        </w:rPr>
      </w:pPr>
      <w:hyperlink r:id="rId29" w:history="1">
        <w:r w:rsidRPr="00880087">
          <w:rPr>
            <w:rFonts w:eastAsia="Times New Roman"/>
            <w:sz w:val="18"/>
            <w:szCs w:val="24"/>
            <w:u w:val="single"/>
            <w:lang w:eastAsia="cs-CZ"/>
          </w:rPr>
          <w:t>http://www.czso.cz/csu/2012edicniplan.nsf/publ/9605-12-n_2012</w:t>
        </w:r>
      </w:hyperlink>
      <w:r w:rsidRPr="00880087">
        <w:rPr>
          <w:rFonts w:eastAsia="Times New Roman"/>
          <w:sz w:val="18"/>
          <w:szCs w:val="24"/>
          <w:lang w:eastAsia="cs-CZ"/>
        </w:rPr>
        <w:t xml:space="preserve"> </w:t>
      </w:r>
    </w:p>
    <w:p w:rsidR="00FA266A" w:rsidRPr="00880087" w:rsidRDefault="00FA266A" w:rsidP="00FA266A">
      <w:pPr>
        <w:spacing w:before="80" w:after="0"/>
        <w:jc w:val="both"/>
        <w:rPr>
          <w:rFonts w:eastAsia="Times New Roman"/>
          <w:sz w:val="18"/>
          <w:szCs w:val="24"/>
          <w:lang w:eastAsia="cs-CZ"/>
        </w:rPr>
      </w:pPr>
      <w:r w:rsidRPr="00880087">
        <w:rPr>
          <w:rFonts w:eastAsia="Times New Roman"/>
          <w:sz w:val="18"/>
          <w:szCs w:val="24"/>
          <w:lang w:eastAsia="cs-CZ"/>
        </w:rPr>
        <w:t>Licence v ČR v roce 2012; kód 9607-13</w:t>
      </w:r>
    </w:p>
    <w:p w:rsidR="00FA266A" w:rsidRPr="00880087" w:rsidRDefault="00FA266A" w:rsidP="00FA266A">
      <w:pPr>
        <w:spacing w:before="0" w:after="0"/>
        <w:jc w:val="both"/>
        <w:rPr>
          <w:rFonts w:eastAsia="Times New Roman"/>
          <w:sz w:val="18"/>
          <w:szCs w:val="24"/>
          <w:lang w:eastAsia="cs-CZ"/>
        </w:rPr>
      </w:pPr>
      <w:hyperlink r:id="rId30" w:history="1">
        <w:r w:rsidRPr="00880087">
          <w:rPr>
            <w:rFonts w:eastAsia="Times New Roman"/>
            <w:sz w:val="18"/>
            <w:szCs w:val="24"/>
            <w:u w:val="single"/>
            <w:lang w:eastAsia="cs-CZ"/>
          </w:rPr>
          <w:t>http://www.czso.cz/csu/2013edicniplan.nsf/publ/9607-13-r_2013</w:t>
        </w:r>
      </w:hyperlink>
      <w:r w:rsidRPr="00880087">
        <w:rPr>
          <w:rFonts w:eastAsia="Times New Roman"/>
          <w:sz w:val="18"/>
          <w:szCs w:val="24"/>
          <w:lang w:eastAsia="cs-CZ"/>
        </w:rPr>
        <w:t xml:space="preserve"> </w:t>
      </w:r>
    </w:p>
    <w:p w:rsidR="00FA266A" w:rsidRPr="00880087" w:rsidRDefault="00FA266A" w:rsidP="00FA266A">
      <w:pPr>
        <w:spacing w:before="80" w:after="0"/>
        <w:jc w:val="both"/>
        <w:rPr>
          <w:rFonts w:eastAsia="Times New Roman"/>
          <w:sz w:val="18"/>
          <w:szCs w:val="24"/>
          <w:lang w:eastAsia="cs-CZ"/>
        </w:rPr>
      </w:pPr>
      <w:r w:rsidRPr="00880087">
        <w:rPr>
          <w:rFonts w:eastAsia="Times New Roman"/>
          <w:sz w:val="18"/>
          <w:szCs w:val="24"/>
          <w:lang w:eastAsia="cs-CZ"/>
        </w:rPr>
        <w:t>Státní rozpočtové výdaje a dotace na výzkum a vývoj (GBAORD) v ČR; kód 9611-13</w:t>
      </w:r>
    </w:p>
    <w:p w:rsidR="00FA266A" w:rsidRPr="00880087" w:rsidRDefault="00FA266A" w:rsidP="00FA266A">
      <w:pPr>
        <w:spacing w:before="0" w:after="0"/>
        <w:jc w:val="both"/>
        <w:rPr>
          <w:rFonts w:eastAsia="Times New Roman"/>
          <w:sz w:val="18"/>
          <w:szCs w:val="24"/>
          <w:lang w:eastAsia="cs-CZ"/>
        </w:rPr>
      </w:pPr>
      <w:hyperlink r:id="rId31" w:history="1">
        <w:r w:rsidRPr="00880087">
          <w:rPr>
            <w:rFonts w:eastAsia="Times New Roman"/>
            <w:sz w:val="18"/>
            <w:szCs w:val="24"/>
            <w:u w:val="single"/>
            <w:lang w:eastAsia="cs-CZ"/>
          </w:rPr>
          <w:t>http://www.czso.cz/csu/2013edicniplan.nsf/publ/9611-13-r_2013</w:t>
        </w:r>
      </w:hyperlink>
      <w:r w:rsidRPr="00880087">
        <w:rPr>
          <w:rFonts w:eastAsia="Times New Roman"/>
          <w:sz w:val="18"/>
          <w:szCs w:val="24"/>
          <w:lang w:eastAsia="cs-CZ"/>
        </w:rPr>
        <w:t xml:space="preserve"> </w:t>
      </w:r>
    </w:p>
    <w:p w:rsidR="00FA266A" w:rsidRPr="00880087" w:rsidRDefault="00FA266A" w:rsidP="00FA266A">
      <w:pPr>
        <w:spacing w:after="0"/>
        <w:jc w:val="both"/>
        <w:rPr>
          <w:rFonts w:eastAsia="Times New Roman"/>
          <w:b/>
          <w:sz w:val="18"/>
          <w:szCs w:val="24"/>
          <w:lang w:eastAsia="cs-CZ"/>
        </w:rPr>
      </w:pPr>
      <w:r w:rsidRPr="00880087">
        <w:rPr>
          <w:rFonts w:eastAsia="Times New Roman"/>
          <w:b/>
          <w:sz w:val="18"/>
          <w:szCs w:val="24"/>
          <w:lang w:eastAsia="cs-CZ"/>
        </w:rPr>
        <w:t>Ostatní publikace obsahující kapitoly z oblasti VTI:</w:t>
      </w:r>
    </w:p>
    <w:p w:rsidR="00FA266A" w:rsidRPr="00880087" w:rsidRDefault="00FA266A" w:rsidP="00FA266A">
      <w:pPr>
        <w:spacing w:before="80" w:after="0"/>
        <w:jc w:val="both"/>
        <w:rPr>
          <w:rFonts w:eastAsia="Times New Roman"/>
          <w:sz w:val="18"/>
          <w:szCs w:val="24"/>
          <w:lang w:eastAsia="cs-CZ"/>
        </w:rPr>
      </w:pPr>
      <w:r w:rsidRPr="00880087">
        <w:rPr>
          <w:rFonts w:eastAsia="Times New Roman"/>
          <w:sz w:val="18"/>
          <w:szCs w:val="24"/>
          <w:lang w:eastAsia="cs-CZ"/>
        </w:rPr>
        <w:t xml:space="preserve">Statistická ročenka České republiky 2013 </w:t>
      </w:r>
      <w:r w:rsidR="00A3623E">
        <w:rPr>
          <w:rFonts w:eastAsia="Times New Roman"/>
          <w:sz w:val="18"/>
          <w:szCs w:val="24"/>
          <w:lang w:eastAsia="cs-CZ"/>
        </w:rPr>
        <w:t xml:space="preserve">- Kapitola 22. Věda </w:t>
      </w:r>
      <w:r w:rsidRPr="00880087">
        <w:rPr>
          <w:rFonts w:eastAsia="Times New Roman"/>
          <w:sz w:val="18"/>
          <w:szCs w:val="24"/>
          <w:lang w:eastAsia="cs-CZ"/>
        </w:rPr>
        <w:t>a výzkum; Kód 0001-13</w:t>
      </w:r>
    </w:p>
    <w:p w:rsidR="00FA266A" w:rsidRPr="00880087" w:rsidRDefault="00FA266A" w:rsidP="00FA266A">
      <w:pPr>
        <w:spacing w:before="0" w:after="0"/>
        <w:jc w:val="both"/>
        <w:rPr>
          <w:rFonts w:eastAsia="Times New Roman"/>
          <w:sz w:val="18"/>
          <w:szCs w:val="24"/>
          <w:u w:val="single"/>
          <w:lang w:eastAsia="cs-CZ"/>
        </w:rPr>
      </w:pPr>
      <w:r w:rsidRPr="00880087">
        <w:rPr>
          <w:rFonts w:eastAsia="Times New Roman"/>
          <w:sz w:val="18"/>
          <w:szCs w:val="24"/>
          <w:u w:val="single"/>
          <w:lang w:eastAsia="cs-CZ"/>
        </w:rPr>
        <w:t>http://www.czso.cz/csu/2013edicniplan.nsf/publ/0001-13-r_2013</w:t>
      </w:r>
    </w:p>
    <w:p w:rsidR="00FA266A" w:rsidRPr="00880087" w:rsidRDefault="00FA266A" w:rsidP="00FA266A">
      <w:pPr>
        <w:spacing w:before="80" w:after="0"/>
        <w:jc w:val="both"/>
        <w:rPr>
          <w:rFonts w:eastAsia="Times New Roman"/>
          <w:sz w:val="18"/>
          <w:szCs w:val="24"/>
          <w:lang w:eastAsia="cs-CZ"/>
        </w:rPr>
      </w:pPr>
      <w:r w:rsidRPr="00880087">
        <w:rPr>
          <w:rFonts w:eastAsia="Times New Roman"/>
          <w:sz w:val="18"/>
          <w:szCs w:val="24"/>
          <w:lang w:eastAsia="cs-CZ"/>
        </w:rPr>
        <w:t>Krajské ročenky - Kapitola 19. Věda a výzkum</w:t>
      </w:r>
    </w:p>
    <w:p w:rsidR="00FA266A" w:rsidRPr="00880087" w:rsidRDefault="00FA266A" w:rsidP="00FA266A">
      <w:pPr>
        <w:spacing w:before="0" w:after="0"/>
        <w:jc w:val="both"/>
        <w:rPr>
          <w:rFonts w:eastAsia="Times New Roman"/>
          <w:sz w:val="18"/>
          <w:szCs w:val="24"/>
          <w:lang w:eastAsia="cs-CZ"/>
        </w:rPr>
      </w:pPr>
      <w:hyperlink r:id="rId32" w:history="1">
        <w:r w:rsidRPr="00880087">
          <w:rPr>
            <w:rFonts w:eastAsia="Times New Roman"/>
            <w:sz w:val="18"/>
            <w:szCs w:val="24"/>
            <w:u w:val="single"/>
            <w:lang w:eastAsia="cs-CZ"/>
          </w:rPr>
          <w:t>http://www.czso.cz/csu/edicniplan.nsf/aktual/ep-1#10a</w:t>
        </w:r>
      </w:hyperlink>
      <w:r w:rsidRPr="00880087">
        <w:rPr>
          <w:rFonts w:eastAsia="Times New Roman"/>
          <w:sz w:val="18"/>
          <w:szCs w:val="24"/>
          <w:lang w:eastAsia="cs-CZ"/>
        </w:rPr>
        <w:t xml:space="preserve"> </w:t>
      </w:r>
    </w:p>
    <w:p w:rsidR="00FA266A" w:rsidRPr="00880087" w:rsidRDefault="00FA266A" w:rsidP="00FA266A">
      <w:pPr>
        <w:spacing w:before="80" w:after="0"/>
        <w:jc w:val="both"/>
        <w:rPr>
          <w:rFonts w:eastAsia="Times New Roman"/>
          <w:sz w:val="18"/>
          <w:szCs w:val="24"/>
          <w:lang w:eastAsia="cs-CZ"/>
        </w:rPr>
      </w:pPr>
      <w:r w:rsidRPr="00880087">
        <w:rPr>
          <w:rFonts w:eastAsia="Times New Roman"/>
          <w:sz w:val="18"/>
          <w:szCs w:val="24"/>
          <w:lang w:eastAsia="cs-CZ"/>
        </w:rPr>
        <w:t>Zaostřeno na ženy a muže 2013 - Kapitola 8. Věda a technologie; Kód 1413-12</w:t>
      </w:r>
    </w:p>
    <w:p w:rsidR="00FA266A" w:rsidRPr="00880087" w:rsidRDefault="00FA266A" w:rsidP="00FA266A">
      <w:pPr>
        <w:spacing w:before="0" w:after="0"/>
        <w:jc w:val="both"/>
        <w:rPr>
          <w:rFonts w:eastAsia="Times New Roman"/>
          <w:szCs w:val="24"/>
          <w:lang w:eastAsia="cs-CZ"/>
        </w:rPr>
      </w:pPr>
      <w:hyperlink r:id="rId33" w:history="1">
        <w:r w:rsidRPr="00880087">
          <w:rPr>
            <w:rFonts w:eastAsia="Times New Roman"/>
            <w:szCs w:val="24"/>
            <w:u w:val="single"/>
            <w:lang w:eastAsia="cs-CZ"/>
          </w:rPr>
          <w:t>http://www.czso.cz/csu/2012edicniplan.nsf/publ/1413-13-r_2013</w:t>
        </w:r>
      </w:hyperlink>
      <w:r w:rsidRPr="00880087">
        <w:rPr>
          <w:rFonts w:eastAsia="Times New Roman"/>
          <w:szCs w:val="24"/>
          <w:lang w:eastAsia="cs-CZ"/>
        </w:rPr>
        <w:t xml:space="preserve"> </w:t>
      </w:r>
    </w:p>
    <w:sectPr w:rsidR="00FA266A" w:rsidRPr="00880087" w:rsidSect="00B71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756"/>
    <w:multiLevelType w:val="hybridMultilevel"/>
    <w:tmpl w:val="9F8406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62B5295"/>
    <w:multiLevelType w:val="hybridMultilevel"/>
    <w:tmpl w:val="B6EE7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482242"/>
    <w:multiLevelType w:val="hybridMultilevel"/>
    <w:tmpl w:val="D6FE655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B597618"/>
    <w:multiLevelType w:val="hybridMultilevel"/>
    <w:tmpl w:val="E4262C9A"/>
    <w:lvl w:ilvl="0" w:tplc="EE444686">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ED64E6D"/>
    <w:multiLevelType w:val="hybridMultilevel"/>
    <w:tmpl w:val="C7163A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0B942E2"/>
    <w:multiLevelType w:val="hybridMultilevel"/>
    <w:tmpl w:val="1CA06C8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12A048D4"/>
    <w:multiLevelType w:val="hybridMultilevel"/>
    <w:tmpl w:val="45D42842"/>
    <w:lvl w:ilvl="0" w:tplc="10304A4C">
      <w:start w:val="3"/>
      <w:numFmt w:val="bullet"/>
      <w:lvlText w:val="-"/>
      <w:lvlJc w:val="left"/>
      <w:pPr>
        <w:ind w:left="405" w:hanging="360"/>
      </w:pPr>
      <w:rPr>
        <w:rFonts w:ascii="Arial" w:eastAsia="Calibr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5225D0"/>
    <w:multiLevelType w:val="hybridMultilevel"/>
    <w:tmpl w:val="8EC45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0">
    <w:nsid w:val="1D963B23"/>
    <w:multiLevelType w:val="hybridMultilevel"/>
    <w:tmpl w:val="B582EAFC"/>
    <w:lvl w:ilvl="0" w:tplc="10304A4C">
      <w:start w:val="3"/>
      <w:numFmt w:val="bullet"/>
      <w:lvlText w:val="-"/>
      <w:lvlJc w:val="left"/>
      <w:pPr>
        <w:ind w:left="405" w:hanging="360"/>
      </w:pPr>
      <w:rPr>
        <w:rFonts w:ascii="Arial" w:eastAsia="Calibri" w:hAnsi="Arial" w:cs="Arial" w:hint="default"/>
        <w:b w:val="0"/>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1">
    <w:nsid w:val="1E805E2E"/>
    <w:multiLevelType w:val="hybridMultilevel"/>
    <w:tmpl w:val="F0C40F2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1EC402DD"/>
    <w:multiLevelType w:val="hybridMultilevel"/>
    <w:tmpl w:val="F09C4860"/>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E612B6"/>
    <w:multiLevelType w:val="hybridMultilevel"/>
    <w:tmpl w:val="67162DE8"/>
    <w:lvl w:ilvl="0" w:tplc="E00024F6">
      <w:start w:val="1"/>
      <w:numFmt w:val="decimal"/>
      <w:lvlText w:val="%1."/>
      <w:lvlJc w:val="left"/>
      <w:pPr>
        <w:ind w:left="502" w:hanging="360"/>
      </w:pPr>
      <w:rPr>
        <w:rFonts w:eastAsia="Calibr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F1054F2"/>
    <w:multiLevelType w:val="hybridMultilevel"/>
    <w:tmpl w:val="3586A4B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23FE792C"/>
    <w:multiLevelType w:val="hybridMultilevel"/>
    <w:tmpl w:val="9F96D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2B2BDB"/>
    <w:multiLevelType w:val="hybridMultilevel"/>
    <w:tmpl w:val="4652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5544B23"/>
    <w:multiLevelType w:val="hybridMultilevel"/>
    <w:tmpl w:val="C5FCD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5C77F34"/>
    <w:multiLevelType w:val="hybridMultilevel"/>
    <w:tmpl w:val="467A3E88"/>
    <w:lvl w:ilvl="0" w:tplc="EE444686">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7B744AA"/>
    <w:multiLevelType w:val="hybridMultilevel"/>
    <w:tmpl w:val="F7727024"/>
    <w:lvl w:ilvl="0" w:tplc="8D70ADFA">
      <w:start w:val="1"/>
      <w:numFmt w:val="bullet"/>
      <w:lvlText w:val=""/>
      <w:lvlJc w:val="left"/>
      <w:pPr>
        <w:tabs>
          <w:tab w:val="num" w:pos="720"/>
        </w:tabs>
        <w:ind w:left="720" w:hanging="360"/>
      </w:pPr>
      <w:rPr>
        <w:rFonts w:ascii="Symbol" w:hAnsi="Symbol" w:hint="default"/>
      </w:rPr>
    </w:lvl>
    <w:lvl w:ilvl="1" w:tplc="C25CC7DA" w:tentative="1">
      <w:start w:val="1"/>
      <w:numFmt w:val="bullet"/>
      <w:lvlText w:val=""/>
      <w:lvlJc w:val="left"/>
      <w:pPr>
        <w:tabs>
          <w:tab w:val="num" w:pos="1440"/>
        </w:tabs>
        <w:ind w:left="1440" w:hanging="360"/>
      </w:pPr>
      <w:rPr>
        <w:rFonts w:ascii="Symbol" w:hAnsi="Symbol" w:hint="default"/>
      </w:rPr>
    </w:lvl>
    <w:lvl w:ilvl="2" w:tplc="901AB1A2" w:tentative="1">
      <w:start w:val="1"/>
      <w:numFmt w:val="bullet"/>
      <w:lvlText w:val=""/>
      <w:lvlJc w:val="left"/>
      <w:pPr>
        <w:tabs>
          <w:tab w:val="num" w:pos="2160"/>
        </w:tabs>
        <w:ind w:left="2160" w:hanging="360"/>
      </w:pPr>
      <w:rPr>
        <w:rFonts w:ascii="Symbol" w:hAnsi="Symbol" w:hint="default"/>
      </w:rPr>
    </w:lvl>
    <w:lvl w:ilvl="3" w:tplc="128830F0" w:tentative="1">
      <w:start w:val="1"/>
      <w:numFmt w:val="bullet"/>
      <w:lvlText w:val=""/>
      <w:lvlJc w:val="left"/>
      <w:pPr>
        <w:tabs>
          <w:tab w:val="num" w:pos="2880"/>
        </w:tabs>
        <w:ind w:left="2880" w:hanging="360"/>
      </w:pPr>
      <w:rPr>
        <w:rFonts w:ascii="Symbol" w:hAnsi="Symbol" w:hint="default"/>
      </w:rPr>
    </w:lvl>
    <w:lvl w:ilvl="4" w:tplc="EB782190" w:tentative="1">
      <w:start w:val="1"/>
      <w:numFmt w:val="bullet"/>
      <w:lvlText w:val=""/>
      <w:lvlJc w:val="left"/>
      <w:pPr>
        <w:tabs>
          <w:tab w:val="num" w:pos="3600"/>
        </w:tabs>
        <w:ind w:left="3600" w:hanging="360"/>
      </w:pPr>
      <w:rPr>
        <w:rFonts w:ascii="Symbol" w:hAnsi="Symbol" w:hint="default"/>
      </w:rPr>
    </w:lvl>
    <w:lvl w:ilvl="5" w:tplc="DFDEF534" w:tentative="1">
      <w:start w:val="1"/>
      <w:numFmt w:val="bullet"/>
      <w:lvlText w:val=""/>
      <w:lvlJc w:val="left"/>
      <w:pPr>
        <w:tabs>
          <w:tab w:val="num" w:pos="4320"/>
        </w:tabs>
        <w:ind w:left="4320" w:hanging="360"/>
      </w:pPr>
      <w:rPr>
        <w:rFonts w:ascii="Symbol" w:hAnsi="Symbol" w:hint="default"/>
      </w:rPr>
    </w:lvl>
    <w:lvl w:ilvl="6" w:tplc="5356621C" w:tentative="1">
      <w:start w:val="1"/>
      <w:numFmt w:val="bullet"/>
      <w:lvlText w:val=""/>
      <w:lvlJc w:val="left"/>
      <w:pPr>
        <w:tabs>
          <w:tab w:val="num" w:pos="5040"/>
        </w:tabs>
        <w:ind w:left="5040" w:hanging="360"/>
      </w:pPr>
      <w:rPr>
        <w:rFonts w:ascii="Symbol" w:hAnsi="Symbol" w:hint="default"/>
      </w:rPr>
    </w:lvl>
    <w:lvl w:ilvl="7" w:tplc="3EE68028" w:tentative="1">
      <w:start w:val="1"/>
      <w:numFmt w:val="bullet"/>
      <w:lvlText w:val=""/>
      <w:lvlJc w:val="left"/>
      <w:pPr>
        <w:tabs>
          <w:tab w:val="num" w:pos="5760"/>
        </w:tabs>
        <w:ind w:left="5760" w:hanging="360"/>
      </w:pPr>
      <w:rPr>
        <w:rFonts w:ascii="Symbol" w:hAnsi="Symbol" w:hint="default"/>
      </w:rPr>
    </w:lvl>
    <w:lvl w:ilvl="8" w:tplc="17D8241C" w:tentative="1">
      <w:start w:val="1"/>
      <w:numFmt w:val="bullet"/>
      <w:lvlText w:val=""/>
      <w:lvlJc w:val="left"/>
      <w:pPr>
        <w:tabs>
          <w:tab w:val="num" w:pos="6480"/>
        </w:tabs>
        <w:ind w:left="6480" w:hanging="360"/>
      </w:pPr>
      <w:rPr>
        <w:rFonts w:ascii="Symbol" w:hAnsi="Symbol" w:hint="default"/>
      </w:rPr>
    </w:lvl>
  </w:abstractNum>
  <w:abstractNum w:abstractNumId="20">
    <w:nsid w:val="29EF76A3"/>
    <w:multiLevelType w:val="hybridMultilevel"/>
    <w:tmpl w:val="137E086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A542196"/>
    <w:multiLevelType w:val="hybridMultilevel"/>
    <w:tmpl w:val="3BAC9D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2B85498F"/>
    <w:multiLevelType w:val="hybridMultilevel"/>
    <w:tmpl w:val="63DEB2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2C6279DA"/>
    <w:multiLevelType w:val="hybridMultilevel"/>
    <w:tmpl w:val="EE06F60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F644355"/>
    <w:multiLevelType w:val="hybridMultilevel"/>
    <w:tmpl w:val="C6229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36CB476F"/>
    <w:multiLevelType w:val="hybridMultilevel"/>
    <w:tmpl w:val="7B500D86"/>
    <w:lvl w:ilvl="0" w:tplc="10304A4C">
      <w:start w:val="3"/>
      <w:numFmt w:val="bullet"/>
      <w:lvlText w:val="-"/>
      <w:lvlJc w:val="left"/>
      <w:pPr>
        <w:ind w:left="720" w:hanging="360"/>
      </w:pPr>
      <w:rPr>
        <w:rFonts w:ascii="Arial" w:eastAsia="Calibri"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E40933"/>
    <w:multiLevelType w:val="hybridMultilevel"/>
    <w:tmpl w:val="E4262C9A"/>
    <w:lvl w:ilvl="0" w:tplc="EE444686">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85D7970"/>
    <w:multiLevelType w:val="hybridMultilevel"/>
    <w:tmpl w:val="47CCAFE2"/>
    <w:lvl w:ilvl="0" w:tplc="EE444686">
      <w:start w:val="1"/>
      <w:numFmt w:val="bullet"/>
      <w:lvlText w:val=""/>
      <w:lvlJc w:val="left"/>
      <w:pPr>
        <w:tabs>
          <w:tab w:val="num" w:pos="645"/>
        </w:tabs>
        <w:ind w:left="64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9"/>
        </w:tabs>
        <w:ind w:left="739" w:hanging="360"/>
      </w:pPr>
      <w:rPr>
        <w:rFonts w:ascii="Courier New" w:hAnsi="Courier New" w:hint="default"/>
      </w:rPr>
    </w:lvl>
    <w:lvl w:ilvl="2" w:tplc="04050005" w:tentative="1">
      <w:start w:val="1"/>
      <w:numFmt w:val="bullet"/>
      <w:lvlText w:val=""/>
      <w:lvlJc w:val="left"/>
      <w:pPr>
        <w:tabs>
          <w:tab w:val="num" w:pos="1459"/>
        </w:tabs>
        <w:ind w:left="1459" w:hanging="360"/>
      </w:pPr>
      <w:rPr>
        <w:rFonts w:ascii="Wingdings" w:hAnsi="Wingdings" w:hint="default"/>
      </w:rPr>
    </w:lvl>
    <w:lvl w:ilvl="3" w:tplc="04050001" w:tentative="1">
      <w:start w:val="1"/>
      <w:numFmt w:val="bullet"/>
      <w:lvlText w:val=""/>
      <w:lvlJc w:val="left"/>
      <w:pPr>
        <w:tabs>
          <w:tab w:val="num" w:pos="2179"/>
        </w:tabs>
        <w:ind w:left="2179" w:hanging="360"/>
      </w:pPr>
      <w:rPr>
        <w:rFonts w:ascii="Symbol" w:hAnsi="Symbol" w:hint="default"/>
      </w:rPr>
    </w:lvl>
    <w:lvl w:ilvl="4" w:tplc="04050003" w:tentative="1">
      <w:start w:val="1"/>
      <w:numFmt w:val="bullet"/>
      <w:lvlText w:val="o"/>
      <w:lvlJc w:val="left"/>
      <w:pPr>
        <w:tabs>
          <w:tab w:val="num" w:pos="2899"/>
        </w:tabs>
        <w:ind w:left="2899" w:hanging="360"/>
      </w:pPr>
      <w:rPr>
        <w:rFonts w:ascii="Courier New" w:hAnsi="Courier New" w:hint="default"/>
      </w:rPr>
    </w:lvl>
    <w:lvl w:ilvl="5" w:tplc="04050005" w:tentative="1">
      <w:start w:val="1"/>
      <w:numFmt w:val="bullet"/>
      <w:lvlText w:val=""/>
      <w:lvlJc w:val="left"/>
      <w:pPr>
        <w:tabs>
          <w:tab w:val="num" w:pos="3619"/>
        </w:tabs>
        <w:ind w:left="3619" w:hanging="360"/>
      </w:pPr>
      <w:rPr>
        <w:rFonts w:ascii="Wingdings" w:hAnsi="Wingdings" w:hint="default"/>
      </w:rPr>
    </w:lvl>
    <w:lvl w:ilvl="6" w:tplc="04050001" w:tentative="1">
      <w:start w:val="1"/>
      <w:numFmt w:val="bullet"/>
      <w:lvlText w:val=""/>
      <w:lvlJc w:val="left"/>
      <w:pPr>
        <w:tabs>
          <w:tab w:val="num" w:pos="4339"/>
        </w:tabs>
        <w:ind w:left="4339" w:hanging="360"/>
      </w:pPr>
      <w:rPr>
        <w:rFonts w:ascii="Symbol" w:hAnsi="Symbol" w:hint="default"/>
      </w:rPr>
    </w:lvl>
    <w:lvl w:ilvl="7" w:tplc="04050003" w:tentative="1">
      <w:start w:val="1"/>
      <w:numFmt w:val="bullet"/>
      <w:lvlText w:val="o"/>
      <w:lvlJc w:val="left"/>
      <w:pPr>
        <w:tabs>
          <w:tab w:val="num" w:pos="5059"/>
        </w:tabs>
        <w:ind w:left="5059" w:hanging="360"/>
      </w:pPr>
      <w:rPr>
        <w:rFonts w:ascii="Courier New" w:hAnsi="Courier New" w:hint="default"/>
      </w:rPr>
    </w:lvl>
    <w:lvl w:ilvl="8" w:tplc="04050005" w:tentative="1">
      <w:start w:val="1"/>
      <w:numFmt w:val="bullet"/>
      <w:lvlText w:val=""/>
      <w:lvlJc w:val="left"/>
      <w:pPr>
        <w:tabs>
          <w:tab w:val="num" w:pos="5779"/>
        </w:tabs>
        <w:ind w:left="5779" w:hanging="360"/>
      </w:pPr>
      <w:rPr>
        <w:rFonts w:ascii="Wingdings" w:hAnsi="Wingdings" w:hint="default"/>
      </w:rPr>
    </w:lvl>
  </w:abstractNum>
  <w:abstractNum w:abstractNumId="29">
    <w:nsid w:val="3D884AAD"/>
    <w:multiLevelType w:val="hybridMultilevel"/>
    <w:tmpl w:val="D01091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0B52339"/>
    <w:multiLevelType w:val="hybridMultilevel"/>
    <w:tmpl w:val="F9C0E750"/>
    <w:lvl w:ilvl="0" w:tplc="04050001">
      <w:start w:val="1"/>
      <w:numFmt w:val="bullet"/>
      <w:lvlText w:val=""/>
      <w:lvlJc w:val="left"/>
      <w:pPr>
        <w:tabs>
          <w:tab w:val="num" w:pos="720"/>
        </w:tabs>
        <w:ind w:left="720" w:hanging="360"/>
      </w:pPr>
      <w:rPr>
        <w:rFonts w:ascii="Symbol" w:hAnsi="Symbol" w:hint="default"/>
      </w:rPr>
    </w:lvl>
    <w:lvl w:ilvl="1" w:tplc="C25CC7DA" w:tentative="1">
      <w:start w:val="1"/>
      <w:numFmt w:val="bullet"/>
      <w:lvlText w:val=""/>
      <w:lvlJc w:val="left"/>
      <w:pPr>
        <w:tabs>
          <w:tab w:val="num" w:pos="1440"/>
        </w:tabs>
        <w:ind w:left="1440" w:hanging="360"/>
      </w:pPr>
      <w:rPr>
        <w:rFonts w:ascii="Symbol" w:hAnsi="Symbol" w:hint="default"/>
      </w:rPr>
    </w:lvl>
    <w:lvl w:ilvl="2" w:tplc="901AB1A2" w:tentative="1">
      <w:start w:val="1"/>
      <w:numFmt w:val="bullet"/>
      <w:lvlText w:val=""/>
      <w:lvlJc w:val="left"/>
      <w:pPr>
        <w:tabs>
          <w:tab w:val="num" w:pos="2160"/>
        </w:tabs>
        <w:ind w:left="2160" w:hanging="360"/>
      </w:pPr>
      <w:rPr>
        <w:rFonts w:ascii="Symbol" w:hAnsi="Symbol" w:hint="default"/>
      </w:rPr>
    </w:lvl>
    <w:lvl w:ilvl="3" w:tplc="128830F0" w:tentative="1">
      <w:start w:val="1"/>
      <w:numFmt w:val="bullet"/>
      <w:lvlText w:val=""/>
      <w:lvlJc w:val="left"/>
      <w:pPr>
        <w:tabs>
          <w:tab w:val="num" w:pos="2880"/>
        </w:tabs>
        <w:ind w:left="2880" w:hanging="360"/>
      </w:pPr>
      <w:rPr>
        <w:rFonts w:ascii="Symbol" w:hAnsi="Symbol" w:hint="default"/>
      </w:rPr>
    </w:lvl>
    <w:lvl w:ilvl="4" w:tplc="EB782190" w:tentative="1">
      <w:start w:val="1"/>
      <w:numFmt w:val="bullet"/>
      <w:lvlText w:val=""/>
      <w:lvlJc w:val="left"/>
      <w:pPr>
        <w:tabs>
          <w:tab w:val="num" w:pos="3600"/>
        </w:tabs>
        <w:ind w:left="3600" w:hanging="360"/>
      </w:pPr>
      <w:rPr>
        <w:rFonts w:ascii="Symbol" w:hAnsi="Symbol" w:hint="default"/>
      </w:rPr>
    </w:lvl>
    <w:lvl w:ilvl="5" w:tplc="DFDEF534" w:tentative="1">
      <w:start w:val="1"/>
      <w:numFmt w:val="bullet"/>
      <w:lvlText w:val=""/>
      <w:lvlJc w:val="left"/>
      <w:pPr>
        <w:tabs>
          <w:tab w:val="num" w:pos="4320"/>
        </w:tabs>
        <w:ind w:left="4320" w:hanging="360"/>
      </w:pPr>
      <w:rPr>
        <w:rFonts w:ascii="Symbol" w:hAnsi="Symbol" w:hint="default"/>
      </w:rPr>
    </w:lvl>
    <w:lvl w:ilvl="6" w:tplc="5356621C" w:tentative="1">
      <w:start w:val="1"/>
      <w:numFmt w:val="bullet"/>
      <w:lvlText w:val=""/>
      <w:lvlJc w:val="left"/>
      <w:pPr>
        <w:tabs>
          <w:tab w:val="num" w:pos="5040"/>
        </w:tabs>
        <w:ind w:left="5040" w:hanging="360"/>
      </w:pPr>
      <w:rPr>
        <w:rFonts w:ascii="Symbol" w:hAnsi="Symbol" w:hint="default"/>
      </w:rPr>
    </w:lvl>
    <w:lvl w:ilvl="7" w:tplc="3EE68028" w:tentative="1">
      <w:start w:val="1"/>
      <w:numFmt w:val="bullet"/>
      <w:lvlText w:val=""/>
      <w:lvlJc w:val="left"/>
      <w:pPr>
        <w:tabs>
          <w:tab w:val="num" w:pos="5760"/>
        </w:tabs>
        <w:ind w:left="5760" w:hanging="360"/>
      </w:pPr>
      <w:rPr>
        <w:rFonts w:ascii="Symbol" w:hAnsi="Symbol" w:hint="default"/>
      </w:rPr>
    </w:lvl>
    <w:lvl w:ilvl="8" w:tplc="17D8241C" w:tentative="1">
      <w:start w:val="1"/>
      <w:numFmt w:val="bullet"/>
      <w:lvlText w:val=""/>
      <w:lvlJc w:val="left"/>
      <w:pPr>
        <w:tabs>
          <w:tab w:val="num" w:pos="6480"/>
        </w:tabs>
        <w:ind w:left="6480" w:hanging="360"/>
      </w:pPr>
      <w:rPr>
        <w:rFonts w:ascii="Symbol" w:hAnsi="Symbol" w:hint="default"/>
      </w:rPr>
    </w:lvl>
  </w:abstractNum>
  <w:abstractNum w:abstractNumId="31">
    <w:nsid w:val="491904E5"/>
    <w:multiLevelType w:val="hybridMultilevel"/>
    <w:tmpl w:val="CF0EC27E"/>
    <w:lvl w:ilvl="0" w:tplc="04050001">
      <w:start w:val="1"/>
      <w:numFmt w:val="bullet"/>
      <w:lvlText w:val=""/>
      <w:lvlJc w:val="left"/>
      <w:pPr>
        <w:ind w:left="1776" w:hanging="360"/>
      </w:pPr>
      <w:rPr>
        <w:rFonts w:ascii="Symbol" w:hAnsi="Symbol"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2">
    <w:nsid w:val="4D810FA4"/>
    <w:multiLevelType w:val="hybridMultilevel"/>
    <w:tmpl w:val="54A6F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5014B76"/>
    <w:multiLevelType w:val="hybridMultilevel"/>
    <w:tmpl w:val="5B6220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5DB7C36"/>
    <w:multiLevelType w:val="hybridMultilevel"/>
    <w:tmpl w:val="DE2CD89A"/>
    <w:lvl w:ilvl="0" w:tplc="04050001">
      <w:start w:val="1"/>
      <w:numFmt w:val="bullet"/>
      <w:lvlText w:val=""/>
      <w:lvlJc w:val="left"/>
      <w:pPr>
        <w:ind w:left="1068" w:hanging="360"/>
      </w:pPr>
      <w:rPr>
        <w:rFonts w:ascii="Symbol" w:hAnsi="Symbol" w:hint="default"/>
        <w:b w:val="0"/>
      </w:rPr>
    </w:lvl>
    <w:lvl w:ilvl="1" w:tplc="04050003" w:tentative="1">
      <w:start w:val="1"/>
      <w:numFmt w:val="bullet"/>
      <w:lvlText w:val="o"/>
      <w:lvlJc w:val="left"/>
      <w:pPr>
        <w:ind w:left="2103" w:hanging="360"/>
      </w:pPr>
      <w:rPr>
        <w:rFonts w:ascii="Courier New" w:hAnsi="Courier New" w:cs="Courier New" w:hint="default"/>
      </w:rPr>
    </w:lvl>
    <w:lvl w:ilvl="2" w:tplc="04050005" w:tentative="1">
      <w:start w:val="1"/>
      <w:numFmt w:val="bullet"/>
      <w:lvlText w:val=""/>
      <w:lvlJc w:val="left"/>
      <w:pPr>
        <w:ind w:left="2823" w:hanging="360"/>
      </w:pPr>
      <w:rPr>
        <w:rFonts w:ascii="Wingdings" w:hAnsi="Wingdings" w:hint="default"/>
      </w:rPr>
    </w:lvl>
    <w:lvl w:ilvl="3" w:tplc="04050001" w:tentative="1">
      <w:start w:val="1"/>
      <w:numFmt w:val="bullet"/>
      <w:lvlText w:val=""/>
      <w:lvlJc w:val="left"/>
      <w:pPr>
        <w:ind w:left="3543" w:hanging="360"/>
      </w:pPr>
      <w:rPr>
        <w:rFonts w:ascii="Symbol" w:hAnsi="Symbol" w:hint="default"/>
      </w:rPr>
    </w:lvl>
    <w:lvl w:ilvl="4" w:tplc="04050003" w:tentative="1">
      <w:start w:val="1"/>
      <w:numFmt w:val="bullet"/>
      <w:lvlText w:val="o"/>
      <w:lvlJc w:val="left"/>
      <w:pPr>
        <w:ind w:left="4263" w:hanging="360"/>
      </w:pPr>
      <w:rPr>
        <w:rFonts w:ascii="Courier New" w:hAnsi="Courier New" w:cs="Courier New" w:hint="default"/>
      </w:rPr>
    </w:lvl>
    <w:lvl w:ilvl="5" w:tplc="04050005" w:tentative="1">
      <w:start w:val="1"/>
      <w:numFmt w:val="bullet"/>
      <w:lvlText w:val=""/>
      <w:lvlJc w:val="left"/>
      <w:pPr>
        <w:ind w:left="4983" w:hanging="360"/>
      </w:pPr>
      <w:rPr>
        <w:rFonts w:ascii="Wingdings" w:hAnsi="Wingdings" w:hint="default"/>
      </w:rPr>
    </w:lvl>
    <w:lvl w:ilvl="6" w:tplc="04050001" w:tentative="1">
      <w:start w:val="1"/>
      <w:numFmt w:val="bullet"/>
      <w:lvlText w:val=""/>
      <w:lvlJc w:val="left"/>
      <w:pPr>
        <w:ind w:left="5703" w:hanging="360"/>
      </w:pPr>
      <w:rPr>
        <w:rFonts w:ascii="Symbol" w:hAnsi="Symbol" w:hint="default"/>
      </w:rPr>
    </w:lvl>
    <w:lvl w:ilvl="7" w:tplc="04050003" w:tentative="1">
      <w:start w:val="1"/>
      <w:numFmt w:val="bullet"/>
      <w:lvlText w:val="o"/>
      <w:lvlJc w:val="left"/>
      <w:pPr>
        <w:ind w:left="6423" w:hanging="360"/>
      </w:pPr>
      <w:rPr>
        <w:rFonts w:ascii="Courier New" w:hAnsi="Courier New" w:cs="Courier New" w:hint="default"/>
      </w:rPr>
    </w:lvl>
    <w:lvl w:ilvl="8" w:tplc="04050005" w:tentative="1">
      <w:start w:val="1"/>
      <w:numFmt w:val="bullet"/>
      <w:lvlText w:val=""/>
      <w:lvlJc w:val="left"/>
      <w:pPr>
        <w:ind w:left="7143" w:hanging="360"/>
      </w:pPr>
      <w:rPr>
        <w:rFonts w:ascii="Wingdings" w:hAnsi="Wingdings" w:hint="default"/>
      </w:rPr>
    </w:lvl>
  </w:abstractNum>
  <w:abstractNum w:abstractNumId="36">
    <w:nsid w:val="570A68DF"/>
    <w:multiLevelType w:val="hybridMultilevel"/>
    <w:tmpl w:val="FDDED6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96C20246">
      <w:start w:val="1"/>
      <w:numFmt w:val="decimal"/>
      <w:lvlText w:val="%3)"/>
      <w:lvlJc w:val="left"/>
      <w:pPr>
        <w:ind w:left="2340" w:hanging="360"/>
      </w:pPr>
      <w:rPr>
        <w:rFonts w:eastAsia="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80031A8"/>
    <w:multiLevelType w:val="hybridMultilevel"/>
    <w:tmpl w:val="E4262C9A"/>
    <w:lvl w:ilvl="0" w:tplc="EE444686">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584B0EE1"/>
    <w:multiLevelType w:val="hybridMultilevel"/>
    <w:tmpl w:val="154A3E0C"/>
    <w:lvl w:ilvl="0" w:tplc="AA76207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0A90EE8"/>
    <w:multiLevelType w:val="hybridMultilevel"/>
    <w:tmpl w:val="29EA611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6CD45680"/>
    <w:multiLevelType w:val="hybridMultilevel"/>
    <w:tmpl w:val="5B1226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9E0DF8"/>
    <w:multiLevelType w:val="hybridMultilevel"/>
    <w:tmpl w:val="47CCAFE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2">
    <w:nsid w:val="748C79F5"/>
    <w:multiLevelType w:val="hybridMultilevel"/>
    <w:tmpl w:val="04E4E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510457A"/>
    <w:multiLevelType w:val="hybridMultilevel"/>
    <w:tmpl w:val="345613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7ACE0D0A"/>
    <w:multiLevelType w:val="hybridMultilevel"/>
    <w:tmpl w:val="F15C185A"/>
    <w:lvl w:ilvl="0" w:tplc="10304A4C">
      <w:start w:val="3"/>
      <w:numFmt w:val="bullet"/>
      <w:lvlText w:val="-"/>
      <w:lvlJc w:val="left"/>
      <w:pPr>
        <w:ind w:left="405" w:hanging="360"/>
      </w:pPr>
      <w:rPr>
        <w:rFonts w:ascii="Arial" w:eastAsia="Calibr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12"/>
  </w:num>
  <w:num w:numId="4">
    <w:abstractNumId w:val="40"/>
  </w:num>
  <w:num w:numId="5">
    <w:abstractNumId w:val="23"/>
  </w:num>
  <w:num w:numId="6">
    <w:abstractNumId w:val="2"/>
  </w:num>
  <w:num w:numId="7">
    <w:abstractNumId w:val="15"/>
  </w:num>
  <w:num w:numId="8">
    <w:abstractNumId w:val="31"/>
  </w:num>
  <w:num w:numId="9">
    <w:abstractNumId w:val="17"/>
  </w:num>
  <w:num w:numId="10">
    <w:abstractNumId w:val="20"/>
  </w:num>
  <w:num w:numId="11">
    <w:abstractNumId w:val="3"/>
  </w:num>
  <w:num w:numId="12">
    <w:abstractNumId w:val="39"/>
  </w:num>
  <w:num w:numId="13">
    <w:abstractNumId w:val="0"/>
  </w:num>
  <w:num w:numId="14">
    <w:abstractNumId w:val="32"/>
  </w:num>
  <w:num w:numId="15">
    <w:abstractNumId w:val="13"/>
  </w:num>
  <w:num w:numId="16">
    <w:abstractNumId w:val="34"/>
  </w:num>
  <w:num w:numId="17">
    <w:abstractNumId w:val="14"/>
  </w:num>
  <w:num w:numId="18">
    <w:abstractNumId w:val="10"/>
  </w:num>
  <w:num w:numId="19">
    <w:abstractNumId w:val="25"/>
  </w:num>
  <w:num w:numId="20">
    <w:abstractNumId w:val="7"/>
  </w:num>
  <w:num w:numId="21">
    <w:abstractNumId w:val="44"/>
  </w:num>
  <w:num w:numId="22">
    <w:abstractNumId w:val="35"/>
  </w:num>
  <w:num w:numId="23">
    <w:abstractNumId w:val="29"/>
  </w:num>
  <w:num w:numId="24">
    <w:abstractNumId w:val="22"/>
  </w:num>
  <w:num w:numId="25">
    <w:abstractNumId w:val="38"/>
  </w:num>
  <w:num w:numId="26">
    <w:abstractNumId w:val="6"/>
  </w:num>
  <w:num w:numId="27">
    <w:abstractNumId w:val="19"/>
  </w:num>
  <w:num w:numId="28">
    <w:abstractNumId w:val="30"/>
  </w:num>
  <w:num w:numId="29">
    <w:abstractNumId w:val="9"/>
  </w:num>
  <w:num w:numId="30">
    <w:abstractNumId w:val="18"/>
  </w:num>
  <w:num w:numId="31">
    <w:abstractNumId w:val="5"/>
  </w:num>
  <w:num w:numId="32">
    <w:abstractNumId w:val="43"/>
  </w:num>
  <w:num w:numId="33">
    <w:abstractNumId w:val="33"/>
  </w:num>
  <w:num w:numId="34">
    <w:abstractNumId w:val="26"/>
  </w:num>
  <w:num w:numId="35">
    <w:abstractNumId w:val="4"/>
  </w:num>
  <w:num w:numId="36">
    <w:abstractNumId w:val="37"/>
  </w:num>
  <w:num w:numId="37">
    <w:abstractNumId w:val="28"/>
  </w:num>
  <w:num w:numId="38">
    <w:abstractNumId w:val="24"/>
  </w:num>
  <w:num w:numId="39">
    <w:abstractNumId w:val="27"/>
  </w:num>
  <w:num w:numId="40">
    <w:abstractNumId w:val="1"/>
  </w:num>
  <w:num w:numId="41">
    <w:abstractNumId w:val="41"/>
  </w:num>
  <w:num w:numId="42">
    <w:abstractNumId w:val="21"/>
  </w:num>
  <w:num w:numId="43">
    <w:abstractNumId w:val="42"/>
  </w:num>
  <w:num w:numId="44">
    <w:abstractNumId w:val="16"/>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F2F"/>
    <w:rsid w:val="00000206"/>
    <w:rsid w:val="00000B7F"/>
    <w:rsid w:val="000028E8"/>
    <w:rsid w:val="000052EC"/>
    <w:rsid w:val="00034055"/>
    <w:rsid w:val="00036462"/>
    <w:rsid w:val="0004775E"/>
    <w:rsid w:val="00054564"/>
    <w:rsid w:val="00065B34"/>
    <w:rsid w:val="00066C92"/>
    <w:rsid w:val="0007535F"/>
    <w:rsid w:val="00077A47"/>
    <w:rsid w:val="000E24D4"/>
    <w:rsid w:val="000E3438"/>
    <w:rsid w:val="000E7CF8"/>
    <w:rsid w:val="000F5EAD"/>
    <w:rsid w:val="001023E7"/>
    <w:rsid w:val="00104E51"/>
    <w:rsid w:val="0011334E"/>
    <w:rsid w:val="00114682"/>
    <w:rsid w:val="001324F8"/>
    <w:rsid w:val="001344BD"/>
    <w:rsid w:val="001344C2"/>
    <w:rsid w:val="001345B2"/>
    <w:rsid w:val="00137887"/>
    <w:rsid w:val="00137B72"/>
    <w:rsid w:val="00137E15"/>
    <w:rsid w:val="0014020C"/>
    <w:rsid w:val="00140B6F"/>
    <w:rsid w:val="00142AF6"/>
    <w:rsid w:val="00152660"/>
    <w:rsid w:val="00155000"/>
    <w:rsid w:val="00155F5F"/>
    <w:rsid w:val="001562C7"/>
    <w:rsid w:val="001575F3"/>
    <w:rsid w:val="00164CD8"/>
    <w:rsid w:val="00165FE1"/>
    <w:rsid w:val="001735A5"/>
    <w:rsid w:val="001758DD"/>
    <w:rsid w:val="0019492C"/>
    <w:rsid w:val="001A638D"/>
    <w:rsid w:val="001A7D05"/>
    <w:rsid w:val="001B3052"/>
    <w:rsid w:val="001C3D8E"/>
    <w:rsid w:val="001C4370"/>
    <w:rsid w:val="001C6E42"/>
    <w:rsid w:val="001E1827"/>
    <w:rsid w:val="001F0F8C"/>
    <w:rsid w:val="001F102D"/>
    <w:rsid w:val="00201521"/>
    <w:rsid w:val="00205335"/>
    <w:rsid w:val="002139BC"/>
    <w:rsid w:val="00215381"/>
    <w:rsid w:val="00231C6A"/>
    <w:rsid w:val="00233B8B"/>
    <w:rsid w:val="002342E1"/>
    <w:rsid w:val="002373B3"/>
    <w:rsid w:val="0024690A"/>
    <w:rsid w:val="00257381"/>
    <w:rsid w:val="002876D5"/>
    <w:rsid w:val="00287D31"/>
    <w:rsid w:val="0029468C"/>
    <w:rsid w:val="002968E6"/>
    <w:rsid w:val="002B131A"/>
    <w:rsid w:val="002B3877"/>
    <w:rsid w:val="002B56D8"/>
    <w:rsid w:val="002B7321"/>
    <w:rsid w:val="002C2655"/>
    <w:rsid w:val="002C44B2"/>
    <w:rsid w:val="002D0BF5"/>
    <w:rsid w:val="002D0EBE"/>
    <w:rsid w:val="002D2EB2"/>
    <w:rsid w:val="002D33DE"/>
    <w:rsid w:val="002D7A3C"/>
    <w:rsid w:val="002E165F"/>
    <w:rsid w:val="002E7C9A"/>
    <w:rsid w:val="002F719C"/>
    <w:rsid w:val="00301F21"/>
    <w:rsid w:val="003044B2"/>
    <w:rsid w:val="00306328"/>
    <w:rsid w:val="00313CFE"/>
    <w:rsid w:val="003203B4"/>
    <w:rsid w:val="00321A10"/>
    <w:rsid w:val="00325449"/>
    <w:rsid w:val="00327330"/>
    <w:rsid w:val="00335220"/>
    <w:rsid w:val="00335845"/>
    <w:rsid w:val="0034002C"/>
    <w:rsid w:val="00364DBA"/>
    <w:rsid w:val="00383B49"/>
    <w:rsid w:val="00385D62"/>
    <w:rsid w:val="00392597"/>
    <w:rsid w:val="003A1C9B"/>
    <w:rsid w:val="003A6769"/>
    <w:rsid w:val="003C0AFD"/>
    <w:rsid w:val="003C1629"/>
    <w:rsid w:val="003C3C04"/>
    <w:rsid w:val="003C511F"/>
    <w:rsid w:val="003D2F22"/>
    <w:rsid w:val="003D6B7E"/>
    <w:rsid w:val="003D7E12"/>
    <w:rsid w:val="003E1682"/>
    <w:rsid w:val="003E241A"/>
    <w:rsid w:val="003E7494"/>
    <w:rsid w:val="003F017F"/>
    <w:rsid w:val="003F3414"/>
    <w:rsid w:val="0041523E"/>
    <w:rsid w:val="00427173"/>
    <w:rsid w:val="004302D6"/>
    <w:rsid w:val="00440355"/>
    <w:rsid w:val="00442427"/>
    <w:rsid w:val="00447807"/>
    <w:rsid w:val="00450625"/>
    <w:rsid w:val="004510A8"/>
    <w:rsid w:val="00451AD0"/>
    <w:rsid w:val="00451EEF"/>
    <w:rsid w:val="00452B94"/>
    <w:rsid w:val="004655C8"/>
    <w:rsid w:val="00474D60"/>
    <w:rsid w:val="00480E81"/>
    <w:rsid w:val="00486715"/>
    <w:rsid w:val="00496535"/>
    <w:rsid w:val="004A6506"/>
    <w:rsid w:val="004B10D1"/>
    <w:rsid w:val="004B3C20"/>
    <w:rsid w:val="004C2779"/>
    <w:rsid w:val="004C5EF2"/>
    <w:rsid w:val="004C613A"/>
    <w:rsid w:val="004D036F"/>
    <w:rsid w:val="004E62BC"/>
    <w:rsid w:val="00510B36"/>
    <w:rsid w:val="005242BD"/>
    <w:rsid w:val="00527710"/>
    <w:rsid w:val="005446A1"/>
    <w:rsid w:val="00547E83"/>
    <w:rsid w:val="005576F7"/>
    <w:rsid w:val="005627AE"/>
    <w:rsid w:val="00570944"/>
    <w:rsid w:val="00572C37"/>
    <w:rsid w:val="00573F51"/>
    <w:rsid w:val="005A41E8"/>
    <w:rsid w:val="005A737C"/>
    <w:rsid w:val="005A7E51"/>
    <w:rsid w:val="005B10C4"/>
    <w:rsid w:val="005C08B6"/>
    <w:rsid w:val="005C3089"/>
    <w:rsid w:val="005C5CD4"/>
    <w:rsid w:val="005D22DC"/>
    <w:rsid w:val="005E1888"/>
    <w:rsid w:val="005F378F"/>
    <w:rsid w:val="005F4273"/>
    <w:rsid w:val="00611782"/>
    <w:rsid w:val="00613FD6"/>
    <w:rsid w:val="006421A4"/>
    <w:rsid w:val="0064232F"/>
    <w:rsid w:val="006561B6"/>
    <w:rsid w:val="006607CD"/>
    <w:rsid w:val="00662146"/>
    <w:rsid w:val="00672984"/>
    <w:rsid w:val="00683ED6"/>
    <w:rsid w:val="00694FF7"/>
    <w:rsid w:val="006A5D15"/>
    <w:rsid w:val="006A6E88"/>
    <w:rsid w:val="006A7462"/>
    <w:rsid w:val="006B0656"/>
    <w:rsid w:val="006B1FCF"/>
    <w:rsid w:val="006B4085"/>
    <w:rsid w:val="006B688F"/>
    <w:rsid w:val="006C1C65"/>
    <w:rsid w:val="006E2138"/>
    <w:rsid w:val="006E2337"/>
    <w:rsid w:val="006E66F8"/>
    <w:rsid w:val="006F00D5"/>
    <w:rsid w:val="006F03CE"/>
    <w:rsid w:val="006F04EB"/>
    <w:rsid w:val="006F1292"/>
    <w:rsid w:val="006F27C4"/>
    <w:rsid w:val="006F705A"/>
    <w:rsid w:val="0070134C"/>
    <w:rsid w:val="0071464A"/>
    <w:rsid w:val="007177F3"/>
    <w:rsid w:val="00723B50"/>
    <w:rsid w:val="007275BB"/>
    <w:rsid w:val="00727765"/>
    <w:rsid w:val="007325FC"/>
    <w:rsid w:val="0073665C"/>
    <w:rsid w:val="00741E33"/>
    <w:rsid w:val="007514BA"/>
    <w:rsid w:val="007603ED"/>
    <w:rsid w:val="007666A9"/>
    <w:rsid w:val="00776302"/>
    <w:rsid w:val="007807C8"/>
    <w:rsid w:val="007809EE"/>
    <w:rsid w:val="0079646C"/>
    <w:rsid w:val="007A1638"/>
    <w:rsid w:val="007A58EE"/>
    <w:rsid w:val="007A6654"/>
    <w:rsid w:val="007B113A"/>
    <w:rsid w:val="007B68F2"/>
    <w:rsid w:val="007B7A14"/>
    <w:rsid w:val="007C0B4C"/>
    <w:rsid w:val="007C27E3"/>
    <w:rsid w:val="007C5936"/>
    <w:rsid w:val="007D1E62"/>
    <w:rsid w:val="007D591B"/>
    <w:rsid w:val="007F1D62"/>
    <w:rsid w:val="007F5FF8"/>
    <w:rsid w:val="007F7137"/>
    <w:rsid w:val="00802AA9"/>
    <w:rsid w:val="00806453"/>
    <w:rsid w:val="00810335"/>
    <w:rsid w:val="00840F7D"/>
    <w:rsid w:val="008435EC"/>
    <w:rsid w:val="008500C8"/>
    <w:rsid w:val="00865298"/>
    <w:rsid w:val="008744E1"/>
    <w:rsid w:val="00880087"/>
    <w:rsid w:val="00893B2C"/>
    <w:rsid w:val="008A346D"/>
    <w:rsid w:val="008B427B"/>
    <w:rsid w:val="008C0BF1"/>
    <w:rsid w:val="008D4989"/>
    <w:rsid w:val="008D62A8"/>
    <w:rsid w:val="008F4080"/>
    <w:rsid w:val="0090437C"/>
    <w:rsid w:val="00933694"/>
    <w:rsid w:val="00934D59"/>
    <w:rsid w:val="00941C50"/>
    <w:rsid w:val="00947F7D"/>
    <w:rsid w:val="00964015"/>
    <w:rsid w:val="0097420C"/>
    <w:rsid w:val="009B63E6"/>
    <w:rsid w:val="009C2FB2"/>
    <w:rsid w:val="009C4D30"/>
    <w:rsid w:val="009E11FE"/>
    <w:rsid w:val="009E53D0"/>
    <w:rsid w:val="009E588C"/>
    <w:rsid w:val="009E58DA"/>
    <w:rsid w:val="009F2691"/>
    <w:rsid w:val="009F7F5E"/>
    <w:rsid w:val="00A3623E"/>
    <w:rsid w:val="00A3794D"/>
    <w:rsid w:val="00A45E2F"/>
    <w:rsid w:val="00A471C0"/>
    <w:rsid w:val="00A52F50"/>
    <w:rsid w:val="00A61929"/>
    <w:rsid w:val="00A63986"/>
    <w:rsid w:val="00A73926"/>
    <w:rsid w:val="00A76F78"/>
    <w:rsid w:val="00A9029F"/>
    <w:rsid w:val="00A96F44"/>
    <w:rsid w:val="00AA3372"/>
    <w:rsid w:val="00AA3CC6"/>
    <w:rsid w:val="00AB7D3F"/>
    <w:rsid w:val="00AB7E1C"/>
    <w:rsid w:val="00AD29EB"/>
    <w:rsid w:val="00AD34A2"/>
    <w:rsid w:val="00AE2182"/>
    <w:rsid w:val="00AE7512"/>
    <w:rsid w:val="00B175E3"/>
    <w:rsid w:val="00B2592C"/>
    <w:rsid w:val="00B3400E"/>
    <w:rsid w:val="00B34043"/>
    <w:rsid w:val="00B348E3"/>
    <w:rsid w:val="00B37E13"/>
    <w:rsid w:val="00B37ED7"/>
    <w:rsid w:val="00B56729"/>
    <w:rsid w:val="00B62BC4"/>
    <w:rsid w:val="00B639FC"/>
    <w:rsid w:val="00B71337"/>
    <w:rsid w:val="00B84A2A"/>
    <w:rsid w:val="00B9160F"/>
    <w:rsid w:val="00B91855"/>
    <w:rsid w:val="00B9276F"/>
    <w:rsid w:val="00BB0B6F"/>
    <w:rsid w:val="00BB4D40"/>
    <w:rsid w:val="00BC23BE"/>
    <w:rsid w:val="00BD5456"/>
    <w:rsid w:val="00BE1622"/>
    <w:rsid w:val="00BE5E26"/>
    <w:rsid w:val="00BF37A6"/>
    <w:rsid w:val="00BF763F"/>
    <w:rsid w:val="00C071D3"/>
    <w:rsid w:val="00C11B07"/>
    <w:rsid w:val="00C367BC"/>
    <w:rsid w:val="00C414C0"/>
    <w:rsid w:val="00C4571C"/>
    <w:rsid w:val="00C64202"/>
    <w:rsid w:val="00C740E7"/>
    <w:rsid w:val="00C806B9"/>
    <w:rsid w:val="00C84013"/>
    <w:rsid w:val="00CA5BF8"/>
    <w:rsid w:val="00CC0664"/>
    <w:rsid w:val="00CC358B"/>
    <w:rsid w:val="00CC46A2"/>
    <w:rsid w:val="00CD4F68"/>
    <w:rsid w:val="00CE3132"/>
    <w:rsid w:val="00CE686B"/>
    <w:rsid w:val="00CE6A42"/>
    <w:rsid w:val="00CE6FE9"/>
    <w:rsid w:val="00CF79E5"/>
    <w:rsid w:val="00D0215C"/>
    <w:rsid w:val="00D077BA"/>
    <w:rsid w:val="00D22BB9"/>
    <w:rsid w:val="00D3088E"/>
    <w:rsid w:val="00D30F23"/>
    <w:rsid w:val="00D40D5D"/>
    <w:rsid w:val="00D416CB"/>
    <w:rsid w:val="00D51903"/>
    <w:rsid w:val="00D75A5F"/>
    <w:rsid w:val="00D8340E"/>
    <w:rsid w:val="00D85D7D"/>
    <w:rsid w:val="00D92B9E"/>
    <w:rsid w:val="00D93CAC"/>
    <w:rsid w:val="00D93D7E"/>
    <w:rsid w:val="00D95B06"/>
    <w:rsid w:val="00D95C37"/>
    <w:rsid w:val="00DA2D0E"/>
    <w:rsid w:val="00DA4DB0"/>
    <w:rsid w:val="00DB1677"/>
    <w:rsid w:val="00DB466E"/>
    <w:rsid w:val="00DC21FA"/>
    <w:rsid w:val="00DD3194"/>
    <w:rsid w:val="00DD502A"/>
    <w:rsid w:val="00DE277E"/>
    <w:rsid w:val="00DF56AE"/>
    <w:rsid w:val="00E06669"/>
    <w:rsid w:val="00E16B04"/>
    <w:rsid w:val="00E24F46"/>
    <w:rsid w:val="00E26307"/>
    <w:rsid w:val="00E313BE"/>
    <w:rsid w:val="00E3213E"/>
    <w:rsid w:val="00E475A7"/>
    <w:rsid w:val="00E61FD0"/>
    <w:rsid w:val="00E6403D"/>
    <w:rsid w:val="00E72746"/>
    <w:rsid w:val="00E732AC"/>
    <w:rsid w:val="00E86B49"/>
    <w:rsid w:val="00EA1C58"/>
    <w:rsid w:val="00EA77D7"/>
    <w:rsid w:val="00ED0EF2"/>
    <w:rsid w:val="00ED0F2F"/>
    <w:rsid w:val="00ED1C28"/>
    <w:rsid w:val="00EE0C93"/>
    <w:rsid w:val="00EE50C0"/>
    <w:rsid w:val="00EE6432"/>
    <w:rsid w:val="00EF3A8F"/>
    <w:rsid w:val="00EF50DF"/>
    <w:rsid w:val="00F02A19"/>
    <w:rsid w:val="00F055B8"/>
    <w:rsid w:val="00F05931"/>
    <w:rsid w:val="00F30B2B"/>
    <w:rsid w:val="00F3554B"/>
    <w:rsid w:val="00F42D6B"/>
    <w:rsid w:val="00F55CFB"/>
    <w:rsid w:val="00F640C5"/>
    <w:rsid w:val="00F665DC"/>
    <w:rsid w:val="00F725E6"/>
    <w:rsid w:val="00F941EB"/>
    <w:rsid w:val="00FA266A"/>
    <w:rsid w:val="00FA3C6B"/>
    <w:rsid w:val="00FA65B8"/>
    <w:rsid w:val="00FB011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2691"/>
    <w:pPr>
      <w:spacing w:before="120" w:after="200" w:line="276" w:lineRule="auto"/>
    </w:pPr>
    <w:rPr>
      <w:rFonts w:ascii="Arial" w:hAnsi="Arial"/>
      <w:szCs w:val="22"/>
      <w:lang w:eastAsia="en-US"/>
    </w:rPr>
  </w:style>
  <w:style w:type="paragraph" w:styleId="Nadpis1">
    <w:name w:val="heading 1"/>
    <w:basedOn w:val="Normln"/>
    <w:next w:val="Normln"/>
    <w:link w:val="Nadpis1Char"/>
    <w:uiPriority w:val="9"/>
    <w:qFormat/>
    <w:rsid w:val="009F2691"/>
    <w:pPr>
      <w:keepNext/>
      <w:spacing w:before="240" w:after="60"/>
      <w:outlineLvl w:val="0"/>
    </w:pPr>
    <w:rPr>
      <w:rFonts w:eastAsia="Times New Roman"/>
      <w:b/>
      <w:bCs/>
      <w:kern w:val="32"/>
      <w:sz w:val="32"/>
      <w:szCs w:val="32"/>
    </w:rPr>
  </w:style>
  <w:style w:type="paragraph" w:styleId="Nadpis2">
    <w:name w:val="heading 2"/>
    <w:basedOn w:val="Normln"/>
    <w:next w:val="Normln"/>
    <w:link w:val="Nadpis2Char"/>
    <w:uiPriority w:val="9"/>
    <w:qFormat/>
    <w:rsid w:val="00613FD6"/>
    <w:pPr>
      <w:keepNext/>
      <w:spacing w:before="240" w:after="60"/>
      <w:outlineLvl w:val="1"/>
    </w:pPr>
    <w:rPr>
      <w:rFonts w:eastAsia="Times New Roman"/>
      <w:b/>
      <w:bCs/>
      <w:i/>
      <w:iCs/>
      <w:sz w:val="22"/>
      <w:szCs w:val="28"/>
    </w:rPr>
  </w:style>
  <w:style w:type="paragraph" w:styleId="Nadpis4">
    <w:name w:val="heading 4"/>
    <w:basedOn w:val="Normln"/>
    <w:next w:val="Normln"/>
    <w:link w:val="Nadpis4Char"/>
    <w:uiPriority w:val="9"/>
    <w:semiHidden/>
    <w:unhideWhenUsed/>
    <w:qFormat/>
    <w:rsid w:val="00FA266A"/>
    <w:pPr>
      <w:keepNext/>
      <w:spacing w:before="240" w:after="60"/>
      <w:outlineLvl w:val="3"/>
    </w:pPr>
    <w:rPr>
      <w:rFonts w:ascii="Calibri" w:eastAsia="Times New Roman" w:hAnsi="Calibri"/>
      <w:b/>
      <w:bCs/>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D502A"/>
    <w:rPr>
      <w:color w:val="0000FF"/>
      <w:u w:val="single"/>
    </w:rPr>
  </w:style>
  <w:style w:type="character" w:styleId="Sledovanodkaz">
    <w:name w:val="FollowedHyperlink"/>
    <w:basedOn w:val="Standardnpsmoodstavce"/>
    <w:uiPriority w:val="99"/>
    <w:semiHidden/>
    <w:unhideWhenUsed/>
    <w:rsid w:val="00DD502A"/>
    <w:rPr>
      <w:color w:val="800080"/>
      <w:u w:val="single"/>
    </w:rPr>
  </w:style>
  <w:style w:type="paragraph" w:customStyle="1" w:styleId="nadpisdefinice">
    <w:name w:val="nadpis definice"/>
    <w:basedOn w:val="Normln"/>
    <w:link w:val="nadpisdefiniceChar"/>
    <w:qFormat/>
    <w:rsid w:val="009F2691"/>
    <w:rPr>
      <w:rFonts w:cs="Arial"/>
      <w:sz w:val="32"/>
      <w:szCs w:val="32"/>
    </w:rPr>
  </w:style>
  <w:style w:type="character" w:customStyle="1" w:styleId="Nadpis1Char">
    <w:name w:val="Nadpis 1 Char"/>
    <w:basedOn w:val="Standardnpsmoodstavce"/>
    <w:link w:val="Nadpis1"/>
    <w:uiPriority w:val="9"/>
    <w:rsid w:val="009F2691"/>
    <w:rPr>
      <w:rFonts w:ascii="Arial" w:eastAsia="Times New Roman" w:hAnsi="Arial" w:cs="Times New Roman"/>
      <w:b/>
      <w:bCs/>
      <w:kern w:val="32"/>
      <w:sz w:val="32"/>
      <w:szCs w:val="32"/>
      <w:lang w:eastAsia="en-US"/>
    </w:rPr>
  </w:style>
  <w:style w:type="character" w:customStyle="1" w:styleId="nadpisdefiniceChar">
    <w:name w:val="nadpis definice Char"/>
    <w:basedOn w:val="Standardnpsmoodstavce"/>
    <w:link w:val="nadpisdefinice"/>
    <w:rsid w:val="009F2691"/>
    <w:rPr>
      <w:rFonts w:ascii="Arial" w:hAnsi="Arial" w:cs="Arial"/>
      <w:sz w:val="32"/>
      <w:szCs w:val="32"/>
      <w:lang w:eastAsia="en-US"/>
    </w:rPr>
  </w:style>
  <w:style w:type="paragraph" w:styleId="Zkladntextodsazen">
    <w:name w:val="Body Text Indent"/>
    <w:basedOn w:val="Normln"/>
    <w:link w:val="ZkladntextodsazenChar"/>
    <w:semiHidden/>
    <w:rsid w:val="009F2691"/>
    <w:pPr>
      <w:spacing w:before="0" w:after="0" w:line="240" w:lineRule="auto"/>
      <w:ind w:left="360"/>
      <w:jc w:val="both"/>
    </w:pPr>
    <w:rPr>
      <w:rFonts w:eastAsia="Times New Roman" w:cs="Arial"/>
      <w:i/>
      <w:iCs/>
      <w:szCs w:val="16"/>
      <w:lang w:eastAsia="cs-CZ"/>
    </w:rPr>
  </w:style>
  <w:style w:type="character" w:customStyle="1" w:styleId="ZkladntextodsazenChar">
    <w:name w:val="Základní text odsazený Char"/>
    <w:basedOn w:val="Standardnpsmoodstavce"/>
    <w:link w:val="Zkladntextodsazen"/>
    <w:semiHidden/>
    <w:rsid w:val="009F2691"/>
    <w:rPr>
      <w:rFonts w:ascii="Arial" w:eastAsia="Times New Roman" w:hAnsi="Arial" w:cs="Arial"/>
      <w:i/>
      <w:iCs/>
      <w:szCs w:val="16"/>
    </w:rPr>
  </w:style>
  <w:style w:type="character" w:customStyle="1" w:styleId="Nadpis2Char">
    <w:name w:val="Nadpis 2 Char"/>
    <w:basedOn w:val="Standardnpsmoodstavce"/>
    <w:link w:val="Nadpis2"/>
    <w:uiPriority w:val="9"/>
    <w:rsid w:val="00613FD6"/>
    <w:rPr>
      <w:rFonts w:ascii="Arial" w:eastAsia="Times New Roman" w:hAnsi="Arial" w:cs="Times New Roman"/>
      <w:b/>
      <w:bCs/>
      <w:i/>
      <w:iCs/>
      <w:sz w:val="22"/>
      <w:szCs w:val="28"/>
      <w:lang w:eastAsia="en-US"/>
    </w:rPr>
  </w:style>
  <w:style w:type="paragraph" w:styleId="Zkladntext">
    <w:name w:val="Body Text"/>
    <w:basedOn w:val="Normln"/>
    <w:link w:val="ZkladntextChar"/>
    <w:uiPriority w:val="99"/>
    <w:unhideWhenUsed/>
    <w:rsid w:val="005C08B6"/>
    <w:pPr>
      <w:spacing w:after="120"/>
    </w:pPr>
  </w:style>
  <w:style w:type="character" w:customStyle="1" w:styleId="ZkladntextChar">
    <w:name w:val="Základní text Char"/>
    <w:basedOn w:val="Standardnpsmoodstavce"/>
    <w:link w:val="Zkladntext"/>
    <w:uiPriority w:val="99"/>
    <w:rsid w:val="005C08B6"/>
    <w:rPr>
      <w:rFonts w:ascii="Arial" w:hAnsi="Arial"/>
      <w:szCs w:val="22"/>
      <w:lang w:eastAsia="en-US"/>
    </w:rPr>
  </w:style>
  <w:style w:type="paragraph" w:styleId="Titulek">
    <w:name w:val="caption"/>
    <w:basedOn w:val="Normln"/>
    <w:next w:val="Normln"/>
    <w:uiPriority w:val="35"/>
    <w:qFormat/>
    <w:rsid w:val="002B56D8"/>
    <w:rPr>
      <w:b/>
      <w:bCs/>
      <w:szCs w:val="20"/>
    </w:rPr>
  </w:style>
  <w:style w:type="table" w:styleId="Mkatabulky">
    <w:name w:val="Table Grid"/>
    <w:basedOn w:val="Normlntabulka"/>
    <w:uiPriority w:val="59"/>
    <w:rsid w:val="00CF79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lnweb">
    <w:name w:val="Normal (Web)"/>
    <w:basedOn w:val="Normln"/>
    <w:uiPriority w:val="99"/>
    <w:unhideWhenUsed/>
    <w:rsid w:val="00C806B9"/>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uiPriority w:val="99"/>
    <w:semiHidden/>
    <w:unhideWhenUsed/>
    <w:rsid w:val="00D95C37"/>
    <w:pPr>
      <w:spacing w:after="120" w:line="480" w:lineRule="auto"/>
    </w:pPr>
  </w:style>
  <w:style w:type="character" w:customStyle="1" w:styleId="Zkladntext2Char">
    <w:name w:val="Základní text 2 Char"/>
    <w:basedOn w:val="Standardnpsmoodstavce"/>
    <w:link w:val="Zkladntext2"/>
    <w:uiPriority w:val="99"/>
    <w:semiHidden/>
    <w:rsid w:val="00D95C37"/>
    <w:rPr>
      <w:rFonts w:ascii="Arial" w:hAnsi="Arial"/>
      <w:szCs w:val="22"/>
      <w:lang w:eastAsia="en-US"/>
    </w:rPr>
  </w:style>
  <w:style w:type="paragraph" w:styleId="Zkladntextodsazen3">
    <w:name w:val="Body Text Indent 3"/>
    <w:basedOn w:val="Normln"/>
    <w:link w:val="Zkladntextodsazen3Char"/>
    <w:uiPriority w:val="99"/>
    <w:semiHidden/>
    <w:unhideWhenUsed/>
    <w:rsid w:val="00D95C3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C37"/>
    <w:rPr>
      <w:rFonts w:ascii="Arial" w:hAnsi="Arial"/>
      <w:sz w:val="16"/>
      <w:szCs w:val="16"/>
      <w:lang w:eastAsia="en-US"/>
    </w:rPr>
  </w:style>
  <w:style w:type="character" w:customStyle="1" w:styleId="Nadpis4Char">
    <w:name w:val="Nadpis 4 Char"/>
    <w:basedOn w:val="Standardnpsmoodstavce"/>
    <w:link w:val="Nadpis4"/>
    <w:uiPriority w:val="9"/>
    <w:semiHidden/>
    <w:rsid w:val="00FA266A"/>
    <w:rPr>
      <w:rFonts w:ascii="Calibri" w:eastAsia="Times New Roman" w:hAnsi="Calibri" w:cs="Times New Roman"/>
      <w:b/>
      <w:bCs/>
      <w:sz w:val="28"/>
      <w:szCs w:val="28"/>
      <w:lang w:eastAsia="en-US"/>
    </w:rPr>
  </w:style>
  <w:style w:type="paragraph" w:styleId="Zpat">
    <w:name w:val="footer"/>
    <w:basedOn w:val="Normln"/>
    <w:link w:val="ZpatChar"/>
    <w:semiHidden/>
    <w:rsid w:val="00FA266A"/>
    <w:pPr>
      <w:tabs>
        <w:tab w:val="center" w:pos="4536"/>
        <w:tab w:val="right" w:pos="9072"/>
      </w:tabs>
      <w:spacing w:before="0" w:after="0" w:line="240" w:lineRule="auto"/>
      <w:jc w:val="both"/>
    </w:pPr>
    <w:rPr>
      <w:rFonts w:eastAsia="Times New Roman"/>
      <w:szCs w:val="24"/>
      <w:lang w:eastAsia="cs-CZ"/>
    </w:rPr>
  </w:style>
  <w:style w:type="character" w:customStyle="1" w:styleId="ZpatChar">
    <w:name w:val="Zápatí Char"/>
    <w:basedOn w:val="Standardnpsmoodstavce"/>
    <w:link w:val="Zpat"/>
    <w:semiHidden/>
    <w:rsid w:val="00FA266A"/>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288097898">
      <w:bodyDiv w:val="1"/>
      <w:marLeft w:val="0"/>
      <w:marRight w:val="0"/>
      <w:marTop w:val="0"/>
      <w:marBottom w:val="0"/>
      <w:divBdr>
        <w:top w:val="none" w:sz="0" w:space="0" w:color="auto"/>
        <w:left w:val="none" w:sz="0" w:space="0" w:color="auto"/>
        <w:bottom w:val="none" w:sz="0" w:space="0" w:color="auto"/>
        <w:right w:val="none" w:sz="0" w:space="0" w:color="auto"/>
      </w:divBdr>
    </w:div>
    <w:div w:id="601492620">
      <w:bodyDiv w:val="1"/>
      <w:marLeft w:val="0"/>
      <w:marRight w:val="0"/>
      <w:marTop w:val="0"/>
      <w:marBottom w:val="0"/>
      <w:divBdr>
        <w:top w:val="none" w:sz="0" w:space="0" w:color="auto"/>
        <w:left w:val="none" w:sz="0" w:space="0" w:color="auto"/>
        <w:bottom w:val="none" w:sz="0" w:space="0" w:color="auto"/>
        <w:right w:val="none" w:sz="0" w:space="0" w:color="auto"/>
      </w:divBdr>
      <w:divsChild>
        <w:div w:id="275602578">
          <w:marLeft w:val="835"/>
          <w:marRight w:val="0"/>
          <w:marTop w:val="0"/>
          <w:marBottom w:val="120"/>
          <w:divBdr>
            <w:top w:val="none" w:sz="0" w:space="0" w:color="auto"/>
            <w:left w:val="none" w:sz="0" w:space="0" w:color="auto"/>
            <w:bottom w:val="none" w:sz="0" w:space="0" w:color="auto"/>
            <w:right w:val="none" w:sz="0" w:space="0" w:color="auto"/>
          </w:divBdr>
        </w:div>
        <w:div w:id="387269746">
          <w:marLeft w:val="835"/>
          <w:marRight w:val="0"/>
          <w:marTop w:val="0"/>
          <w:marBottom w:val="120"/>
          <w:divBdr>
            <w:top w:val="none" w:sz="0" w:space="0" w:color="auto"/>
            <w:left w:val="none" w:sz="0" w:space="0" w:color="auto"/>
            <w:bottom w:val="none" w:sz="0" w:space="0" w:color="auto"/>
            <w:right w:val="none" w:sz="0" w:space="0" w:color="auto"/>
          </w:divBdr>
        </w:div>
        <w:div w:id="749084965">
          <w:marLeft w:val="835"/>
          <w:marRight w:val="0"/>
          <w:marTop w:val="0"/>
          <w:marBottom w:val="120"/>
          <w:divBdr>
            <w:top w:val="none" w:sz="0" w:space="0" w:color="auto"/>
            <w:left w:val="none" w:sz="0" w:space="0" w:color="auto"/>
            <w:bottom w:val="none" w:sz="0" w:space="0" w:color="auto"/>
            <w:right w:val="none" w:sz="0" w:space="0" w:color="auto"/>
          </w:divBdr>
        </w:div>
        <w:div w:id="1044057343">
          <w:marLeft w:val="835"/>
          <w:marRight w:val="0"/>
          <w:marTop w:val="0"/>
          <w:marBottom w:val="120"/>
          <w:divBdr>
            <w:top w:val="none" w:sz="0" w:space="0" w:color="auto"/>
            <w:left w:val="none" w:sz="0" w:space="0" w:color="auto"/>
            <w:bottom w:val="none" w:sz="0" w:space="0" w:color="auto"/>
            <w:right w:val="none" w:sz="0" w:space="0" w:color="auto"/>
          </w:divBdr>
        </w:div>
        <w:div w:id="1483039379">
          <w:marLeft w:val="835"/>
          <w:marRight w:val="0"/>
          <w:marTop w:val="0"/>
          <w:marBottom w:val="120"/>
          <w:divBdr>
            <w:top w:val="none" w:sz="0" w:space="0" w:color="auto"/>
            <w:left w:val="none" w:sz="0" w:space="0" w:color="auto"/>
            <w:bottom w:val="none" w:sz="0" w:space="0" w:color="auto"/>
            <w:right w:val="none" w:sz="0" w:space="0" w:color="auto"/>
          </w:divBdr>
        </w:div>
        <w:div w:id="1616129681">
          <w:marLeft w:val="835"/>
          <w:marRight w:val="0"/>
          <w:marTop w:val="0"/>
          <w:marBottom w:val="120"/>
          <w:divBdr>
            <w:top w:val="none" w:sz="0" w:space="0" w:color="auto"/>
            <w:left w:val="none" w:sz="0" w:space="0" w:color="auto"/>
            <w:bottom w:val="none" w:sz="0" w:space="0" w:color="auto"/>
            <w:right w:val="none" w:sz="0" w:space="0" w:color="auto"/>
          </w:divBdr>
        </w:div>
        <w:div w:id="2011787296">
          <w:marLeft w:val="835"/>
          <w:marRight w:val="0"/>
          <w:marTop w:val="0"/>
          <w:marBottom w:val="120"/>
          <w:divBdr>
            <w:top w:val="none" w:sz="0" w:space="0" w:color="auto"/>
            <w:left w:val="none" w:sz="0" w:space="0" w:color="auto"/>
            <w:bottom w:val="none" w:sz="0" w:space="0" w:color="auto"/>
            <w:right w:val="none" w:sz="0" w:space="0" w:color="auto"/>
          </w:divBdr>
        </w:div>
      </w:divsChild>
    </w:div>
    <w:div w:id="620570778">
      <w:bodyDiv w:val="1"/>
      <w:marLeft w:val="0"/>
      <w:marRight w:val="0"/>
      <w:marTop w:val="0"/>
      <w:marBottom w:val="0"/>
      <w:divBdr>
        <w:top w:val="none" w:sz="0" w:space="0" w:color="auto"/>
        <w:left w:val="none" w:sz="0" w:space="0" w:color="auto"/>
        <w:bottom w:val="none" w:sz="0" w:space="0" w:color="auto"/>
        <w:right w:val="none" w:sz="0" w:space="0" w:color="auto"/>
      </w:divBdr>
    </w:div>
    <w:div w:id="702246859">
      <w:bodyDiv w:val="1"/>
      <w:marLeft w:val="0"/>
      <w:marRight w:val="0"/>
      <w:marTop w:val="0"/>
      <w:marBottom w:val="0"/>
      <w:divBdr>
        <w:top w:val="none" w:sz="0" w:space="0" w:color="auto"/>
        <w:left w:val="none" w:sz="0" w:space="0" w:color="auto"/>
        <w:bottom w:val="none" w:sz="0" w:space="0" w:color="auto"/>
        <w:right w:val="none" w:sz="0" w:space="0" w:color="auto"/>
      </w:divBdr>
    </w:div>
    <w:div w:id="1562641733">
      <w:bodyDiv w:val="1"/>
      <w:marLeft w:val="0"/>
      <w:marRight w:val="0"/>
      <w:marTop w:val="0"/>
      <w:marBottom w:val="0"/>
      <w:divBdr>
        <w:top w:val="none" w:sz="0" w:space="0" w:color="auto"/>
        <w:left w:val="none" w:sz="0" w:space="0" w:color="auto"/>
        <w:bottom w:val="none" w:sz="0" w:space="0" w:color="auto"/>
        <w:right w:val="none" w:sz="0" w:space="0" w:color="auto"/>
      </w:divBdr>
    </w:div>
    <w:div w:id="17794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3D1608:EN:HTML" TargetMode="External"/><Relationship Id="rId13" Type="http://schemas.openxmlformats.org/officeDocument/2006/relationships/hyperlink" Target="http://www.czso.cz/csu/klasifik.nsf/i/mezinarodni_standardni_klasifikace_vzdelavani_isced_" TargetMode="External"/><Relationship Id="rId18" Type="http://schemas.openxmlformats.org/officeDocument/2006/relationships/hyperlink" Target="http://www.czso.cz/csu/redakce.nsf/i/statistika_vyzkumu_a_vyvoje" TargetMode="External"/><Relationship Id="rId26" Type="http://schemas.openxmlformats.org/officeDocument/2006/relationships/hyperlink" Target="http://www.czso.cz/csu/redakce.nsf/i/technologicke_platebni_bilance_zahranicni_obchod_s_technologickymi_sluzbami" TargetMode="External"/><Relationship Id="rId3" Type="http://schemas.openxmlformats.org/officeDocument/2006/relationships/styles" Target="styles.xml"/><Relationship Id="rId21" Type="http://schemas.openxmlformats.org/officeDocument/2006/relationships/hyperlink" Target="http://www.czso.cz/csu/redakce.nsf/i/studenti_a_absolventi_terciarniho_stupne_vzdelavani" TargetMode="External"/><Relationship Id="rId34" Type="http://schemas.openxmlformats.org/officeDocument/2006/relationships/fontTable" Target="fontTable.xml"/><Relationship Id="rId7" Type="http://schemas.openxmlformats.org/officeDocument/2006/relationships/hyperlink" Target="http://epp.eurostat.ec.europa.eu/cache/ITY_SDDS/en/rd_esms.htm" TargetMode="External"/><Relationship Id="rId12" Type="http://schemas.openxmlformats.org/officeDocument/2006/relationships/hyperlink" Target="http://www.uis.unesco.org/ev.php?ID=7433_201&amp;ID2=DO_TOPIC" TargetMode="External"/><Relationship Id="rId17" Type="http://schemas.openxmlformats.org/officeDocument/2006/relationships/hyperlink" Target="http://www.czso.cz/csu/klasifik.nsf/i/klasifikace_ekonomickych_cinnosti_%28cz_nace%29" TargetMode="External"/><Relationship Id="rId25" Type="http://schemas.openxmlformats.org/officeDocument/2006/relationships/hyperlink" Target="http://www.czso.cz/csu/redakce.nsf/i/bibliometrie" TargetMode="External"/><Relationship Id="rId33" Type="http://schemas.openxmlformats.org/officeDocument/2006/relationships/hyperlink" Target="http://www.czso.cz/csu/2012edicniplan.nsf/publ/1413-13-r_2013" TargetMode="External"/><Relationship Id="rId2" Type="http://schemas.openxmlformats.org/officeDocument/2006/relationships/numbering" Target="numbering.xml"/><Relationship Id="rId16" Type="http://schemas.openxmlformats.org/officeDocument/2006/relationships/hyperlink" Target="http://unstats.un.org/unsd/cr/registry/regct.asp?Lg=1" TargetMode="External"/><Relationship Id="rId20" Type="http://schemas.openxmlformats.org/officeDocument/2006/relationships/hyperlink" Target="http://www.czso.cz/csu/redakce.nsf/i/lidske_zdroje_ve_vede_a_technologiich" TargetMode="External"/><Relationship Id="rId29" Type="http://schemas.openxmlformats.org/officeDocument/2006/relationships/hyperlink" Target="http://www.czso.cz/csu/2012edicniplan.nsf/publ/9605-12-n_2012" TargetMode="External"/><Relationship Id="rId1" Type="http://schemas.openxmlformats.org/officeDocument/2006/relationships/customXml" Target="../customXml/item1.xml"/><Relationship Id="rId6" Type="http://schemas.openxmlformats.org/officeDocument/2006/relationships/hyperlink" Target="http://www.oecd.org/document/6/0,3343,en_2649_34451_33828550_1_1_1_1,00.html" TargetMode="External"/><Relationship Id="rId11" Type="http://schemas.openxmlformats.org/officeDocument/2006/relationships/hyperlink" Target="http://www.oecd.org/dataoecd/36/44/38235147.pdf" TargetMode="External"/><Relationship Id="rId24" Type="http://schemas.openxmlformats.org/officeDocument/2006/relationships/hyperlink" Target="http://www.czso.cz/csu/redakce.nsf/i/licence" TargetMode="External"/><Relationship Id="rId32" Type="http://schemas.openxmlformats.org/officeDocument/2006/relationships/hyperlink" Target="http://www.czso.cz/csu/edicniplan.nsf/aktual/ep-1#10a" TargetMode="External"/><Relationship Id="rId5" Type="http://schemas.openxmlformats.org/officeDocument/2006/relationships/webSettings" Target="webSettings.xml"/><Relationship Id="rId15" Type="http://schemas.openxmlformats.org/officeDocument/2006/relationships/hyperlink" Target="http://www.czso.cz/csu/2010edicniplan.nsf/p/0011-10" TargetMode="External"/><Relationship Id="rId23" Type="http://schemas.openxmlformats.org/officeDocument/2006/relationships/hyperlink" Target="http://www.czso.cz/csu/redakce.nsf/i/patentova_statistika" TargetMode="External"/><Relationship Id="rId28" Type="http://schemas.openxmlformats.org/officeDocument/2006/relationships/hyperlink" Target="http://www.czso.cz/csu/2010edicniplan.nsf/p/1005-10" TargetMode="External"/><Relationship Id="rId10" Type="http://schemas.openxmlformats.org/officeDocument/2006/relationships/hyperlink" Target="http://eur-lex.europa.eu/LexUriServ/LexUriServ.do?uri=OJ:L:2012:299:0018:0030:CS:PDF" TargetMode="External"/><Relationship Id="rId19" Type="http://schemas.openxmlformats.org/officeDocument/2006/relationships/hyperlink" Target="http://www.czso.cz/csu/redakce.nsf/i/statni_rozpoctove_vydaje_a_dotace_na_vyzkum_a_vyvoj_gbaord" TargetMode="External"/><Relationship Id="rId31" Type="http://schemas.openxmlformats.org/officeDocument/2006/relationships/hyperlink" Target="http://www.czso.cz/csu/2013edicniplan.nsf/publ/9611-13-r_2013" TargetMode="External"/><Relationship Id="rId4" Type="http://schemas.openxmlformats.org/officeDocument/2006/relationships/settings" Target="settings.xml"/><Relationship Id="rId9" Type="http://schemas.openxmlformats.org/officeDocument/2006/relationships/hyperlink" Target="http://eur-lex.europa.eu/LexUriServ/LexUriServ.do?uri=OJ:L:2012:299:0018:0030:EN:PDF" TargetMode="External"/><Relationship Id="rId14" Type="http://schemas.openxmlformats.org/officeDocument/2006/relationships/hyperlink" Target="http://www.ilo.org/public/english/bureau/stat/isco/index.htm" TargetMode="External"/><Relationship Id="rId22" Type="http://schemas.openxmlformats.org/officeDocument/2006/relationships/hyperlink" Target="http://www.czso.cz/csu/redakce.nsf/i/statistika_inovaci" TargetMode="External"/><Relationship Id="rId27" Type="http://schemas.openxmlformats.org/officeDocument/2006/relationships/hyperlink" Target="mailto:objednavky@czso.cz" TargetMode="External"/><Relationship Id="rId30" Type="http://schemas.openxmlformats.org/officeDocument/2006/relationships/hyperlink" Target="http://www.czso.cz/csu/2013edicniplan.nsf/publ/9607-13-r_2013" TargetMode="External"/><Relationship Id="rId35"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EFE1-5B32-4FB5-8D69-1A33533F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6178</Words>
  <Characters>36451</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42544</CharactersWithSpaces>
  <SharedDoc>false</SharedDoc>
  <HLinks>
    <vt:vector size="168" baseType="variant">
      <vt:variant>
        <vt:i4>852090</vt:i4>
      </vt:variant>
      <vt:variant>
        <vt:i4>84</vt:i4>
      </vt:variant>
      <vt:variant>
        <vt:i4>0</vt:i4>
      </vt:variant>
      <vt:variant>
        <vt:i4>5</vt:i4>
      </vt:variant>
      <vt:variant>
        <vt:lpwstr>http://www.czso.cz/csu/2012edicniplan.nsf/publ/1413-13-r_2013</vt:lpwstr>
      </vt:variant>
      <vt:variant>
        <vt:lpwstr/>
      </vt:variant>
      <vt:variant>
        <vt:i4>7471147</vt:i4>
      </vt:variant>
      <vt:variant>
        <vt:i4>81</vt:i4>
      </vt:variant>
      <vt:variant>
        <vt:i4>0</vt:i4>
      </vt:variant>
      <vt:variant>
        <vt:i4>5</vt:i4>
      </vt:variant>
      <vt:variant>
        <vt:lpwstr>http://www.czso.cz/csu/edicniplan.nsf/aktual/ep-1</vt:lpwstr>
      </vt:variant>
      <vt:variant>
        <vt:lpwstr>10a</vt:lpwstr>
      </vt:variant>
      <vt:variant>
        <vt:i4>327803</vt:i4>
      </vt:variant>
      <vt:variant>
        <vt:i4>78</vt:i4>
      </vt:variant>
      <vt:variant>
        <vt:i4>0</vt:i4>
      </vt:variant>
      <vt:variant>
        <vt:i4>5</vt:i4>
      </vt:variant>
      <vt:variant>
        <vt:lpwstr>http://www.czso.cz/csu/2013edicniplan.nsf/publ/9611-13-r_2013</vt:lpwstr>
      </vt:variant>
      <vt:variant>
        <vt:lpwstr/>
      </vt:variant>
      <vt:variant>
        <vt:i4>262269</vt:i4>
      </vt:variant>
      <vt:variant>
        <vt:i4>75</vt:i4>
      </vt:variant>
      <vt:variant>
        <vt:i4>0</vt:i4>
      </vt:variant>
      <vt:variant>
        <vt:i4>5</vt:i4>
      </vt:variant>
      <vt:variant>
        <vt:lpwstr>http://www.czso.cz/csu/2013edicniplan.nsf/publ/9607-13-r_2013</vt:lpwstr>
      </vt:variant>
      <vt:variant>
        <vt:lpwstr/>
      </vt:variant>
      <vt:variant>
        <vt:i4>1638526</vt:i4>
      </vt:variant>
      <vt:variant>
        <vt:i4>72</vt:i4>
      </vt:variant>
      <vt:variant>
        <vt:i4>0</vt:i4>
      </vt:variant>
      <vt:variant>
        <vt:i4>5</vt:i4>
      </vt:variant>
      <vt:variant>
        <vt:lpwstr>http://www.czso.cz/csu/2012edicniplan.nsf/publ/9605-12-n_2012</vt:lpwstr>
      </vt:variant>
      <vt:variant>
        <vt:lpwstr/>
      </vt:variant>
      <vt:variant>
        <vt:i4>6291565</vt:i4>
      </vt:variant>
      <vt:variant>
        <vt:i4>69</vt:i4>
      </vt:variant>
      <vt:variant>
        <vt:i4>0</vt:i4>
      </vt:variant>
      <vt:variant>
        <vt:i4>5</vt:i4>
      </vt:variant>
      <vt:variant>
        <vt:lpwstr>http://www.czso.cz/csu/2010edicniplan.nsf/p/1005-10</vt:lpwstr>
      </vt:variant>
      <vt:variant>
        <vt:lpwstr/>
      </vt:variant>
      <vt:variant>
        <vt:i4>4128786</vt:i4>
      </vt:variant>
      <vt:variant>
        <vt:i4>66</vt:i4>
      </vt:variant>
      <vt:variant>
        <vt:i4>0</vt:i4>
      </vt:variant>
      <vt:variant>
        <vt:i4>5</vt:i4>
      </vt:variant>
      <vt:variant>
        <vt:lpwstr>mailto:objednavky@czso.cz</vt:lpwstr>
      </vt:variant>
      <vt:variant>
        <vt:lpwstr/>
      </vt:variant>
      <vt:variant>
        <vt:i4>3276823</vt:i4>
      </vt:variant>
      <vt:variant>
        <vt:i4>63</vt:i4>
      </vt:variant>
      <vt:variant>
        <vt:i4>0</vt:i4>
      </vt:variant>
      <vt:variant>
        <vt:i4>5</vt:i4>
      </vt:variant>
      <vt:variant>
        <vt:lpwstr>http://www.czso.cz/csu/redakce.nsf/i/technologicke_platebni_bilance_zahranicni_obchod_s_technologickymi_sluzbami</vt:lpwstr>
      </vt:variant>
      <vt:variant>
        <vt:lpwstr/>
      </vt:variant>
      <vt:variant>
        <vt:i4>1638418</vt:i4>
      </vt:variant>
      <vt:variant>
        <vt:i4>60</vt:i4>
      </vt:variant>
      <vt:variant>
        <vt:i4>0</vt:i4>
      </vt:variant>
      <vt:variant>
        <vt:i4>5</vt:i4>
      </vt:variant>
      <vt:variant>
        <vt:lpwstr>http://www.czso.cz/csu/redakce.nsf/i/bibliometrie</vt:lpwstr>
      </vt:variant>
      <vt:variant>
        <vt:lpwstr/>
      </vt:variant>
      <vt:variant>
        <vt:i4>262144</vt:i4>
      </vt:variant>
      <vt:variant>
        <vt:i4>57</vt:i4>
      </vt:variant>
      <vt:variant>
        <vt:i4>0</vt:i4>
      </vt:variant>
      <vt:variant>
        <vt:i4>5</vt:i4>
      </vt:variant>
      <vt:variant>
        <vt:lpwstr>http://www.czso.cz/csu/redakce.nsf/i/licence</vt:lpwstr>
      </vt:variant>
      <vt:variant>
        <vt:lpwstr/>
      </vt:variant>
      <vt:variant>
        <vt:i4>44</vt:i4>
      </vt:variant>
      <vt:variant>
        <vt:i4>54</vt:i4>
      </vt:variant>
      <vt:variant>
        <vt:i4>0</vt:i4>
      </vt:variant>
      <vt:variant>
        <vt:i4>5</vt:i4>
      </vt:variant>
      <vt:variant>
        <vt:lpwstr>http://www.czso.cz/csu/redakce.nsf/i/patentova_statistika</vt:lpwstr>
      </vt:variant>
      <vt:variant>
        <vt:lpwstr/>
      </vt:variant>
      <vt:variant>
        <vt:i4>4194419</vt:i4>
      </vt:variant>
      <vt:variant>
        <vt:i4>51</vt:i4>
      </vt:variant>
      <vt:variant>
        <vt:i4>0</vt:i4>
      </vt:variant>
      <vt:variant>
        <vt:i4>5</vt:i4>
      </vt:variant>
      <vt:variant>
        <vt:lpwstr>http://www.czso.cz/csu/redakce.nsf/i/statistika_inovaci</vt:lpwstr>
      </vt:variant>
      <vt:variant>
        <vt:lpwstr/>
      </vt:variant>
      <vt:variant>
        <vt:i4>3211280</vt:i4>
      </vt:variant>
      <vt:variant>
        <vt:i4>48</vt:i4>
      </vt:variant>
      <vt:variant>
        <vt:i4>0</vt:i4>
      </vt:variant>
      <vt:variant>
        <vt:i4>5</vt:i4>
      </vt:variant>
      <vt:variant>
        <vt:lpwstr>http://www.czso.cz/csu/redakce.nsf/i/studenti_a_absolventi_terciarniho_stupne_vzdelavani</vt:lpwstr>
      </vt:variant>
      <vt:variant>
        <vt:lpwstr/>
      </vt:variant>
      <vt:variant>
        <vt:i4>6881373</vt:i4>
      </vt:variant>
      <vt:variant>
        <vt:i4>45</vt:i4>
      </vt:variant>
      <vt:variant>
        <vt:i4>0</vt:i4>
      </vt:variant>
      <vt:variant>
        <vt:i4>5</vt:i4>
      </vt:variant>
      <vt:variant>
        <vt:lpwstr>http://www.czso.cz/csu/redakce.nsf/i/lidske_zdroje_ve_vede_a_technologiich</vt:lpwstr>
      </vt:variant>
      <vt:variant>
        <vt:lpwstr/>
      </vt:variant>
      <vt:variant>
        <vt:i4>7798864</vt:i4>
      </vt:variant>
      <vt:variant>
        <vt:i4>42</vt:i4>
      </vt:variant>
      <vt:variant>
        <vt:i4>0</vt:i4>
      </vt:variant>
      <vt:variant>
        <vt:i4>5</vt:i4>
      </vt:variant>
      <vt:variant>
        <vt:lpwstr>http://www.czso.cz/csu/redakce.nsf/i/statni_rozpoctove_vydaje_a_dotace_na_vyzkum_a_vyvoj_gbaord</vt:lpwstr>
      </vt:variant>
      <vt:variant>
        <vt:lpwstr/>
      </vt:variant>
      <vt:variant>
        <vt:i4>3604499</vt:i4>
      </vt:variant>
      <vt:variant>
        <vt:i4>39</vt:i4>
      </vt:variant>
      <vt:variant>
        <vt:i4>0</vt:i4>
      </vt:variant>
      <vt:variant>
        <vt:i4>5</vt:i4>
      </vt:variant>
      <vt:variant>
        <vt:lpwstr>http://www.czso.cz/csu/redakce.nsf/i/statistika_vyzkumu_a_vyvoje</vt:lpwstr>
      </vt:variant>
      <vt:variant>
        <vt:lpwstr/>
      </vt:variant>
      <vt:variant>
        <vt:i4>7012385</vt:i4>
      </vt:variant>
      <vt:variant>
        <vt:i4>36</vt:i4>
      </vt:variant>
      <vt:variant>
        <vt:i4>0</vt:i4>
      </vt:variant>
      <vt:variant>
        <vt:i4>5</vt:i4>
      </vt:variant>
      <vt:variant>
        <vt:lpwstr>http://www.czso.cz/csu/klasifik.nsf/i/klasifikace_ekonomickych_cinnosti_%28cz_nace%29</vt:lpwstr>
      </vt:variant>
      <vt:variant>
        <vt:lpwstr/>
      </vt:variant>
      <vt:variant>
        <vt:i4>6225996</vt:i4>
      </vt:variant>
      <vt:variant>
        <vt:i4>33</vt:i4>
      </vt:variant>
      <vt:variant>
        <vt:i4>0</vt:i4>
      </vt:variant>
      <vt:variant>
        <vt:i4>5</vt:i4>
      </vt:variant>
      <vt:variant>
        <vt:lpwstr>http://unstats.un.org/unsd/cr/registry/regct.asp?Lg=1</vt:lpwstr>
      </vt:variant>
      <vt:variant>
        <vt:lpwstr/>
      </vt:variant>
      <vt:variant>
        <vt:i4>6553709</vt:i4>
      </vt:variant>
      <vt:variant>
        <vt:i4>30</vt:i4>
      </vt:variant>
      <vt:variant>
        <vt:i4>0</vt:i4>
      </vt:variant>
      <vt:variant>
        <vt:i4>5</vt:i4>
      </vt:variant>
      <vt:variant>
        <vt:lpwstr>http://www.czso.cz/csu/2010edicniplan.nsf/p/0011-10</vt:lpwstr>
      </vt:variant>
      <vt:variant>
        <vt:lpwstr/>
      </vt:variant>
      <vt:variant>
        <vt:i4>1769500</vt:i4>
      </vt:variant>
      <vt:variant>
        <vt:i4>27</vt:i4>
      </vt:variant>
      <vt:variant>
        <vt:i4>0</vt:i4>
      </vt:variant>
      <vt:variant>
        <vt:i4>5</vt:i4>
      </vt:variant>
      <vt:variant>
        <vt:lpwstr>http://www.ilo.org/public/english/bureau/stat/isco/index.htm</vt:lpwstr>
      </vt:variant>
      <vt:variant>
        <vt:lpwstr/>
      </vt:variant>
      <vt:variant>
        <vt:i4>1376291</vt:i4>
      </vt:variant>
      <vt:variant>
        <vt:i4>24</vt:i4>
      </vt:variant>
      <vt:variant>
        <vt:i4>0</vt:i4>
      </vt:variant>
      <vt:variant>
        <vt:i4>5</vt:i4>
      </vt:variant>
      <vt:variant>
        <vt:lpwstr>http://www.czso.cz/csu/klasifik.nsf/i/mezinarodni_standardni_klasifikace_vzdelavani_isced_</vt:lpwstr>
      </vt:variant>
      <vt:variant>
        <vt:lpwstr/>
      </vt:variant>
      <vt:variant>
        <vt:i4>7143530</vt:i4>
      </vt:variant>
      <vt:variant>
        <vt:i4>21</vt:i4>
      </vt:variant>
      <vt:variant>
        <vt:i4>0</vt:i4>
      </vt:variant>
      <vt:variant>
        <vt:i4>5</vt:i4>
      </vt:variant>
      <vt:variant>
        <vt:lpwstr>http://www.uis.unesco.org/ev.php?ID=7433_201&amp;ID2=DO_TOPIC</vt:lpwstr>
      </vt:variant>
      <vt:variant>
        <vt:lpwstr/>
      </vt:variant>
      <vt:variant>
        <vt:i4>3604538</vt:i4>
      </vt:variant>
      <vt:variant>
        <vt:i4>18</vt:i4>
      </vt:variant>
      <vt:variant>
        <vt:i4>0</vt:i4>
      </vt:variant>
      <vt:variant>
        <vt:i4>5</vt:i4>
      </vt:variant>
      <vt:variant>
        <vt:lpwstr>http://www.oecd.org/dataoecd/36/44/38235147.pdf</vt:lpwstr>
      </vt:variant>
      <vt:variant>
        <vt:lpwstr/>
      </vt:variant>
      <vt:variant>
        <vt:i4>4849691</vt:i4>
      </vt:variant>
      <vt:variant>
        <vt:i4>15</vt:i4>
      </vt:variant>
      <vt:variant>
        <vt:i4>0</vt:i4>
      </vt:variant>
      <vt:variant>
        <vt:i4>5</vt:i4>
      </vt:variant>
      <vt:variant>
        <vt:lpwstr>http://eur-lex.europa.eu/LexUriServ/LexUriServ.do?uri=OJ:L:2012:299:0018:0030:CS:PDF</vt:lpwstr>
      </vt:variant>
      <vt:variant>
        <vt:lpwstr/>
      </vt:variant>
      <vt:variant>
        <vt:i4>5701661</vt:i4>
      </vt:variant>
      <vt:variant>
        <vt:i4>12</vt:i4>
      </vt:variant>
      <vt:variant>
        <vt:i4>0</vt:i4>
      </vt:variant>
      <vt:variant>
        <vt:i4>5</vt:i4>
      </vt:variant>
      <vt:variant>
        <vt:lpwstr>http://eur-lex.europa.eu/LexUriServ/LexUriServ.do?uri=OJ:L:2012:299:0018:0030:EN:PDF</vt:lpwstr>
      </vt:variant>
      <vt:variant>
        <vt:lpwstr/>
      </vt:variant>
      <vt:variant>
        <vt:i4>3604588</vt:i4>
      </vt:variant>
      <vt:variant>
        <vt:i4>9</vt:i4>
      </vt:variant>
      <vt:variant>
        <vt:i4>0</vt:i4>
      </vt:variant>
      <vt:variant>
        <vt:i4>5</vt:i4>
      </vt:variant>
      <vt:variant>
        <vt:lpwstr>http://eur-lex.europa.eu/LexUriServ/LexUriServ.do?uri=CELEX:32003D1608:EN:HTML</vt:lpwstr>
      </vt:variant>
      <vt:variant>
        <vt:lpwstr/>
      </vt:variant>
      <vt:variant>
        <vt:i4>4259921</vt:i4>
      </vt:variant>
      <vt:variant>
        <vt:i4>6</vt:i4>
      </vt:variant>
      <vt:variant>
        <vt:i4>0</vt:i4>
      </vt:variant>
      <vt:variant>
        <vt:i4>5</vt:i4>
      </vt:variant>
      <vt:variant>
        <vt:lpwstr>http://epp.eurostat.ec.europa.eu/cache/ITY_SDDS/en/rd_esms.htm</vt:lpwstr>
      </vt:variant>
      <vt:variant>
        <vt:lpwstr/>
      </vt:variant>
      <vt:variant>
        <vt:i4>1638509</vt:i4>
      </vt:variant>
      <vt:variant>
        <vt:i4>3</vt:i4>
      </vt:variant>
      <vt:variant>
        <vt:i4>0</vt:i4>
      </vt:variant>
      <vt:variant>
        <vt:i4>5</vt:i4>
      </vt:variant>
      <vt:variant>
        <vt:lpwstr>http://www.oecd.org/document/6/0,3343,en_2649_34451_33828550_1_1_1_1,00.html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peroutkova6027</dc:creator>
  <cp:keywords/>
  <dc:description/>
  <cp:lastModifiedBy>System Service</cp:lastModifiedBy>
  <cp:revision>2</cp:revision>
  <cp:lastPrinted>2014-01-15T07:30:00Z</cp:lastPrinted>
  <dcterms:created xsi:type="dcterms:W3CDTF">2014-01-16T09:15:00Z</dcterms:created>
  <dcterms:modified xsi:type="dcterms:W3CDTF">2014-01-16T09:15:00Z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