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0C" w:rsidRPr="00595F69" w:rsidRDefault="00F00E0C" w:rsidP="00DB32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595F69">
        <w:rPr>
          <w:rFonts w:ascii="Arial" w:hAnsi="Arial" w:cs="Arial"/>
          <w:b/>
          <w:sz w:val="24"/>
          <w:szCs w:val="24"/>
          <w:lang w:val="cs-CZ"/>
        </w:rPr>
        <w:t>28. MEZINÁRODNÍ SROVNÁNÍ</w:t>
      </w:r>
    </w:p>
    <w:p w:rsidR="00F00E0C" w:rsidRPr="00595F69" w:rsidRDefault="00F00E0C" w:rsidP="00D73F5F">
      <w:pPr>
        <w:pStyle w:val="Textkomente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Cs/>
          <w:lang w:val="cs-CZ"/>
        </w:rPr>
      </w:pPr>
    </w:p>
    <w:p w:rsidR="00F00E0C" w:rsidRPr="00595F69" w:rsidRDefault="00F00E0C" w:rsidP="00D73F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  <w:lang w:val="cs-CZ"/>
        </w:rPr>
      </w:pPr>
      <w:r w:rsidRPr="00595F69">
        <w:rPr>
          <w:rFonts w:ascii="Arial" w:hAnsi="Arial" w:cs="Arial"/>
          <w:lang w:val="cs-CZ"/>
        </w:rPr>
        <w:t xml:space="preserve">V této kapitole jsou uvedeny </w:t>
      </w:r>
      <w:r w:rsidR="00AC64F6" w:rsidRPr="00595F69">
        <w:rPr>
          <w:rFonts w:ascii="Arial" w:hAnsi="Arial" w:cs="Arial"/>
          <w:lang w:val="cs-CZ"/>
        </w:rPr>
        <w:t>vybrané statistické</w:t>
      </w:r>
      <w:r w:rsidRPr="00595F69">
        <w:rPr>
          <w:rFonts w:ascii="Arial" w:hAnsi="Arial" w:cs="Arial"/>
          <w:b/>
          <w:bCs/>
          <w:lang w:val="cs-CZ"/>
        </w:rPr>
        <w:t xml:space="preserve"> </w:t>
      </w:r>
      <w:r w:rsidRPr="00595F69">
        <w:rPr>
          <w:rFonts w:ascii="Arial" w:hAnsi="Arial" w:cs="Arial"/>
          <w:bCs/>
          <w:lang w:val="cs-CZ"/>
        </w:rPr>
        <w:t>ukazatele</w:t>
      </w:r>
      <w:r w:rsidRPr="00595F69">
        <w:rPr>
          <w:rFonts w:ascii="Arial" w:hAnsi="Arial" w:cs="Arial"/>
          <w:lang w:val="cs-CZ"/>
        </w:rPr>
        <w:t>, které slouží</w:t>
      </w:r>
      <w:r w:rsidR="0000551D" w:rsidRPr="00595F69">
        <w:rPr>
          <w:rFonts w:ascii="Arial" w:hAnsi="Arial" w:cs="Arial"/>
          <w:lang w:val="cs-CZ"/>
        </w:rPr>
        <w:t xml:space="preserve"> </w:t>
      </w:r>
      <w:r w:rsidR="00755A4E" w:rsidRPr="00595F69">
        <w:rPr>
          <w:rFonts w:ascii="Arial" w:hAnsi="Arial" w:cs="Arial"/>
          <w:lang w:val="cs-CZ"/>
        </w:rPr>
        <w:t>ke srovnání mezi ekonomikami zemí Evropské unie</w:t>
      </w:r>
      <w:r w:rsidR="0068333A" w:rsidRPr="00595F69">
        <w:rPr>
          <w:rFonts w:ascii="Arial" w:hAnsi="Arial" w:cs="Arial"/>
          <w:lang w:val="cs-CZ"/>
        </w:rPr>
        <w:t xml:space="preserve"> a </w:t>
      </w:r>
      <w:r w:rsidR="00755A4E" w:rsidRPr="00595F69">
        <w:rPr>
          <w:rFonts w:ascii="Arial" w:hAnsi="Arial" w:cs="Arial"/>
          <w:lang w:val="cs-CZ"/>
        </w:rPr>
        <w:t xml:space="preserve">některých dalších zemí. </w:t>
      </w:r>
      <w:r w:rsidRPr="00595F69">
        <w:rPr>
          <w:rFonts w:ascii="Arial" w:hAnsi="Arial" w:cs="Arial"/>
          <w:lang w:val="cs-CZ"/>
        </w:rPr>
        <w:t xml:space="preserve">Tyto ukazatele jsou sestavovány v Eurostatu na základě pravidelně zasílaných údajů z národních statistických úřadů, některá data se přebírají od mezinárodních organizací (např. OECD, Evropská centrální </w:t>
      </w:r>
      <w:r w:rsidR="00433BE5" w:rsidRPr="00595F69">
        <w:rPr>
          <w:rFonts w:ascii="Arial" w:hAnsi="Arial" w:cs="Arial"/>
          <w:lang w:val="cs-CZ"/>
        </w:rPr>
        <w:t>banka).</w:t>
      </w:r>
    </w:p>
    <w:p w:rsidR="00F00E0C" w:rsidRPr="00595F69" w:rsidRDefault="00F00E0C" w:rsidP="00D73F5F">
      <w:pPr>
        <w:pStyle w:val="Zkladntext3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</w:tabs>
        <w:suppressAutoHyphens w:val="0"/>
        <w:ind w:firstLine="709"/>
        <w:rPr>
          <w:rFonts w:cs="Arial"/>
        </w:rPr>
      </w:pPr>
      <w:r w:rsidRPr="00595F69">
        <w:rPr>
          <w:rFonts w:cs="Arial"/>
        </w:rPr>
        <w:t xml:space="preserve">Jednotlivé země, jejichž hodnoty ukazatelů se v tabulkách srovnávají, jsou řazeny abecedně podle názvů zemí v češtině. Česko-anglický přehled názvů zemí </w:t>
      </w:r>
      <w:r w:rsidR="00F73395" w:rsidRPr="00595F69">
        <w:rPr>
          <w:rFonts w:cs="Arial"/>
        </w:rPr>
        <w:t>najdete</w:t>
      </w:r>
      <w:r w:rsidRPr="00595F69">
        <w:rPr>
          <w:rFonts w:cs="Arial"/>
        </w:rPr>
        <w:t xml:space="preserve"> v metodickém úvodu této kapitoly v anglické verzi. </w:t>
      </w:r>
      <w:r w:rsidR="00F73395" w:rsidRPr="00595F69">
        <w:rPr>
          <w:rFonts w:cs="Arial"/>
        </w:rPr>
        <w:t>Údaje za Evropskou unii (EU</w:t>
      </w:r>
      <w:r w:rsidR="00020724" w:rsidRPr="00595F69">
        <w:rPr>
          <w:rFonts w:cs="Arial"/>
        </w:rPr>
        <w:t> </w:t>
      </w:r>
      <w:r w:rsidR="00E14310" w:rsidRPr="00595F69">
        <w:rPr>
          <w:rFonts w:cs="Arial"/>
        </w:rPr>
        <w:t>28</w:t>
      </w:r>
      <w:r w:rsidR="0041741D" w:rsidRPr="00595F69">
        <w:rPr>
          <w:rFonts w:cs="Arial"/>
        </w:rPr>
        <w:t>, resp. EU 27</w:t>
      </w:r>
      <w:r w:rsidR="00F73395" w:rsidRPr="00595F69">
        <w:rPr>
          <w:rFonts w:cs="Arial"/>
        </w:rPr>
        <w:t xml:space="preserve">) a Eurozónu </w:t>
      </w:r>
      <w:r w:rsidR="00AB34C4">
        <w:rPr>
          <w:rFonts w:cs="Arial"/>
        </w:rPr>
        <w:t>(EA </w:t>
      </w:r>
      <w:r w:rsidR="00020724" w:rsidRPr="00595F69">
        <w:rPr>
          <w:rFonts w:cs="Arial"/>
        </w:rPr>
        <w:t>17</w:t>
      </w:r>
      <w:r w:rsidR="00AB34C4">
        <w:rPr>
          <w:rFonts w:cs="Arial"/>
        </w:rPr>
        <w:t>, resp. EA 18)</w:t>
      </w:r>
      <w:r w:rsidR="00F73395" w:rsidRPr="00595F69">
        <w:rPr>
          <w:rFonts w:cs="Arial"/>
        </w:rPr>
        <w:t xml:space="preserve"> jsou, pokud byly k dispozici, v tabulkách předřazeny jednotlivým zemím.</w:t>
      </w:r>
    </w:p>
    <w:p w:rsidR="002D6EDE" w:rsidRPr="00595F69" w:rsidRDefault="0000551D" w:rsidP="0034344A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595F69">
        <w:rPr>
          <w:rFonts w:ascii="Arial" w:hAnsi="Arial" w:cs="Arial"/>
          <w:b/>
          <w:bCs/>
          <w:lang w:val="cs-CZ"/>
        </w:rPr>
        <w:t>Evropská unie</w:t>
      </w:r>
      <w:r w:rsidR="00EB0942" w:rsidRPr="00595F69">
        <w:rPr>
          <w:rFonts w:ascii="Arial" w:hAnsi="Arial" w:cs="Arial"/>
          <w:b/>
          <w:bCs/>
          <w:lang w:val="cs-CZ"/>
        </w:rPr>
        <w:t xml:space="preserve"> (EU</w:t>
      </w:r>
      <w:r w:rsidR="00020724" w:rsidRPr="00595F69">
        <w:rPr>
          <w:rFonts w:ascii="Arial" w:hAnsi="Arial" w:cs="Arial"/>
          <w:b/>
          <w:bCs/>
          <w:lang w:val="cs-CZ"/>
        </w:rPr>
        <w:t> </w:t>
      </w:r>
      <w:r w:rsidR="00E14310" w:rsidRPr="00595F69">
        <w:rPr>
          <w:rFonts w:ascii="Arial" w:hAnsi="Arial" w:cs="Arial"/>
          <w:b/>
          <w:bCs/>
          <w:lang w:val="cs-CZ"/>
        </w:rPr>
        <w:t>28</w:t>
      </w:r>
      <w:r w:rsidR="00EB0942" w:rsidRPr="00595F69">
        <w:rPr>
          <w:rFonts w:ascii="Arial" w:hAnsi="Arial" w:cs="Arial"/>
          <w:b/>
          <w:bCs/>
          <w:lang w:val="cs-CZ"/>
        </w:rPr>
        <w:t>)</w:t>
      </w:r>
      <w:r w:rsidRPr="00595F69">
        <w:rPr>
          <w:rFonts w:ascii="Arial" w:hAnsi="Arial" w:cs="Arial"/>
          <w:bCs/>
          <w:lang w:val="cs-CZ"/>
        </w:rPr>
        <w:t xml:space="preserve"> je ekonomické</w:t>
      </w:r>
      <w:r w:rsidR="0068333A" w:rsidRPr="00595F69">
        <w:rPr>
          <w:rFonts w:ascii="Arial" w:hAnsi="Arial" w:cs="Arial"/>
          <w:bCs/>
          <w:lang w:val="cs-CZ"/>
        </w:rPr>
        <w:t xml:space="preserve"> a </w:t>
      </w:r>
      <w:r w:rsidRPr="00595F69">
        <w:rPr>
          <w:rFonts w:ascii="Arial" w:hAnsi="Arial" w:cs="Arial"/>
          <w:bCs/>
          <w:lang w:val="cs-CZ"/>
        </w:rPr>
        <w:t xml:space="preserve">politické uskupení </w:t>
      </w:r>
      <w:r w:rsidR="00E14310" w:rsidRPr="00595F69">
        <w:rPr>
          <w:rFonts w:ascii="Arial" w:hAnsi="Arial" w:cs="Arial"/>
          <w:bCs/>
          <w:lang w:val="cs-CZ"/>
        </w:rPr>
        <w:t>28 </w:t>
      </w:r>
      <w:r w:rsidRPr="00595F69">
        <w:rPr>
          <w:rFonts w:ascii="Arial" w:hAnsi="Arial" w:cs="Arial"/>
          <w:bCs/>
          <w:lang w:val="cs-CZ"/>
        </w:rPr>
        <w:t xml:space="preserve">států Evropy. </w:t>
      </w:r>
      <w:r w:rsidR="00695E07" w:rsidRPr="00595F69">
        <w:rPr>
          <w:rFonts w:ascii="Arial" w:hAnsi="Arial" w:cs="Arial"/>
          <w:lang w:val="cs-CZ"/>
        </w:rPr>
        <w:t>V následující tabulce je stručně shrnut vývoj EU</w:t>
      </w:r>
      <w:r w:rsidR="00DB1862" w:rsidRPr="00595F69">
        <w:rPr>
          <w:rFonts w:ascii="Arial" w:hAnsi="Arial" w:cs="Arial"/>
          <w:lang w:val="cs-CZ"/>
        </w:rPr>
        <w:t xml:space="preserve"> od roku 1993, kdy vstoupila v platnost Maastrichtská smlouva</w:t>
      </w:r>
      <w:r w:rsidR="00695E07" w:rsidRPr="00595F69">
        <w:rPr>
          <w:rFonts w:ascii="Arial" w:hAnsi="Arial" w:cs="Arial"/>
          <w:lang w:val="cs-CZ"/>
        </w:rPr>
        <w:t>.</w:t>
      </w:r>
    </w:p>
    <w:p w:rsidR="0034344A" w:rsidRPr="00595F69" w:rsidRDefault="0034344A" w:rsidP="0034344A">
      <w:pPr>
        <w:rPr>
          <w:rFonts w:ascii="Arial" w:hAnsi="Arial" w:cs="Arial"/>
          <w:bCs/>
          <w:lang w:val="cs-CZ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0"/>
        <w:gridCol w:w="1460"/>
        <w:gridCol w:w="676"/>
        <w:gridCol w:w="756"/>
        <w:gridCol w:w="756"/>
        <w:gridCol w:w="756"/>
        <w:gridCol w:w="756"/>
      </w:tblGrid>
      <w:tr w:rsidR="000E4B29" w:rsidRPr="00595F69" w:rsidTr="00D52938">
        <w:trPr>
          <w:trHeight w:val="285"/>
        </w:trPr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Země EU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Datum vstupu</w:t>
            </w:r>
          </w:p>
        </w:tc>
        <w:tc>
          <w:tcPr>
            <w:tcW w:w="37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Zkratky seskupení</w:t>
            </w:r>
          </w:p>
        </w:tc>
      </w:tr>
      <w:tr w:rsidR="000E4B29" w:rsidRPr="00595F69" w:rsidTr="00D52938">
        <w:trPr>
          <w:trHeight w:val="1185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98" w:rsidRDefault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Belgie, Dánsko, Francie, Irsko, Itálie, Lucembursko, Německo, Nizozemsko, Portugalsko, Řecko, Španělsko</w:t>
            </w:r>
            <w:r w:rsidR="00937321">
              <w:rPr>
                <w:rFonts w:ascii="Arial" w:hAnsi="Arial" w:cs="Arial"/>
                <w:color w:val="000000"/>
                <w:lang w:val="cs-CZ"/>
              </w:rPr>
              <w:t>, Velká Británie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29" w:rsidRPr="00595F69" w:rsidRDefault="000E4B29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1. 11. 1993 (Smlouva o Evropské unii)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595F69" w:rsidRDefault="000E4B29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EU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595F69" w:rsidRDefault="000E4B29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EU 15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595F69" w:rsidRDefault="000E4B29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EU 25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B29" w:rsidRPr="00595F69" w:rsidRDefault="000E4B29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EU 27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4B29" w:rsidRPr="00595F69" w:rsidRDefault="000E4B29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EU 28</w:t>
            </w:r>
          </w:p>
        </w:tc>
      </w:tr>
      <w:tr w:rsidR="000E4B29" w:rsidRPr="00595F69" w:rsidTr="00D52938">
        <w:trPr>
          <w:trHeight w:val="255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Finsko, Rakousko, Švédsko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1.</w:t>
            </w:r>
            <w:r w:rsidR="0057606D" w:rsidRPr="00595F69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r w:rsidRPr="00595F69">
              <w:rPr>
                <w:rFonts w:ascii="Arial" w:hAnsi="Arial" w:cs="Arial"/>
                <w:color w:val="000000"/>
                <w:lang w:val="cs-CZ"/>
              </w:rPr>
              <w:t>1.</w:t>
            </w:r>
            <w:r w:rsidR="0057606D" w:rsidRPr="00595F69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r w:rsidRPr="00595F69">
              <w:rPr>
                <w:rFonts w:ascii="Arial" w:hAnsi="Arial" w:cs="Arial"/>
                <w:color w:val="000000"/>
                <w:lang w:val="cs-CZ"/>
              </w:rPr>
              <w:t>1995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E4B29" w:rsidRPr="00595F69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0E4B29" w:rsidRPr="00595F69" w:rsidTr="00D52938">
        <w:trPr>
          <w:trHeight w:val="930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Česká republika, Estonsko, Kypr, Litva, Lotyšsko, Maďarsko, Malta, Polsko, Slovensko, Slovinsko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1.</w:t>
            </w:r>
            <w:r w:rsidR="0057606D" w:rsidRPr="00595F69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r w:rsidRPr="00595F69">
              <w:rPr>
                <w:rFonts w:ascii="Arial" w:hAnsi="Arial" w:cs="Arial"/>
                <w:color w:val="000000"/>
                <w:lang w:val="cs-CZ"/>
              </w:rPr>
              <w:t>5.</w:t>
            </w:r>
            <w:r w:rsidR="0057606D" w:rsidRPr="00595F69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r w:rsidRPr="00595F69">
              <w:rPr>
                <w:rFonts w:ascii="Arial" w:hAnsi="Arial" w:cs="Arial"/>
                <w:color w:val="000000"/>
                <w:lang w:val="cs-CZ"/>
              </w:rPr>
              <w:t>2004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E4B29" w:rsidRPr="00595F69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0E4B29" w:rsidRPr="00595F69" w:rsidTr="00D52938">
        <w:trPr>
          <w:trHeight w:val="255"/>
        </w:trPr>
        <w:tc>
          <w:tcPr>
            <w:tcW w:w="38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Bulharsko, Rumunsko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1.</w:t>
            </w:r>
            <w:r w:rsidR="0057606D" w:rsidRPr="00595F69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r w:rsidRPr="00595F69">
              <w:rPr>
                <w:rFonts w:ascii="Arial" w:hAnsi="Arial" w:cs="Arial"/>
                <w:color w:val="000000"/>
                <w:lang w:val="cs-CZ"/>
              </w:rPr>
              <w:t>1.</w:t>
            </w:r>
            <w:r w:rsidR="0057606D" w:rsidRPr="00595F69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r w:rsidRPr="00595F69">
              <w:rPr>
                <w:rFonts w:ascii="Arial" w:hAnsi="Arial" w:cs="Arial"/>
                <w:color w:val="000000"/>
                <w:lang w:val="cs-CZ"/>
              </w:rPr>
              <w:t>2007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E4B29" w:rsidRPr="00595F69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0E4B29" w:rsidRPr="00595F69" w:rsidTr="00D52938">
        <w:trPr>
          <w:trHeight w:val="270"/>
        </w:trPr>
        <w:tc>
          <w:tcPr>
            <w:tcW w:w="3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Chorvatsko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29" w:rsidRPr="00595F69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 xml:space="preserve">1. 7. </w:t>
            </w:r>
            <w:r w:rsidR="00FC33D2" w:rsidRPr="00595F69">
              <w:rPr>
                <w:rFonts w:ascii="Arial" w:hAnsi="Arial" w:cs="Arial"/>
                <w:color w:val="000000"/>
                <w:lang w:val="cs-CZ"/>
              </w:rPr>
              <w:t>2</w:t>
            </w:r>
            <w:r w:rsidRPr="00595F69">
              <w:rPr>
                <w:rFonts w:ascii="Arial" w:hAnsi="Arial" w:cs="Arial"/>
                <w:color w:val="000000"/>
                <w:lang w:val="cs-CZ"/>
              </w:rPr>
              <w:t>013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E4B29" w:rsidRPr="00595F69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</w:p>
        </w:tc>
      </w:tr>
    </w:tbl>
    <w:p w:rsidR="000E4B29" w:rsidRPr="00595F69" w:rsidRDefault="000E4B29" w:rsidP="0034344A">
      <w:pPr>
        <w:rPr>
          <w:rFonts w:ascii="Arial" w:hAnsi="Arial" w:cs="Arial"/>
          <w:bCs/>
          <w:lang w:val="cs-CZ"/>
        </w:rPr>
      </w:pPr>
    </w:p>
    <w:p w:rsidR="00695E07" w:rsidRPr="00595F69" w:rsidRDefault="007317A1" w:rsidP="00D47099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595F69">
        <w:rPr>
          <w:rFonts w:ascii="Arial" w:hAnsi="Arial" w:cs="Arial"/>
          <w:b/>
          <w:bCs/>
          <w:lang w:val="cs-CZ"/>
        </w:rPr>
        <w:t>Eurozóna</w:t>
      </w:r>
      <w:r w:rsidR="00020724" w:rsidRPr="00595F69">
        <w:rPr>
          <w:rFonts w:ascii="Arial" w:hAnsi="Arial" w:cs="Arial"/>
          <w:b/>
          <w:bCs/>
          <w:lang w:val="cs-CZ"/>
        </w:rPr>
        <w:t xml:space="preserve"> </w:t>
      </w:r>
      <w:r w:rsidR="00177763" w:rsidRPr="00595F69">
        <w:rPr>
          <w:rFonts w:ascii="Arial" w:hAnsi="Arial" w:cs="Arial"/>
          <w:b/>
          <w:bCs/>
          <w:lang w:val="cs-CZ"/>
        </w:rPr>
        <w:t xml:space="preserve">18 </w:t>
      </w:r>
      <w:r w:rsidR="00EA529D" w:rsidRPr="00595F69">
        <w:rPr>
          <w:rFonts w:ascii="Arial" w:hAnsi="Arial" w:cs="Arial"/>
          <w:b/>
          <w:bCs/>
          <w:lang w:val="cs-CZ"/>
        </w:rPr>
        <w:t>(EA</w:t>
      </w:r>
      <w:r w:rsidR="00020724" w:rsidRPr="00595F69">
        <w:rPr>
          <w:rFonts w:ascii="Arial" w:hAnsi="Arial" w:cs="Arial"/>
          <w:b/>
          <w:bCs/>
          <w:lang w:val="cs-CZ"/>
        </w:rPr>
        <w:t> </w:t>
      </w:r>
      <w:r w:rsidR="00177763" w:rsidRPr="00595F69">
        <w:rPr>
          <w:rFonts w:ascii="Arial" w:hAnsi="Arial" w:cs="Arial"/>
          <w:b/>
          <w:bCs/>
          <w:lang w:val="cs-CZ"/>
        </w:rPr>
        <w:t>18</w:t>
      </w:r>
      <w:r w:rsidR="00EA529D" w:rsidRPr="00595F69">
        <w:rPr>
          <w:rFonts w:ascii="Arial" w:hAnsi="Arial" w:cs="Arial"/>
          <w:b/>
          <w:bCs/>
          <w:lang w:val="cs-CZ"/>
        </w:rPr>
        <w:t>)</w:t>
      </w:r>
      <w:r w:rsidRPr="00595F69">
        <w:rPr>
          <w:rFonts w:ascii="Arial" w:hAnsi="Arial" w:cs="Arial"/>
          <w:bCs/>
          <w:lang w:val="cs-CZ"/>
        </w:rPr>
        <w:t xml:space="preserve"> je území těch členských států Evropské unie, které přijaly euro jako společnou měnu</w:t>
      </w:r>
      <w:r w:rsidR="00CB4E7D" w:rsidRPr="00595F69">
        <w:rPr>
          <w:rFonts w:ascii="Arial" w:hAnsi="Arial" w:cs="Arial"/>
          <w:bCs/>
          <w:lang w:val="cs-CZ"/>
        </w:rPr>
        <w:t xml:space="preserve"> v </w:t>
      </w:r>
      <w:r w:rsidRPr="00595F69">
        <w:rPr>
          <w:rFonts w:ascii="Arial" w:hAnsi="Arial" w:cs="Arial"/>
          <w:bCs/>
          <w:lang w:val="cs-CZ"/>
        </w:rPr>
        <w:t>souladu se „Smlouvou</w:t>
      </w:r>
      <w:r w:rsidR="006C6436" w:rsidRPr="00595F69">
        <w:rPr>
          <w:rFonts w:ascii="Arial" w:hAnsi="Arial" w:cs="Arial"/>
          <w:bCs/>
          <w:lang w:val="cs-CZ"/>
        </w:rPr>
        <w:t xml:space="preserve"> o </w:t>
      </w:r>
      <w:r w:rsidRPr="00595F69">
        <w:rPr>
          <w:rFonts w:ascii="Arial" w:hAnsi="Arial" w:cs="Arial"/>
          <w:bCs/>
          <w:lang w:val="cs-CZ"/>
        </w:rPr>
        <w:t xml:space="preserve">založení Evropského společenství“. </w:t>
      </w:r>
      <w:r w:rsidR="00A73D91" w:rsidRPr="00595F69">
        <w:rPr>
          <w:rFonts w:ascii="Arial" w:hAnsi="Arial" w:cs="Arial"/>
          <w:bCs/>
          <w:lang w:val="cs-CZ"/>
        </w:rPr>
        <w:t>K 1. 1. </w:t>
      </w:r>
      <w:r w:rsidR="00177763" w:rsidRPr="00595F69">
        <w:rPr>
          <w:rFonts w:ascii="Arial" w:hAnsi="Arial" w:cs="Arial"/>
          <w:bCs/>
          <w:lang w:val="cs-CZ"/>
        </w:rPr>
        <w:t xml:space="preserve">2014 </w:t>
      </w:r>
      <w:r w:rsidR="00695E07" w:rsidRPr="00595F69">
        <w:rPr>
          <w:rFonts w:ascii="Arial" w:hAnsi="Arial" w:cs="Arial"/>
          <w:bCs/>
          <w:lang w:val="cs-CZ"/>
        </w:rPr>
        <w:t>má</w:t>
      </w:r>
      <w:r w:rsidR="00A73D91" w:rsidRPr="00595F69">
        <w:rPr>
          <w:rFonts w:ascii="Arial" w:hAnsi="Arial" w:cs="Arial"/>
          <w:bCs/>
          <w:lang w:val="cs-CZ"/>
        </w:rPr>
        <w:t xml:space="preserve"> Eurozóna</w:t>
      </w:r>
      <w:r w:rsidR="00695E07" w:rsidRPr="00595F69">
        <w:rPr>
          <w:rFonts w:ascii="Arial" w:hAnsi="Arial" w:cs="Arial"/>
          <w:bCs/>
          <w:lang w:val="cs-CZ"/>
        </w:rPr>
        <w:t xml:space="preserve"> </w:t>
      </w:r>
      <w:r w:rsidR="00177763" w:rsidRPr="00595F69">
        <w:rPr>
          <w:rFonts w:ascii="Arial" w:hAnsi="Arial" w:cs="Arial"/>
          <w:bCs/>
          <w:lang w:val="cs-CZ"/>
        </w:rPr>
        <w:t>18 </w:t>
      </w:r>
      <w:r w:rsidR="00695E07" w:rsidRPr="00595F69">
        <w:rPr>
          <w:rFonts w:ascii="Arial" w:hAnsi="Arial" w:cs="Arial"/>
          <w:bCs/>
          <w:lang w:val="cs-CZ"/>
        </w:rPr>
        <w:t xml:space="preserve">členů. </w:t>
      </w:r>
      <w:r w:rsidR="00DB1862" w:rsidRPr="00595F69">
        <w:rPr>
          <w:rFonts w:ascii="Arial" w:hAnsi="Arial" w:cs="Arial"/>
          <w:lang w:val="cs-CZ"/>
        </w:rPr>
        <w:t>Následující tabulka poskytuje přehled</w:t>
      </w:r>
      <w:r w:rsidR="006C6436" w:rsidRPr="00595F69">
        <w:rPr>
          <w:rFonts w:ascii="Arial" w:hAnsi="Arial" w:cs="Arial"/>
          <w:lang w:val="cs-CZ"/>
        </w:rPr>
        <w:t xml:space="preserve"> o </w:t>
      </w:r>
      <w:r w:rsidR="00DB1862" w:rsidRPr="00595F69">
        <w:rPr>
          <w:rFonts w:ascii="Arial" w:hAnsi="Arial" w:cs="Arial"/>
          <w:lang w:val="cs-CZ"/>
        </w:rPr>
        <w:t>termínech, kdy země začaly používat euro.</w:t>
      </w:r>
    </w:p>
    <w:p w:rsidR="00695E07" w:rsidRPr="00595F69" w:rsidRDefault="00695E07" w:rsidP="00EB0942">
      <w:pPr>
        <w:rPr>
          <w:rFonts w:ascii="Arial" w:hAnsi="Arial" w:cs="Arial"/>
          <w:lang w:val="cs-CZ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0"/>
        <w:gridCol w:w="1060"/>
        <w:gridCol w:w="700"/>
        <w:gridCol w:w="700"/>
        <w:gridCol w:w="700"/>
        <w:gridCol w:w="700"/>
        <w:gridCol w:w="700"/>
        <w:gridCol w:w="700"/>
      </w:tblGrid>
      <w:tr w:rsidR="00497BCA" w:rsidRPr="00595F69" w:rsidTr="00497BCA">
        <w:trPr>
          <w:trHeight w:val="315"/>
        </w:trPr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595F69" w:rsidRDefault="00497BCA" w:rsidP="00497B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Země Eurozóny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595F69" w:rsidRDefault="00497BCA" w:rsidP="00497B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Datum</w:t>
            </w:r>
          </w:p>
        </w:tc>
        <w:tc>
          <w:tcPr>
            <w:tcW w:w="42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BCA" w:rsidRPr="00595F69" w:rsidRDefault="00497BCA" w:rsidP="00497B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595F69">
              <w:rPr>
                <w:rFonts w:ascii="Arial" w:hAnsi="Arial" w:cs="Arial"/>
                <w:color w:val="000000"/>
                <w:lang w:val="cs-CZ"/>
              </w:rPr>
              <w:t>Zkratky seskupení</w:t>
            </w:r>
          </w:p>
        </w:tc>
      </w:tr>
      <w:tr w:rsidR="00497BCA" w:rsidRPr="00884532" w:rsidTr="00D52938">
        <w:trPr>
          <w:trHeight w:val="1010"/>
        </w:trPr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Belgie, Finsko, Francie, Irsko, Itálie, Lucembursko, Německo, Nizozemsko, Portugalsko, Rakousko, Řecko, Španělsko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1. 1. 2002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EA</w:t>
            </w:r>
            <w:r w:rsidR="00264F33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cs-CZ"/>
              </w:rPr>
              <w:t>12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EA</w:t>
            </w:r>
            <w:r w:rsidR="00264F33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cs-CZ"/>
              </w:rPr>
              <w:t>13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EA</w:t>
            </w:r>
            <w:r w:rsidR="00264F33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cs-CZ"/>
              </w:rPr>
              <w:t>15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EA</w:t>
            </w:r>
            <w:r w:rsidR="00264F33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cs-CZ"/>
              </w:rPr>
              <w:t>16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EA</w:t>
            </w:r>
            <w:r w:rsidR="00264F33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cs-CZ"/>
              </w:rPr>
              <w:t>17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E71CE0" w:rsidP="00497B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E71CE0">
              <w:rPr>
                <w:rFonts w:ascii="Arial" w:hAnsi="Arial" w:cs="Arial"/>
                <w:color w:val="000000"/>
                <w:lang w:val="cs-CZ"/>
              </w:rPr>
              <w:t>EA</w:t>
            </w:r>
            <w:r w:rsidR="00264F33">
              <w:rPr>
                <w:rFonts w:ascii="Arial" w:hAnsi="Arial" w:cs="Arial"/>
                <w:color w:val="000000"/>
                <w:lang w:val="cs-CZ"/>
              </w:rPr>
              <w:t xml:space="preserve"> </w:t>
            </w:r>
            <w:r w:rsidRPr="00E71CE0">
              <w:rPr>
                <w:rFonts w:ascii="Arial" w:hAnsi="Arial" w:cs="Arial"/>
                <w:color w:val="000000"/>
                <w:lang w:val="cs-CZ"/>
              </w:rPr>
              <w:t>18</w:t>
            </w:r>
          </w:p>
        </w:tc>
      </w:tr>
      <w:tr w:rsidR="00497BCA" w:rsidRPr="00884532" w:rsidTr="00D52938">
        <w:trPr>
          <w:trHeight w:val="300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Slovinsko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1. 1. 2007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A" w:rsidRPr="00884532" w:rsidRDefault="00497BC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A" w:rsidRPr="00884532" w:rsidRDefault="00497BC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A" w:rsidRPr="00884532" w:rsidRDefault="00497BC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A" w:rsidRPr="00884532" w:rsidRDefault="00497BC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97BCA" w:rsidRPr="00884532" w:rsidRDefault="00497BCA" w:rsidP="00497B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497BCA" w:rsidRPr="00884532" w:rsidTr="00D52938">
        <w:trPr>
          <w:trHeight w:val="300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Kypr, Malta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1. 1. 2008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A" w:rsidRPr="00884532" w:rsidRDefault="00497BC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A" w:rsidRPr="00884532" w:rsidRDefault="00497BC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A" w:rsidRPr="00884532" w:rsidRDefault="00497BC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97BCA" w:rsidRPr="00884532" w:rsidRDefault="00497BCA" w:rsidP="00497B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497BCA" w:rsidRPr="00884532" w:rsidTr="00D52938">
        <w:trPr>
          <w:trHeight w:val="300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Slovensko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1. 1. 2009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A" w:rsidRPr="00884532" w:rsidRDefault="00497BC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A" w:rsidRPr="00884532" w:rsidRDefault="00497BC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97BCA" w:rsidRPr="00884532" w:rsidRDefault="00497BCA" w:rsidP="00497B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497BCA" w:rsidRPr="00884532" w:rsidTr="00D52938">
        <w:trPr>
          <w:trHeight w:val="300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Estonsko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95400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1. 1. 2011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A" w:rsidRPr="00884532" w:rsidRDefault="00497BCA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97BCA" w:rsidRPr="00884532" w:rsidRDefault="00497BCA" w:rsidP="00497B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</w:p>
        </w:tc>
      </w:tr>
      <w:tr w:rsidR="00497BCA" w:rsidRPr="00595F69" w:rsidTr="00D52938">
        <w:trPr>
          <w:trHeight w:val="315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CA" w:rsidRPr="00884532" w:rsidRDefault="00E71CE0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  <w:r w:rsidRPr="00E71CE0">
              <w:rPr>
                <w:rFonts w:ascii="Arial" w:hAnsi="Arial" w:cs="Arial"/>
                <w:color w:val="000000"/>
                <w:lang w:val="cs-CZ"/>
              </w:rPr>
              <w:t>Lotyšsko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BCA" w:rsidRPr="00595F69" w:rsidRDefault="00E71CE0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lang w:val="cs-CZ"/>
              </w:rPr>
            </w:pPr>
            <w:r w:rsidRPr="00E71CE0">
              <w:rPr>
                <w:rFonts w:ascii="Arial" w:hAnsi="Arial" w:cs="Arial"/>
                <w:color w:val="000000"/>
                <w:lang w:val="cs-CZ"/>
              </w:rPr>
              <w:t>1. 1. 2014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7BCA" w:rsidRPr="00595F69" w:rsidRDefault="00497BCA" w:rsidP="00497B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lang w:val="cs-CZ"/>
              </w:rPr>
            </w:pPr>
          </w:p>
        </w:tc>
      </w:tr>
    </w:tbl>
    <w:p w:rsidR="00497BCA" w:rsidRPr="00595F69" w:rsidRDefault="00497BCA" w:rsidP="00EB0942">
      <w:pPr>
        <w:rPr>
          <w:rFonts w:ascii="Arial" w:hAnsi="Arial" w:cs="Arial"/>
          <w:lang w:val="cs-CZ"/>
        </w:rPr>
      </w:pPr>
    </w:p>
    <w:p w:rsidR="00F00E0C" w:rsidRPr="00595F69" w:rsidRDefault="000309B9" w:rsidP="00D73F5F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595F69">
        <w:rPr>
          <w:rFonts w:ascii="Arial" w:hAnsi="Arial" w:cs="Arial"/>
          <w:bCs/>
          <w:lang w:val="cs-CZ"/>
        </w:rPr>
        <w:t>Pod souhrnným názvem „</w:t>
      </w:r>
      <w:r w:rsidRPr="00595F69">
        <w:rPr>
          <w:rFonts w:ascii="Arial" w:hAnsi="Arial" w:cs="Arial"/>
          <w:b/>
          <w:bCs/>
          <w:lang w:val="cs-CZ"/>
        </w:rPr>
        <w:t>Ostatní</w:t>
      </w:r>
      <w:r w:rsidRPr="00595F69">
        <w:rPr>
          <w:rFonts w:ascii="Arial" w:hAnsi="Arial" w:cs="Arial"/>
          <w:bCs/>
          <w:lang w:val="cs-CZ"/>
        </w:rPr>
        <w:t>“ jsou t</w:t>
      </w:r>
      <w:r w:rsidR="00EA529D" w:rsidRPr="00595F69">
        <w:rPr>
          <w:rFonts w:ascii="Arial" w:hAnsi="Arial" w:cs="Arial"/>
          <w:bCs/>
          <w:lang w:val="cs-CZ"/>
        </w:rPr>
        <w:t>abulky rozšířeny</w:t>
      </w:r>
      <w:r w:rsidR="006C6436" w:rsidRPr="00595F69">
        <w:rPr>
          <w:rFonts w:ascii="Arial" w:hAnsi="Arial" w:cs="Arial"/>
          <w:bCs/>
          <w:lang w:val="cs-CZ"/>
        </w:rPr>
        <w:t xml:space="preserve"> o </w:t>
      </w:r>
      <w:r w:rsidR="00F73395" w:rsidRPr="00595F69">
        <w:rPr>
          <w:rFonts w:ascii="Arial" w:hAnsi="Arial" w:cs="Arial"/>
          <w:bCs/>
          <w:lang w:val="cs-CZ"/>
        </w:rPr>
        <w:t>země ESVO</w:t>
      </w:r>
      <w:r w:rsidR="00EA529D" w:rsidRPr="00595F69">
        <w:rPr>
          <w:rFonts w:ascii="Arial" w:hAnsi="Arial" w:cs="Arial"/>
          <w:bCs/>
          <w:lang w:val="cs-CZ"/>
        </w:rPr>
        <w:t xml:space="preserve">, </w:t>
      </w:r>
      <w:r w:rsidR="00F73395" w:rsidRPr="00595F69">
        <w:rPr>
          <w:rFonts w:ascii="Arial" w:hAnsi="Arial" w:cs="Arial"/>
          <w:bCs/>
          <w:lang w:val="cs-CZ"/>
        </w:rPr>
        <w:t>země</w:t>
      </w:r>
      <w:r w:rsidR="00EA529D" w:rsidRPr="00595F69">
        <w:rPr>
          <w:rFonts w:ascii="Arial" w:hAnsi="Arial" w:cs="Arial"/>
          <w:bCs/>
          <w:lang w:val="cs-CZ"/>
        </w:rPr>
        <w:t xml:space="preserve"> usilující</w:t>
      </w:r>
      <w:r w:rsidR="006C6436" w:rsidRPr="00595F69">
        <w:rPr>
          <w:rFonts w:ascii="Arial" w:hAnsi="Arial" w:cs="Arial"/>
          <w:bCs/>
          <w:lang w:val="cs-CZ"/>
        </w:rPr>
        <w:t xml:space="preserve"> o </w:t>
      </w:r>
      <w:r w:rsidR="00EA529D" w:rsidRPr="00595F69">
        <w:rPr>
          <w:rFonts w:ascii="Arial" w:hAnsi="Arial" w:cs="Arial"/>
          <w:bCs/>
          <w:lang w:val="cs-CZ"/>
        </w:rPr>
        <w:t>vstup do EU</w:t>
      </w:r>
      <w:r w:rsidR="00F73395" w:rsidRPr="00595F69">
        <w:rPr>
          <w:rFonts w:ascii="Arial" w:hAnsi="Arial" w:cs="Arial"/>
          <w:bCs/>
          <w:lang w:val="cs-CZ"/>
        </w:rPr>
        <w:t xml:space="preserve"> (</w:t>
      </w:r>
      <w:r w:rsidR="001964BD">
        <w:rPr>
          <w:rFonts w:ascii="Arial" w:hAnsi="Arial" w:cs="Arial"/>
          <w:bCs/>
          <w:lang w:val="cs-CZ"/>
        </w:rPr>
        <w:t>Makedonie</w:t>
      </w:r>
      <w:r w:rsidR="0068333A" w:rsidRPr="00595F69">
        <w:rPr>
          <w:rFonts w:ascii="Arial" w:hAnsi="Arial" w:cs="Arial"/>
          <w:bCs/>
          <w:lang w:val="cs-CZ"/>
        </w:rPr>
        <w:t xml:space="preserve"> a </w:t>
      </w:r>
      <w:r w:rsidR="00F73395" w:rsidRPr="00595F69">
        <w:rPr>
          <w:rFonts w:ascii="Arial" w:hAnsi="Arial" w:cs="Arial"/>
          <w:bCs/>
          <w:lang w:val="cs-CZ"/>
        </w:rPr>
        <w:t>Turecko</w:t>
      </w:r>
      <w:r w:rsidR="00EA529D" w:rsidRPr="00595F69">
        <w:rPr>
          <w:rFonts w:ascii="Arial" w:hAnsi="Arial" w:cs="Arial"/>
          <w:bCs/>
          <w:lang w:val="cs-CZ"/>
        </w:rPr>
        <w:t>)</w:t>
      </w:r>
      <w:r w:rsidR="0068333A" w:rsidRPr="00595F69">
        <w:rPr>
          <w:rFonts w:ascii="Arial" w:hAnsi="Arial" w:cs="Arial"/>
          <w:bCs/>
          <w:lang w:val="cs-CZ"/>
        </w:rPr>
        <w:t xml:space="preserve"> a </w:t>
      </w:r>
      <w:r w:rsidR="00F00E0C" w:rsidRPr="00595F69">
        <w:rPr>
          <w:rFonts w:ascii="Arial" w:hAnsi="Arial" w:cs="Arial"/>
          <w:lang w:val="cs-CZ"/>
        </w:rPr>
        <w:t>země s vyspělou ekonomikou z jiných kontinentů (Japonsko, Spojené státy), za něž jso</w:t>
      </w:r>
      <w:r w:rsidR="00EA529D" w:rsidRPr="00595F69">
        <w:rPr>
          <w:rFonts w:ascii="Arial" w:hAnsi="Arial" w:cs="Arial"/>
          <w:lang w:val="cs-CZ"/>
        </w:rPr>
        <w:t>u k dispozici srovnatelné údaje</w:t>
      </w:r>
      <w:r w:rsidR="00EA529D" w:rsidRPr="00595F69">
        <w:rPr>
          <w:rFonts w:ascii="Arial" w:hAnsi="Arial" w:cs="Arial"/>
          <w:bCs/>
          <w:lang w:val="cs-CZ"/>
        </w:rPr>
        <w:t>.</w:t>
      </w:r>
    </w:p>
    <w:p w:rsidR="00F00E0C" w:rsidRPr="00595F69" w:rsidRDefault="00F00E0C" w:rsidP="00D73F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Cs/>
          <w:lang w:val="cs-CZ"/>
        </w:rPr>
      </w:pPr>
    </w:p>
    <w:p w:rsidR="00F00E0C" w:rsidRPr="00595F69" w:rsidRDefault="00F00E0C" w:rsidP="00D73F5F">
      <w:pPr>
        <w:pStyle w:val="Nadpis2"/>
        <w:keepNext w:val="0"/>
        <w:rPr>
          <w:rFonts w:ascii="Arial" w:hAnsi="Arial" w:cs="Arial"/>
          <w:b w:val="0"/>
        </w:rPr>
      </w:pPr>
    </w:p>
    <w:p w:rsidR="00F00E0C" w:rsidRPr="00595F69" w:rsidRDefault="00F00E0C" w:rsidP="00D73F5F">
      <w:pPr>
        <w:pStyle w:val="Textkomente"/>
        <w:jc w:val="both"/>
        <w:rPr>
          <w:rFonts w:ascii="Arial" w:hAnsi="Arial" w:cs="Arial"/>
          <w:bCs/>
          <w:lang w:val="cs-CZ"/>
        </w:rPr>
      </w:pPr>
    </w:p>
    <w:p w:rsidR="00F00E0C" w:rsidRDefault="0095400A" w:rsidP="002216AD">
      <w:pPr>
        <w:pStyle w:val="Nadpis2"/>
        <w:widowControl/>
        <w:suppressAutoHyphens w:val="0"/>
        <w:rPr>
          <w:rFonts w:ascii="Arial" w:hAnsi="Arial" w:cs="Arial"/>
        </w:rPr>
      </w:pPr>
      <w:r w:rsidRPr="00355FFB">
        <w:rPr>
          <w:rFonts w:ascii="Arial" w:hAnsi="Arial" w:cs="Arial"/>
        </w:rPr>
        <w:lastRenderedPageBreak/>
        <w:t>Poznámky k</w:t>
      </w:r>
      <w:r w:rsidR="006020F6">
        <w:rPr>
          <w:rFonts w:ascii="Arial" w:hAnsi="Arial" w:cs="Arial"/>
        </w:rPr>
        <w:t> </w:t>
      </w:r>
      <w:r w:rsidRPr="00355FFB">
        <w:rPr>
          <w:rFonts w:ascii="Arial" w:hAnsi="Arial" w:cs="Arial"/>
        </w:rPr>
        <w:t>tabulkám</w:t>
      </w:r>
    </w:p>
    <w:p w:rsidR="00E71CE0" w:rsidRPr="00E71CE0" w:rsidRDefault="00E71CE0" w:rsidP="002216AD">
      <w:pPr>
        <w:keepNext/>
        <w:widowControl/>
        <w:rPr>
          <w:b/>
        </w:rPr>
      </w:pPr>
    </w:p>
    <w:p w:rsidR="00F00E0C" w:rsidRPr="00355FFB" w:rsidRDefault="00F00E0C" w:rsidP="002216AD">
      <w:pPr>
        <w:keepNext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lang w:val="cs-CZ"/>
        </w:rPr>
      </w:pPr>
    </w:p>
    <w:p w:rsidR="00F00E0C" w:rsidRPr="00355FFB" w:rsidRDefault="0095400A" w:rsidP="002216AD">
      <w:pPr>
        <w:keepNext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ind w:left="709" w:hanging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 xml:space="preserve">-1. </w:t>
      </w:r>
      <w:r w:rsidRPr="00355FFB">
        <w:rPr>
          <w:rFonts w:ascii="Arial" w:hAnsi="Arial" w:cs="Arial"/>
          <w:b/>
          <w:bCs/>
          <w:lang w:val="cs-CZ"/>
        </w:rPr>
        <w:t>HDP na 1 obyvatele ve standardech kupní síly (PPS)</w:t>
      </w:r>
    </w:p>
    <w:p w:rsidR="00241138" w:rsidRPr="00355FFB" w:rsidRDefault="0095400A" w:rsidP="000E51C9">
      <w:pPr>
        <w:pStyle w:val="Zkladntext"/>
        <w:spacing w:before="120" w:after="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Hrubý domácí produkt (HDP) je měřítkem ekonomické výkonnosti. Je definován jako hodnota veškerého vyrobeného zboží a služeb minus hodnota jakéhokoliv zboží a služeb použitých při jejich tvorbě. Objemový index HDP na obyvatele vyjádřený ve standardech kupní síly je </w:t>
      </w:r>
      <w:r w:rsidR="00F21909">
        <w:rPr>
          <w:rFonts w:ascii="Arial" w:hAnsi="Arial" w:cs="Arial"/>
          <w:lang w:val="cs-CZ"/>
        </w:rPr>
        <w:t>vyjádřen ve vztahu</w:t>
      </w:r>
      <w:r w:rsidRPr="00355FFB">
        <w:rPr>
          <w:rFonts w:ascii="Arial" w:hAnsi="Arial" w:cs="Arial"/>
          <w:lang w:val="cs-CZ"/>
        </w:rPr>
        <w:t xml:space="preserve"> k průměru EU 28, který je roven 100. Pokud je index za určitou zemi vyšší než 100, znamená to, že HDP na obyvatele této země je vyšší než průměr EU 28 a naopak. Údaje se uvádějí ve standardu kupní síly – společné měně, která stírá rozdíly v cenových úrovních mezi zeměmi a umožňuje tak objemová srovnání HDP mezi jednotlivými zeměmi. Upozornění: index se hodí pro srovnání zemí, nikoliv pro porovnávání v čase.</w:t>
      </w:r>
    </w:p>
    <w:p w:rsidR="00241138" w:rsidRPr="00355FFB" w:rsidRDefault="00241138" w:rsidP="00241138">
      <w:pPr>
        <w:pStyle w:val="Zkladntext"/>
        <w:spacing w:after="0"/>
        <w:jc w:val="both"/>
        <w:rPr>
          <w:rFonts w:ascii="Arial" w:hAnsi="Arial" w:cs="Arial"/>
          <w:lang w:val="cs-CZ"/>
        </w:rPr>
      </w:pPr>
    </w:p>
    <w:p w:rsidR="00241138" w:rsidRPr="00355FFB" w:rsidRDefault="00241138" w:rsidP="00241138">
      <w:pPr>
        <w:pStyle w:val="Zkladntext"/>
        <w:spacing w:after="0"/>
        <w:jc w:val="both"/>
        <w:rPr>
          <w:rFonts w:ascii="Arial" w:hAnsi="Arial" w:cs="Arial"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 xml:space="preserve">-2. </w:t>
      </w:r>
      <w:r w:rsidRPr="00355FFB">
        <w:rPr>
          <w:rFonts w:ascii="Arial" w:hAnsi="Arial" w:cs="Arial"/>
          <w:b/>
          <w:lang w:val="cs-CZ"/>
        </w:rPr>
        <w:t>Míra růstu reálného HDP</w:t>
      </w:r>
    </w:p>
    <w:p w:rsidR="00241138" w:rsidRPr="00355FFB" w:rsidRDefault="0095400A" w:rsidP="00241138">
      <w:pPr>
        <w:pStyle w:val="Zkladntext"/>
        <w:spacing w:before="120" w:after="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>Výpočet roční míry růstu objemu HDP dovoluje srovnání dynamiky hospodářského vývoje jak v čase, tak i mezi různě velkými zeměmi. Pro měření míry růstu objemu HDP je HDP v běžných cenách vyjádřen v cenách předchozího roku a takto vypočítané pohyby objemu jsou vztaženy k úrovni referenčního roku, což se nazývá zřetězená řada. To znamená, že pohyby cen nebudou zvyšovat míru růstu.</w:t>
      </w:r>
    </w:p>
    <w:p w:rsidR="00241138" w:rsidRPr="00355FFB" w:rsidRDefault="00241138" w:rsidP="00241138">
      <w:pPr>
        <w:pStyle w:val="Zkladntext"/>
        <w:spacing w:after="0"/>
        <w:jc w:val="both"/>
        <w:rPr>
          <w:rFonts w:ascii="Arial" w:hAnsi="Arial" w:cs="Arial"/>
          <w:lang w:val="cs-CZ"/>
        </w:rPr>
      </w:pPr>
    </w:p>
    <w:p w:rsidR="00241138" w:rsidRPr="00355FFB" w:rsidRDefault="00241138" w:rsidP="00241138">
      <w:pPr>
        <w:pStyle w:val="Zkladntext"/>
        <w:spacing w:after="0"/>
        <w:jc w:val="both"/>
        <w:rPr>
          <w:rFonts w:ascii="Arial" w:hAnsi="Arial" w:cs="Arial"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 xml:space="preserve">-3. </w:t>
      </w:r>
      <w:r w:rsidRPr="00355FFB">
        <w:rPr>
          <w:rFonts w:ascii="Arial" w:hAnsi="Arial" w:cs="Arial"/>
          <w:b/>
          <w:lang w:val="cs-CZ"/>
        </w:rPr>
        <w:t>Produktivita práce na 1 zaměstnanou osobu</w:t>
      </w:r>
    </w:p>
    <w:p w:rsidR="00241138" w:rsidRPr="00355FFB" w:rsidRDefault="0095400A" w:rsidP="00241138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>HDP na zaměstnanou osobu znamená vlastně produktivitu národní ekonomiky a je koncipován jako index v relaci k průměru EU 27. Pokud je tento index za určitou zemi vyšší než 100, znamená to, že HDP na zaměstnanou osobu této země je vyšší než průměr EU 27 a naopak. Základní údaje se uvádějí ve standardech kupní síly (PPS) – společné měně, která stírá rozdíly v cenových úrovních mezi zeměmi a umožňuje tak objemové srovnání HDP mezi jednotlivými zeměmi. Zaměstnaná osoba na plný či částečný úvazek se zde nerozlišuje.</w:t>
      </w:r>
    </w:p>
    <w:p w:rsidR="00241138" w:rsidRPr="00355FFB" w:rsidRDefault="00241138" w:rsidP="00241138">
      <w:pPr>
        <w:pStyle w:val="Textkomente"/>
        <w:jc w:val="both"/>
        <w:rPr>
          <w:rFonts w:ascii="Arial" w:hAnsi="Arial" w:cs="Arial"/>
          <w:lang w:val="cs-CZ"/>
        </w:rPr>
      </w:pPr>
    </w:p>
    <w:p w:rsidR="00241138" w:rsidRPr="00355FFB" w:rsidRDefault="00241138" w:rsidP="00241138">
      <w:pPr>
        <w:pStyle w:val="Textkomente"/>
        <w:jc w:val="both"/>
        <w:rPr>
          <w:rFonts w:ascii="Arial" w:hAnsi="Arial" w:cs="Arial"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 xml:space="preserve">-4. </w:t>
      </w:r>
      <w:r w:rsidRPr="00355FFB">
        <w:rPr>
          <w:rFonts w:ascii="Arial" w:hAnsi="Arial" w:cs="Arial"/>
          <w:b/>
          <w:lang w:val="cs-CZ"/>
        </w:rPr>
        <w:t>Hrubý</w:t>
      </w:r>
      <w:r w:rsidRPr="00355FFB">
        <w:rPr>
          <w:rFonts w:ascii="Arial" w:hAnsi="Arial" w:cs="Arial"/>
          <w:lang w:val="cs-CZ"/>
        </w:rPr>
        <w:t xml:space="preserve"> </w:t>
      </w:r>
      <w:r w:rsidRPr="00355FFB">
        <w:rPr>
          <w:rFonts w:ascii="Arial" w:hAnsi="Arial" w:cs="Arial"/>
          <w:b/>
          <w:lang w:val="cs-CZ"/>
        </w:rPr>
        <w:t>vládní dluh</w:t>
      </w:r>
    </w:p>
    <w:p w:rsidR="00241138" w:rsidRPr="00355FFB" w:rsidRDefault="0095400A" w:rsidP="00E01A66">
      <w:pPr>
        <w:pStyle w:val="Zkladntext3"/>
        <w:ind w:firstLine="709"/>
        <w:rPr>
          <w:rFonts w:cs="Arial"/>
          <w:color w:val="000000"/>
        </w:rPr>
      </w:pPr>
      <w:r w:rsidRPr="00355FFB">
        <w:rPr>
          <w:rFonts w:cs="Arial"/>
          <w:color w:val="000000"/>
        </w:rPr>
        <w:t xml:space="preserve">Hrubý vládní dluh je definován v Maastrichtské smlouvě jako konsolidovaný hrubý vládní dluh v nominální hodnotě, nesplacený na konci roku v následujících kategoriích vládních závazků (dle </w:t>
      </w:r>
      <w:r w:rsidR="00FC0350">
        <w:rPr>
          <w:rFonts w:cs="Arial"/>
          <w:color w:val="000000"/>
        </w:rPr>
        <w:t xml:space="preserve">definice v ESA95): oběživo a vklady, cenné papíry jiné než účasti bez finančních derivátů </w:t>
      </w:r>
      <w:r w:rsidRPr="00355FFB">
        <w:rPr>
          <w:rFonts w:cs="Arial"/>
          <w:color w:val="000000"/>
        </w:rPr>
        <w:t xml:space="preserve">a půjčky. Sektor vládních institucí tvoří subsektory ústředních vládních institucí, národních vládních institucí, místních vládních institucí a fondy sociálního zabezpečení. HDP použitý ve jmenovateli zlomku je hrubý domácí produkt v běžných tržních cenách. Údaje vyjádřené v národní měně jsou přepočteny na eura za použití směnných kurzů vydaných Evropskou centrální bankou na konci roku. </w:t>
      </w:r>
    </w:p>
    <w:p w:rsidR="00241138" w:rsidRPr="00355FFB" w:rsidRDefault="00241138" w:rsidP="00241138">
      <w:pPr>
        <w:jc w:val="both"/>
        <w:rPr>
          <w:rFonts w:ascii="Arial" w:hAnsi="Arial" w:cs="Arial"/>
          <w:bCs/>
          <w:lang w:val="cs-CZ"/>
        </w:rPr>
      </w:pPr>
    </w:p>
    <w:p w:rsidR="00241138" w:rsidRPr="00355FFB" w:rsidRDefault="00241138" w:rsidP="00241138">
      <w:pPr>
        <w:jc w:val="both"/>
        <w:rPr>
          <w:rFonts w:ascii="Arial" w:hAnsi="Arial" w:cs="Arial"/>
          <w:bCs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 xml:space="preserve">-5. </w:t>
      </w:r>
      <w:r w:rsidRPr="00355FFB">
        <w:rPr>
          <w:rFonts w:ascii="Arial" w:hAnsi="Arial" w:cs="Arial"/>
          <w:b/>
          <w:lang w:val="cs-CZ"/>
        </w:rPr>
        <w:t>Přímé zahraniční investice</w:t>
      </w:r>
    </w:p>
    <w:p w:rsidR="00241138" w:rsidRPr="00355FFB" w:rsidRDefault="00E71CE0" w:rsidP="00241138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E71CE0">
        <w:rPr>
          <w:rFonts w:ascii="Arial" w:hAnsi="Arial" w:cs="Arial"/>
          <w:lang w:val="cs-CZ"/>
        </w:rPr>
        <w:t>Průměr přílivu a</w:t>
      </w:r>
      <w:r w:rsidR="00AC02B2">
        <w:rPr>
          <w:rFonts w:ascii="Arial" w:hAnsi="Arial" w:cs="Arial"/>
          <w:lang w:val="cs-CZ"/>
        </w:rPr>
        <w:t> </w:t>
      </w:r>
      <w:r w:rsidRPr="00E71CE0">
        <w:rPr>
          <w:rFonts w:ascii="Arial" w:hAnsi="Arial" w:cs="Arial"/>
          <w:lang w:val="cs-CZ"/>
        </w:rPr>
        <w:t>odlivu</w:t>
      </w:r>
      <w:r w:rsidR="00FC0350">
        <w:rPr>
          <w:rFonts w:ascii="Arial" w:hAnsi="Arial" w:cs="Arial"/>
          <w:lang w:val="cs-CZ"/>
        </w:rPr>
        <w:t xml:space="preserve"> toků</w:t>
      </w:r>
      <w:r w:rsidRPr="00E71CE0">
        <w:rPr>
          <w:rFonts w:ascii="Arial" w:hAnsi="Arial" w:cs="Arial"/>
          <w:lang w:val="cs-CZ"/>
        </w:rPr>
        <w:t xml:space="preserve"> přímých zahraničních investic </w:t>
      </w:r>
      <w:r w:rsidR="009C30D2">
        <w:rPr>
          <w:rFonts w:ascii="Arial" w:hAnsi="Arial" w:cs="Arial"/>
          <w:lang w:val="cs-CZ"/>
        </w:rPr>
        <w:t>vydělený</w:t>
      </w:r>
      <w:r w:rsidRPr="00E71CE0">
        <w:rPr>
          <w:rFonts w:ascii="Arial" w:hAnsi="Arial" w:cs="Arial"/>
          <w:lang w:val="cs-CZ"/>
        </w:rPr>
        <w:t xml:space="preserve"> hrub</w:t>
      </w:r>
      <w:r w:rsidR="009C30D2">
        <w:rPr>
          <w:rFonts w:ascii="Arial" w:hAnsi="Arial" w:cs="Arial"/>
          <w:lang w:val="cs-CZ"/>
        </w:rPr>
        <w:t>ým</w:t>
      </w:r>
      <w:r w:rsidRPr="00E71CE0">
        <w:rPr>
          <w:rFonts w:ascii="Arial" w:hAnsi="Arial" w:cs="Arial"/>
          <w:lang w:val="cs-CZ"/>
        </w:rPr>
        <w:t xml:space="preserve"> domácí</w:t>
      </w:r>
      <w:r w:rsidR="009C30D2">
        <w:rPr>
          <w:rFonts w:ascii="Arial" w:hAnsi="Arial" w:cs="Arial"/>
          <w:lang w:val="cs-CZ"/>
        </w:rPr>
        <w:t>m</w:t>
      </w:r>
      <w:r w:rsidRPr="00E71CE0">
        <w:rPr>
          <w:rFonts w:ascii="Arial" w:hAnsi="Arial" w:cs="Arial"/>
          <w:lang w:val="cs-CZ"/>
        </w:rPr>
        <w:t xml:space="preserve"> produkt</w:t>
      </w:r>
      <w:r w:rsidR="009C30D2">
        <w:rPr>
          <w:rFonts w:ascii="Arial" w:hAnsi="Arial" w:cs="Arial"/>
          <w:lang w:val="cs-CZ"/>
        </w:rPr>
        <w:t>em</w:t>
      </w:r>
      <w:r w:rsidRPr="00E71CE0">
        <w:rPr>
          <w:rFonts w:ascii="Arial" w:hAnsi="Arial" w:cs="Arial"/>
          <w:lang w:val="cs-CZ"/>
        </w:rPr>
        <w:t xml:space="preserve"> (HDP). </w:t>
      </w:r>
      <w:r w:rsidR="00FC0350">
        <w:rPr>
          <w:rFonts w:ascii="Arial" w:hAnsi="Arial" w:cs="Arial"/>
          <w:lang w:val="cs-CZ"/>
        </w:rPr>
        <w:t>Index měří intenzitu investiční integrace v mezinárodní ekonomice. Přímá</w:t>
      </w:r>
      <w:r w:rsidR="005B5F59">
        <w:rPr>
          <w:rFonts w:ascii="Arial" w:hAnsi="Arial" w:cs="Arial"/>
          <w:lang w:val="cs-CZ"/>
        </w:rPr>
        <w:t xml:space="preserve"> investice</w:t>
      </w:r>
      <w:r w:rsidR="0095400A" w:rsidRPr="00355FFB">
        <w:rPr>
          <w:rFonts w:ascii="Arial" w:hAnsi="Arial" w:cs="Arial"/>
          <w:lang w:val="cs-CZ"/>
        </w:rPr>
        <w:t xml:space="preserve"> představuje mezinárodní investici provedenou rezidentskou jednotkou (přímý investor) k získání trvalé účasti v jednotce operující v jiné ekonomice, než je investorova (podniky přímých zahraničních investic). Přímá investice zahrnuje jak počáteční transakce mezi dvěma jednotkami, tak všechny následující kapitálové transakce mezi nimi i mezi přidruženými společnostmi, jak zapsanými, tak nezapsanými do obchodního rejstříku. Pro srovnání rozdílně velikých ekonomik vykazujících zemí jsou údaje vyjádřeny jako procento z HDP.</w:t>
      </w:r>
    </w:p>
    <w:p w:rsidR="00241138" w:rsidRPr="00355FFB" w:rsidRDefault="00241138" w:rsidP="00241138">
      <w:pPr>
        <w:jc w:val="both"/>
        <w:rPr>
          <w:rFonts w:ascii="Arial" w:hAnsi="Arial" w:cs="Arial"/>
          <w:bCs/>
          <w:lang w:val="cs-CZ"/>
        </w:rPr>
      </w:pPr>
    </w:p>
    <w:p w:rsidR="00241138" w:rsidRPr="00355FFB" w:rsidRDefault="00241138" w:rsidP="00241138">
      <w:pPr>
        <w:jc w:val="both"/>
        <w:rPr>
          <w:rFonts w:ascii="Arial" w:hAnsi="Arial" w:cs="Arial"/>
          <w:bCs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>-6.</w:t>
      </w:r>
      <w:r w:rsidRPr="00355FFB">
        <w:rPr>
          <w:rFonts w:ascii="Arial" w:hAnsi="Arial" w:cs="Arial"/>
          <w:bCs/>
          <w:lang w:val="cs-CZ"/>
        </w:rPr>
        <w:t xml:space="preserve"> </w:t>
      </w:r>
      <w:r w:rsidRPr="00355FFB">
        <w:rPr>
          <w:rFonts w:ascii="Arial" w:hAnsi="Arial" w:cs="Arial"/>
          <w:b/>
          <w:lang w:val="cs-CZ"/>
        </w:rPr>
        <w:t>Celkové výdaje na výzkum a vývoj (GERD)</w:t>
      </w:r>
    </w:p>
    <w:p w:rsidR="00241138" w:rsidRPr="00355FFB" w:rsidRDefault="0095400A" w:rsidP="00241138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>Hrubé domácí výdaje na výzkum a vývoj</w:t>
      </w:r>
      <w:r w:rsidR="009E2338">
        <w:rPr>
          <w:rFonts w:ascii="Arial" w:hAnsi="Arial" w:cs="Arial"/>
          <w:lang w:val="cs-CZ"/>
        </w:rPr>
        <w:t xml:space="preserve"> v procentech HDP</w:t>
      </w:r>
      <w:r w:rsidRPr="00355FFB">
        <w:rPr>
          <w:rFonts w:ascii="Arial" w:hAnsi="Arial" w:cs="Arial"/>
          <w:lang w:val="cs-CZ"/>
        </w:rPr>
        <w:t>. „Výzkum a experimentální vývoj (VaV) zahrnuje systematickou tvůrčí práci rozšiřující poznání, včetně poznání člověka, kultury a společnosti a využití tohoto poznání v praxi“ (Frascati manuál, 2002, § 63).</w:t>
      </w:r>
    </w:p>
    <w:p w:rsidR="00241138" w:rsidRPr="00355FFB" w:rsidRDefault="00241138" w:rsidP="00241138">
      <w:pPr>
        <w:jc w:val="both"/>
        <w:rPr>
          <w:rFonts w:ascii="Arial" w:hAnsi="Arial" w:cs="Arial"/>
          <w:bCs/>
          <w:lang w:val="cs-CZ"/>
        </w:rPr>
      </w:pPr>
    </w:p>
    <w:p w:rsidR="00241138" w:rsidRPr="00355FFB" w:rsidRDefault="00241138" w:rsidP="00241138">
      <w:pPr>
        <w:jc w:val="both"/>
        <w:rPr>
          <w:rFonts w:ascii="Arial" w:hAnsi="Arial" w:cs="Arial"/>
          <w:bCs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bCs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>-7.</w:t>
      </w:r>
      <w:r w:rsidRPr="00355FFB">
        <w:rPr>
          <w:rFonts w:ascii="Arial" w:hAnsi="Arial" w:cs="Arial"/>
          <w:bCs/>
          <w:lang w:val="cs-CZ"/>
        </w:rPr>
        <w:t xml:space="preserve"> </w:t>
      </w:r>
      <w:r w:rsidRPr="00355FFB">
        <w:rPr>
          <w:rFonts w:ascii="Arial" w:hAnsi="Arial" w:cs="Arial"/>
          <w:b/>
          <w:bCs/>
          <w:lang w:val="cs-CZ"/>
        </w:rPr>
        <w:t>Míra inflace</w:t>
      </w:r>
    </w:p>
    <w:p w:rsidR="00241138" w:rsidRPr="00355FFB" w:rsidRDefault="0095400A" w:rsidP="00241138">
      <w:pPr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355FFB">
        <w:rPr>
          <w:rFonts w:ascii="Arial" w:hAnsi="Arial" w:cs="Arial"/>
          <w:lang w:val="cs-CZ"/>
        </w:rPr>
        <w:t>Průměrná roční míra změny Harmonizovaného indexu spotřebitelských cen (HICP). Harmonizované indexy spotřebitelských cen jsou vytvořeny pro mezinárodní srovnání inflace spotřebitelských cen. HICP využívá např. Evropská centrální banka ke sledování inflace v Hospodářské a měnové unii a k odhadu sbližování inflace, jak je vyžadováno Článkem 121 Amsterodamské smlouvy. Pro Spojené státy a Japonsko jsou v tabulce využity národní indexy spotřebitelských cen.</w:t>
      </w:r>
    </w:p>
    <w:p w:rsidR="00241138" w:rsidRPr="00355FFB" w:rsidRDefault="00241138" w:rsidP="00241138">
      <w:pPr>
        <w:jc w:val="both"/>
        <w:rPr>
          <w:rFonts w:ascii="Arial" w:hAnsi="Arial" w:cs="Arial"/>
          <w:bCs/>
          <w:lang w:val="cs-CZ"/>
        </w:rPr>
      </w:pPr>
    </w:p>
    <w:p w:rsidR="00241138" w:rsidRPr="00355FFB" w:rsidRDefault="00241138" w:rsidP="00241138">
      <w:pPr>
        <w:jc w:val="both"/>
        <w:rPr>
          <w:rFonts w:ascii="Arial" w:hAnsi="Arial" w:cs="Arial"/>
          <w:bCs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bCs/>
          <w:lang w:val="cs-CZ"/>
        </w:rPr>
        <w:t>Tab</w:t>
      </w:r>
      <w:r w:rsidRPr="00355FFB">
        <w:rPr>
          <w:rFonts w:ascii="Arial" w:hAnsi="Arial" w:cs="Arial"/>
          <w:b/>
          <w:lang w:val="cs-CZ"/>
        </w:rPr>
        <w:t>.</w:t>
      </w:r>
      <w:r w:rsidRPr="00355FFB">
        <w:rPr>
          <w:rFonts w:ascii="Arial" w:hAnsi="Arial" w:cs="Arial"/>
          <w:lang w:val="cs-CZ"/>
        </w:rPr>
        <w:t xml:space="preserve"> </w:t>
      </w:r>
      <w:r w:rsidRPr="00355FFB">
        <w:rPr>
          <w:rFonts w:ascii="Arial" w:hAnsi="Arial" w:cs="Arial"/>
          <w:b/>
          <w:bCs/>
          <w:lang w:val="cs-CZ"/>
        </w:rPr>
        <w:t>28</w:t>
      </w:r>
      <w:r w:rsidRPr="00355FFB">
        <w:rPr>
          <w:rFonts w:ascii="Arial" w:hAnsi="Arial" w:cs="Arial"/>
          <w:bCs/>
          <w:lang w:val="cs-CZ"/>
        </w:rPr>
        <w:t>-8.</w:t>
      </w:r>
      <w:r w:rsidRPr="00355FFB">
        <w:rPr>
          <w:rFonts w:ascii="Arial" w:hAnsi="Arial" w:cs="Arial"/>
          <w:lang w:val="cs-CZ"/>
        </w:rPr>
        <w:t xml:space="preserve"> </w:t>
      </w:r>
      <w:r w:rsidRPr="00355FFB">
        <w:rPr>
          <w:rFonts w:ascii="Arial" w:hAnsi="Arial" w:cs="Arial"/>
          <w:b/>
          <w:bCs/>
          <w:lang w:val="cs-CZ"/>
        </w:rPr>
        <w:t>Komparativní cenové úrovně</w:t>
      </w:r>
    </w:p>
    <w:p w:rsidR="00241138" w:rsidRPr="00355FFB" w:rsidRDefault="0095400A" w:rsidP="00241138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>Komparativní cenové úrovně konečné spotřeby soukromých domácností včetně nepřímých daní. Komparativní cenové úrovně jsou poměry mezi paritami kupní síly a devizovými kurzy každé země. Paritou kupní síly je poměr měnové konverze, který přepočítává hodnoty ekonomických ukazatelů, vyjádřené v domácí měně</w:t>
      </w:r>
      <w:r w:rsidR="00F528B3">
        <w:rPr>
          <w:rFonts w:ascii="Arial" w:hAnsi="Arial" w:cs="Arial"/>
          <w:lang w:val="cs-CZ"/>
        </w:rPr>
        <w:t>,</w:t>
      </w:r>
      <w:r w:rsidRPr="00355FFB">
        <w:rPr>
          <w:rFonts w:ascii="Arial" w:hAnsi="Arial" w:cs="Arial"/>
          <w:lang w:val="cs-CZ"/>
        </w:rPr>
        <w:t xml:space="preserve"> na měnu společnou, která se nazývá standard kupní síly (PPS). Vyrovnáním kupní síly různých národních měn umožňuje tento standard srovnání ukazatelů mezi jednotlivými státy. Poměr je koncipován vzhledem k průměru EU (EU </w:t>
      </w:r>
      <w:r w:rsidR="00807105" w:rsidRPr="00355FFB">
        <w:rPr>
          <w:rFonts w:ascii="Arial" w:hAnsi="Arial" w:cs="Arial"/>
          <w:lang w:val="cs-CZ"/>
        </w:rPr>
        <w:t>2</w:t>
      </w:r>
      <w:r w:rsidR="00807105">
        <w:rPr>
          <w:rFonts w:ascii="Arial" w:hAnsi="Arial" w:cs="Arial"/>
          <w:lang w:val="cs-CZ"/>
        </w:rPr>
        <w:t>8</w:t>
      </w:r>
      <w:r w:rsidR="00807105" w:rsidRPr="00355FFB">
        <w:rPr>
          <w:rFonts w:ascii="Arial" w:hAnsi="Arial" w:cs="Arial"/>
          <w:lang w:val="cs-CZ"/>
        </w:rPr>
        <w:t> </w:t>
      </w:r>
      <w:r w:rsidRPr="00355FFB">
        <w:rPr>
          <w:rFonts w:ascii="Arial" w:hAnsi="Arial" w:cs="Arial"/>
          <w:lang w:val="cs-CZ"/>
        </w:rPr>
        <w:t>= 100). Pokud je tento poměr za určitou zemi vyšší/nižší než 100, znamená to, že daná země je relativně dražší/levnější než průměr EU.</w:t>
      </w: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241138" w:rsidP="00886BA2">
      <w:pPr>
        <w:pStyle w:val="Zkladntext"/>
        <w:tabs>
          <w:tab w:val="left" w:pos="709"/>
          <w:tab w:val="left" w:pos="1418"/>
        </w:tabs>
        <w:spacing w:after="0"/>
        <w:jc w:val="both"/>
        <w:rPr>
          <w:rFonts w:ascii="Arial" w:hAnsi="Arial" w:cs="Arial"/>
          <w:b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 xml:space="preserve">-9. </w:t>
      </w:r>
      <w:r w:rsidRPr="00355FFB">
        <w:rPr>
          <w:rFonts w:ascii="Arial" w:hAnsi="Arial" w:cs="Arial"/>
          <w:b/>
          <w:lang w:val="cs-CZ"/>
        </w:rPr>
        <w:t>Míra zaměstnanosti</w:t>
      </w:r>
    </w:p>
    <w:p w:rsidR="00241138" w:rsidRPr="00355FFB" w:rsidRDefault="0095400A" w:rsidP="00241138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>Míra zaměstnanosti je vypočítána vydělením počtu zaměstnaných osob ve věku 15 až 64 let počtem všech osob v této věkové skupině. Ukazatel je založen na Šetření pracovních sil EU. Předmětem šetření jsou všechny osoby žijící v soukromých domácnostech a nevztahuje se na osoby žijící v hromadných ubytovacích zařízeních, jako jsou penziony, studentské ubytovny a nemocnice. Zaměstnané obyvatelstvo sestává z osob, které v průběhu referenčního týdne pracovaly alespoň 1 hodinu za mzdu, plat nebo jinou odměnu, nebo sice nebyly v práci, ale měly formální vztah k zaměstnání.</w:t>
      </w: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 xml:space="preserve">-10. </w:t>
      </w:r>
      <w:r w:rsidRPr="00355FFB">
        <w:rPr>
          <w:rFonts w:ascii="Arial" w:hAnsi="Arial" w:cs="Arial"/>
          <w:b/>
          <w:lang w:val="cs-CZ"/>
        </w:rPr>
        <w:t>Míra nezaměstnanosti</w:t>
      </w:r>
    </w:p>
    <w:p w:rsidR="0076245B" w:rsidRPr="00355FFB" w:rsidRDefault="0095400A" w:rsidP="00241138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>Míra nezaměstnanosti představuje nezaměstnané osoby jako procentní podíl z pracovní síly = aktivního obyvatelstva. Pracovní síla je celkový počet zaměstnaných a nezaměstnaných osob. Do nezaměstnaných osob patří osoby ve věku 15 až 74 let, které byly:</w:t>
      </w:r>
    </w:p>
    <w:p w:rsidR="0076245B" w:rsidRPr="00355FFB" w:rsidRDefault="0095400A" w:rsidP="00241138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>a) bez práce (nebyly zaměstnané) během referenčního týdne;</w:t>
      </w:r>
    </w:p>
    <w:p w:rsidR="00DF09EF" w:rsidRPr="00355FFB" w:rsidRDefault="0095400A" w:rsidP="00241138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>b) k dispozici pro nástup do práce, tzn., že byly připraveny pro výkon placeného zaměstnání nebo sebezaměstnání (zaměstnání ve vlastním podniku) před koncem dvou týdnů následujících po referenčním týdnu;</w:t>
      </w:r>
    </w:p>
    <w:p w:rsidR="00241138" w:rsidRPr="00355FFB" w:rsidRDefault="0095400A" w:rsidP="00241138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>c) aktivně hledající práci, tzn., že podnikaly aktivní kroky pro hledání placeného zaměstnání nebo sebezaměstnání ve čtyřtýdenním období končícím referenčním týdnem, nebo které našly práci s pozdějším začátkem, t</w:t>
      </w:r>
      <w:r w:rsidR="00F528B3">
        <w:rPr>
          <w:rFonts w:ascii="Arial" w:hAnsi="Arial" w:cs="Arial"/>
          <w:lang w:val="cs-CZ"/>
        </w:rPr>
        <w:t>j</w:t>
      </w:r>
      <w:r w:rsidRPr="00355FFB">
        <w:rPr>
          <w:rFonts w:ascii="Arial" w:hAnsi="Arial" w:cs="Arial"/>
          <w:lang w:val="cs-CZ"/>
        </w:rPr>
        <w:t>. maximálně v tříměsíčním období.</w:t>
      </w: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b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 xml:space="preserve">-11. </w:t>
      </w:r>
      <w:r w:rsidRPr="00355FFB">
        <w:rPr>
          <w:rFonts w:ascii="Arial" w:hAnsi="Arial" w:cs="Arial"/>
          <w:b/>
          <w:lang w:val="cs-CZ"/>
        </w:rPr>
        <w:t>Míra dlouhodobé nezaměstnanosti</w:t>
      </w:r>
    </w:p>
    <w:p w:rsidR="00241138" w:rsidRPr="00355FFB" w:rsidRDefault="0095400A" w:rsidP="00241138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Podíl </w:t>
      </w:r>
      <w:r w:rsidR="00934485">
        <w:rPr>
          <w:rFonts w:ascii="Arial" w:hAnsi="Arial" w:cs="Arial"/>
          <w:lang w:val="cs-CZ"/>
        </w:rPr>
        <w:t>počtu dlouhodobě nezaměstnaných (12 měsíců a déle) na celkové pracovní síle (v procentech). Dlouhodobě nezaměstnan</w:t>
      </w:r>
      <w:r w:rsidR="00F64026">
        <w:rPr>
          <w:rFonts w:ascii="Arial" w:hAnsi="Arial" w:cs="Arial"/>
          <w:lang w:val="cs-CZ"/>
        </w:rPr>
        <w:t>í</w:t>
      </w:r>
      <w:r w:rsidR="00934485">
        <w:rPr>
          <w:rFonts w:ascii="Arial" w:hAnsi="Arial" w:cs="Arial"/>
          <w:lang w:val="cs-CZ"/>
        </w:rPr>
        <w:t xml:space="preserve"> </w:t>
      </w:r>
      <w:r w:rsidR="00F64026">
        <w:rPr>
          <w:rFonts w:ascii="Arial" w:hAnsi="Arial" w:cs="Arial"/>
          <w:lang w:val="cs-CZ"/>
        </w:rPr>
        <w:t>zahrnují</w:t>
      </w:r>
      <w:r w:rsidR="00934485">
        <w:rPr>
          <w:rFonts w:ascii="Arial" w:hAnsi="Arial" w:cs="Arial"/>
          <w:lang w:val="cs-CZ"/>
        </w:rPr>
        <w:t xml:space="preserve"> osoby patnáctileté a starší, nežijící v kolektivních zařízeních, které </w:t>
      </w:r>
      <w:r w:rsidR="00557956">
        <w:rPr>
          <w:rFonts w:ascii="Arial" w:hAnsi="Arial" w:cs="Arial"/>
          <w:lang w:val="cs-CZ"/>
        </w:rPr>
        <w:t>nebudou</w:t>
      </w:r>
      <w:r w:rsidR="00934485">
        <w:rPr>
          <w:rFonts w:ascii="Arial" w:hAnsi="Arial" w:cs="Arial"/>
          <w:lang w:val="cs-CZ"/>
        </w:rPr>
        <w:t xml:space="preserve"> zaměstnané po dobu 14 dnů následujících po šetření, </w:t>
      </w:r>
      <w:r w:rsidR="00557956">
        <w:rPr>
          <w:rFonts w:ascii="Arial" w:hAnsi="Arial" w:cs="Arial"/>
          <w:lang w:val="cs-CZ"/>
        </w:rPr>
        <w:t>budou</w:t>
      </w:r>
      <w:r w:rsidR="00934485">
        <w:rPr>
          <w:rFonts w:ascii="Arial" w:hAnsi="Arial" w:cs="Arial"/>
          <w:lang w:val="cs-CZ"/>
        </w:rPr>
        <w:t xml:space="preserve"> k dispo</w:t>
      </w:r>
      <w:r w:rsidR="00557956">
        <w:rPr>
          <w:rFonts w:ascii="Arial" w:hAnsi="Arial" w:cs="Arial"/>
          <w:lang w:val="cs-CZ"/>
        </w:rPr>
        <w:t>z</w:t>
      </w:r>
      <w:r w:rsidR="00934485">
        <w:rPr>
          <w:rFonts w:ascii="Arial" w:hAnsi="Arial" w:cs="Arial"/>
          <w:lang w:val="cs-CZ"/>
        </w:rPr>
        <w:t xml:space="preserve">ici nejpozději do 14 dnů pro výkon placeného zaměstnání a hledají práci (v průběhu posledních 4 týdnů hledaly aktivně práci nebo nehledají práci, protože ji již našly a nastoupí do ní později). Celková pracovní síla je celkový počet zaměstnaných a nezaměstnaných. Doba trvání nezaměstnanosti je definována jako doba hledání práce nebo jako </w:t>
      </w:r>
      <w:r w:rsidR="00E71CE0" w:rsidRPr="00E71CE0">
        <w:rPr>
          <w:rFonts w:ascii="Arial" w:hAnsi="Arial" w:cs="Arial"/>
          <w:lang w:val="cs-CZ"/>
        </w:rPr>
        <w:t>doba</w:t>
      </w:r>
      <w:r w:rsidR="00934485">
        <w:rPr>
          <w:rFonts w:ascii="Arial" w:hAnsi="Arial" w:cs="Arial"/>
          <w:lang w:val="cs-CZ"/>
        </w:rPr>
        <w:t xml:space="preserve"> od posledního zaměstnání (pokud je toto období kratší než doba hledání práce).</w:t>
      </w: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95400A" w:rsidP="003C352A">
      <w:pPr>
        <w:keepNext/>
        <w:widowControl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lastRenderedPageBreak/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 xml:space="preserve">-12. </w:t>
      </w:r>
      <w:r w:rsidRPr="00355FFB">
        <w:rPr>
          <w:rFonts w:ascii="Arial" w:hAnsi="Arial" w:cs="Arial"/>
          <w:b/>
          <w:lang w:val="cs-CZ"/>
        </w:rPr>
        <w:t>Míra rizika chudoby po sociálních dávkách</w:t>
      </w:r>
    </w:p>
    <w:p w:rsidR="00241138" w:rsidRPr="00355FFB" w:rsidRDefault="0095400A" w:rsidP="003C352A">
      <w:pPr>
        <w:keepNext/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>Podíl osob s ekvivalizovaným disponibilním příjmem pod hranicí rizika chudoby, která se stanoví jako 60 % mediánu národního ekvivalizovaného disponibilního příjmu (po sociálních dávkách).</w:t>
      </w: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 xml:space="preserve">-13. </w:t>
      </w:r>
      <w:r w:rsidRPr="00355FFB">
        <w:rPr>
          <w:rFonts w:ascii="Arial" w:hAnsi="Arial" w:cs="Arial"/>
          <w:b/>
          <w:lang w:val="cs-CZ"/>
        </w:rPr>
        <w:t>Veřejné výdaje na vzdělávání</w:t>
      </w:r>
    </w:p>
    <w:p w:rsidR="00241138" w:rsidRPr="00355FFB" w:rsidRDefault="0095400A" w:rsidP="00241138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Veřejný sektor financuje obecně vzdělávání krytím běžných a kapitálových výdajů vzdělávacích institucí nebo podporou studentů a jejich rodin prostřednictvím stipendií a veřejných půjček či poskytováním dotací na vzdělávací aktivity soukromým firmám a neziskovým organizacím. Zmíněné </w:t>
      </w:r>
      <w:r w:rsidR="00F57EED">
        <w:rPr>
          <w:rFonts w:ascii="Arial" w:hAnsi="Arial" w:cs="Arial"/>
          <w:lang w:val="cs-CZ"/>
        </w:rPr>
        <w:t>druhy</w:t>
      </w:r>
      <w:r w:rsidRPr="00355FFB">
        <w:rPr>
          <w:rFonts w:ascii="Arial" w:hAnsi="Arial" w:cs="Arial"/>
          <w:lang w:val="cs-CZ"/>
        </w:rPr>
        <w:t xml:space="preserve"> výdajů tvoří společně veřejné výdaje na vzdělávání.</w:t>
      </w: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4604E8" w:rsidRPr="00036678" w:rsidRDefault="00934485" w:rsidP="00241138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 w:rsidR="00E71CE0" w:rsidRPr="00E71CE0">
        <w:rPr>
          <w:rFonts w:ascii="Arial" w:hAnsi="Arial" w:cs="Arial"/>
          <w:b/>
          <w:lang w:val="cs-CZ"/>
        </w:rPr>
        <w:t>28</w:t>
      </w:r>
      <w:r>
        <w:rPr>
          <w:rFonts w:ascii="Arial" w:hAnsi="Arial" w:cs="Arial"/>
          <w:lang w:val="cs-CZ"/>
        </w:rPr>
        <w:t xml:space="preserve">-14. </w:t>
      </w:r>
      <w:r w:rsidR="00E71CE0" w:rsidRPr="00E71CE0">
        <w:rPr>
          <w:rFonts w:ascii="Arial" w:hAnsi="Arial" w:cs="Arial"/>
          <w:b/>
          <w:lang w:val="cs-CZ"/>
        </w:rPr>
        <w:t>Úhrnná plodnost</w:t>
      </w:r>
    </w:p>
    <w:p w:rsidR="00963A4F" w:rsidRDefault="00E71CE0" w:rsidP="00FE454A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E71CE0">
        <w:rPr>
          <w:rFonts w:ascii="Arial" w:hAnsi="Arial" w:cs="Arial"/>
          <w:lang w:val="cs-CZ"/>
        </w:rPr>
        <w:t>Průměrný počet živě narozených dětí, které by se narodily jedné ženě, pokud by po celé její reprodukční období platily míry plodnosti podle věku z</w:t>
      </w:r>
      <w:r w:rsidR="00AC02B2">
        <w:rPr>
          <w:rFonts w:ascii="Arial" w:hAnsi="Arial" w:cs="Arial"/>
          <w:lang w:val="cs-CZ"/>
        </w:rPr>
        <w:t> </w:t>
      </w:r>
      <w:r w:rsidRPr="00E71CE0">
        <w:rPr>
          <w:rFonts w:ascii="Arial" w:hAnsi="Arial" w:cs="Arial"/>
          <w:lang w:val="cs-CZ"/>
        </w:rPr>
        <w:t>daného roku. Jedná se tedy o</w:t>
      </w:r>
      <w:r w:rsidR="00AC02B2">
        <w:rPr>
          <w:rFonts w:ascii="Arial" w:hAnsi="Arial" w:cs="Arial"/>
          <w:lang w:val="cs-CZ"/>
        </w:rPr>
        <w:t> </w:t>
      </w:r>
      <w:r w:rsidRPr="00E71CE0">
        <w:rPr>
          <w:rFonts w:ascii="Arial" w:hAnsi="Arial" w:cs="Arial"/>
          <w:lang w:val="cs-CZ"/>
        </w:rPr>
        <w:t>konečnou plodnost hypotetické generace, vypočtenou součtem měr plodnosti podle věku v</w:t>
      </w:r>
      <w:r w:rsidR="00AC02B2">
        <w:rPr>
          <w:rFonts w:ascii="Arial" w:hAnsi="Arial" w:cs="Arial"/>
          <w:lang w:val="cs-CZ"/>
        </w:rPr>
        <w:t> </w:t>
      </w:r>
      <w:r w:rsidRPr="00E71CE0">
        <w:rPr>
          <w:rFonts w:ascii="Arial" w:hAnsi="Arial" w:cs="Arial"/>
          <w:lang w:val="cs-CZ"/>
        </w:rPr>
        <w:t>daném roce (předpoklad stejného počtu žen v</w:t>
      </w:r>
      <w:r w:rsidR="00AC02B2">
        <w:rPr>
          <w:rFonts w:ascii="Arial" w:hAnsi="Arial" w:cs="Arial"/>
          <w:lang w:val="cs-CZ"/>
        </w:rPr>
        <w:t> </w:t>
      </w:r>
      <w:r w:rsidRPr="00E71CE0">
        <w:rPr>
          <w:rFonts w:ascii="Arial" w:hAnsi="Arial" w:cs="Arial"/>
          <w:lang w:val="cs-CZ"/>
        </w:rPr>
        <w:t>každém věku). Úhrnná plodnost se také používá pro vyjádření míry reprodukce populace; v</w:t>
      </w:r>
      <w:r w:rsidR="00AC02B2">
        <w:rPr>
          <w:rFonts w:ascii="Arial" w:hAnsi="Arial" w:cs="Arial"/>
          <w:lang w:val="cs-CZ"/>
        </w:rPr>
        <w:t> </w:t>
      </w:r>
      <w:r w:rsidRPr="00E71CE0">
        <w:rPr>
          <w:rFonts w:ascii="Arial" w:hAnsi="Arial" w:cs="Arial"/>
          <w:lang w:val="cs-CZ"/>
        </w:rPr>
        <w:t>rozvinutějších zemích se za úroveň zajišťující prostou reprodukci populace považuje hodnota 2,1.</w:t>
      </w:r>
    </w:p>
    <w:p w:rsidR="004604E8" w:rsidRDefault="004604E8" w:rsidP="00241138">
      <w:pPr>
        <w:jc w:val="both"/>
        <w:rPr>
          <w:rFonts w:ascii="Arial" w:hAnsi="Arial" w:cs="Arial"/>
          <w:lang w:val="cs-CZ"/>
        </w:rPr>
      </w:pPr>
    </w:p>
    <w:p w:rsidR="00FE454A" w:rsidRDefault="00FE454A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>-</w:t>
      </w:r>
      <w:r w:rsidR="004604E8" w:rsidRPr="00355FFB">
        <w:rPr>
          <w:rFonts w:ascii="Arial" w:hAnsi="Arial" w:cs="Arial"/>
          <w:lang w:val="cs-CZ"/>
        </w:rPr>
        <w:t>1</w:t>
      </w:r>
      <w:r w:rsidR="004604E8">
        <w:rPr>
          <w:rFonts w:ascii="Arial" w:hAnsi="Arial" w:cs="Arial"/>
          <w:lang w:val="cs-CZ"/>
        </w:rPr>
        <w:t>5</w:t>
      </w:r>
      <w:r w:rsidRPr="00355FFB">
        <w:rPr>
          <w:rFonts w:ascii="Arial" w:hAnsi="Arial" w:cs="Arial"/>
          <w:lang w:val="cs-CZ"/>
        </w:rPr>
        <w:t>. a </w:t>
      </w:r>
      <w:r w:rsidRPr="00355FFB">
        <w:rPr>
          <w:rFonts w:ascii="Arial" w:hAnsi="Arial" w:cs="Arial"/>
          <w:b/>
          <w:bCs/>
          <w:lang w:val="cs-CZ"/>
        </w:rPr>
        <w:t>28</w:t>
      </w:r>
      <w:r w:rsidRPr="00355FFB">
        <w:rPr>
          <w:rFonts w:ascii="Arial" w:hAnsi="Arial" w:cs="Arial"/>
          <w:lang w:val="cs-CZ"/>
        </w:rPr>
        <w:t>-</w:t>
      </w:r>
      <w:r w:rsidR="004604E8" w:rsidRPr="00355FFB">
        <w:rPr>
          <w:rFonts w:ascii="Arial" w:hAnsi="Arial" w:cs="Arial"/>
          <w:lang w:val="cs-CZ"/>
        </w:rPr>
        <w:t>1</w:t>
      </w:r>
      <w:r w:rsidR="004604E8">
        <w:rPr>
          <w:rFonts w:ascii="Arial" w:hAnsi="Arial" w:cs="Arial"/>
          <w:lang w:val="cs-CZ"/>
        </w:rPr>
        <w:t>6</w:t>
      </w:r>
      <w:r w:rsidRPr="00355FFB">
        <w:rPr>
          <w:rFonts w:ascii="Arial" w:hAnsi="Arial" w:cs="Arial"/>
          <w:lang w:val="cs-CZ"/>
        </w:rPr>
        <w:t xml:space="preserve">. </w:t>
      </w:r>
      <w:r w:rsidRPr="00355FFB">
        <w:rPr>
          <w:rFonts w:ascii="Arial" w:hAnsi="Arial" w:cs="Arial"/>
          <w:b/>
          <w:lang w:val="cs-CZ"/>
        </w:rPr>
        <w:t>Naděje dožití při narození – muži, ženy</w:t>
      </w:r>
    </w:p>
    <w:p w:rsidR="00241138" w:rsidRPr="00355FFB" w:rsidRDefault="0095400A" w:rsidP="00241138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>Naděje dožití při narození vyjadřuje průměrný počet let, kterých má novorozenec naději se dožít při zachování aktuální úrovně úmrtnosti (věkově příslušné pravděpodobnosti úmrtí) během jeho života.</w:t>
      </w:r>
    </w:p>
    <w:p w:rsidR="00241138" w:rsidRPr="00355FFB" w:rsidRDefault="00241138" w:rsidP="00241138">
      <w:pPr>
        <w:pStyle w:val="Textkomente"/>
        <w:jc w:val="both"/>
        <w:rPr>
          <w:rFonts w:ascii="Arial" w:hAnsi="Arial" w:cs="Arial"/>
          <w:lang w:val="cs-CZ"/>
        </w:rPr>
      </w:pPr>
    </w:p>
    <w:p w:rsidR="00241138" w:rsidRPr="00355FFB" w:rsidRDefault="00241138" w:rsidP="00241138">
      <w:pPr>
        <w:pStyle w:val="Textkomente"/>
        <w:jc w:val="both"/>
        <w:rPr>
          <w:rFonts w:ascii="Arial" w:hAnsi="Arial" w:cs="Arial"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>-</w:t>
      </w:r>
      <w:r w:rsidR="004604E8" w:rsidRPr="00355FFB">
        <w:rPr>
          <w:rFonts w:ascii="Arial" w:hAnsi="Arial" w:cs="Arial"/>
          <w:lang w:val="cs-CZ"/>
        </w:rPr>
        <w:t>1</w:t>
      </w:r>
      <w:r w:rsidR="004604E8">
        <w:rPr>
          <w:rFonts w:ascii="Arial" w:hAnsi="Arial" w:cs="Arial"/>
          <w:lang w:val="cs-CZ"/>
        </w:rPr>
        <w:t>7</w:t>
      </w:r>
      <w:r w:rsidRPr="00355FFB">
        <w:rPr>
          <w:rFonts w:ascii="Arial" w:hAnsi="Arial" w:cs="Arial"/>
          <w:lang w:val="cs-CZ"/>
        </w:rPr>
        <w:t xml:space="preserve">. </w:t>
      </w:r>
      <w:r w:rsidRPr="00355FFB">
        <w:rPr>
          <w:rFonts w:ascii="Arial" w:hAnsi="Arial" w:cs="Arial"/>
          <w:b/>
          <w:lang w:val="cs-CZ"/>
        </w:rPr>
        <w:t>Emise skleníkových plynů</w:t>
      </w:r>
    </w:p>
    <w:p w:rsidR="00241138" w:rsidRPr="00355FFB" w:rsidRDefault="0095400A" w:rsidP="00241138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>Tento ukazatel vyjadřuje vývoj celkových emisí skleníkových plynů způsobených člověkem – tzv. „Kjótský koš“. Představuje celkové roční emise ve vztahu k emisím v roce 1990. „Kjótský koš“ skleníkových plynů zahrnuje: oxid uhličitý (CO</w:t>
      </w:r>
      <w:r w:rsidRPr="00355FFB">
        <w:rPr>
          <w:rFonts w:ascii="Arial" w:hAnsi="Arial" w:cs="Arial"/>
          <w:vertAlign w:val="subscript"/>
          <w:lang w:val="cs-CZ"/>
        </w:rPr>
        <w:t>2</w:t>
      </w:r>
      <w:r w:rsidRPr="00355FFB">
        <w:rPr>
          <w:rFonts w:ascii="Arial" w:hAnsi="Arial" w:cs="Arial"/>
          <w:lang w:val="cs-CZ"/>
        </w:rPr>
        <w:t>), metan (CH</w:t>
      </w:r>
      <w:r w:rsidRPr="00355FFB">
        <w:rPr>
          <w:rFonts w:ascii="Arial" w:hAnsi="Arial" w:cs="Arial"/>
          <w:vertAlign w:val="subscript"/>
          <w:lang w:val="cs-CZ"/>
        </w:rPr>
        <w:t>4</w:t>
      </w:r>
      <w:r w:rsidRPr="00355FFB">
        <w:rPr>
          <w:rFonts w:ascii="Arial" w:hAnsi="Arial" w:cs="Arial"/>
          <w:lang w:val="cs-CZ"/>
        </w:rPr>
        <w:t>), oxid dusný (N</w:t>
      </w:r>
      <w:r w:rsidRPr="00355FFB">
        <w:rPr>
          <w:rFonts w:ascii="Arial" w:hAnsi="Arial" w:cs="Arial"/>
          <w:vertAlign w:val="subscript"/>
          <w:lang w:val="cs-CZ"/>
        </w:rPr>
        <w:t>2</w:t>
      </w:r>
      <w:r w:rsidRPr="00355FFB">
        <w:rPr>
          <w:rFonts w:ascii="Arial" w:hAnsi="Arial" w:cs="Arial"/>
          <w:lang w:val="cs-CZ"/>
        </w:rPr>
        <w:t>O) a fluorované plyny (úplně (PFC) i částečně (HFC) fluorované deriváty uhlovodíků a fluorid sírový (SF</w:t>
      </w:r>
      <w:r w:rsidRPr="00355FFB">
        <w:rPr>
          <w:rFonts w:ascii="Arial" w:hAnsi="Arial" w:cs="Arial"/>
          <w:vertAlign w:val="subscript"/>
          <w:lang w:val="cs-CZ"/>
        </w:rPr>
        <w:t>6</w:t>
      </w:r>
      <w:r w:rsidRPr="00355FFB">
        <w:rPr>
          <w:rFonts w:ascii="Arial" w:hAnsi="Arial" w:cs="Arial"/>
          <w:lang w:val="cs-CZ"/>
        </w:rPr>
        <w:t>)). Tyto plyny jsou agregovány do jedné jednotky za použití potenciálu globálního ohřevu, který je pro každý plyn specifický. Agregované emise skleníkových plynů se vyjadřují v jednotkách tzv. uhlíkového ekvivalentu (ekvivalent CO</w:t>
      </w:r>
      <w:r w:rsidRPr="00355FFB">
        <w:rPr>
          <w:rFonts w:ascii="Arial" w:hAnsi="Arial" w:cs="Arial"/>
          <w:vertAlign w:val="subscript"/>
          <w:lang w:val="cs-CZ"/>
        </w:rPr>
        <w:t>2</w:t>
      </w:r>
      <w:r w:rsidRPr="00355FFB">
        <w:rPr>
          <w:rFonts w:ascii="Arial" w:hAnsi="Arial" w:cs="Arial"/>
          <w:lang w:val="cs-CZ"/>
        </w:rPr>
        <w:t>). Tento ukazatel nezahrnuje emise a propady</w:t>
      </w:r>
      <w:r w:rsidR="00F528B3">
        <w:rPr>
          <w:rFonts w:ascii="Arial" w:hAnsi="Arial" w:cs="Arial"/>
          <w:lang w:val="cs-CZ"/>
        </w:rPr>
        <w:t xml:space="preserve"> v souvislosti</w:t>
      </w:r>
      <w:r w:rsidRPr="00355FFB">
        <w:rPr>
          <w:rFonts w:ascii="Arial" w:hAnsi="Arial" w:cs="Arial"/>
          <w:lang w:val="cs-CZ"/>
        </w:rPr>
        <w:t xml:space="preserve"> s LULUCF (využívání krajiny, změny ve </w:t>
      </w:r>
      <w:r w:rsidR="00934485">
        <w:rPr>
          <w:rFonts w:ascii="Arial" w:hAnsi="Arial" w:cs="Arial"/>
          <w:lang w:val="cs-CZ"/>
        </w:rPr>
        <w:t>využití krajiny a lesnictví) ani emise z mezinárodní námořní dopravy.</w:t>
      </w:r>
      <w:r w:rsidR="00283909">
        <w:rPr>
          <w:rFonts w:ascii="Arial" w:hAnsi="Arial" w:cs="Arial"/>
          <w:lang w:val="cs-CZ"/>
        </w:rPr>
        <w:t xml:space="preserve"> Zahrnuje však emise z mezinárodní letecké dopravy.</w:t>
      </w:r>
      <w:r w:rsidR="00934485">
        <w:rPr>
          <w:rFonts w:ascii="Arial" w:hAnsi="Arial" w:cs="Arial"/>
          <w:lang w:val="cs-CZ"/>
        </w:rPr>
        <w:t xml:space="preserve"> Emise CO</w:t>
      </w:r>
      <w:r w:rsidR="00934485">
        <w:rPr>
          <w:rFonts w:ascii="Arial" w:hAnsi="Arial" w:cs="Arial"/>
          <w:vertAlign w:val="subscript"/>
          <w:lang w:val="cs-CZ"/>
        </w:rPr>
        <w:t xml:space="preserve">2 </w:t>
      </w:r>
      <w:r w:rsidR="00934485">
        <w:rPr>
          <w:rFonts w:ascii="Arial" w:hAnsi="Arial" w:cs="Arial"/>
          <w:lang w:val="cs-CZ"/>
        </w:rPr>
        <w:t>z biomasy</w:t>
      </w:r>
      <w:r w:rsidRPr="00355FFB">
        <w:rPr>
          <w:rFonts w:ascii="Arial" w:hAnsi="Arial" w:cs="Arial"/>
          <w:lang w:val="cs-CZ"/>
        </w:rPr>
        <w:t xml:space="preserve"> s rekuperací energie jsou vykazovány jako položka memoranda podle směrnice UNFCCC (tj. Rámcové úmluvy OSN o změně klimatu) a nejsou zahrnuty v celkových součtech skleníkových plynů za stát. EU jako celek je zavázána k nejméně 20% snížení svých emisí skleníkových plynů do roku 2020 oproti roku 1990. Tento cíl zahrnuje: 21% snížení emisí ze sektorů pokrytých schématem obchodování s emisními povolenkami (EU ETS) do roku 2020 oproti roku 2005 a 10% snížení emisí sektorů mimo EU ETS. K dosažení tohoto 10% celkového cíle každá členská země odsouhlasila limity emisí skleníkových plynů (které jsou specifické pro každou zemi) pro rok 2020 oproti roku 2005 (Rozhodnutí EP a Rady č. 406/2009/ES). Zdroj dat: Evropská agentura pro životní prostředí (EEA).</w:t>
      </w: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930F7A" w:rsidRPr="00355FFB" w:rsidRDefault="00930F7A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>-</w:t>
      </w:r>
      <w:r w:rsidR="004604E8" w:rsidRPr="00355FFB">
        <w:rPr>
          <w:rFonts w:ascii="Arial" w:hAnsi="Arial" w:cs="Arial"/>
          <w:lang w:val="cs-CZ"/>
        </w:rPr>
        <w:t>1</w:t>
      </w:r>
      <w:r w:rsidR="004604E8">
        <w:rPr>
          <w:rFonts w:ascii="Arial" w:hAnsi="Arial" w:cs="Arial"/>
          <w:lang w:val="cs-CZ"/>
        </w:rPr>
        <w:t>8</w:t>
      </w:r>
      <w:r w:rsidRPr="00355FFB">
        <w:rPr>
          <w:rFonts w:ascii="Arial" w:hAnsi="Arial" w:cs="Arial"/>
          <w:lang w:val="cs-CZ"/>
        </w:rPr>
        <w:t xml:space="preserve">. </w:t>
      </w:r>
      <w:r w:rsidRPr="00355FFB">
        <w:rPr>
          <w:rFonts w:ascii="Arial" w:hAnsi="Arial" w:cs="Arial"/>
          <w:b/>
          <w:lang w:val="cs-CZ"/>
        </w:rPr>
        <w:t>Produkce komunálních odpadů</w:t>
      </w:r>
    </w:p>
    <w:p w:rsidR="00241138" w:rsidRPr="00355FFB" w:rsidRDefault="0095400A" w:rsidP="005E759C">
      <w:pPr>
        <w:spacing w:before="120"/>
        <w:ind w:firstLine="709"/>
        <w:jc w:val="both"/>
        <w:rPr>
          <w:rFonts w:ascii="Arial" w:hAnsi="Arial" w:cs="Arial"/>
          <w:color w:val="000000"/>
          <w:lang w:val="cs-CZ"/>
        </w:rPr>
      </w:pPr>
      <w:r w:rsidRPr="00355FFB">
        <w:rPr>
          <w:rFonts w:ascii="Arial" w:hAnsi="Arial" w:cs="Arial"/>
          <w:color w:val="000000"/>
          <w:lang w:val="cs-CZ"/>
        </w:rPr>
        <w:t>Komunální odpad je tvořen do značné míry odpadem produkovaným domácnostmi, ale může zahrnovat také podobné odpady produkované malými podniky a veřejnými institucemi shromažďované obcemi; tato část komunálního odpadu může být v různých obcích a státech odlišná v závislosti na místním systému nakládání s odpady. U oblastí, které nejsou pokryty systémem sběru komunálního odpadu, se množství vyprodukovaného komunálního odpadu odhaduje.</w:t>
      </w: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95400A" w:rsidP="00241138">
      <w:pPr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>-</w:t>
      </w:r>
      <w:r w:rsidR="004604E8" w:rsidRPr="00355FFB">
        <w:rPr>
          <w:rFonts w:ascii="Arial" w:hAnsi="Arial" w:cs="Arial"/>
          <w:lang w:val="cs-CZ"/>
        </w:rPr>
        <w:t>1</w:t>
      </w:r>
      <w:r w:rsidR="004604E8">
        <w:rPr>
          <w:rFonts w:ascii="Arial" w:hAnsi="Arial" w:cs="Arial"/>
          <w:lang w:val="cs-CZ"/>
        </w:rPr>
        <w:t>9</w:t>
      </w:r>
      <w:r w:rsidRPr="00355FFB">
        <w:rPr>
          <w:rFonts w:ascii="Arial" w:hAnsi="Arial" w:cs="Arial"/>
          <w:lang w:val="cs-CZ"/>
        </w:rPr>
        <w:t xml:space="preserve">. </w:t>
      </w:r>
      <w:r w:rsidRPr="00355FFB">
        <w:rPr>
          <w:rFonts w:ascii="Arial" w:hAnsi="Arial" w:cs="Arial"/>
          <w:b/>
          <w:lang w:val="cs-CZ"/>
        </w:rPr>
        <w:t>Energetická náročnost hospodářství</w:t>
      </w:r>
    </w:p>
    <w:p w:rsidR="00241138" w:rsidRPr="00355FFB" w:rsidRDefault="0095400A" w:rsidP="00241138">
      <w:pPr>
        <w:spacing w:before="120"/>
        <w:ind w:firstLine="709"/>
        <w:jc w:val="both"/>
        <w:rPr>
          <w:rFonts w:ascii="Arial" w:hAnsi="Arial" w:cs="Arial"/>
          <w:color w:val="000000"/>
          <w:lang w:val="cs-CZ"/>
        </w:rPr>
      </w:pPr>
      <w:r w:rsidRPr="00355FFB">
        <w:rPr>
          <w:rFonts w:ascii="Arial" w:hAnsi="Arial" w:cs="Arial"/>
          <w:color w:val="000000"/>
          <w:lang w:val="cs-CZ"/>
        </w:rPr>
        <w:t xml:space="preserve">Ukazatel je podílem mezi hrubou spotřebou energie v zemi a hrubým domácím produktem </w:t>
      </w:r>
      <w:r w:rsidRPr="00355FFB">
        <w:rPr>
          <w:rFonts w:ascii="Arial" w:hAnsi="Arial" w:cs="Arial"/>
          <w:color w:val="000000"/>
          <w:lang w:val="cs-CZ"/>
        </w:rPr>
        <w:lastRenderedPageBreak/>
        <w:t>(HDP) za daný kalendářní rok. Měří energetickou spotřebu ekonomiky a její celkovou energetickou účinnost. Hrubá spotřeba energie v zemi je počítána jako součet hrubé spotřeby pěti druhů paliv a energie v zemi: uhlí, elektřiny, kapalných paliv, zemního plynu a obnovitelných zdrojů energie. Údaje o HDP jsou brány ve zřetězených objemech, referenčním rokem je rok 2005. Energetická náročnost je určena podílem hrubé spotřeby energie v zemi a HDP. Protože je hrubá spotřeba energie v zemi měřena v kgoe (kilogram ropného ekvivalentu) a HDP v 1 000 EUR, tento podíl se udává v kgoe na 1 000 EUR.</w:t>
      </w: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355FFB" w:rsidRDefault="0095400A" w:rsidP="00963A70">
      <w:pPr>
        <w:widowControl/>
        <w:ind w:left="709" w:hanging="709"/>
        <w:jc w:val="both"/>
        <w:rPr>
          <w:rFonts w:ascii="Arial" w:hAnsi="Arial" w:cs="Arial"/>
          <w:lang w:val="cs-CZ"/>
        </w:rPr>
      </w:pPr>
      <w:bookmarkStart w:id="0" w:name="OLE_LINK1"/>
      <w:r w:rsidRPr="00355FFB">
        <w:rPr>
          <w:rFonts w:ascii="Arial" w:hAnsi="Arial" w:cs="Arial"/>
          <w:lang w:val="cs-CZ"/>
        </w:rPr>
        <w:t xml:space="preserve">Tab. </w:t>
      </w:r>
      <w:r w:rsidRPr="00355FFB">
        <w:rPr>
          <w:rFonts w:ascii="Arial" w:hAnsi="Arial" w:cs="Arial"/>
          <w:b/>
          <w:lang w:val="cs-CZ"/>
        </w:rPr>
        <w:t>28</w:t>
      </w:r>
      <w:r w:rsidRPr="00355FFB">
        <w:rPr>
          <w:rFonts w:ascii="Arial" w:hAnsi="Arial" w:cs="Arial"/>
          <w:lang w:val="cs-CZ"/>
        </w:rPr>
        <w:t>-</w:t>
      </w:r>
      <w:r w:rsidR="004604E8">
        <w:rPr>
          <w:rFonts w:ascii="Arial" w:hAnsi="Arial" w:cs="Arial"/>
          <w:lang w:val="cs-CZ"/>
        </w:rPr>
        <w:t>20</w:t>
      </w:r>
      <w:r w:rsidRPr="00355FFB">
        <w:rPr>
          <w:rFonts w:ascii="Arial" w:hAnsi="Arial" w:cs="Arial"/>
          <w:lang w:val="cs-CZ"/>
        </w:rPr>
        <w:t xml:space="preserve">. </w:t>
      </w:r>
      <w:r w:rsidRPr="00355FFB">
        <w:rPr>
          <w:rFonts w:ascii="Arial" w:hAnsi="Arial" w:cs="Arial"/>
          <w:b/>
          <w:lang w:val="cs-CZ"/>
        </w:rPr>
        <w:t>Podíl elektřiny vyrobené z obnovitelných zdrojů</w:t>
      </w:r>
      <w:r w:rsidR="003C439A">
        <w:rPr>
          <w:rFonts w:ascii="Arial" w:hAnsi="Arial" w:cs="Arial"/>
          <w:b/>
          <w:lang w:val="cs-CZ"/>
        </w:rPr>
        <w:t xml:space="preserve"> energie</w:t>
      </w:r>
      <w:r w:rsidRPr="00355FFB">
        <w:rPr>
          <w:rFonts w:ascii="Arial" w:hAnsi="Arial" w:cs="Arial"/>
          <w:b/>
          <w:lang w:val="cs-CZ"/>
        </w:rPr>
        <w:t xml:space="preserve"> na hrubé spotřebě elektřiny</w:t>
      </w:r>
      <w:bookmarkEnd w:id="0"/>
    </w:p>
    <w:p w:rsidR="00241138" w:rsidRPr="00595F69" w:rsidRDefault="0095400A" w:rsidP="00241138">
      <w:pPr>
        <w:spacing w:before="120"/>
        <w:ind w:firstLine="709"/>
        <w:jc w:val="both"/>
        <w:rPr>
          <w:rFonts w:ascii="Arial" w:hAnsi="Arial" w:cs="Arial"/>
          <w:lang w:val="cs-CZ"/>
        </w:rPr>
      </w:pPr>
      <w:r w:rsidRPr="00355FFB">
        <w:rPr>
          <w:rFonts w:ascii="Arial" w:hAnsi="Arial" w:cs="Arial"/>
          <w:lang w:val="cs-CZ"/>
        </w:rPr>
        <w:t>Tento ukazatel je poměrem mezi elektřinou vyrobenou z obnovitelných zdrojů</w:t>
      </w:r>
      <w:r w:rsidR="002E7A00">
        <w:rPr>
          <w:rFonts w:ascii="Arial" w:hAnsi="Arial" w:cs="Arial"/>
          <w:lang w:val="cs-CZ"/>
        </w:rPr>
        <w:t xml:space="preserve"> energie</w:t>
      </w:r>
      <w:r w:rsidRPr="00355FFB">
        <w:rPr>
          <w:rFonts w:ascii="Arial" w:hAnsi="Arial" w:cs="Arial"/>
          <w:lang w:val="cs-CZ"/>
        </w:rPr>
        <w:t xml:space="preserve"> a hrubou spotřebou elektřiny v zemi za daný kalendářní rok. Měří podíl elektřiny vyrobené z obnovitelných zdrojů</w:t>
      </w:r>
      <w:r w:rsidR="002E7A00">
        <w:rPr>
          <w:rFonts w:ascii="Arial" w:hAnsi="Arial" w:cs="Arial"/>
          <w:lang w:val="cs-CZ"/>
        </w:rPr>
        <w:t xml:space="preserve"> energie</w:t>
      </w:r>
      <w:r w:rsidRPr="00355FFB">
        <w:rPr>
          <w:rFonts w:ascii="Arial" w:hAnsi="Arial" w:cs="Arial"/>
          <w:lang w:val="cs-CZ"/>
        </w:rPr>
        <w:t xml:space="preserve"> na spotřebě elektřiny v zemi. Elektřina vyrobená z obnovitelných zdrojů</w:t>
      </w:r>
      <w:r w:rsidR="002E7A00">
        <w:rPr>
          <w:rFonts w:ascii="Arial" w:hAnsi="Arial" w:cs="Arial"/>
          <w:lang w:val="cs-CZ"/>
        </w:rPr>
        <w:t xml:space="preserve"> energie</w:t>
      </w:r>
      <w:r w:rsidRPr="00355FFB">
        <w:rPr>
          <w:rFonts w:ascii="Arial" w:hAnsi="Arial" w:cs="Arial"/>
          <w:lang w:val="cs-CZ"/>
        </w:rPr>
        <w:t xml:space="preserve"> sestává z výroby elektřiny ve vodních elektrárnách (kromě přečerpávacích), větrných, solárních a geotermálních a elektřiny z biomasy/odpadů. Hrubá spotřeba elektřiny v zemi se skládá z celkové hrubé výroby elektřiny v zemi ze všech paliv (včetně domácí výroby), plus dovoz, minus vývoz elektřiny.</w:t>
      </w:r>
    </w:p>
    <w:p w:rsidR="00241138" w:rsidRPr="00595F69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595F69" w:rsidRDefault="00241138" w:rsidP="00241138">
      <w:pPr>
        <w:jc w:val="both"/>
        <w:rPr>
          <w:rFonts w:ascii="Arial" w:hAnsi="Arial" w:cs="Arial"/>
          <w:lang w:val="cs-CZ"/>
        </w:rPr>
      </w:pPr>
    </w:p>
    <w:p w:rsidR="00241138" w:rsidRPr="00595F69" w:rsidRDefault="00241138" w:rsidP="00241138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center"/>
        <w:rPr>
          <w:rFonts w:ascii="Arial" w:hAnsi="Arial" w:cs="Arial"/>
          <w:lang w:val="cs-CZ"/>
        </w:rPr>
      </w:pPr>
      <w:r w:rsidRPr="00595F69">
        <w:rPr>
          <w:rFonts w:ascii="Arial" w:hAnsi="Arial" w:cs="Arial"/>
          <w:lang w:val="cs-CZ"/>
        </w:rPr>
        <w:t>*          *          *</w:t>
      </w:r>
    </w:p>
    <w:p w:rsidR="00241138" w:rsidRPr="00595F69" w:rsidRDefault="00241138" w:rsidP="00241138">
      <w:pPr>
        <w:pStyle w:val="Textkomente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241138" w:rsidRPr="00595F69" w:rsidRDefault="00241138" w:rsidP="00241138">
      <w:pPr>
        <w:pStyle w:val="Textkomente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lang w:val="cs-CZ"/>
        </w:rPr>
      </w:pPr>
    </w:p>
    <w:p w:rsidR="00241138" w:rsidRPr="00595F69" w:rsidRDefault="00264F33" w:rsidP="003E3AB3">
      <w:pPr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Další informace jsou dostupné</w:t>
      </w:r>
      <w:r w:rsidR="00241138" w:rsidRPr="00595F69">
        <w:rPr>
          <w:rFonts w:ascii="Arial" w:hAnsi="Arial" w:cs="Arial"/>
          <w:lang w:val="cs-CZ"/>
        </w:rPr>
        <w:t xml:space="preserve"> na </w:t>
      </w:r>
      <w:r>
        <w:rPr>
          <w:rFonts w:ascii="Arial" w:hAnsi="Arial" w:cs="Arial"/>
          <w:lang w:val="cs-CZ"/>
        </w:rPr>
        <w:t xml:space="preserve">internetových </w:t>
      </w:r>
      <w:r w:rsidR="00241138" w:rsidRPr="00595F69">
        <w:rPr>
          <w:rFonts w:ascii="Arial" w:hAnsi="Arial" w:cs="Arial"/>
          <w:lang w:val="cs-CZ"/>
        </w:rPr>
        <w:t>stránkách Českého statistického úřadu:</w:t>
      </w:r>
    </w:p>
    <w:p w:rsidR="00241138" w:rsidRDefault="00241138" w:rsidP="00241138">
      <w:pPr>
        <w:spacing w:before="120"/>
        <w:jc w:val="both"/>
        <w:rPr>
          <w:rFonts w:ascii="Arial" w:hAnsi="Arial" w:cs="Arial"/>
          <w:lang w:val="cs-CZ"/>
        </w:rPr>
      </w:pPr>
      <w:r w:rsidRPr="00595F69">
        <w:rPr>
          <w:rFonts w:ascii="Arial" w:hAnsi="Arial" w:cs="Arial"/>
          <w:lang w:val="cs-CZ"/>
        </w:rPr>
        <w:t>– </w:t>
      </w:r>
      <w:hyperlink r:id="rId5" w:history="1">
        <w:r w:rsidR="00610F2C" w:rsidRPr="006C79F4">
          <w:rPr>
            <w:rStyle w:val="Hypertextovodkaz"/>
            <w:rFonts w:ascii="Arial" w:hAnsi="Arial" w:cs="Arial"/>
            <w:lang w:val="cs-CZ"/>
          </w:rPr>
          <w:t>www.czso.cz/csu/redakce.nsf/i/evropska_data_esds</w:t>
        </w:r>
      </w:hyperlink>
      <w:r w:rsidR="00610F2C">
        <w:rPr>
          <w:rFonts w:ascii="Arial" w:hAnsi="Arial" w:cs="Arial"/>
          <w:lang w:val="cs-CZ"/>
        </w:rPr>
        <w:t xml:space="preserve"> </w:t>
      </w:r>
    </w:p>
    <w:p w:rsidR="00E71CE0" w:rsidRDefault="00E71CE0" w:rsidP="00E71CE0">
      <w:pPr>
        <w:jc w:val="both"/>
        <w:rPr>
          <w:rFonts w:ascii="Arial" w:hAnsi="Arial" w:cs="Arial"/>
          <w:lang w:val="cs-CZ"/>
        </w:rPr>
      </w:pPr>
    </w:p>
    <w:p w:rsidR="00A5373F" w:rsidRDefault="00264F33">
      <w:pPr>
        <w:jc w:val="both"/>
        <w:rPr>
          <w:rFonts w:ascii="Arial" w:eastAsia="Arial Unicode MS" w:hAnsi="Arial" w:cs="Arial"/>
          <w:iCs/>
          <w:lang w:val="cs-CZ"/>
        </w:rPr>
      </w:pPr>
      <w:r w:rsidRPr="00595F69">
        <w:rPr>
          <w:rFonts w:ascii="Arial" w:eastAsia="Arial Unicode MS" w:hAnsi="Arial" w:cs="Arial"/>
          <w:iCs/>
          <w:lang w:val="cs-CZ"/>
        </w:rPr>
        <w:t>– </w:t>
      </w:r>
      <w:hyperlink r:id="rId6" w:history="1">
        <w:r w:rsidR="00610F2C" w:rsidRPr="006C79F4">
          <w:rPr>
            <w:rStyle w:val="Hypertextovodkaz"/>
            <w:rFonts w:ascii="Arial" w:eastAsia="Arial Unicode MS" w:hAnsi="Arial" w:cs="Arial"/>
            <w:iCs/>
            <w:lang w:val="cs-CZ"/>
          </w:rPr>
          <w:t>apl.czso.cz/ode/index.htm</w:t>
        </w:r>
      </w:hyperlink>
      <w:r w:rsidR="00610F2C">
        <w:rPr>
          <w:rFonts w:ascii="Arial" w:eastAsia="Arial Unicode MS" w:hAnsi="Arial" w:cs="Arial"/>
          <w:iCs/>
          <w:lang w:val="cs-CZ"/>
        </w:rPr>
        <w:t xml:space="preserve"> </w:t>
      </w:r>
      <w:r w:rsidR="00DF32E4">
        <w:rPr>
          <w:rFonts w:ascii="Arial" w:eastAsia="Arial Unicode MS" w:hAnsi="Arial" w:cs="Arial"/>
          <w:iCs/>
          <w:lang w:val="cs-CZ"/>
        </w:rPr>
        <w:t>(</w:t>
      </w:r>
      <w:r w:rsidR="00DF32E4" w:rsidRPr="00595F69">
        <w:rPr>
          <w:rFonts w:ascii="Arial" w:hAnsi="Arial" w:cs="Arial"/>
          <w:lang w:val="cs-CZ"/>
        </w:rPr>
        <w:t>předdefinované tabulky Eurostatu v českém jazyce</w:t>
      </w:r>
      <w:r w:rsidR="00DF32E4">
        <w:rPr>
          <w:rFonts w:ascii="Arial" w:hAnsi="Arial" w:cs="Arial"/>
          <w:lang w:val="cs-CZ"/>
        </w:rPr>
        <w:t>)</w:t>
      </w:r>
    </w:p>
    <w:p w:rsidR="003E3AB3" w:rsidRPr="00595F69" w:rsidRDefault="003E3AB3" w:rsidP="003E3AB3">
      <w:pPr>
        <w:jc w:val="both"/>
        <w:rPr>
          <w:rFonts w:ascii="Arial" w:hAnsi="Arial" w:cs="Arial"/>
          <w:lang w:val="cs-CZ"/>
        </w:rPr>
      </w:pPr>
    </w:p>
    <w:p w:rsidR="00241138" w:rsidRPr="00595F69" w:rsidRDefault="00241138" w:rsidP="003E3AB3">
      <w:pPr>
        <w:ind w:firstLine="709"/>
        <w:jc w:val="both"/>
        <w:rPr>
          <w:rFonts w:ascii="Arial" w:hAnsi="Arial" w:cs="Arial"/>
          <w:lang w:val="cs-CZ"/>
        </w:rPr>
      </w:pPr>
      <w:r w:rsidRPr="00595F69">
        <w:rPr>
          <w:rFonts w:ascii="Arial" w:hAnsi="Arial" w:cs="Arial"/>
          <w:lang w:val="cs-CZ"/>
        </w:rPr>
        <w:t>Kompletní databázi ukazatelů evropského srovnání zveřejňuje na svých stránkách Eurostat:</w:t>
      </w:r>
    </w:p>
    <w:p w:rsidR="00241138" w:rsidRPr="00595F69" w:rsidRDefault="00241138" w:rsidP="00BA70D1">
      <w:pPr>
        <w:spacing w:before="120"/>
        <w:jc w:val="both"/>
        <w:rPr>
          <w:rFonts w:ascii="Arial" w:hAnsi="Arial" w:cs="Arial"/>
          <w:lang w:val="cs-CZ"/>
        </w:rPr>
      </w:pPr>
      <w:r w:rsidRPr="00595F69">
        <w:rPr>
          <w:rFonts w:ascii="Arial" w:hAnsi="Arial" w:cs="Arial"/>
          <w:lang w:val="cs-CZ"/>
        </w:rPr>
        <w:t>– </w:t>
      </w:r>
      <w:proofErr w:type="spellStart"/>
      <w:r w:rsidR="00702706">
        <w:rPr>
          <w:rFonts w:ascii="Arial" w:hAnsi="Arial" w:cs="Arial"/>
          <w:lang w:val="cs-CZ"/>
        </w:rPr>
        <w:fldChar w:fldCharType="begin"/>
      </w:r>
      <w:r w:rsidR="00610F2C">
        <w:rPr>
          <w:rFonts w:ascii="Arial" w:hAnsi="Arial" w:cs="Arial"/>
          <w:lang w:val="cs-CZ"/>
        </w:rPr>
        <w:instrText xml:space="preserve"> HYPERLINK "</w:instrText>
      </w:r>
      <w:r w:rsidR="00610F2C" w:rsidRPr="00610F2C">
        <w:rPr>
          <w:rFonts w:ascii="Arial" w:hAnsi="Arial" w:cs="Arial"/>
          <w:lang w:val="cs-CZ"/>
        </w:rPr>
        <w:instrText>http://epp.eurostat.ec.europa.eu/portal/page/portal/eurostat/home</w:instrText>
      </w:r>
      <w:r w:rsidR="00610F2C">
        <w:rPr>
          <w:rFonts w:ascii="Arial" w:hAnsi="Arial" w:cs="Arial"/>
          <w:lang w:val="cs-CZ"/>
        </w:rPr>
        <w:instrText xml:space="preserve">" </w:instrText>
      </w:r>
      <w:r w:rsidR="00702706">
        <w:rPr>
          <w:rFonts w:ascii="Arial" w:hAnsi="Arial" w:cs="Arial"/>
          <w:lang w:val="cs-CZ"/>
        </w:rPr>
        <w:fldChar w:fldCharType="separate"/>
      </w:r>
      <w:r w:rsidR="00610F2C" w:rsidRPr="006C79F4">
        <w:rPr>
          <w:rStyle w:val="Hypertextovodkaz"/>
          <w:rFonts w:ascii="Arial" w:hAnsi="Arial" w:cs="Arial"/>
          <w:lang w:val="cs-CZ"/>
        </w:rPr>
        <w:t>epp.eurostat.ec.europa.eu</w:t>
      </w:r>
      <w:proofErr w:type="spellEnd"/>
      <w:r w:rsidR="00610F2C" w:rsidRPr="006C79F4">
        <w:rPr>
          <w:rStyle w:val="Hypertextovodkaz"/>
          <w:rFonts w:ascii="Arial" w:hAnsi="Arial" w:cs="Arial"/>
          <w:lang w:val="cs-CZ"/>
        </w:rPr>
        <w:t>/</w:t>
      </w:r>
      <w:proofErr w:type="spellStart"/>
      <w:r w:rsidR="00610F2C" w:rsidRPr="006C79F4">
        <w:rPr>
          <w:rStyle w:val="Hypertextovodkaz"/>
          <w:rFonts w:ascii="Arial" w:hAnsi="Arial" w:cs="Arial"/>
          <w:lang w:val="cs-CZ"/>
        </w:rPr>
        <w:t>portal</w:t>
      </w:r>
      <w:proofErr w:type="spellEnd"/>
      <w:r w:rsidR="00610F2C" w:rsidRPr="006C79F4">
        <w:rPr>
          <w:rStyle w:val="Hypertextovodkaz"/>
          <w:rFonts w:ascii="Arial" w:hAnsi="Arial" w:cs="Arial"/>
          <w:lang w:val="cs-CZ"/>
        </w:rPr>
        <w:t>/</w:t>
      </w:r>
      <w:proofErr w:type="spellStart"/>
      <w:r w:rsidR="00610F2C" w:rsidRPr="006C79F4">
        <w:rPr>
          <w:rStyle w:val="Hypertextovodkaz"/>
          <w:rFonts w:ascii="Arial" w:hAnsi="Arial" w:cs="Arial"/>
          <w:lang w:val="cs-CZ"/>
        </w:rPr>
        <w:t>page</w:t>
      </w:r>
      <w:proofErr w:type="spellEnd"/>
      <w:r w:rsidR="00610F2C" w:rsidRPr="006C79F4">
        <w:rPr>
          <w:rStyle w:val="Hypertextovodkaz"/>
          <w:rFonts w:ascii="Arial" w:hAnsi="Arial" w:cs="Arial"/>
          <w:lang w:val="cs-CZ"/>
        </w:rPr>
        <w:t>/</w:t>
      </w:r>
      <w:proofErr w:type="spellStart"/>
      <w:r w:rsidR="00610F2C" w:rsidRPr="006C79F4">
        <w:rPr>
          <w:rStyle w:val="Hypertextovodkaz"/>
          <w:rFonts w:ascii="Arial" w:hAnsi="Arial" w:cs="Arial"/>
          <w:lang w:val="cs-CZ"/>
        </w:rPr>
        <w:t>portal</w:t>
      </w:r>
      <w:proofErr w:type="spellEnd"/>
      <w:r w:rsidR="00610F2C" w:rsidRPr="006C79F4">
        <w:rPr>
          <w:rStyle w:val="Hypertextovodkaz"/>
          <w:rFonts w:ascii="Arial" w:hAnsi="Arial" w:cs="Arial"/>
          <w:lang w:val="cs-CZ"/>
        </w:rPr>
        <w:t>/</w:t>
      </w:r>
      <w:proofErr w:type="spellStart"/>
      <w:r w:rsidR="00610F2C" w:rsidRPr="006C79F4">
        <w:rPr>
          <w:rStyle w:val="Hypertextovodkaz"/>
          <w:rFonts w:ascii="Arial" w:hAnsi="Arial" w:cs="Arial"/>
          <w:lang w:val="cs-CZ"/>
        </w:rPr>
        <w:t>eurostat</w:t>
      </w:r>
      <w:proofErr w:type="spellEnd"/>
      <w:r w:rsidR="00610F2C" w:rsidRPr="006C79F4">
        <w:rPr>
          <w:rStyle w:val="Hypertextovodkaz"/>
          <w:rFonts w:ascii="Arial" w:hAnsi="Arial" w:cs="Arial"/>
          <w:lang w:val="cs-CZ"/>
        </w:rPr>
        <w:t>/</w:t>
      </w:r>
      <w:proofErr w:type="spellStart"/>
      <w:r w:rsidR="00610F2C" w:rsidRPr="006C79F4">
        <w:rPr>
          <w:rStyle w:val="Hypertextovodkaz"/>
          <w:rFonts w:ascii="Arial" w:hAnsi="Arial" w:cs="Arial"/>
          <w:lang w:val="cs-CZ"/>
        </w:rPr>
        <w:t>home</w:t>
      </w:r>
      <w:proofErr w:type="spellEnd"/>
      <w:r w:rsidR="00702706">
        <w:rPr>
          <w:rFonts w:ascii="Arial" w:hAnsi="Arial" w:cs="Arial"/>
          <w:lang w:val="cs-CZ"/>
        </w:rPr>
        <w:fldChar w:fldCharType="end"/>
      </w:r>
      <w:r w:rsidR="00610F2C">
        <w:rPr>
          <w:rFonts w:ascii="Arial" w:hAnsi="Arial" w:cs="Arial"/>
          <w:lang w:val="cs-CZ"/>
        </w:rPr>
        <w:t xml:space="preserve"> </w:t>
      </w:r>
    </w:p>
    <w:sectPr w:rsidR="00241138" w:rsidRPr="00595F69" w:rsidSect="0001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4" w:checkStyle="1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2ED"/>
    <w:rsid w:val="00001974"/>
    <w:rsid w:val="00002549"/>
    <w:rsid w:val="00003811"/>
    <w:rsid w:val="00003817"/>
    <w:rsid w:val="0000551D"/>
    <w:rsid w:val="000113BE"/>
    <w:rsid w:val="00016978"/>
    <w:rsid w:val="00020724"/>
    <w:rsid w:val="0002487A"/>
    <w:rsid w:val="00024C5C"/>
    <w:rsid w:val="000251BE"/>
    <w:rsid w:val="000309B9"/>
    <w:rsid w:val="00030CE5"/>
    <w:rsid w:val="00036678"/>
    <w:rsid w:val="00036B3D"/>
    <w:rsid w:val="0004407A"/>
    <w:rsid w:val="000506BF"/>
    <w:rsid w:val="000555F1"/>
    <w:rsid w:val="00063493"/>
    <w:rsid w:val="000801A2"/>
    <w:rsid w:val="00083A4B"/>
    <w:rsid w:val="000A1C72"/>
    <w:rsid w:val="000A4470"/>
    <w:rsid w:val="000A44CB"/>
    <w:rsid w:val="000A5BE4"/>
    <w:rsid w:val="000A64A9"/>
    <w:rsid w:val="000A68C7"/>
    <w:rsid w:val="000A7C0E"/>
    <w:rsid w:val="000B3F9D"/>
    <w:rsid w:val="000B436A"/>
    <w:rsid w:val="000C5C62"/>
    <w:rsid w:val="000D0C03"/>
    <w:rsid w:val="000E2337"/>
    <w:rsid w:val="000E2351"/>
    <w:rsid w:val="000E4B29"/>
    <w:rsid w:val="000E51C9"/>
    <w:rsid w:val="000F065D"/>
    <w:rsid w:val="000F0CD7"/>
    <w:rsid w:val="000F1022"/>
    <w:rsid w:val="000F24A6"/>
    <w:rsid w:val="000F263F"/>
    <w:rsid w:val="000F3FCE"/>
    <w:rsid w:val="000F744B"/>
    <w:rsid w:val="00100402"/>
    <w:rsid w:val="00102358"/>
    <w:rsid w:val="0010381A"/>
    <w:rsid w:val="00113DED"/>
    <w:rsid w:val="00121B74"/>
    <w:rsid w:val="00123253"/>
    <w:rsid w:val="00124FE0"/>
    <w:rsid w:val="00127EAC"/>
    <w:rsid w:val="00133FBF"/>
    <w:rsid w:val="00134888"/>
    <w:rsid w:val="001377A0"/>
    <w:rsid w:val="00141792"/>
    <w:rsid w:val="00147325"/>
    <w:rsid w:val="00147828"/>
    <w:rsid w:val="00160630"/>
    <w:rsid w:val="0016081D"/>
    <w:rsid w:val="00164DAB"/>
    <w:rsid w:val="0016527C"/>
    <w:rsid w:val="00167AEC"/>
    <w:rsid w:val="0017415C"/>
    <w:rsid w:val="00177763"/>
    <w:rsid w:val="00186DF5"/>
    <w:rsid w:val="001964BD"/>
    <w:rsid w:val="001A0477"/>
    <w:rsid w:val="001A088A"/>
    <w:rsid w:val="001B4712"/>
    <w:rsid w:val="001D381D"/>
    <w:rsid w:val="001D3F5D"/>
    <w:rsid w:val="001D4020"/>
    <w:rsid w:val="001D4FD4"/>
    <w:rsid w:val="001D7B96"/>
    <w:rsid w:val="001E0778"/>
    <w:rsid w:val="001E2AF8"/>
    <w:rsid w:val="001E4505"/>
    <w:rsid w:val="001E48AE"/>
    <w:rsid w:val="001E495A"/>
    <w:rsid w:val="001E5C71"/>
    <w:rsid w:val="001E6A57"/>
    <w:rsid w:val="002045BD"/>
    <w:rsid w:val="0020507C"/>
    <w:rsid w:val="00211E46"/>
    <w:rsid w:val="00212235"/>
    <w:rsid w:val="00212753"/>
    <w:rsid w:val="002128F4"/>
    <w:rsid w:val="00213B2A"/>
    <w:rsid w:val="00213BDD"/>
    <w:rsid w:val="00216340"/>
    <w:rsid w:val="00216983"/>
    <w:rsid w:val="00217002"/>
    <w:rsid w:val="002216AD"/>
    <w:rsid w:val="0022521F"/>
    <w:rsid w:val="00225399"/>
    <w:rsid w:val="0023145C"/>
    <w:rsid w:val="00236368"/>
    <w:rsid w:val="002409D3"/>
    <w:rsid w:val="00241138"/>
    <w:rsid w:val="002543FA"/>
    <w:rsid w:val="00257421"/>
    <w:rsid w:val="00260DEC"/>
    <w:rsid w:val="00260F84"/>
    <w:rsid w:val="0026279D"/>
    <w:rsid w:val="0026334C"/>
    <w:rsid w:val="00264000"/>
    <w:rsid w:val="00264B73"/>
    <w:rsid w:val="00264BFE"/>
    <w:rsid w:val="00264F33"/>
    <w:rsid w:val="002753E3"/>
    <w:rsid w:val="00283909"/>
    <w:rsid w:val="002864E4"/>
    <w:rsid w:val="00287050"/>
    <w:rsid w:val="002911D4"/>
    <w:rsid w:val="00292F3B"/>
    <w:rsid w:val="0029568A"/>
    <w:rsid w:val="00295FE2"/>
    <w:rsid w:val="002979CD"/>
    <w:rsid w:val="002A0B4C"/>
    <w:rsid w:val="002A342C"/>
    <w:rsid w:val="002A4558"/>
    <w:rsid w:val="002A4776"/>
    <w:rsid w:val="002A7DE0"/>
    <w:rsid w:val="002B0FD6"/>
    <w:rsid w:val="002C3511"/>
    <w:rsid w:val="002C4F0A"/>
    <w:rsid w:val="002D1446"/>
    <w:rsid w:val="002D4923"/>
    <w:rsid w:val="002D6EDE"/>
    <w:rsid w:val="002E4464"/>
    <w:rsid w:val="002E4BE3"/>
    <w:rsid w:val="002E52A4"/>
    <w:rsid w:val="002E7A00"/>
    <w:rsid w:val="002E7B73"/>
    <w:rsid w:val="00302307"/>
    <w:rsid w:val="003077EB"/>
    <w:rsid w:val="00307C87"/>
    <w:rsid w:val="00310188"/>
    <w:rsid w:val="0031201C"/>
    <w:rsid w:val="0031318F"/>
    <w:rsid w:val="00320813"/>
    <w:rsid w:val="00322262"/>
    <w:rsid w:val="003226E9"/>
    <w:rsid w:val="00322EC6"/>
    <w:rsid w:val="003235F4"/>
    <w:rsid w:val="00326348"/>
    <w:rsid w:val="003279FB"/>
    <w:rsid w:val="00327F1D"/>
    <w:rsid w:val="00341553"/>
    <w:rsid w:val="0034344A"/>
    <w:rsid w:val="00345878"/>
    <w:rsid w:val="003459A9"/>
    <w:rsid w:val="003500EE"/>
    <w:rsid w:val="003544B7"/>
    <w:rsid w:val="00355985"/>
    <w:rsid w:val="00355FFB"/>
    <w:rsid w:val="00362C24"/>
    <w:rsid w:val="00372784"/>
    <w:rsid w:val="003805D6"/>
    <w:rsid w:val="00381099"/>
    <w:rsid w:val="00381D6D"/>
    <w:rsid w:val="00382CEB"/>
    <w:rsid w:val="00383558"/>
    <w:rsid w:val="003847F2"/>
    <w:rsid w:val="003A14BB"/>
    <w:rsid w:val="003A1E1A"/>
    <w:rsid w:val="003A353C"/>
    <w:rsid w:val="003B28A8"/>
    <w:rsid w:val="003B41D2"/>
    <w:rsid w:val="003B4455"/>
    <w:rsid w:val="003C19AB"/>
    <w:rsid w:val="003C352A"/>
    <w:rsid w:val="003C439A"/>
    <w:rsid w:val="003D13EC"/>
    <w:rsid w:val="003D739D"/>
    <w:rsid w:val="003E3AB3"/>
    <w:rsid w:val="003E55D8"/>
    <w:rsid w:val="003E604C"/>
    <w:rsid w:val="003F051A"/>
    <w:rsid w:val="003F1426"/>
    <w:rsid w:val="003F3886"/>
    <w:rsid w:val="003F5879"/>
    <w:rsid w:val="00402C4E"/>
    <w:rsid w:val="00405F41"/>
    <w:rsid w:val="00413CF7"/>
    <w:rsid w:val="0041741D"/>
    <w:rsid w:val="004209D4"/>
    <w:rsid w:val="00424412"/>
    <w:rsid w:val="00431D4F"/>
    <w:rsid w:val="00433BE5"/>
    <w:rsid w:val="00434231"/>
    <w:rsid w:val="00435A16"/>
    <w:rsid w:val="00447C06"/>
    <w:rsid w:val="0045110A"/>
    <w:rsid w:val="00453CB4"/>
    <w:rsid w:val="00454480"/>
    <w:rsid w:val="004604E8"/>
    <w:rsid w:val="004626CC"/>
    <w:rsid w:val="00462B97"/>
    <w:rsid w:val="00473B03"/>
    <w:rsid w:val="00474B87"/>
    <w:rsid w:val="0048755C"/>
    <w:rsid w:val="0049455B"/>
    <w:rsid w:val="0049475C"/>
    <w:rsid w:val="0049583A"/>
    <w:rsid w:val="00497BCA"/>
    <w:rsid w:val="004A2693"/>
    <w:rsid w:val="004A2C53"/>
    <w:rsid w:val="004B15A2"/>
    <w:rsid w:val="004B2902"/>
    <w:rsid w:val="004B3800"/>
    <w:rsid w:val="004B71A4"/>
    <w:rsid w:val="004B7A14"/>
    <w:rsid w:val="004C2E02"/>
    <w:rsid w:val="004C510F"/>
    <w:rsid w:val="004C6616"/>
    <w:rsid w:val="004C6FAA"/>
    <w:rsid w:val="004D5365"/>
    <w:rsid w:val="004E02A0"/>
    <w:rsid w:val="004E5E3A"/>
    <w:rsid w:val="004F0FF5"/>
    <w:rsid w:val="004F569E"/>
    <w:rsid w:val="005000FD"/>
    <w:rsid w:val="0050025D"/>
    <w:rsid w:val="00501423"/>
    <w:rsid w:val="00502894"/>
    <w:rsid w:val="005122B5"/>
    <w:rsid w:val="00517442"/>
    <w:rsid w:val="00520DB1"/>
    <w:rsid w:val="005255FF"/>
    <w:rsid w:val="00525A92"/>
    <w:rsid w:val="00525DC4"/>
    <w:rsid w:val="00526AF0"/>
    <w:rsid w:val="00530E6C"/>
    <w:rsid w:val="0053270A"/>
    <w:rsid w:val="00536868"/>
    <w:rsid w:val="005452A6"/>
    <w:rsid w:val="00557956"/>
    <w:rsid w:val="00560137"/>
    <w:rsid w:val="00561D3F"/>
    <w:rsid w:val="0056590F"/>
    <w:rsid w:val="00565D50"/>
    <w:rsid w:val="00566407"/>
    <w:rsid w:val="005676B5"/>
    <w:rsid w:val="00571A33"/>
    <w:rsid w:val="0057291D"/>
    <w:rsid w:val="00573A53"/>
    <w:rsid w:val="0057606D"/>
    <w:rsid w:val="0058243E"/>
    <w:rsid w:val="005843B3"/>
    <w:rsid w:val="00590271"/>
    <w:rsid w:val="00591EF3"/>
    <w:rsid w:val="005957BD"/>
    <w:rsid w:val="00595F69"/>
    <w:rsid w:val="00596AC4"/>
    <w:rsid w:val="005A7301"/>
    <w:rsid w:val="005B4C4A"/>
    <w:rsid w:val="005B578F"/>
    <w:rsid w:val="005B5F59"/>
    <w:rsid w:val="005C08D8"/>
    <w:rsid w:val="005C1008"/>
    <w:rsid w:val="005C20E7"/>
    <w:rsid w:val="005C22A7"/>
    <w:rsid w:val="005C401E"/>
    <w:rsid w:val="005C4CD8"/>
    <w:rsid w:val="005C4F0A"/>
    <w:rsid w:val="005E5226"/>
    <w:rsid w:val="005E6696"/>
    <w:rsid w:val="005E759C"/>
    <w:rsid w:val="005F38CD"/>
    <w:rsid w:val="005F3AFB"/>
    <w:rsid w:val="005F4FC1"/>
    <w:rsid w:val="005F73BD"/>
    <w:rsid w:val="006020F6"/>
    <w:rsid w:val="00603F1B"/>
    <w:rsid w:val="0060462A"/>
    <w:rsid w:val="00610F2C"/>
    <w:rsid w:val="006126B2"/>
    <w:rsid w:val="0061276D"/>
    <w:rsid w:val="00612E1F"/>
    <w:rsid w:val="00615FE6"/>
    <w:rsid w:val="0064139E"/>
    <w:rsid w:val="00641519"/>
    <w:rsid w:val="00642FC3"/>
    <w:rsid w:val="006459E8"/>
    <w:rsid w:val="00646083"/>
    <w:rsid w:val="0066017B"/>
    <w:rsid w:val="00663EA7"/>
    <w:rsid w:val="00665A3B"/>
    <w:rsid w:val="00667E12"/>
    <w:rsid w:val="00671A65"/>
    <w:rsid w:val="00673EAE"/>
    <w:rsid w:val="00676C7F"/>
    <w:rsid w:val="00677BA3"/>
    <w:rsid w:val="0068032A"/>
    <w:rsid w:val="00682B77"/>
    <w:rsid w:val="0068333A"/>
    <w:rsid w:val="00691A52"/>
    <w:rsid w:val="00694473"/>
    <w:rsid w:val="00694BCC"/>
    <w:rsid w:val="00694CDF"/>
    <w:rsid w:val="00695E07"/>
    <w:rsid w:val="006A384B"/>
    <w:rsid w:val="006A3DD0"/>
    <w:rsid w:val="006A7C20"/>
    <w:rsid w:val="006B20C4"/>
    <w:rsid w:val="006B6FA0"/>
    <w:rsid w:val="006C4E33"/>
    <w:rsid w:val="006C6436"/>
    <w:rsid w:val="006D3A30"/>
    <w:rsid w:val="006D6653"/>
    <w:rsid w:val="006D7222"/>
    <w:rsid w:val="006D77A9"/>
    <w:rsid w:val="006E73AE"/>
    <w:rsid w:val="006F1B46"/>
    <w:rsid w:val="00702706"/>
    <w:rsid w:val="00704042"/>
    <w:rsid w:val="00704807"/>
    <w:rsid w:val="0071081D"/>
    <w:rsid w:val="00724185"/>
    <w:rsid w:val="00724A8B"/>
    <w:rsid w:val="007300FF"/>
    <w:rsid w:val="007317A1"/>
    <w:rsid w:val="007326F1"/>
    <w:rsid w:val="00734465"/>
    <w:rsid w:val="00734B50"/>
    <w:rsid w:val="00736648"/>
    <w:rsid w:val="00740F47"/>
    <w:rsid w:val="007464D2"/>
    <w:rsid w:val="00751551"/>
    <w:rsid w:val="00755A4E"/>
    <w:rsid w:val="0075755F"/>
    <w:rsid w:val="00761BA4"/>
    <w:rsid w:val="0076245B"/>
    <w:rsid w:val="007674DC"/>
    <w:rsid w:val="00775019"/>
    <w:rsid w:val="00775593"/>
    <w:rsid w:val="0077778C"/>
    <w:rsid w:val="00786D9A"/>
    <w:rsid w:val="00787E77"/>
    <w:rsid w:val="0079285F"/>
    <w:rsid w:val="007934B6"/>
    <w:rsid w:val="007934F8"/>
    <w:rsid w:val="007952ED"/>
    <w:rsid w:val="007A10CE"/>
    <w:rsid w:val="007A24F0"/>
    <w:rsid w:val="007A40A2"/>
    <w:rsid w:val="007A5C13"/>
    <w:rsid w:val="007C3838"/>
    <w:rsid w:val="007D28CC"/>
    <w:rsid w:val="007D419C"/>
    <w:rsid w:val="007F040D"/>
    <w:rsid w:val="007F33C6"/>
    <w:rsid w:val="007F36FC"/>
    <w:rsid w:val="007F7846"/>
    <w:rsid w:val="00800CE4"/>
    <w:rsid w:val="00804C8F"/>
    <w:rsid w:val="00807105"/>
    <w:rsid w:val="00816ABA"/>
    <w:rsid w:val="00820927"/>
    <w:rsid w:val="00824EA3"/>
    <w:rsid w:val="00830110"/>
    <w:rsid w:val="0083135F"/>
    <w:rsid w:val="00832A07"/>
    <w:rsid w:val="00834803"/>
    <w:rsid w:val="008371DA"/>
    <w:rsid w:val="00844CF9"/>
    <w:rsid w:val="0084729B"/>
    <w:rsid w:val="00851C60"/>
    <w:rsid w:val="00851DC5"/>
    <w:rsid w:val="0085572D"/>
    <w:rsid w:val="008563BF"/>
    <w:rsid w:val="008628A6"/>
    <w:rsid w:val="0086600F"/>
    <w:rsid w:val="00867E98"/>
    <w:rsid w:val="0087001B"/>
    <w:rsid w:val="00871957"/>
    <w:rsid w:val="00884532"/>
    <w:rsid w:val="00884584"/>
    <w:rsid w:val="008845D2"/>
    <w:rsid w:val="0088578F"/>
    <w:rsid w:val="00886BA2"/>
    <w:rsid w:val="00887F30"/>
    <w:rsid w:val="00891075"/>
    <w:rsid w:val="00891D77"/>
    <w:rsid w:val="008968A6"/>
    <w:rsid w:val="008A0507"/>
    <w:rsid w:val="008A531B"/>
    <w:rsid w:val="008A5E83"/>
    <w:rsid w:val="008A6A2B"/>
    <w:rsid w:val="008B2350"/>
    <w:rsid w:val="008B54AA"/>
    <w:rsid w:val="008B5D37"/>
    <w:rsid w:val="008C6A7E"/>
    <w:rsid w:val="008D0291"/>
    <w:rsid w:val="008D07A0"/>
    <w:rsid w:val="008D1D78"/>
    <w:rsid w:val="008D37CE"/>
    <w:rsid w:val="008E7942"/>
    <w:rsid w:val="008F1ED2"/>
    <w:rsid w:val="008F4314"/>
    <w:rsid w:val="008F6F64"/>
    <w:rsid w:val="009048ED"/>
    <w:rsid w:val="00912E2A"/>
    <w:rsid w:val="00913ADC"/>
    <w:rsid w:val="00914214"/>
    <w:rsid w:val="009179B3"/>
    <w:rsid w:val="00922C47"/>
    <w:rsid w:val="009233A8"/>
    <w:rsid w:val="00924F1D"/>
    <w:rsid w:val="00927037"/>
    <w:rsid w:val="00930F7A"/>
    <w:rsid w:val="0093122D"/>
    <w:rsid w:val="0093151C"/>
    <w:rsid w:val="00934485"/>
    <w:rsid w:val="0093536A"/>
    <w:rsid w:val="00936A69"/>
    <w:rsid w:val="00937321"/>
    <w:rsid w:val="00942831"/>
    <w:rsid w:val="009438CB"/>
    <w:rsid w:val="00944A92"/>
    <w:rsid w:val="0094707A"/>
    <w:rsid w:val="0095400A"/>
    <w:rsid w:val="00954C24"/>
    <w:rsid w:val="00955675"/>
    <w:rsid w:val="009563AC"/>
    <w:rsid w:val="00963A4F"/>
    <w:rsid w:val="00963A70"/>
    <w:rsid w:val="009702D9"/>
    <w:rsid w:val="00975727"/>
    <w:rsid w:val="00976336"/>
    <w:rsid w:val="0097651B"/>
    <w:rsid w:val="00976E41"/>
    <w:rsid w:val="009926A5"/>
    <w:rsid w:val="00992866"/>
    <w:rsid w:val="0099346C"/>
    <w:rsid w:val="009A2884"/>
    <w:rsid w:val="009B190A"/>
    <w:rsid w:val="009B26AA"/>
    <w:rsid w:val="009B4E2B"/>
    <w:rsid w:val="009B6808"/>
    <w:rsid w:val="009C1994"/>
    <w:rsid w:val="009C1B44"/>
    <w:rsid w:val="009C30D2"/>
    <w:rsid w:val="009C3AC4"/>
    <w:rsid w:val="009C76CA"/>
    <w:rsid w:val="009D33C1"/>
    <w:rsid w:val="009D38C9"/>
    <w:rsid w:val="009D6154"/>
    <w:rsid w:val="009D676C"/>
    <w:rsid w:val="009D7B60"/>
    <w:rsid w:val="009E18FA"/>
    <w:rsid w:val="009E2338"/>
    <w:rsid w:val="009E4CAA"/>
    <w:rsid w:val="009E5A6E"/>
    <w:rsid w:val="009E5FB2"/>
    <w:rsid w:val="009F5614"/>
    <w:rsid w:val="00A07485"/>
    <w:rsid w:val="00A11C22"/>
    <w:rsid w:val="00A11E6F"/>
    <w:rsid w:val="00A23623"/>
    <w:rsid w:val="00A24B83"/>
    <w:rsid w:val="00A2580C"/>
    <w:rsid w:val="00A2637F"/>
    <w:rsid w:val="00A264E9"/>
    <w:rsid w:val="00A26691"/>
    <w:rsid w:val="00A31555"/>
    <w:rsid w:val="00A32378"/>
    <w:rsid w:val="00A34425"/>
    <w:rsid w:val="00A37EC8"/>
    <w:rsid w:val="00A42113"/>
    <w:rsid w:val="00A45845"/>
    <w:rsid w:val="00A45B5E"/>
    <w:rsid w:val="00A46FC7"/>
    <w:rsid w:val="00A47E9F"/>
    <w:rsid w:val="00A50A12"/>
    <w:rsid w:val="00A50B24"/>
    <w:rsid w:val="00A5373F"/>
    <w:rsid w:val="00A549AD"/>
    <w:rsid w:val="00A555FD"/>
    <w:rsid w:val="00A55797"/>
    <w:rsid w:val="00A6565C"/>
    <w:rsid w:val="00A73B76"/>
    <w:rsid w:val="00A73BB4"/>
    <w:rsid w:val="00A73D91"/>
    <w:rsid w:val="00A8009F"/>
    <w:rsid w:val="00A8355E"/>
    <w:rsid w:val="00A84C4A"/>
    <w:rsid w:val="00A8578B"/>
    <w:rsid w:val="00A859A2"/>
    <w:rsid w:val="00A90B33"/>
    <w:rsid w:val="00A93169"/>
    <w:rsid w:val="00A976D2"/>
    <w:rsid w:val="00AA34C0"/>
    <w:rsid w:val="00AA50E7"/>
    <w:rsid w:val="00AA7418"/>
    <w:rsid w:val="00AB34C4"/>
    <w:rsid w:val="00AB5701"/>
    <w:rsid w:val="00AC02B2"/>
    <w:rsid w:val="00AC5A64"/>
    <w:rsid w:val="00AC64F6"/>
    <w:rsid w:val="00AC65E1"/>
    <w:rsid w:val="00AE0ABE"/>
    <w:rsid w:val="00AE6BE6"/>
    <w:rsid w:val="00AE7193"/>
    <w:rsid w:val="00AF2A8A"/>
    <w:rsid w:val="00B00B23"/>
    <w:rsid w:val="00B0148E"/>
    <w:rsid w:val="00B0597C"/>
    <w:rsid w:val="00B11DEA"/>
    <w:rsid w:val="00B123A3"/>
    <w:rsid w:val="00B1452E"/>
    <w:rsid w:val="00B26A94"/>
    <w:rsid w:val="00B27C24"/>
    <w:rsid w:val="00B30B84"/>
    <w:rsid w:val="00B373B5"/>
    <w:rsid w:val="00B446AF"/>
    <w:rsid w:val="00B52D06"/>
    <w:rsid w:val="00B52DFD"/>
    <w:rsid w:val="00B5663F"/>
    <w:rsid w:val="00B73F12"/>
    <w:rsid w:val="00B74A14"/>
    <w:rsid w:val="00B765FE"/>
    <w:rsid w:val="00B77708"/>
    <w:rsid w:val="00B829E5"/>
    <w:rsid w:val="00B86091"/>
    <w:rsid w:val="00B87E60"/>
    <w:rsid w:val="00B91021"/>
    <w:rsid w:val="00B93E2F"/>
    <w:rsid w:val="00BA039B"/>
    <w:rsid w:val="00BA047C"/>
    <w:rsid w:val="00BA70D1"/>
    <w:rsid w:val="00BA7C24"/>
    <w:rsid w:val="00BC5CAA"/>
    <w:rsid w:val="00BD1FD8"/>
    <w:rsid w:val="00BE3208"/>
    <w:rsid w:val="00BE699E"/>
    <w:rsid w:val="00BE7A97"/>
    <w:rsid w:val="00BF01F9"/>
    <w:rsid w:val="00BF156D"/>
    <w:rsid w:val="00C06702"/>
    <w:rsid w:val="00C07446"/>
    <w:rsid w:val="00C12A04"/>
    <w:rsid w:val="00C16F72"/>
    <w:rsid w:val="00C1740D"/>
    <w:rsid w:val="00C25138"/>
    <w:rsid w:val="00C25C49"/>
    <w:rsid w:val="00C36823"/>
    <w:rsid w:val="00C40B82"/>
    <w:rsid w:val="00C57BE6"/>
    <w:rsid w:val="00C650F2"/>
    <w:rsid w:val="00C734A5"/>
    <w:rsid w:val="00C82032"/>
    <w:rsid w:val="00C93D54"/>
    <w:rsid w:val="00CA185A"/>
    <w:rsid w:val="00CA3B03"/>
    <w:rsid w:val="00CB1E98"/>
    <w:rsid w:val="00CB49D5"/>
    <w:rsid w:val="00CB4E7D"/>
    <w:rsid w:val="00CB6E98"/>
    <w:rsid w:val="00CC303A"/>
    <w:rsid w:val="00CC512E"/>
    <w:rsid w:val="00CD50EE"/>
    <w:rsid w:val="00CD5B93"/>
    <w:rsid w:val="00CD6E8F"/>
    <w:rsid w:val="00CE16A7"/>
    <w:rsid w:val="00CF0854"/>
    <w:rsid w:val="00CF145A"/>
    <w:rsid w:val="00CF1521"/>
    <w:rsid w:val="00CF22EF"/>
    <w:rsid w:val="00CF254E"/>
    <w:rsid w:val="00CF2797"/>
    <w:rsid w:val="00CF7559"/>
    <w:rsid w:val="00CF7FC9"/>
    <w:rsid w:val="00D02302"/>
    <w:rsid w:val="00D03C6E"/>
    <w:rsid w:val="00D0406A"/>
    <w:rsid w:val="00D062C2"/>
    <w:rsid w:val="00D06ADB"/>
    <w:rsid w:val="00D119C6"/>
    <w:rsid w:val="00D12575"/>
    <w:rsid w:val="00D1291B"/>
    <w:rsid w:val="00D13571"/>
    <w:rsid w:val="00D14E9F"/>
    <w:rsid w:val="00D2528A"/>
    <w:rsid w:val="00D30C2C"/>
    <w:rsid w:val="00D30F85"/>
    <w:rsid w:val="00D332BA"/>
    <w:rsid w:val="00D34CE1"/>
    <w:rsid w:val="00D35A44"/>
    <w:rsid w:val="00D35F6D"/>
    <w:rsid w:val="00D47099"/>
    <w:rsid w:val="00D52938"/>
    <w:rsid w:val="00D543DB"/>
    <w:rsid w:val="00D577A3"/>
    <w:rsid w:val="00D617C0"/>
    <w:rsid w:val="00D66932"/>
    <w:rsid w:val="00D66EE5"/>
    <w:rsid w:val="00D710ED"/>
    <w:rsid w:val="00D71EF8"/>
    <w:rsid w:val="00D73F5F"/>
    <w:rsid w:val="00D745C1"/>
    <w:rsid w:val="00D77247"/>
    <w:rsid w:val="00D77AE1"/>
    <w:rsid w:val="00D83C80"/>
    <w:rsid w:val="00D9651A"/>
    <w:rsid w:val="00D967DA"/>
    <w:rsid w:val="00DB1862"/>
    <w:rsid w:val="00DB18A6"/>
    <w:rsid w:val="00DB32C2"/>
    <w:rsid w:val="00DB3E46"/>
    <w:rsid w:val="00DC0E61"/>
    <w:rsid w:val="00DC5718"/>
    <w:rsid w:val="00DD70C0"/>
    <w:rsid w:val="00DE4299"/>
    <w:rsid w:val="00DF09EF"/>
    <w:rsid w:val="00DF1293"/>
    <w:rsid w:val="00DF3225"/>
    <w:rsid w:val="00DF32E4"/>
    <w:rsid w:val="00DF421D"/>
    <w:rsid w:val="00DF4404"/>
    <w:rsid w:val="00DF49B0"/>
    <w:rsid w:val="00DF6D80"/>
    <w:rsid w:val="00DF6E51"/>
    <w:rsid w:val="00DF777A"/>
    <w:rsid w:val="00E01A66"/>
    <w:rsid w:val="00E022C5"/>
    <w:rsid w:val="00E042DD"/>
    <w:rsid w:val="00E04ACC"/>
    <w:rsid w:val="00E054C7"/>
    <w:rsid w:val="00E0786D"/>
    <w:rsid w:val="00E14310"/>
    <w:rsid w:val="00E175B8"/>
    <w:rsid w:val="00E177E3"/>
    <w:rsid w:val="00E2201E"/>
    <w:rsid w:val="00E2207B"/>
    <w:rsid w:val="00E36E25"/>
    <w:rsid w:val="00E43F2B"/>
    <w:rsid w:val="00E47078"/>
    <w:rsid w:val="00E47149"/>
    <w:rsid w:val="00E472CF"/>
    <w:rsid w:val="00E47340"/>
    <w:rsid w:val="00E5267D"/>
    <w:rsid w:val="00E709C1"/>
    <w:rsid w:val="00E71CE0"/>
    <w:rsid w:val="00E72A83"/>
    <w:rsid w:val="00E72F59"/>
    <w:rsid w:val="00E7521B"/>
    <w:rsid w:val="00E92324"/>
    <w:rsid w:val="00EA05F2"/>
    <w:rsid w:val="00EA3091"/>
    <w:rsid w:val="00EA354B"/>
    <w:rsid w:val="00EA529D"/>
    <w:rsid w:val="00EA62B0"/>
    <w:rsid w:val="00EA685A"/>
    <w:rsid w:val="00EB01C9"/>
    <w:rsid w:val="00EB0942"/>
    <w:rsid w:val="00EB3930"/>
    <w:rsid w:val="00EB47FD"/>
    <w:rsid w:val="00EB6446"/>
    <w:rsid w:val="00EB6B07"/>
    <w:rsid w:val="00EB7941"/>
    <w:rsid w:val="00ED0318"/>
    <w:rsid w:val="00ED129E"/>
    <w:rsid w:val="00ED21D2"/>
    <w:rsid w:val="00ED3C8D"/>
    <w:rsid w:val="00EE0CFC"/>
    <w:rsid w:val="00EE67BB"/>
    <w:rsid w:val="00EF159E"/>
    <w:rsid w:val="00EF4FA8"/>
    <w:rsid w:val="00F00E0C"/>
    <w:rsid w:val="00F01374"/>
    <w:rsid w:val="00F11315"/>
    <w:rsid w:val="00F129FA"/>
    <w:rsid w:val="00F16900"/>
    <w:rsid w:val="00F17939"/>
    <w:rsid w:val="00F21909"/>
    <w:rsid w:val="00F238AF"/>
    <w:rsid w:val="00F24420"/>
    <w:rsid w:val="00F30172"/>
    <w:rsid w:val="00F35483"/>
    <w:rsid w:val="00F45A50"/>
    <w:rsid w:val="00F468E0"/>
    <w:rsid w:val="00F528B3"/>
    <w:rsid w:val="00F536E8"/>
    <w:rsid w:val="00F571FE"/>
    <w:rsid w:val="00F57EED"/>
    <w:rsid w:val="00F60707"/>
    <w:rsid w:val="00F634F4"/>
    <w:rsid w:val="00F64026"/>
    <w:rsid w:val="00F71DD3"/>
    <w:rsid w:val="00F72272"/>
    <w:rsid w:val="00F73395"/>
    <w:rsid w:val="00F73AB7"/>
    <w:rsid w:val="00F764EB"/>
    <w:rsid w:val="00F8030B"/>
    <w:rsid w:val="00F80F05"/>
    <w:rsid w:val="00F82731"/>
    <w:rsid w:val="00F82F35"/>
    <w:rsid w:val="00F8592B"/>
    <w:rsid w:val="00F86A33"/>
    <w:rsid w:val="00F92A96"/>
    <w:rsid w:val="00F95694"/>
    <w:rsid w:val="00F9788B"/>
    <w:rsid w:val="00F97DC4"/>
    <w:rsid w:val="00FA1C55"/>
    <w:rsid w:val="00FA39E1"/>
    <w:rsid w:val="00FA3DE9"/>
    <w:rsid w:val="00FA524F"/>
    <w:rsid w:val="00FA6E4D"/>
    <w:rsid w:val="00FB1FDA"/>
    <w:rsid w:val="00FC0350"/>
    <w:rsid w:val="00FC0A33"/>
    <w:rsid w:val="00FC33C0"/>
    <w:rsid w:val="00FC33D2"/>
    <w:rsid w:val="00FC4B01"/>
    <w:rsid w:val="00FC4D55"/>
    <w:rsid w:val="00FC7F01"/>
    <w:rsid w:val="00FD3E80"/>
    <w:rsid w:val="00FD5CC0"/>
    <w:rsid w:val="00FE454A"/>
    <w:rsid w:val="00FE73A2"/>
    <w:rsid w:val="00FE763E"/>
    <w:rsid w:val="00FF0741"/>
    <w:rsid w:val="00FF0CB0"/>
    <w:rsid w:val="00F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3BE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lang w:val="en-US"/>
    </w:rPr>
  </w:style>
  <w:style w:type="paragraph" w:styleId="Nadpis1">
    <w:name w:val="heading 1"/>
    <w:basedOn w:val="Normln"/>
    <w:next w:val="Normln"/>
    <w:link w:val="Nadpis1Char"/>
    <w:qFormat/>
    <w:rsid w:val="00AC64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113B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1"/>
    <w:semiHidden/>
    <w:rsid w:val="000113BE"/>
  </w:style>
  <w:style w:type="character" w:customStyle="1" w:styleId="TextkomenteChar">
    <w:name w:val="Text komentáře Char"/>
    <w:basedOn w:val="Standardnpsmoodstavce"/>
    <w:semiHidden/>
    <w:rsid w:val="000113BE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3">
    <w:name w:val="Body Text 3"/>
    <w:basedOn w:val="Normln"/>
    <w:semiHidden/>
    <w:rsid w:val="000113B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  <w:rPr>
      <w:rFonts w:ascii="Arial" w:hAnsi="Arial"/>
      <w:lang w:val="cs-CZ"/>
    </w:rPr>
  </w:style>
  <w:style w:type="character" w:customStyle="1" w:styleId="Zkladntext3Char">
    <w:name w:val="Základní text 3 Char"/>
    <w:basedOn w:val="Standardnpsmoodstavce"/>
    <w:semiHidden/>
    <w:rsid w:val="000113B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rsid w:val="000113BE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unhideWhenUsed/>
    <w:rsid w:val="000113BE"/>
    <w:pPr>
      <w:spacing w:after="120"/>
    </w:pPr>
  </w:style>
  <w:style w:type="character" w:customStyle="1" w:styleId="ZkladntextChar">
    <w:name w:val="Základní text Char"/>
    <w:basedOn w:val="Standardnpsmoodstavce"/>
    <w:semiHidden/>
    <w:rsid w:val="000113BE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customStyle="1" w:styleId="Zkladntex">
    <w:name w:val="Základní tex"/>
    <w:rsid w:val="000113BE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sz w:val="24"/>
      <w:szCs w:val="24"/>
    </w:rPr>
  </w:style>
  <w:style w:type="character" w:styleId="Hypertextovodkaz">
    <w:name w:val="Hyperlink"/>
    <w:basedOn w:val="Standardnpsmoodstavce"/>
    <w:semiHidden/>
    <w:rsid w:val="000113B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113B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F47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0F4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0F47"/>
    <w:rPr>
      <w:b/>
      <w:bCs/>
    </w:rPr>
  </w:style>
  <w:style w:type="character" w:customStyle="1" w:styleId="TextkomenteChar1">
    <w:name w:val="Text komentáře Char1"/>
    <w:basedOn w:val="Standardnpsmoodstavce"/>
    <w:link w:val="Textkomente"/>
    <w:semiHidden/>
    <w:rsid w:val="00740F47"/>
    <w:rPr>
      <w:rFonts w:ascii="Times New Roman CE obyeejné" w:eastAsia="Times New Roman" w:hAnsi="Times New Roman CE obyeejné"/>
      <w:lang w:val="en-US"/>
    </w:rPr>
  </w:style>
  <w:style w:type="character" w:customStyle="1" w:styleId="PedmtkomenteChar">
    <w:name w:val="Předmět komentáře Char"/>
    <w:basedOn w:val="TextkomenteChar1"/>
    <w:link w:val="Pedmtkomente"/>
    <w:rsid w:val="00740F47"/>
  </w:style>
  <w:style w:type="paragraph" w:styleId="Revize">
    <w:name w:val="Revision"/>
    <w:hidden/>
    <w:uiPriority w:val="99"/>
    <w:semiHidden/>
    <w:rsid w:val="00740F47"/>
    <w:rPr>
      <w:rFonts w:ascii="Times New Roman CE obyeejné" w:eastAsia="Times New Roman" w:hAnsi="Times New Roman CE obyeejné"/>
      <w:lang w:val="en-US"/>
    </w:rPr>
  </w:style>
  <w:style w:type="character" w:customStyle="1" w:styleId="Nadpis1Char">
    <w:name w:val="Nadpis 1 Char"/>
    <w:basedOn w:val="Standardnpsmoodstavce"/>
    <w:link w:val="Nadpis1"/>
    <w:rsid w:val="00AC64F6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ormlnweb">
    <w:name w:val="Normal (Web)"/>
    <w:basedOn w:val="Normln"/>
    <w:rsid w:val="00AC64F6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pl.czso.cz/ode/index.htm" TargetMode="External"/><Relationship Id="rId5" Type="http://schemas.openxmlformats.org/officeDocument/2006/relationships/hyperlink" Target="http://www.czso.cz/csu/redakce.nsf/i/evropska_data_es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1B8D-C73C-44F9-B891-2E3DF97C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2114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14564</CharactersWithSpaces>
  <SharedDoc>false</SharedDoc>
  <HLinks>
    <vt:vector size="18" baseType="variant"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http://www.czso.cz/csu/redakce.nsf/i/evropska_data_esds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http://apl.czso.cz/ode/index.htm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salusova7203</dc:creator>
  <cp:lastModifiedBy>novotna17122</cp:lastModifiedBy>
  <cp:revision>8</cp:revision>
  <cp:lastPrinted>2014-08-25T10:36:00Z</cp:lastPrinted>
  <dcterms:created xsi:type="dcterms:W3CDTF">2014-08-25T10:42:00Z</dcterms:created>
  <dcterms:modified xsi:type="dcterms:W3CDTF">2014-10-20T11:35:00Z</dcterms:modified>
</cp:coreProperties>
</file>