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9" w:rsidRPr="00C822C2" w:rsidRDefault="000572F9">
      <w:pPr>
        <w:widowControl w:val="0"/>
        <w:jc w:val="center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  <w:sz w:val="24"/>
        </w:rPr>
        <w:t>7. MĚNA</w:t>
      </w:r>
      <w:r w:rsidR="0046656C" w:rsidRPr="00C822C2">
        <w:rPr>
          <w:rFonts w:ascii="Arial" w:hAnsi="Arial" w:cs="Arial"/>
          <w:b/>
          <w:snapToGrid w:val="0"/>
          <w:sz w:val="24"/>
        </w:rPr>
        <w:t xml:space="preserve"> A </w:t>
      </w:r>
      <w:r w:rsidRPr="00C822C2">
        <w:rPr>
          <w:rFonts w:ascii="Arial" w:hAnsi="Arial" w:cs="Arial"/>
          <w:b/>
          <w:snapToGrid w:val="0"/>
          <w:sz w:val="24"/>
        </w:rPr>
        <w:t>PLATEBNÍ BILANCE</w:t>
      </w:r>
    </w:p>
    <w:p w:rsidR="000572F9" w:rsidRPr="00C822C2" w:rsidRDefault="000572F9">
      <w:pPr>
        <w:widowControl w:val="0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2C422A">
      <w:pPr>
        <w:widowControl w:val="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Údaje uváděné v této kapitole byly převzaty z České národní banky</w:t>
      </w:r>
      <w:r w:rsidR="007255BB">
        <w:rPr>
          <w:rFonts w:ascii="Arial" w:hAnsi="Arial" w:cs="Arial"/>
          <w:snapToGrid w:val="0"/>
        </w:rPr>
        <w:t xml:space="preserve"> (ČNB)</w:t>
      </w:r>
      <w:r w:rsidRPr="00C822C2">
        <w:rPr>
          <w:rFonts w:ascii="Arial" w:hAnsi="Arial" w:cs="Arial"/>
          <w:snapToGrid w:val="0"/>
        </w:rPr>
        <w:t xml:space="preserve">. </w:t>
      </w:r>
      <w:r w:rsidR="0046656C" w:rsidRPr="00C822C2">
        <w:rPr>
          <w:rFonts w:ascii="Arial" w:hAnsi="Arial" w:cs="Arial"/>
          <w:snapToGrid w:val="0"/>
        </w:rPr>
        <w:t>Ve všech tabulkách, kde jsou uvedeny názvy výkazů, se jedná o vyčerpávající šetření, v ostatních případech jsou použity kvalifikované odhady a dopočty.</w:t>
      </w:r>
    </w:p>
    <w:p w:rsidR="000572F9" w:rsidRPr="00C822C2" w:rsidRDefault="000572F9">
      <w:pPr>
        <w:pStyle w:val="Nadpis2"/>
        <w:keepNext w:val="0"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572F9" w:rsidRPr="00C822C2" w:rsidRDefault="000572F9">
      <w:pPr>
        <w:pStyle w:val="Nadpis2"/>
        <w:keepNext w:val="0"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>
      <w:pPr>
        <w:pStyle w:val="Nadpis2"/>
        <w:keepNext w:val="0"/>
        <w:jc w:val="both"/>
        <w:rPr>
          <w:rFonts w:ascii="Arial" w:hAnsi="Arial" w:cs="Arial"/>
          <w:b/>
          <w:sz w:val="20"/>
        </w:rPr>
      </w:pPr>
      <w:r w:rsidRPr="00C822C2">
        <w:rPr>
          <w:rFonts w:ascii="Arial" w:hAnsi="Arial" w:cs="Arial"/>
          <w:b/>
          <w:sz w:val="20"/>
        </w:rPr>
        <w:t>Poznámky</w:t>
      </w:r>
      <w:r w:rsidR="0046656C" w:rsidRPr="00C822C2">
        <w:rPr>
          <w:rFonts w:ascii="Arial" w:hAnsi="Arial" w:cs="Arial"/>
          <w:b/>
          <w:sz w:val="20"/>
        </w:rPr>
        <w:t xml:space="preserve"> k </w:t>
      </w:r>
      <w:r w:rsidRPr="00C822C2">
        <w:rPr>
          <w:rFonts w:ascii="Arial" w:hAnsi="Arial" w:cs="Arial"/>
          <w:b/>
          <w:sz w:val="20"/>
        </w:rPr>
        <w:t>tabulkám</w:t>
      </w:r>
    </w:p>
    <w:p w:rsidR="000572F9" w:rsidRPr="00C822C2" w:rsidRDefault="000572F9">
      <w:pPr>
        <w:widowControl w:val="0"/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jc w:val="both"/>
        <w:outlineLvl w:val="0"/>
        <w:rPr>
          <w:rFonts w:ascii="Arial" w:hAnsi="Arial" w:cs="Arial"/>
          <w:snapToGrid w:val="0"/>
        </w:rPr>
      </w:pPr>
    </w:p>
    <w:p w:rsidR="00C1633E" w:rsidRPr="00C822C2" w:rsidRDefault="000572F9" w:rsidP="00C1633E">
      <w:pPr>
        <w:widowControl w:val="0"/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-1. </w:t>
      </w:r>
      <w:r w:rsidR="00C1633E" w:rsidRPr="00C822C2">
        <w:rPr>
          <w:rFonts w:ascii="Arial" w:hAnsi="Arial" w:cs="Arial"/>
          <w:b/>
          <w:snapToGrid w:val="0"/>
        </w:rPr>
        <w:t>Peněžní agregáty a</w:t>
      </w:r>
      <w:r w:rsidR="00BB1052" w:rsidRPr="00C822C2">
        <w:rPr>
          <w:rFonts w:ascii="Arial" w:hAnsi="Arial" w:cs="Arial"/>
          <w:b/>
          <w:snapToGrid w:val="0"/>
        </w:rPr>
        <w:t> </w:t>
      </w:r>
      <w:r w:rsidR="00C1633E" w:rsidRPr="00C822C2">
        <w:rPr>
          <w:rFonts w:ascii="Arial" w:hAnsi="Arial" w:cs="Arial"/>
          <w:b/>
          <w:snapToGrid w:val="0"/>
        </w:rPr>
        <w:t>protipoložky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protipoložky jsou souhrnnou statistickou bilancí měnových finančních institucí (MFI), která poskytuje uživatelům základní přehled o pozici sektoru MFI vůči ostatním rezidentským a nerezidentským sektorům.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představují množství peněz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ekonomice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jsou propočteny z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="00C822C2" w:rsidRPr="00C822C2">
        <w:rPr>
          <w:rFonts w:ascii="Arial" w:hAnsi="Arial" w:cs="Arial"/>
          <w:sz w:val="20"/>
          <w:lang w:val="cs-CZ"/>
        </w:rPr>
        <w:t xml:space="preserve">pasiv </w:t>
      </w:r>
      <w:r w:rsidRPr="00C822C2">
        <w:rPr>
          <w:rFonts w:ascii="Arial" w:hAnsi="Arial" w:cs="Arial"/>
          <w:sz w:val="20"/>
          <w:lang w:val="cs-CZ"/>
        </w:rPr>
        <w:t xml:space="preserve">měnového charakteru rezidentských měnových finančních institucí (tzv. sektoru tvorby peněz) vůči jiným rezidentským sektorům (tzv. sektoru držby peněz). 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Sektor držby peněz zahrnuje všechny rezidenty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jiné než MFI (mimo ústřední vládní instituce). Kromě domácností sem patří nefinanční podniky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instituce, které nejsou MFI, spolu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místními vládními institucemi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fondy sociálního zabezpečení. MFI v podmínkách Č</w:t>
      </w:r>
      <w:r w:rsidR="004B06C2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tvoří centrální banka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</w:t>
      </w:r>
      <w:proofErr w:type="gramStart"/>
      <w:r w:rsidRPr="00C822C2">
        <w:rPr>
          <w:rFonts w:ascii="Arial" w:hAnsi="Arial" w:cs="Arial"/>
          <w:sz w:val="20"/>
          <w:lang w:val="cs-CZ"/>
        </w:rPr>
        <w:t>S.121</w:t>
      </w:r>
      <w:proofErr w:type="gramEnd"/>
      <w:r w:rsidRPr="00C822C2">
        <w:rPr>
          <w:rFonts w:ascii="Arial" w:hAnsi="Arial" w:cs="Arial"/>
          <w:sz w:val="20"/>
          <w:lang w:val="cs-CZ"/>
        </w:rPr>
        <w:t>)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 měnové finanční instituce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(S.122) </w:t>
      </w:r>
      <w:r w:rsidR="00E044C4" w:rsidRPr="00C822C2">
        <w:rPr>
          <w:rFonts w:ascii="Arial" w:hAnsi="Arial" w:cs="Arial"/>
          <w:sz w:val="20"/>
          <w:lang w:val="cs-CZ"/>
        </w:rPr>
        <w:t>–</w:t>
      </w:r>
      <w:r w:rsidRPr="00C822C2">
        <w:rPr>
          <w:rFonts w:ascii="Arial" w:hAnsi="Arial" w:cs="Arial"/>
          <w:sz w:val="20"/>
          <w:lang w:val="cs-CZ"/>
        </w:rPr>
        <w:t xml:space="preserve"> tj. banky, fondy peněžního trhu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družstevní záložny. Ústřední vládní instituce jsou považovány za sektor tzv. měnově neutrální. 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Peněžní agregáty se liší podle stupně likvidity jednotlivých složek. 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Úzký peněžní agregát M1</w:t>
      </w:r>
      <w:r w:rsidRPr="00C822C2">
        <w:rPr>
          <w:rFonts w:ascii="Arial" w:hAnsi="Arial" w:cs="Arial"/>
          <w:sz w:val="20"/>
          <w:lang w:val="cs-CZ"/>
        </w:rPr>
        <w:t xml:space="preserve"> obsahuje oběživo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jednodenní vklady. 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Střední peněžní agregát M2</w:t>
      </w:r>
      <w:r w:rsidRPr="00C822C2">
        <w:rPr>
          <w:rFonts w:ascii="Arial" w:hAnsi="Arial" w:cs="Arial"/>
          <w:sz w:val="20"/>
          <w:lang w:val="cs-CZ"/>
        </w:rPr>
        <w:t xml:space="preserve"> zahrnuje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M1,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do tří měsíců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vklady se splatností do dvou let. 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Široký peněžní agregát M3</w:t>
      </w:r>
      <w:r w:rsidRPr="00C822C2">
        <w:rPr>
          <w:rFonts w:ascii="Arial" w:hAnsi="Arial" w:cs="Arial"/>
          <w:sz w:val="20"/>
          <w:lang w:val="cs-CZ"/>
        </w:rPr>
        <w:t xml:space="preserve"> obsahuje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M2, podílové listy fondů peněžního trhu, emitované dluhové cenné papíry se splatností do dvou let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proofErr w:type="spellStart"/>
      <w:r w:rsidRPr="00C822C2">
        <w:rPr>
          <w:rFonts w:ascii="Arial" w:hAnsi="Arial" w:cs="Arial"/>
          <w:sz w:val="20"/>
          <w:lang w:val="cs-CZ"/>
        </w:rPr>
        <w:t>repo</w:t>
      </w:r>
      <w:proofErr w:type="spellEnd"/>
      <w:r w:rsidRPr="00C822C2">
        <w:rPr>
          <w:rFonts w:ascii="Arial" w:hAnsi="Arial" w:cs="Arial"/>
          <w:sz w:val="20"/>
          <w:lang w:val="cs-CZ"/>
        </w:rPr>
        <w:t xml:space="preserve"> operace.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Hlavními protipoložkami peněžních agregátů jsou: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 xml:space="preserve">Dlouhodobější finanční </w:t>
      </w:r>
      <w:r w:rsidR="00C822C2" w:rsidRPr="00C822C2">
        <w:rPr>
          <w:rFonts w:ascii="Arial" w:hAnsi="Arial" w:cs="Arial"/>
          <w:b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>, která zahrnují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nad 3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měsíce, vklady se splatností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emitované dluhové cenné papíry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kapitál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rezervy. 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poskytnuté vládním institucím</w:t>
      </w:r>
      <w:r w:rsidR="000E42BA" w:rsidRPr="00C822C2">
        <w:rPr>
          <w:rFonts w:ascii="Arial" w:hAnsi="Arial" w:cs="Arial"/>
          <w:b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</w:t>
      </w:r>
      <w:proofErr w:type="gramStart"/>
      <w:r w:rsidRPr="00C822C2">
        <w:rPr>
          <w:rFonts w:ascii="Arial" w:hAnsi="Arial" w:cs="Arial"/>
          <w:sz w:val="20"/>
          <w:lang w:val="cs-CZ"/>
        </w:rPr>
        <w:t>S.13</w:t>
      </w:r>
      <w:proofErr w:type="gramEnd"/>
      <w:r w:rsidRPr="00C822C2">
        <w:rPr>
          <w:rFonts w:ascii="Arial" w:hAnsi="Arial" w:cs="Arial"/>
          <w:sz w:val="20"/>
          <w:lang w:val="cs-CZ"/>
        </w:rPr>
        <w:t>) podle klasifikace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ESA95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poskytnuté soukromému sektoru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(S.11+S.123+S.124+S.125+S.14+S.15) podle klasifikace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ESA95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Čistá zahraniční aktiva</w:t>
      </w:r>
      <w:r w:rsidRPr="00C822C2">
        <w:rPr>
          <w:rFonts w:ascii="Arial" w:hAnsi="Arial" w:cs="Arial"/>
          <w:sz w:val="20"/>
          <w:lang w:val="cs-CZ"/>
        </w:rPr>
        <w:t>, která zahrnují zahraniční aktiva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měnové zlato, hotovost jiná než Kč, cenné papíry emitované nerezidenty ČR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úvěry poskytnuté nerezi</w:t>
      </w:r>
      <w:r w:rsidR="000900E9" w:rsidRPr="00C822C2">
        <w:rPr>
          <w:rFonts w:ascii="Arial" w:hAnsi="Arial" w:cs="Arial"/>
          <w:sz w:val="20"/>
          <w:lang w:val="cs-CZ"/>
        </w:rPr>
        <w:t xml:space="preserve">dentům ČR) minus zahraniční </w:t>
      </w:r>
      <w:r w:rsidR="00C822C2" w:rsidRPr="00C822C2">
        <w:rPr>
          <w:rFonts w:ascii="Arial" w:hAnsi="Arial" w:cs="Arial"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 xml:space="preserve">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vklady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nerezidentů ČR, </w:t>
      </w:r>
      <w:proofErr w:type="spellStart"/>
      <w:r w:rsidRPr="00C822C2">
        <w:rPr>
          <w:rFonts w:ascii="Arial" w:hAnsi="Arial" w:cs="Arial"/>
          <w:sz w:val="20"/>
          <w:lang w:val="cs-CZ"/>
        </w:rPr>
        <w:t>repo</w:t>
      </w:r>
      <w:proofErr w:type="spellEnd"/>
      <w:r w:rsidRPr="00C822C2">
        <w:rPr>
          <w:rFonts w:ascii="Arial" w:hAnsi="Arial" w:cs="Arial"/>
          <w:sz w:val="20"/>
          <w:lang w:val="cs-CZ"/>
        </w:rPr>
        <w:t xml:space="preserve"> operace, podíly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akcie fondů peněžního trhu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dluhové cenné papíry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dobou splatnosti do dvou let emitované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držení nerezidentů).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Základem pro sestavení peněžních agregátů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protipoložek v</w:t>
      </w:r>
      <w:r w:rsidR="004B06C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</w:t>
      </w:r>
      <w:r w:rsidR="004B06C2" w:rsidRPr="00C822C2">
        <w:rPr>
          <w:rFonts w:ascii="Arial" w:hAnsi="Arial" w:cs="Arial"/>
          <w:sz w:val="20"/>
          <w:lang w:val="cs-CZ"/>
        </w:rPr>
        <w:t>eské republice</w:t>
      </w:r>
      <w:r w:rsidRPr="00C822C2">
        <w:rPr>
          <w:rFonts w:ascii="Arial" w:hAnsi="Arial" w:cs="Arial"/>
          <w:sz w:val="20"/>
          <w:lang w:val="cs-CZ"/>
        </w:rPr>
        <w:t xml:space="preserve"> je harmonizovaná konsolidovaná rozvaha sektoru MFI. Sestavuje se jako součet rozvahy centrální banky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agregované rozvahy ostatních měnových finančních institucí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vyloučením vzájemných vztahů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oblasti úvěrů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vkladů, včetně neobchodovatelných cenných papírů, snížením emitovaného oběživa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hotovost na pokladnách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snížením závazků měnových finančních institucí z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emisí ostatních dluhových cenných papírů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částky těchto nástrojů 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měnových finančních institucí na straně aktiv. 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C822C2" w:rsidRDefault="00C1633E" w:rsidP="00C1633E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lastRenderedPageBreak/>
        <w:t>Metodika zjišťování (statistické principy, definice sektorů, klasifikace instrumentů, způsob výpočtu meziročních změn) je sladěna s evropskými i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dalšími mezinárodními standardy (nařízení a doporučení ECB, ESA95, Manuál měnové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statistiky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MMF atd.).</w:t>
      </w:r>
    </w:p>
    <w:p w:rsidR="000572F9" w:rsidRPr="00C822C2" w:rsidRDefault="000572F9">
      <w:pPr>
        <w:pStyle w:val="Podtitul"/>
        <w:jc w:val="both"/>
        <w:rPr>
          <w:rFonts w:ascii="Arial" w:hAnsi="Arial" w:cs="Arial"/>
          <w:sz w:val="20"/>
          <w:lang w:val="cs-CZ"/>
        </w:rPr>
      </w:pPr>
    </w:p>
    <w:p w:rsidR="000572F9" w:rsidRPr="00C822C2" w:rsidRDefault="000572F9">
      <w:pPr>
        <w:jc w:val="both"/>
        <w:rPr>
          <w:rFonts w:ascii="Arial" w:hAnsi="Arial" w:cs="Arial"/>
          <w:b/>
        </w:rPr>
      </w:pPr>
      <w:r w:rsidRPr="00C822C2">
        <w:rPr>
          <w:rFonts w:ascii="Arial" w:hAnsi="Arial" w:cs="Arial"/>
          <w:b/>
        </w:rPr>
        <w:t>Výpočet míry růstu</w:t>
      </w:r>
    </w:p>
    <w:p w:rsidR="000572F9" w:rsidRPr="00C822C2" w:rsidRDefault="000572F9">
      <w:pPr>
        <w:spacing w:before="120"/>
        <w:ind w:firstLine="709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Míra růstu pro referenční období se počítá z objemů měsíčních finančních transakcí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ze zůstatkových hodnot na počátku každého z měsíců. Měsíční transakce jsou počítány z rozdílů zůstatkových hodnot očištěných</w:t>
      </w:r>
      <w:r w:rsidR="0046656C" w:rsidRPr="00C822C2">
        <w:rPr>
          <w:rFonts w:ascii="Arial" w:hAnsi="Arial" w:cs="Arial"/>
        </w:rPr>
        <w:t xml:space="preserve"> o </w:t>
      </w:r>
      <w:proofErr w:type="spellStart"/>
      <w:r w:rsidRPr="00C822C2">
        <w:rPr>
          <w:rFonts w:ascii="Arial" w:hAnsi="Arial" w:cs="Arial"/>
        </w:rPr>
        <w:t>reklasifikace</w:t>
      </w:r>
      <w:proofErr w:type="spellEnd"/>
      <w:r w:rsidRPr="00C822C2">
        <w:rPr>
          <w:rFonts w:ascii="Arial" w:hAnsi="Arial" w:cs="Arial"/>
        </w:rPr>
        <w:t>, ostatní přecenění, pohyby směnných kurzů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případně ostatní změny, které nejsou důsledkem transakcí. Tato data pak odrážejí pouze ty změny, které vznikají z přijímání finančních aktiv</w:t>
      </w:r>
      <w:r w:rsidR="007255BB">
        <w:rPr>
          <w:rFonts w:ascii="Arial" w:hAnsi="Arial" w:cs="Arial"/>
        </w:rPr>
        <w:t>,</w:t>
      </w:r>
      <w:r w:rsidRPr="00C822C2">
        <w:rPr>
          <w:rFonts w:ascii="Arial" w:hAnsi="Arial" w:cs="Arial"/>
        </w:rPr>
        <w:t xml:space="preserve"> nebo poskytování finančních </w:t>
      </w:r>
      <w:r w:rsidR="00C822C2" w:rsidRPr="00C822C2">
        <w:rPr>
          <w:rFonts w:ascii="Arial" w:hAnsi="Arial" w:cs="Arial"/>
        </w:rPr>
        <w:t>pasiv</w:t>
      </w:r>
      <w:r w:rsidRPr="00C822C2">
        <w:rPr>
          <w:rFonts w:ascii="Arial" w:hAnsi="Arial" w:cs="Arial"/>
        </w:rPr>
        <w:t xml:space="preserve">. </w:t>
      </w:r>
      <w:proofErr w:type="spellStart"/>
      <w:r w:rsidRPr="00C822C2">
        <w:rPr>
          <w:rFonts w:ascii="Arial" w:hAnsi="Arial" w:cs="Arial"/>
        </w:rPr>
        <w:t>Reklasifikace</w:t>
      </w:r>
      <w:proofErr w:type="spellEnd"/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ostatní netransakční korekce jsou v transakční statistice zaváděny z toho důvodu, aby byla zachována srovnatelnost postupných sledování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tím umožněny výpočty indexů předpokládaných zůstatků sledovaných hodnot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odvození jejich míry růstu.</w:t>
      </w:r>
    </w:p>
    <w:p w:rsidR="000572F9" w:rsidRPr="00C822C2" w:rsidRDefault="000572F9">
      <w:pPr>
        <w:jc w:val="both"/>
        <w:rPr>
          <w:rFonts w:ascii="Arial" w:hAnsi="Arial" w:cs="Arial"/>
        </w:rPr>
      </w:pPr>
    </w:p>
    <w:p w:rsidR="000572F9" w:rsidRPr="00C822C2" w:rsidRDefault="000572F9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Způsob výpočtu</w:t>
      </w:r>
    </w:p>
    <w:p w:rsidR="000572F9" w:rsidRPr="00C822C2" w:rsidRDefault="00771FD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8.6pt;margin-top:8.35pt;width:18pt;height:19pt;z-index:4" fillcolor="#ff9">
            <v:imagedata r:id="rId7" o:title=""/>
          </v:shape>
          <o:OLEObject Type="Embed" ProgID="Equation.3" ShapeID="_x0000_s1033" DrawAspect="Content" ObjectID="_1473056773" r:id="rId8"/>
        </w:pict>
      </w:r>
    </w:p>
    <w:p w:rsidR="000572F9" w:rsidRPr="00C822C2" w:rsidRDefault="000572F9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Měsíční procentuální </w:t>
      </w:r>
      <w:proofErr w:type="gramStart"/>
      <w:r w:rsidRPr="00C822C2">
        <w:rPr>
          <w:rFonts w:ascii="Arial" w:hAnsi="Arial" w:cs="Arial"/>
        </w:rPr>
        <w:t>změna       pro</w:t>
      </w:r>
      <w:proofErr w:type="gramEnd"/>
      <w:r w:rsidRPr="00C822C2">
        <w:rPr>
          <w:rFonts w:ascii="Arial" w:hAnsi="Arial" w:cs="Arial"/>
        </w:rPr>
        <w:t xml:space="preserve">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podle vztahu:</w:t>
      </w:r>
    </w:p>
    <w:p w:rsidR="000572F9" w:rsidRPr="00C822C2" w:rsidRDefault="00771FD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75" style="position:absolute;left:0;text-align:left;margin-left:39.6pt;margin-top:4.85pt;width:105pt;height:34pt;z-index:3" fillcolor="#ff9">
            <v:imagedata r:id="rId9" o:title=""/>
          </v:shape>
          <o:OLEObject Type="Embed" ProgID="Equation.3" ShapeID="_x0000_s1031" DrawAspect="Content" ObjectID="_1473056774" r:id="rId10"/>
        </w:pict>
      </w:r>
      <w:r>
        <w:rPr>
          <w:rFonts w:ascii="Arial" w:hAnsi="Arial" w:cs="Arial"/>
          <w:noProof/>
        </w:rPr>
        <w:pict>
          <v:shape id="_x0000_s1029" type="#_x0000_t75" style="position:absolute;left:0;text-align:left;margin-left:39.6pt;margin-top:4.85pt;width:105pt;height:34pt;z-index:1" fillcolor="#ff9">
            <v:imagedata r:id="rId9" o:title=""/>
          </v:shape>
          <o:OLEObject Type="Embed" ProgID="Equation.3" ShapeID="_x0000_s1029" DrawAspect="Content" ObjectID="_1473056775" r:id="rId11"/>
        </w:pict>
      </w:r>
    </w:p>
    <w:p w:rsidR="000572F9" w:rsidRPr="00C822C2" w:rsidRDefault="000572F9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(a)</w:t>
      </w:r>
    </w:p>
    <w:p w:rsidR="000572F9" w:rsidRPr="00C822C2" w:rsidRDefault="000572F9">
      <w:pPr>
        <w:jc w:val="both"/>
        <w:rPr>
          <w:rFonts w:ascii="Arial" w:hAnsi="Arial" w:cs="Arial"/>
        </w:rPr>
      </w:pPr>
    </w:p>
    <w:p w:rsidR="000572F9" w:rsidRPr="00C822C2" w:rsidRDefault="000572F9">
      <w:pPr>
        <w:jc w:val="both"/>
        <w:rPr>
          <w:rFonts w:ascii="Arial" w:hAnsi="Arial" w:cs="Arial"/>
        </w:rPr>
      </w:pPr>
    </w:p>
    <w:p w:rsidR="000572F9" w:rsidRPr="00C822C2" w:rsidRDefault="000572F9">
      <w:pPr>
        <w:ind w:left="170" w:hanging="170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2. Roční míra růstu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>, tj. změna za posledních 12</w:t>
      </w:r>
      <w:r w:rsidR="001B7B11" w:rsidRPr="00C822C2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 xml:space="preserve">měsíců končící měsícem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jako součin dvanácti součinitelů každého předchozího měsíce. Výpočet roční míry růstu na základě meziměsíčních měr růstu tak umožňuje zohlednit transakční změny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netransakční vlivy v jednotlivých měsících:</w:t>
      </w:r>
    </w:p>
    <w:p w:rsidR="000572F9" w:rsidRPr="00C822C2" w:rsidRDefault="00771FD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75" style="position:absolute;left:0;text-align:left;margin-left:47.3pt;margin-top:1.15pt;width:166pt;height:36pt;z-index:2" fillcolor="#ff9" strokecolor="#ff9">
            <v:imagedata r:id="rId12" o:title=""/>
          </v:shape>
          <o:OLEObject Type="Embed" ProgID="Equation.3" ShapeID="_x0000_s1030" DrawAspect="Content" ObjectID="_1473056776" r:id="rId13"/>
        </w:pict>
      </w:r>
    </w:p>
    <w:p w:rsidR="000572F9" w:rsidRPr="00C822C2" w:rsidRDefault="000572F9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C822C2" w:rsidRDefault="000572F9">
      <w:pPr>
        <w:jc w:val="both"/>
        <w:rPr>
          <w:rFonts w:ascii="Arial" w:hAnsi="Arial" w:cs="Arial"/>
        </w:rPr>
      </w:pPr>
    </w:p>
    <w:p w:rsidR="000572F9" w:rsidRPr="00C822C2" w:rsidRDefault="000572F9">
      <w:pPr>
        <w:jc w:val="both"/>
        <w:rPr>
          <w:rFonts w:ascii="Arial" w:hAnsi="Arial" w:cs="Arial"/>
        </w:rPr>
      </w:pPr>
    </w:p>
    <w:p w:rsidR="000572F9" w:rsidRPr="00C822C2" w:rsidRDefault="000572F9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kde</w:t>
      </w:r>
    </w:p>
    <w:p w:rsidR="000572F9" w:rsidRPr="00C822C2" w:rsidRDefault="000572F9">
      <w:pPr>
        <w:ind w:left="709"/>
        <w:jc w:val="both"/>
        <w:rPr>
          <w:rFonts w:ascii="Arial" w:hAnsi="Arial" w:cs="Arial"/>
        </w:rPr>
      </w:pPr>
      <w:proofErr w:type="gramStart"/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transakce</w:t>
      </w:r>
      <w:proofErr w:type="gramEnd"/>
      <w:r w:rsidRPr="00C822C2">
        <w:rPr>
          <w:rFonts w:ascii="Arial" w:hAnsi="Arial" w:cs="Arial"/>
        </w:rPr>
        <w:t xml:space="preserve"> v měsíci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>
      <w:pPr>
        <w:ind w:left="709"/>
        <w:jc w:val="both"/>
        <w:rPr>
          <w:rFonts w:ascii="Arial" w:hAnsi="Arial" w:cs="Arial"/>
        </w:rPr>
      </w:pPr>
      <w:proofErr w:type="gramStart"/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= </w:t>
      </w:r>
      <w:r w:rsidRPr="00C822C2">
        <w:rPr>
          <w:rFonts w:ascii="Arial" w:hAnsi="Arial" w:cs="Arial"/>
          <w:i/>
        </w:rPr>
        <w:t xml:space="preserve">(L </w:t>
      </w:r>
      <w:r w:rsidRPr="00C822C2">
        <w:rPr>
          <w:rFonts w:ascii="Arial" w:hAnsi="Arial" w:cs="Arial"/>
          <w:i/>
          <w:vertAlign w:val="subscript"/>
        </w:rPr>
        <w:t>t</w:t>
      </w:r>
      <w:r w:rsidRPr="00C822C2">
        <w:rPr>
          <w:rFonts w:ascii="Arial" w:hAnsi="Arial" w:cs="Arial"/>
          <w:i/>
        </w:rPr>
        <w:t xml:space="preserve"> </w:t>
      </w:r>
      <w:r w:rsidR="00BD0F80" w:rsidRPr="00C822C2">
        <w:rPr>
          <w:rFonts w:ascii="Arial" w:hAnsi="Arial" w:cs="Arial"/>
          <w:i/>
        </w:rPr>
        <w:t>-</w:t>
      </w:r>
      <w:r w:rsidRPr="00C822C2">
        <w:rPr>
          <w:rFonts w:ascii="Arial" w:hAnsi="Arial" w:cs="Arial"/>
          <w:i/>
        </w:rPr>
        <w:t xml:space="preserve"> L </w:t>
      </w:r>
      <w:r w:rsidRPr="00C822C2">
        <w:rPr>
          <w:rFonts w:ascii="Arial" w:hAnsi="Arial" w:cs="Arial"/>
          <w:i/>
          <w:vertAlign w:val="subscript"/>
        </w:rPr>
        <w:t>t-1</w:t>
      </w:r>
      <w:proofErr w:type="gramEnd"/>
      <w:r w:rsidRPr="00C822C2">
        <w:rPr>
          <w:rFonts w:ascii="Arial" w:hAnsi="Arial" w:cs="Arial"/>
          <w:i/>
        </w:rPr>
        <w:t>) - 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a</w:t>
      </w:r>
    </w:p>
    <w:p w:rsidR="000572F9" w:rsidRPr="00C822C2" w:rsidRDefault="000572F9">
      <w:pPr>
        <w:ind w:left="709"/>
        <w:jc w:val="both"/>
        <w:rPr>
          <w:rFonts w:ascii="Arial" w:hAnsi="Arial" w:cs="Arial"/>
        </w:rPr>
      </w:pPr>
      <w:proofErr w:type="gramStart"/>
      <w:r w:rsidRPr="00C822C2">
        <w:rPr>
          <w:rFonts w:ascii="Arial" w:hAnsi="Arial" w:cs="Arial"/>
          <w:i/>
        </w:rPr>
        <w:t xml:space="preserve">L </w:t>
      </w:r>
      <w:r w:rsidRPr="00C822C2">
        <w:rPr>
          <w:rFonts w:ascii="Arial" w:hAnsi="Arial" w:cs="Arial"/>
          <w:i/>
          <w:vertAlign w:val="subscript"/>
        </w:rPr>
        <w:t xml:space="preserve">t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zůstatek</w:t>
      </w:r>
      <w:proofErr w:type="gramEnd"/>
      <w:r w:rsidRPr="00C822C2">
        <w:rPr>
          <w:rFonts w:ascii="Arial" w:hAnsi="Arial" w:cs="Arial"/>
        </w:rPr>
        <w:t xml:space="preserve"> na konci měsíce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</w:t>
      </w:r>
      <w:proofErr w:type="spellStart"/>
      <w:r w:rsidRPr="00C822C2">
        <w:rPr>
          <w:rFonts w:ascii="Arial" w:hAnsi="Arial" w:cs="Arial"/>
        </w:rPr>
        <w:t>reklasifikace</w:t>
      </w:r>
      <w:proofErr w:type="spellEnd"/>
      <w:r w:rsidRPr="00C822C2">
        <w:rPr>
          <w:rFonts w:ascii="Arial" w:hAnsi="Arial" w:cs="Arial"/>
        </w:rPr>
        <w:t xml:space="preserve">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>
      <w:pPr>
        <w:ind w:left="709"/>
        <w:jc w:val="both"/>
        <w:rPr>
          <w:rFonts w:ascii="Arial" w:hAnsi="Arial" w:cs="Arial"/>
        </w:rPr>
      </w:pPr>
      <w:proofErr w:type="gramStart"/>
      <w:r w:rsidRPr="00C822C2">
        <w:rPr>
          <w:rFonts w:ascii="Arial" w:hAnsi="Arial" w:cs="Arial"/>
          <w:i/>
        </w:rPr>
        <w:t>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</w:t>
      </w:r>
      <w:proofErr w:type="gramEnd"/>
      <w:r w:rsidRPr="00C822C2">
        <w:rPr>
          <w:rFonts w:ascii="Arial" w:hAnsi="Arial" w:cs="Arial"/>
        </w:rPr>
        <w:t xml:space="preserve"> směnných kurzů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>
      <w:pPr>
        <w:ind w:left="709"/>
        <w:jc w:val="both"/>
        <w:rPr>
          <w:rFonts w:ascii="Arial" w:hAnsi="Arial" w:cs="Arial"/>
        </w:rPr>
      </w:pPr>
      <w:proofErr w:type="gramStart"/>
      <w:r w:rsidRPr="00C822C2">
        <w:rPr>
          <w:rFonts w:ascii="Arial" w:hAnsi="Arial" w:cs="Arial"/>
          <w:i/>
        </w:rPr>
        <w:t>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</w:t>
      </w:r>
      <w:proofErr w:type="gramEnd"/>
      <w:r w:rsidRPr="00C822C2">
        <w:rPr>
          <w:rFonts w:ascii="Arial" w:hAnsi="Arial" w:cs="Arial"/>
        </w:rPr>
        <w:t xml:space="preserve"> ocenění</w:t>
      </w:r>
      <w:r w:rsidR="0046656C" w:rsidRPr="00C822C2">
        <w:rPr>
          <w:rFonts w:ascii="Arial" w:hAnsi="Arial" w:cs="Arial"/>
        </w:rPr>
        <w:t xml:space="preserve"> v </w:t>
      </w:r>
      <w:r w:rsidRPr="00C822C2">
        <w:rPr>
          <w:rFonts w:ascii="Arial" w:hAnsi="Arial" w:cs="Arial"/>
        </w:rPr>
        <w:t xml:space="preserve">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>
      <w:pPr>
        <w:jc w:val="both"/>
        <w:rPr>
          <w:rFonts w:ascii="Arial" w:hAnsi="Arial" w:cs="Arial"/>
        </w:rPr>
      </w:pPr>
    </w:p>
    <w:p w:rsidR="000572F9" w:rsidRPr="00C822C2" w:rsidRDefault="000572F9">
      <w:pPr>
        <w:ind w:firstLine="709"/>
        <w:jc w:val="both"/>
        <w:rPr>
          <w:rFonts w:ascii="Arial" w:hAnsi="Arial" w:cs="Arial"/>
          <w:szCs w:val="22"/>
        </w:rPr>
      </w:pPr>
      <w:r w:rsidRPr="00C822C2">
        <w:rPr>
          <w:rFonts w:ascii="Arial" w:hAnsi="Arial" w:cs="Arial"/>
        </w:rPr>
        <w:t>Míry růstu pro jiná referenční období se odvozují od vzorce (b).</w:t>
      </w:r>
    </w:p>
    <w:p w:rsidR="000572F9" w:rsidRPr="00C822C2" w:rsidRDefault="000572F9">
      <w:pPr>
        <w:widowControl w:val="0"/>
        <w:jc w:val="both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jc w:val="both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-2. </w:t>
      </w:r>
      <w:r w:rsidRPr="00C822C2">
        <w:rPr>
          <w:rFonts w:ascii="Arial" w:hAnsi="Arial" w:cs="Arial"/>
          <w:b/>
          <w:snapToGrid w:val="0"/>
        </w:rPr>
        <w:t>Měnová</w:t>
      </w:r>
      <w:r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b/>
          <w:snapToGrid w:val="0"/>
        </w:rPr>
        <w:t>báze ČNB</w:t>
      </w:r>
    </w:p>
    <w:p w:rsidR="000572F9" w:rsidRPr="00C822C2" w:rsidRDefault="000572F9">
      <w:pPr>
        <w:pStyle w:val="Zkladntextodsazen2"/>
        <w:spacing w:before="120"/>
        <w:ind w:left="0" w:firstLine="709"/>
        <w:rPr>
          <w:rFonts w:ascii="Arial" w:hAnsi="Arial" w:cs="Arial"/>
          <w:snapToGrid w:val="0"/>
          <w:sz w:val="20"/>
          <w:lang w:val="cs-CZ"/>
        </w:rPr>
      </w:pPr>
      <w:r w:rsidRPr="00C822C2">
        <w:rPr>
          <w:rFonts w:ascii="Arial" w:hAnsi="Arial" w:cs="Arial"/>
          <w:snapToGrid w:val="0"/>
          <w:sz w:val="20"/>
          <w:lang w:val="cs-CZ"/>
        </w:rPr>
        <w:t>Měnová báze (rezervní peníze) zahrnuje oběživo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rezervy, které drží obchodní banky </w:t>
      </w:r>
      <w:r w:rsidR="001F0D38" w:rsidRPr="00C822C2">
        <w:rPr>
          <w:rFonts w:ascii="Arial" w:hAnsi="Arial" w:cs="Arial"/>
          <w:snapToGrid w:val="0"/>
          <w:sz w:val="20"/>
          <w:lang w:val="cs-CZ"/>
        </w:rPr>
        <w:t>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družstevní záložny (od </w:t>
      </w:r>
      <w:r w:rsidR="007255BB">
        <w:rPr>
          <w:rFonts w:ascii="Arial" w:hAnsi="Arial" w:cs="Arial"/>
          <w:snapToGrid w:val="0"/>
          <w:sz w:val="20"/>
          <w:lang w:val="cs-CZ"/>
        </w:rPr>
        <w:t xml:space="preserve">roku 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2012) </w:t>
      </w:r>
      <w:r w:rsidRPr="00C822C2">
        <w:rPr>
          <w:rFonts w:ascii="Arial" w:hAnsi="Arial" w:cs="Arial"/>
          <w:snapToGrid w:val="0"/>
          <w:sz w:val="20"/>
          <w:lang w:val="cs-CZ"/>
        </w:rPr>
        <w:t>na účtech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u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centrální banky. Obě tyto položky představují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užití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 Měnová báze vyjadřuje vztahy centrální banky vůči ostatním sektorům v ekonomice. Proto protipoložky měnové báze představují vnější sektor, vládní sektor, bankovní sektor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>nebankovní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 sektor. Tyto faktory ovlivňující výši měnové báze se označují jako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zdroje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</w:t>
      </w:r>
    </w:p>
    <w:p w:rsidR="000572F9" w:rsidRPr="00C822C2" w:rsidRDefault="000572F9" w:rsidP="00DC5E89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Vnější sektor</w:t>
      </w:r>
      <w:r w:rsidRPr="00C822C2">
        <w:rPr>
          <w:rFonts w:ascii="Arial" w:hAnsi="Arial" w:cs="Arial"/>
          <w:snapToGrid w:val="0"/>
        </w:rPr>
        <w:t xml:space="preserve"> představuje saldo krátkodobých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dlouhodobých pohledávek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Pr="00C822C2" w:rsidRDefault="000572F9" w:rsidP="00DC5E89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Vládní sektor </w:t>
      </w:r>
      <w:r w:rsidRPr="00C822C2">
        <w:rPr>
          <w:rFonts w:ascii="Arial" w:hAnsi="Arial" w:cs="Arial"/>
          <w:snapToGrid w:val="0"/>
        </w:rPr>
        <w:t>vyjadřuje rozdíl mezi aktivy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C822C2" w:rsidRPr="00C822C2">
        <w:rPr>
          <w:rFonts w:ascii="Arial" w:hAnsi="Arial" w:cs="Arial"/>
          <w:snapToGrid w:val="0"/>
        </w:rPr>
        <w:t xml:space="preserve">pasivy </w:t>
      </w:r>
      <w:r w:rsidRPr="00C822C2">
        <w:rPr>
          <w:rFonts w:ascii="Arial" w:hAnsi="Arial" w:cs="Arial"/>
          <w:snapToGrid w:val="0"/>
        </w:rPr>
        <w:t>centrální banky vůči vládnímu sektoru.</w:t>
      </w:r>
    </w:p>
    <w:p w:rsidR="00707180" w:rsidRPr="00C822C2" w:rsidRDefault="000572F9" w:rsidP="00DC5E89">
      <w:pPr>
        <w:spacing w:before="120"/>
        <w:ind w:firstLine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</w:rPr>
        <w:t>Pohledávky za nebankovními subjekty</w:t>
      </w:r>
      <w:r w:rsidRPr="00C822C2">
        <w:rPr>
          <w:rFonts w:ascii="Arial" w:hAnsi="Arial" w:cs="Arial"/>
          <w:snapToGrid w:val="0"/>
        </w:rPr>
        <w:t xml:space="preserve"> představují pohledávky centrální banky vůči různým nebankovním subjektům. Mezi ně patří </w:t>
      </w:r>
      <w:r w:rsidR="004B48D4" w:rsidRPr="00C822C2">
        <w:rPr>
          <w:rFonts w:ascii="Arial" w:hAnsi="Arial" w:cs="Arial"/>
          <w:snapToGrid w:val="0"/>
        </w:rPr>
        <w:t xml:space="preserve">např. </w:t>
      </w:r>
      <w:r w:rsidRPr="00C822C2">
        <w:rPr>
          <w:rFonts w:ascii="Arial" w:hAnsi="Arial" w:cs="Arial"/>
          <w:snapToGrid w:val="0"/>
        </w:rPr>
        <w:t>banky bez licence</w:t>
      </w:r>
      <w:r w:rsidR="00707180" w:rsidRPr="00C822C2">
        <w:rPr>
          <w:rFonts w:ascii="Arial" w:hAnsi="Arial" w:cs="Arial"/>
          <w:snapToGrid w:val="0"/>
        </w:rPr>
        <w:t>.</w:t>
      </w:r>
    </w:p>
    <w:p w:rsidR="000572F9" w:rsidRPr="00C822C2" w:rsidRDefault="000572F9" w:rsidP="00DC5E89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Čistá ostatní aktiva</w:t>
      </w:r>
      <w:r w:rsidRPr="00C822C2">
        <w:rPr>
          <w:rFonts w:ascii="Arial" w:hAnsi="Arial" w:cs="Arial"/>
          <w:snapToGrid w:val="0"/>
        </w:rPr>
        <w:t xml:space="preserve"> zahrnují různé jiné položky, např. vlastní prostředky centrální banky, hmotný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nehmotný majetek, pohledávky za obchodními bankami z titulu čerpání oběživa, ostatní vklady obchodních bank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banky, ostatní nevládní vklady, nevládní cenné papíry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účasti atd.</w:t>
      </w:r>
    </w:p>
    <w:p w:rsidR="000572F9" w:rsidRPr="00C822C2" w:rsidRDefault="000572F9" w:rsidP="00DC5E89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lastRenderedPageBreak/>
        <w:t xml:space="preserve">Objem realizovaných operací </w:t>
      </w:r>
      <w:r w:rsidRPr="00C822C2">
        <w:rPr>
          <w:rFonts w:ascii="Arial" w:hAnsi="Arial" w:cs="Arial"/>
          <w:snapToGrid w:val="0"/>
        </w:rPr>
        <w:t xml:space="preserve">vyjadřuje sterilizaci volné likvidity, tj. objem poukázek ČNB v držení obchodních bank, </w:t>
      </w:r>
      <w:r w:rsidR="004B48D4" w:rsidRPr="00C822C2">
        <w:rPr>
          <w:rFonts w:ascii="Arial" w:hAnsi="Arial" w:cs="Arial"/>
          <w:snapToGrid w:val="0"/>
        </w:rPr>
        <w:t xml:space="preserve">družstevních záložen, ostatních </w:t>
      </w:r>
      <w:r w:rsidRPr="00C822C2">
        <w:rPr>
          <w:rFonts w:ascii="Arial" w:hAnsi="Arial" w:cs="Arial"/>
          <w:snapToGrid w:val="0"/>
        </w:rPr>
        <w:t>nebankovních subjektů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ministerstva financí.</w:t>
      </w:r>
    </w:p>
    <w:p w:rsidR="000572F9" w:rsidRPr="00C822C2" w:rsidRDefault="000572F9" w:rsidP="00DC5E89">
      <w:pPr>
        <w:spacing w:before="120"/>
        <w:ind w:firstLine="709"/>
        <w:jc w:val="both"/>
        <w:rPr>
          <w:rFonts w:ascii="Arial" w:hAnsi="Arial" w:cs="Arial"/>
          <w:snapToGrid w:val="0"/>
        </w:rPr>
      </w:pPr>
      <w:proofErr w:type="spellStart"/>
      <w:r w:rsidRPr="00C822C2">
        <w:rPr>
          <w:rFonts w:ascii="Arial" w:hAnsi="Arial" w:cs="Arial"/>
          <w:b/>
          <w:snapToGrid w:val="0"/>
        </w:rPr>
        <w:t>Standby</w:t>
      </w:r>
      <w:proofErr w:type="spellEnd"/>
      <w:r w:rsidRPr="00C822C2">
        <w:rPr>
          <w:rFonts w:ascii="Arial" w:hAnsi="Arial" w:cs="Arial"/>
          <w:b/>
          <w:snapToGrid w:val="0"/>
        </w:rPr>
        <w:t xml:space="preserve"> </w:t>
      </w:r>
      <w:proofErr w:type="spellStart"/>
      <w:r w:rsidRPr="00C822C2">
        <w:rPr>
          <w:rFonts w:ascii="Arial" w:hAnsi="Arial" w:cs="Arial"/>
          <w:b/>
          <w:snapToGrid w:val="0"/>
        </w:rPr>
        <w:t>facility</w:t>
      </w:r>
      <w:proofErr w:type="spellEnd"/>
      <w:r w:rsidRPr="00C822C2">
        <w:rPr>
          <w:rFonts w:ascii="Arial" w:hAnsi="Arial" w:cs="Arial"/>
          <w:b/>
          <w:snapToGrid w:val="0"/>
        </w:rPr>
        <w:t>:</w:t>
      </w:r>
      <w:r w:rsidRPr="00C822C2">
        <w:rPr>
          <w:rFonts w:ascii="Arial" w:hAnsi="Arial" w:cs="Arial"/>
          <w:snapToGrid w:val="0"/>
        </w:rPr>
        <w:t xml:space="preserve"> zápůjční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depozitní </w:t>
      </w:r>
      <w:proofErr w:type="spellStart"/>
      <w:r w:rsidRPr="00C822C2">
        <w:rPr>
          <w:rFonts w:ascii="Arial" w:hAnsi="Arial" w:cs="Arial"/>
          <w:snapToGrid w:val="0"/>
        </w:rPr>
        <w:t>facility</w:t>
      </w:r>
      <w:proofErr w:type="spellEnd"/>
      <w:r w:rsidRPr="00C822C2">
        <w:rPr>
          <w:rFonts w:ascii="Arial" w:hAnsi="Arial" w:cs="Arial"/>
          <w:snapToGrid w:val="0"/>
        </w:rPr>
        <w:t xml:space="preserve"> se splatností jeden den, které umožňují jednotlivým bankám </w:t>
      </w:r>
      <w:r w:rsidR="001F0D38" w:rsidRPr="00C822C2">
        <w:rPr>
          <w:rFonts w:ascii="Arial" w:hAnsi="Arial" w:cs="Arial"/>
          <w:snapToGrid w:val="0"/>
        </w:rPr>
        <w:t>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doladit svou denní rezervní pozici tak, aby docházelo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optimalizaci výše zůstatku na účtu platebního styku.</w:t>
      </w:r>
    </w:p>
    <w:p w:rsidR="000572F9" w:rsidRPr="00C822C2" w:rsidRDefault="000572F9" w:rsidP="00110527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Lombardní </w:t>
      </w:r>
      <w:proofErr w:type="spellStart"/>
      <w:r w:rsidRPr="00C822C2">
        <w:rPr>
          <w:rFonts w:ascii="Arial" w:hAnsi="Arial" w:cs="Arial"/>
          <w:snapToGrid w:val="0"/>
        </w:rPr>
        <w:t>repo</w:t>
      </w:r>
      <w:proofErr w:type="spellEnd"/>
      <w:r w:rsidRPr="00C822C2">
        <w:rPr>
          <w:rFonts w:ascii="Arial" w:hAnsi="Arial" w:cs="Arial"/>
          <w:snapToGrid w:val="0"/>
        </w:rPr>
        <w:t xml:space="preserve"> (zápůjční </w:t>
      </w:r>
      <w:proofErr w:type="spellStart"/>
      <w:r w:rsidRPr="00C822C2">
        <w:rPr>
          <w:rFonts w:ascii="Arial" w:hAnsi="Arial" w:cs="Arial"/>
          <w:snapToGrid w:val="0"/>
        </w:rPr>
        <w:t>facilita</w:t>
      </w:r>
      <w:proofErr w:type="spellEnd"/>
      <w:r w:rsidRPr="00C822C2">
        <w:rPr>
          <w:rFonts w:ascii="Arial" w:hAnsi="Arial" w:cs="Arial"/>
          <w:snapToGrid w:val="0"/>
        </w:rPr>
        <w:t xml:space="preserve">): </w:t>
      </w:r>
      <w:proofErr w:type="spellStart"/>
      <w:r w:rsidRPr="00C822C2">
        <w:rPr>
          <w:rFonts w:ascii="Arial" w:hAnsi="Arial" w:cs="Arial"/>
          <w:snapToGrid w:val="0"/>
        </w:rPr>
        <w:t>repo</w:t>
      </w:r>
      <w:proofErr w:type="spellEnd"/>
      <w:r w:rsidRPr="00C822C2">
        <w:rPr>
          <w:rFonts w:ascii="Arial" w:hAnsi="Arial" w:cs="Arial"/>
          <w:snapToGrid w:val="0"/>
        </w:rPr>
        <w:t xml:space="preserve"> operace sloužící k dodání likvidity obchodním bankám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2012). </w:t>
      </w:r>
      <w:r w:rsidRPr="00C822C2">
        <w:rPr>
          <w:rFonts w:ascii="Arial" w:hAnsi="Arial" w:cs="Arial"/>
          <w:snapToGrid w:val="0"/>
        </w:rPr>
        <w:t>Při poskytnutí úvěru se uplatňuje 100% krytí cennými papíry, zpravidla státními pokladničními poukázkami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poukázkami ČNB. Úvěr je úročen </w:t>
      </w:r>
      <w:r w:rsidR="00C97F6F" w:rsidRPr="00C822C2">
        <w:rPr>
          <w:rFonts w:ascii="Arial" w:hAnsi="Arial" w:cs="Arial"/>
          <w:snapToGrid w:val="0"/>
        </w:rPr>
        <w:t>l</w:t>
      </w:r>
      <w:r w:rsidRPr="00C822C2">
        <w:rPr>
          <w:rFonts w:ascii="Arial" w:hAnsi="Arial" w:cs="Arial"/>
          <w:snapToGrid w:val="0"/>
        </w:rPr>
        <w:t>ombardní sazbou. Minimální objem není stanoven.</w:t>
      </w:r>
    </w:p>
    <w:p w:rsidR="000572F9" w:rsidRPr="00C822C2" w:rsidRDefault="000572F9" w:rsidP="00110527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</w:t>
      </w:r>
      <w:proofErr w:type="spellStart"/>
      <w:r w:rsidRPr="00C822C2">
        <w:rPr>
          <w:rFonts w:ascii="Arial" w:hAnsi="Arial" w:cs="Arial"/>
          <w:snapToGrid w:val="0"/>
        </w:rPr>
        <w:t>Overnight</w:t>
      </w:r>
      <w:proofErr w:type="spellEnd"/>
      <w:r w:rsidRPr="00C822C2">
        <w:rPr>
          <w:rFonts w:ascii="Arial" w:hAnsi="Arial" w:cs="Arial"/>
          <w:snapToGrid w:val="0"/>
        </w:rPr>
        <w:t xml:space="preserve"> (O/N) depozitum (depozitní </w:t>
      </w:r>
      <w:proofErr w:type="spellStart"/>
      <w:r w:rsidRPr="00C822C2">
        <w:rPr>
          <w:rFonts w:ascii="Arial" w:hAnsi="Arial" w:cs="Arial"/>
          <w:snapToGrid w:val="0"/>
        </w:rPr>
        <w:t>facilita</w:t>
      </w:r>
      <w:proofErr w:type="spellEnd"/>
      <w:r w:rsidRPr="00C822C2">
        <w:rPr>
          <w:rFonts w:ascii="Arial" w:hAnsi="Arial" w:cs="Arial"/>
          <w:snapToGrid w:val="0"/>
        </w:rPr>
        <w:t>): obchodní banky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 záložny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mají možnost uložit si volné prostředky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banky. Jedná se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 xml:space="preserve">nezajištěný vklad, je úročen </w:t>
      </w:r>
      <w:r w:rsidR="00C97F6F" w:rsidRPr="00C822C2">
        <w:rPr>
          <w:rFonts w:ascii="Arial" w:hAnsi="Arial" w:cs="Arial"/>
          <w:snapToGrid w:val="0"/>
        </w:rPr>
        <w:t>d</w:t>
      </w:r>
      <w:r w:rsidRPr="00C822C2">
        <w:rPr>
          <w:rFonts w:ascii="Arial" w:hAnsi="Arial" w:cs="Arial"/>
          <w:snapToGrid w:val="0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9E6D29">
      <w:pPr>
        <w:pStyle w:val="Zkladntext"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Oběživo</w:t>
      </w:r>
      <w:r w:rsidRPr="00C822C2">
        <w:rPr>
          <w:rFonts w:ascii="Arial" w:hAnsi="Arial" w:cs="Arial"/>
          <w:sz w:val="20"/>
        </w:rPr>
        <w:t xml:space="preserve"> představuje závazek centrální banky z titulu vydaných bankovek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mincí, které se nacházejí v pokladnách bank</w:t>
      </w:r>
      <w:r w:rsidR="004B48D4" w:rsidRPr="00C822C2">
        <w:rPr>
          <w:rFonts w:ascii="Arial" w:hAnsi="Arial" w:cs="Arial"/>
          <w:sz w:val="20"/>
        </w:rPr>
        <w:t xml:space="preserve">, družstevních záložen (od </w:t>
      </w:r>
      <w:r w:rsidR="007255BB">
        <w:rPr>
          <w:rFonts w:ascii="Arial" w:hAnsi="Arial" w:cs="Arial"/>
          <w:sz w:val="20"/>
        </w:rPr>
        <w:t xml:space="preserve">roku </w:t>
      </w:r>
      <w:r w:rsidR="004B48D4" w:rsidRPr="00C822C2">
        <w:rPr>
          <w:rFonts w:ascii="Arial" w:hAnsi="Arial" w:cs="Arial"/>
          <w:sz w:val="20"/>
        </w:rPr>
        <w:t xml:space="preserve">2012) </w:t>
      </w:r>
      <w:r w:rsidR="0046656C" w:rsidRPr="00C822C2">
        <w:rPr>
          <w:rFonts w:ascii="Arial" w:hAnsi="Arial" w:cs="Arial"/>
          <w:sz w:val="20"/>
        </w:rPr>
        <w:t>a</w:t>
      </w:r>
      <w:r w:rsidR="003E6D84" w:rsidRPr="00C822C2">
        <w:rPr>
          <w:rFonts w:ascii="Arial" w:hAnsi="Arial" w:cs="Arial"/>
          <w:sz w:val="20"/>
        </w:rPr>
        <w:t> </w:t>
      </w:r>
      <w:r w:rsidR="0046656C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nebankovní veřejnosti.</w:t>
      </w:r>
    </w:p>
    <w:p w:rsidR="000572F9" w:rsidRPr="00C822C2" w:rsidRDefault="000572F9" w:rsidP="009E6D29">
      <w:pPr>
        <w:pStyle w:val="Zkladntext"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Rezervy bank</w:t>
      </w:r>
      <w:r w:rsidR="001F0D38" w:rsidRPr="00C822C2">
        <w:rPr>
          <w:rFonts w:ascii="Arial" w:hAnsi="Arial" w:cs="Arial"/>
          <w:b/>
          <w:sz w:val="20"/>
        </w:rPr>
        <w:t xml:space="preserve"> a </w:t>
      </w:r>
      <w:r w:rsidR="00FD7B55" w:rsidRPr="00C822C2">
        <w:rPr>
          <w:rFonts w:ascii="Arial" w:hAnsi="Arial" w:cs="Arial"/>
          <w:b/>
          <w:sz w:val="20"/>
        </w:rPr>
        <w:t>družstevních záložen</w:t>
      </w:r>
      <w:r w:rsidR="00FD7B55" w:rsidRPr="00C822C2">
        <w:rPr>
          <w:rFonts w:ascii="Arial" w:hAnsi="Arial" w:cs="Arial"/>
          <w:sz w:val="20"/>
        </w:rPr>
        <w:t xml:space="preserve"> (od</w:t>
      </w:r>
      <w:r w:rsidR="007255BB">
        <w:rPr>
          <w:rFonts w:ascii="Arial" w:hAnsi="Arial" w:cs="Arial"/>
          <w:sz w:val="20"/>
        </w:rPr>
        <w:t xml:space="preserve"> roku</w:t>
      </w:r>
      <w:r w:rsidR="00FD7B55" w:rsidRPr="00C822C2">
        <w:rPr>
          <w:rFonts w:ascii="Arial" w:hAnsi="Arial" w:cs="Arial"/>
          <w:sz w:val="20"/>
        </w:rPr>
        <w:t xml:space="preserve"> 2012)</w:t>
      </w:r>
      <w:r w:rsidRPr="00C822C2">
        <w:rPr>
          <w:rFonts w:ascii="Arial" w:hAnsi="Arial" w:cs="Arial"/>
          <w:sz w:val="20"/>
        </w:rPr>
        <w:t xml:space="preserve"> zahrnují povinné minimální rezervy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volné rezervy na účtech </w:t>
      </w:r>
      <w:r w:rsidR="00DC4637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centrální banky:</w:t>
      </w:r>
    </w:p>
    <w:p w:rsidR="00EA42AB" w:rsidRPr="00C822C2" w:rsidRDefault="00DC5E89" w:rsidP="00110527">
      <w:pPr>
        <w:pStyle w:val="Zkladntext"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P</w:t>
      </w:r>
      <w:r w:rsidR="000572F9" w:rsidRPr="00C822C2">
        <w:rPr>
          <w:rFonts w:ascii="Arial" w:hAnsi="Arial" w:cs="Arial"/>
          <w:sz w:val="20"/>
        </w:rPr>
        <w:t xml:space="preserve">ovinné minimální rezervy jsou banky </w:t>
      </w:r>
      <w:r w:rsidR="001F0D38" w:rsidRPr="00C822C2">
        <w:rPr>
          <w:rFonts w:ascii="Arial" w:hAnsi="Arial" w:cs="Arial"/>
          <w:sz w:val="20"/>
        </w:rPr>
        <w:t>a </w:t>
      </w:r>
      <w:r w:rsidR="00EA42AB" w:rsidRPr="00C822C2">
        <w:rPr>
          <w:rFonts w:ascii="Arial" w:hAnsi="Arial" w:cs="Arial"/>
          <w:sz w:val="20"/>
        </w:rPr>
        <w:t>družstevní záložny (od</w:t>
      </w:r>
      <w:r w:rsidR="007255BB" w:rsidRPr="007255BB">
        <w:rPr>
          <w:rFonts w:ascii="Arial" w:hAnsi="Arial" w:cs="Arial"/>
          <w:sz w:val="20"/>
        </w:rPr>
        <w:t xml:space="preserve"> </w:t>
      </w:r>
      <w:r w:rsidR="007255BB">
        <w:rPr>
          <w:rFonts w:ascii="Arial" w:hAnsi="Arial" w:cs="Arial"/>
          <w:sz w:val="20"/>
        </w:rPr>
        <w:t xml:space="preserve">roku </w:t>
      </w:r>
      <w:r w:rsidR="00EA42AB" w:rsidRPr="00C822C2">
        <w:rPr>
          <w:rFonts w:ascii="Arial" w:hAnsi="Arial" w:cs="Arial"/>
          <w:sz w:val="20"/>
        </w:rPr>
        <w:t xml:space="preserve">2012) </w:t>
      </w:r>
      <w:r w:rsidR="000572F9" w:rsidRPr="00C822C2">
        <w:rPr>
          <w:rFonts w:ascii="Arial" w:hAnsi="Arial" w:cs="Arial"/>
          <w:sz w:val="20"/>
        </w:rPr>
        <w:t>povinny držet na účtech</w:t>
      </w:r>
      <w:r w:rsidR="0046656C" w:rsidRPr="00C822C2">
        <w:rPr>
          <w:rFonts w:ascii="Arial" w:hAnsi="Arial" w:cs="Arial"/>
          <w:sz w:val="20"/>
        </w:rPr>
        <w:t xml:space="preserve"> u </w:t>
      </w:r>
      <w:r w:rsidR="000572F9" w:rsidRPr="00C822C2">
        <w:rPr>
          <w:rFonts w:ascii="Arial" w:hAnsi="Arial" w:cs="Arial"/>
          <w:sz w:val="20"/>
        </w:rPr>
        <w:t>centrální banky. Předepsaný objem činí 2</w:t>
      </w:r>
      <w:r w:rsidR="00314A5F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 xml:space="preserve">% z primárních závazků bank se splatností do </w:t>
      </w:r>
      <w:r w:rsidR="007255BB">
        <w:rPr>
          <w:rFonts w:ascii="Arial" w:hAnsi="Arial" w:cs="Arial"/>
          <w:sz w:val="20"/>
        </w:rPr>
        <w:t>dvou</w:t>
      </w:r>
      <w:r w:rsidR="007255BB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>let,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>to v české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 xml:space="preserve">zahraniční měně. Povinné minimální rezervy </w:t>
      </w:r>
      <w:r w:rsidR="00EA42AB" w:rsidRPr="00C822C2">
        <w:rPr>
          <w:rFonts w:ascii="Arial" w:hAnsi="Arial" w:cs="Arial"/>
          <w:sz w:val="20"/>
        </w:rPr>
        <w:t>jsou</w:t>
      </w:r>
      <w:r w:rsidR="000572F9" w:rsidRPr="00C822C2">
        <w:rPr>
          <w:rFonts w:ascii="Arial" w:hAnsi="Arial" w:cs="Arial"/>
          <w:sz w:val="20"/>
        </w:rPr>
        <w:t xml:space="preserve"> udržovány v</w:t>
      </w:r>
      <w:r w:rsidR="00DC4637" w:rsidRPr="00C822C2">
        <w:rPr>
          <w:rFonts w:ascii="Arial" w:hAnsi="Arial" w:cs="Arial"/>
          <w:sz w:val="20"/>
        </w:rPr>
        <w:t> </w:t>
      </w:r>
      <w:r w:rsidR="00EA42AB" w:rsidRPr="00C822C2">
        <w:rPr>
          <w:rFonts w:ascii="Arial" w:hAnsi="Arial" w:cs="Arial"/>
          <w:sz w:val="20"/>
        </w:rPr>
        <w:t xml:space="preserve">měsíčních </w:t>
      </w:r>
      <w:r w:rsidR="000572F9" w:rsidRPr="00C822C2">
        <w:rPr>
          <w:rFonts w:ascii="Arial" w:hAnsi="Arial" w:cs="Arial"/>
          <w:sz w:val="20"/>
        </w:rPr>
        <w:t>cyklech</w:t>
      </w:r>
      <w:r w:rsidR="00EA42AB" w:rsidRPr="00C822C2">
        <w:rPr>
          <w:rFonts w:ascii="Arial" w:hAnsi="Arial" w:cs="Arial"/>
          <w:sz w:val="20"/>
        </w:rPr>
        <w:t xml:space="preserve">, jsou úročeny platnou </w:t>
      </w:r>
      <w:proofErr w:type="spellStart"/>
      <w:r w:rsidR="00C97F6F" w:rsidRPr="00C822C2">
        <w:rPr>
          <w:rFonts w:ascii="Arial" w:hAnsi="Arial" w:cs="Arial"/>
          <w:sz w:val="20"/>
        </w:rPr>
        <w:t>r</w:t>
      </w:r>
      <w:r w:rsidR="002E1558" w:rsidRPr="00C822C2">
        <w:rPr>
          <w:rFonts w:ascii="Arial" w:hAnsi="Arial" w:cs="Arial"/>
          <w:sz w:val="20"/>
        </w:rPr>
        <w:t>epo</w:t>
      </w:r>
      <w:proofErr w:type="spellEnd"/>
      <w:r w:rsidR="002E1558" w:rsidRPr="00C822C2">
        <w:rPr>
          <w:rFonts w:ascii="Arial" w:hAnsi="Arial" w:cs="Arial"/>
          <w:sz w:val="20"/>
        </w:rPr>
        <w:t xml:space="preserve"> sazbou</w:t>
      </w:r>
      <w:r w:rsidR="0023066C">
        <w:rPr>
          <w:rFonts w:ascii="Arial" w:hAnsi="Arial" w:cs="Arial"/>
          <w:sz w:val="20"/>
        </w:rPr>
        <w:t>.</w:t>
      </w:r>
    </w:p>
    <w:p w:rsidR="000572F9" w:rsidRPr="00C822C2" w:rsidRDefault="000572F9" w:rsidP="00110527">
      <w:pPr>
        <w:pStyle w:val="Zkladntext"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V</w:t>
      </w:r>
      <w:r w:rsidRPr="00C822C2">
        <w:rPr>
          <w:rFonts w:ascii="Arial" w:hAnsi="Arial" w:cs="Arial"/>
          <w:sz w:val="20"/>
        </w:rPr>
        <w:t>olné rezervy představují rozdíl mezi předepsaným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skutečným objemem povinných minimálních rezerv.</w:t>
      </w:r>
    </w:p>
    <w:p w:rsidR="000572F9" w:rsidRPr="00C822C2" w:rsidRDefault="000572F9">
      <w:pPr>
        <w:widowControl w:val="0"/>
        <w:jc w:val="both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ind w:left="709" w:hanging="709"/>
        <w:jc w:val="both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-3.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-4. </w:t>
      </w:r>
      <w:r w:rsidRPr="00C822C2">
        <w:rPr>
          <w:rFonts w:ascii="Arial" w:hAnsi="Arial" w:cs="Arial"/>
          <w:b/>
          <w:snapToGrid w:val="0"/>
        </w:rPr>
        <w:t>Úvěry klientům poskytované obchodními bankami celkem, podle účelu, sektorů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činností</w:t>
      </w:r>
    </w:p>
    <w:p w:rsidR="000572F9" w:rsidRPr="00C822C2" w:rsidRDefault="000572F9">
      <w:pPr>
        <w:spacing w:before="120"/>
        <w:ind w:firstLine="709"/>
        <w:jc w:val="both"/>
        <w:rPr>
          <w:rFonts w:ascii="Arial" w:hAnsi="Arial"/>
          <w:color w:val="000000"/>
        </w:rPr>
      </w:pPr>
      <w:r w:rsidRPr="00C822C2">
        <w:rPr>
          <w:rFonts w:ascii="Arial" w:hAnsi="Arial"/>
          <w:color w:val="000000"/>
        </w:rPr>
        <w:t>Přehled</w:t>
      </w:r>
      <w:r w:rsidR="0046656C" w:rsidRPr="00C822C2">
        <w:rPr>
          <w:rFonts w:ascii="Arial" w:hAnsi="Arial"/>
          <w:color w:val="000000"/>
        </w:rPr>
        <w:t xml:space="preserve"> o </w:t>
      </w:r>
      <w:r w:rsidRPr="00C822C2">
        <w:rPr>
          <w:rFonts w:ascii="Arial" w:hAnsi="Arial"/>
          <w:color w:val="000000"/>
        </w:rPr>
        <w:t>stavu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struktuře poskytnutých úvěrů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pohledávek banky za klienty (včetně debetních zůstatků na běžných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kontokorentních účtech klientů)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členění podle zásad kategorizace pohledávek na standardní, sledované, nestandardní, pochybné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ztrátové, podle smluvní doby splatnosti (do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roku včetně, nad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 do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 včetně, nad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let), podle měn (CZK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cizí měny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rozsahu kurzovního lístku ČNB včetně zbytku měn)</w:t>
      </w:r>
      <w:r w:rsidRPr="00C822C2">
        <w:rPr>
          <w:rStyle w:val="Typewriter"/>
          <w:rFonts w:ascii="Arial" w:hAnsi="Arial"/>
          <w:color w:val="000000"/>
        </w:rPr>
        <w:t>,</w:t>
      </w:r>
      <w:r w:rsidRPr="00C822C2">
        <w:rPr>
          <w:rFonts w:ascii="Arial" w:hAnsi="Arial"/>
          <w:color w:val="000000"/>
        </w:rPr>
        <w:t xml:space="preserve"> podle příslušnosti klientů-dlužníků do jednotlivých ekonomických </w:t>
      </w:r>
      <w:proofErr w:type="spellStart"/>
      <w:r w:rsidRPr="00C822C2">
        <w:rPr>
          <w:rFonts w:ascii="Arial" w:hAnsi="Arial"/>
          <w:color w:val="000000"/>
        </w:rPr>
        <w:t>subsektorů</w:t>
      </w:r>
      <w:proofErr w:type="spellEnd"/>
      <w:r w:rsidRPr="00C822C2">
        <w:rPr>
          <w:rFonts w:ascii="Arial" w:hAnsi="Arial"/>
          <w:color w:val="000000"/>
        </w:rPr>
        <w:t>, podle příslušnosti klientů-dlužníků do jednotlivých ekonomických činností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podle účelu úvěru.</w:t>
      </w:r>
    </w:p>
    <w:p w:rsidR="000572F9" w:rsidRPr="00C822C2" w:rsidRDefault="000572F9">
      <w:pPr>
        <w:pStyle w:val="Podtitul"/>
        <w:spacing w:before="120"/>
        <w:ind w:firstLine="709"/>
        <w:jc w:val="left"/>
        <w:rPr>
          <w:rFonts w:ascii="Arial" w:hAnsi="Arial" w:cs="Arial"/>
          <w:color w:val="000000"/>
          <w:sz w:val="20"/>
          <w:lang w:val="cs-CZ"/>
        </w:rPr>
      </w:pPr>
      <w:r w:rsidRPr="00C822C2">
        <w:rPr>
          <w:rStyle w:val="Typewriter"/>
          <w:rFonts w:ascii="Arial" w:hAnsi="Arial" w:cs="Arial"/>
          <w:color w:val="000000"/>
          <w:lang w:val="cs-CZ"/>
        </w:rPr>
        <w:t>Datový soubor</w:t>
      </w:r>
      <w:r w:rsidRPr="00C822C2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22C2">
        <w:rPr>
          <w:rStyle w:val="Typewriter"/>
          <w:rFonts w:ascii="Arial" w:hAnsi="Arial" w:cs="Arial"/>
          <w:color w:val="000000"/>
          <w:lang w:val="cs-CZ"/>
        </w:rPr>
        <w:t>VST (ČNB) 1-12: Měsíční výkaz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o </w:t>
      </w:r>
      <w:r w:rsidRPr="00C822C2">
        <w:rPr>
          <w:rStyle w:val="Typewriter"/>
          <w:rFonts w:ascii="Arial" w:hAnsi="Arial" w:cs="Arial"/>
          <w:color w:val="000000"/>
          <w:lang w:val="cs-CZ"/>
        </w:rPr>
        <w:t>úvěrech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a </w:t>
      </w:r>
      <w:r w:rsidRPr="00C822C2">
        <w:rPr>
          <w:rStyle w:val="Typewriter"/>
          <w:rFonts w:ascii="Arial" w:hAnsi="Arial" w:cs="Arial"/>
          <w:color w:val="000000"/>
          <w:lang w:val="cs-CZ"/>
        </w:rPr>
        <w:t>pohledávkách za klienty.</w:t>
      </w:r>
    </w:p>
    <w:p w:rsidR="000572F9" w:rsidRPr="00C822C2" w:rsidRDefault="000572F9">
      <w:pPr>
        <w:widowControl w:val="0"/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-5.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-6. </w:t>
      </w:r>
      <w:r w:rsidRPr="00C822C2">
        <w:rPr>
          <w:rFonts w:ascii="Arial" w:hAnsi="Arial" w:cs="Arial"/>
          <w:b/>
          <w:snapToGrid w:val="0"/>
        </w:rPr>
        <w:t>Vklady klientů přijaté obchodními bankami celkem, podle sektorů, činností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délky uložení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Style w:val="Typewriter"/>
          <w:rFonts w:ascii="Arial" w:hAnsi="Arial"/>
          <w:color w:val="000000"/>
        </w:rPr>
        <w:t>Přehled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stavu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struktuře celkových vkladů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ostatních úvěrů přijatých od klientů (včetně vládních institucí)</w:t>
      </w:r>
      <w:r w:rsidR="0046656C" w:rsidRPr="00C822C2">
        <w:rPr>
          <w:rStyle w:val="Typewriter"/>
          <w:rFonts w:ascii="Arial" w:hAnsi="Arial"/>
          <w:color w:val="000000"/>
        </w:rPr>
        <w:t xml:space="preserve"> v </w:t>
      </w:r>
      <w:r w:rsidRPr="00C822C2">
        <w:rPr>
          <w:rStyle w:val="Typewriter"/>
          <w:rFonts w:ascii="Arial" w:hAnsi="Arial"/>
          <w:color w:val="000000"/>
        </w:rPr>
        <w:t>členění podle sjednané doby trvání vkladu nebo splatnosti přijatého úvěru, ekonomického charakteru klientů (podle ekonomického sektoru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ekonomické činnosti věřitele)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hlavních typů vkladových produktů. </w:t>
      </w:r>
    </w:p>
    <w:p w:rsidR="000572F9" w:rsidRPr="00C822C2" w:rsidRDefault="000572F9">
      <w:pPr>
        <w:spacing w:before="120"/>
        <w:ind w:firstLine="709"/>
        <w:rPr>
          <w:rFonts w:ascii="Arial" w:hAnsi="Arial"/>
          <w:color w:val="000000"/>
        </w:rPr>
      </w:pPr>
      <w:r w:rsidRPr="00C822C2">
        <w:rPr>
          <w:rStyle w:val="Typewriter"/>
          <w:rFonts w:ascii="Arial" w:hAnsi="Arial"/>
          <w:color w:val="000000"/>
        </w:rPr>
        <w:t>Datový soubor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VST (ČNB) 11-12: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Měsíční výkaz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vkladech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úvěrech od klientů. </w:t>
      </w:r>
    </w:p>
    <w:p w:rsidR="000572F9" w:rsidRPr="00C822C2" w:rsidRDefault="000572F9">
      <w:pPr>
        <w:widowControl w:val="0"/>
        <w:jc w:val="both"/>
        <w:rPr>
          <w:rFonts w:ascii="Arial" w:hAnsi="Arial" w:cs="Arial"/>
          <w:snapToGrid w:val="0"/>
        </w:rPr>
      </w:pPr>
    </w:p>
    <w:p w:rsidR="00413B7F" w:rsidRPr="00C822C2" w:rsidRDefault="00413B7F">
      <w:pPr>
        <w:widowControl w:val="0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72688C">
      <w:pPr>
        <w:widowControl w:val="0"/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-7. </w:t>
      </w:r>
      <w:r w:rsidRPr="00C822C2">
        <w:rPr>
          <w:rFonts w:ascii="Arial" w:hAnsi="Arial" w:cs="Arial"/>
          <w:b/>
          <w:snapToGrid w:val="0"/>
        </w:rPr>
        <w:t>Průměrné úrokové sazby na trhu mezibankovních depozit (roční průměry)</w:t>
      </w:r>
    </w:p>
    <w:p w:rsidR="000572F9" w:rsidRPr="00C822C2" w:rsidRDefault="000572F9" w:rsidP="0072688C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PRIBOR </w:t>
      </w:r>
      <w:r w:rsidRPr="00C822C2">
        <w:rPr>
          <w:rFonts w:ascii="Arial" w:hAnsi="Arial" w:cs="Arial"/>
          <w:i/>
          <w:iCs/>
          <w:snapToGrid w:val="0"/>
        </w:rPr>
        <w:t>(</w:t>
      </w:r>
      <w:proofErr w:type="spellStart"/>
      <w:r w:rsidRPr="00C822C2">
        <w:rPr>
          <w:rFonts w:ascii="Arial" w:hAnsi="Arial" w:cs="Arial"/>
          <w:i/>
          <w:iCs/>
          <w:snapToGrid w:val="0"/>
        </w:rPr>
        <w:t>Prague</w:t>
      </w:r>
      <w:proofErr w:type="spellEnd"/>
      <w:r w:rsidRPr="00C822C2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C822C2">
        <w:rPr>
          <w:rFonts w:ascii="Arial" w:hAnsi="Arial" w:cs="Arial"/>
          <w:i/>
          <w:iCs/>
          <w:snapToGrid w:val="0"/>
        </w:rPr>
        <w:t>Interbank</w:t>
      </w:r>
      <w:proofErr w:type="spellEnd"/>
      <w:r w:rsidRPr="00C822C2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C822C2">
        <w:rPr>
          <w:rFonts w:ascii="Arial" w:hAnsi="Arial" w:cs="Arial"/>
          <w:i/>
          <w:iCs/>
          <w:snapToGrid w:val="0"/>
        </w:rPr>
        <w:t>Offered</w:t>
      </w:r>
      <w:proofErr w:type="spellEnd"/>
      <w:r w:rsidRPr="00C822C2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C822C2">
        <w:rPr>
          <w:rFonts w:ascii="Arial" w:hAnsi="Arial" w:cs="Arial"/>
          <w:i/>
          <w:iCs/>
          <w:snapToGrid w:val="0"/>
        </w:rPr>
        <w:t>Rates</w:t>
      </w:r>
      <w:proofErr w:type="spellEnd"/>
      <w:r w:rsidRPr="00C822C2">
        <w:rPr>
          <w:rFonts w:ascii="Arial" w:hAnsi="Arial" w:cs="Arial"/>
          <w:i/>
          <w:iCs/>
          <w:snapToGrid w:val="0"/>
        </w:rPr>
        <w:t>)</w:t>
      </w:r>
      <w:r w:rsidRPr="00C822C2">
        <w:rPr>
          <w:rFonts w:ascii="Arial" w:hAnsi="Arial" w:cs="Arial"/>
          <w:snapToGrid w:val="0"/>
        </w:rPr>
        <w:t xml:space="preserve"> jsou referenční úrokové sazby na trhu mezibankovních depozit vypočítané na základě kotací vybraných bank (dále jen referenční banky). </w:t>
      </w:r>
      <w:proofErr w:type="spellStart"/>
      <w:r w:rsidRPr="00C822C2">
        <w:rPr>
          <w:rFonts w:ascii="Arial" w:hAnsi="Arial" w:cs="Arial"/>
          <w:snapToGrid w:val="0"/>
        </w:rPr>
        <w:t>Fixing</w:t>
      </w:r>
      <w:proofErr w:type="spellEnd"/>
      <w:r w:rsidRPr="00C822C2">
        <w:rPr>
          <w:rFonts w:ascii="Arial" w:hAnsi="Arial" w:cs="Arial"/>
          <w:snapToGrid w:val="0"/>
        </w:rPr>
        <w:t xml:space="preserve"> kotací úrokových sazeb je prováděn ČNB denně v 11:00</w:t>
      </w:r>
      <w:r w:rsidR="00314A5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hodin. Kotací se rozumí zveřejnění orientační ceny, za kterou jsou banky ochotny depozita prodat ve standardním objemu standardní protistraně.</w:t>
      </w:r>
    </w:p>
    <w:p w:rsidR="000572F9" w:rsidRPr="00C822C2" w:rsidRDefault="000572F9" w:rsidP="0072688C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ČNB definuje termíny, pro které jsou sazby PRIBOR stanovovány, algoritmus pro jejich výpočet, složení referenčních bank, standardní protistrany, standardní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způsob zveřejňování kotací.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Sazby PRIBOR se stanovují pro následující splatnosti: 1 den (</w:t>
      </w:r>
      <w:proofErr w:type="spellStart"/>
      <w:r w:rsidRPr="00C822C2">
        <w:rPr>
          <w:rFonts w:ascii="Arial" w:hAnsi="Arial" w:cs="Arial"/>
          <w:snapToGrid w:val="0"/>
        </w:rPr>
        <w:t>overnight</w:t>
      </w:r>
      <w:proofErr w:type="spellEnd"/>
      <w:r w:rsidRPr="00C822C2">
        <w:rPr>
          <w:rFonts w:ascii="Arial" w:hAnsi="Arial" w:cs="Arial"/>
          <w:snapToGrid w:val="0"/>
        </w:rPr>
        <w:t>), 1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2 týdny, 1, 2, 3, 6, 9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12 měsíců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vypočítávají se z kotací referenčních bank na trhu mezibankovních depozit následujícím způsobem:</w:t>
      </w:r>
    </w:p>
    <w:p w:rsidR="000572F9" w:rsidRPr="00C822C2" w:rsidRDefault="000572F9">
      <w:pPr>
        <w:widowControl w:val="0"/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danou splatnost více než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referenčních bank, odstraní se nejvyšší kotace (popř. jedna z nejvyšších kotací)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nejnižší kotace (popř. jedna z nejnižších kotací) a PRIBOR se vypočte jako aritmetický průměr ze zbylých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desetinná místa; </w:t>
      </w:r>
    </w:p>
    <w:p w:rsidR="000572F9" w:rsidRPr="00C822C2" w:rsidRDefault="000572F9">
      <w:pPr>
        <w:widowControl w:val="0"/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kotují-li úrokovou sazbu pro danou splatnost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nebo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referenčních bank, vypočte se PRIBOR jako aritmetický průměr ze všech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desetinná místa;</w:t>
      </w:r>
    </w:p>
    <w:p w:rsidR="000572F9" w:rsidRPr="00C822C2" w:rsidRDefault="000572F9">
      <w:pPr>
        <w:widowControl w:val="0"/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některou splatnost méně než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 banky, sazby PRIBOR se pro tuto splatnost nestanovují.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zveřejňuje sazby PRIBOR denně v Hospodářských novinách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prostřednictvím agentur </w:t>
      </w:r>
      <w:proofErr w:type="spellStart"/>
      <w:r w:rsidRPr="00C822C2">
        <w:rPr>
          <w:rFonts w:ascii="Arial" w:hAnsi="Arial" w:cs="Arial"/>
          <w:iCs/>
          <w:snapToGrid w:val="0"/>
        </w:rPr>
        <w:t>R</w:t>
      </w:r>
      <w:r w:rsidR="007F6F47" w:rsidRPr="00C822C2">
        <w:rPr>
          <w:rFonts w:ascii="Arial" w:hAnsi="Arial" w:cs="Arial"/>
          <w:iCs/>
          <w:snapToGrid w:val="0"/>
        </w:rPr>
        <w:t>euters</w:t>
      </w:r>
      <w:proofErr w:type="spellEnd"/>
      <w:r w:rsidRPr="00C822C2">
        <w:rPr>
          <w:rFonts w:ascii="Arial" w:hAnsi="Arial" w:cs="Arial"/>
          <w:iCs/>
          <w:snapToGrid w:val="0"/>
        </w:rPr>
        <w:t xml:space="preserve">, </w:t>
      </w:r>
      <w:proofErr w:type="spellStart"/>
      <w:r w:rsidRPr="00C822C2">
        <w:rPr>
          <w:rFonts w:ascii="Arial" w:hAnsi="Arial" w:cs="Arial"/>
          <w:iCs/>
          <w:snapToGrid w:val="0"/>
        </w:rPr>
        <w:t>T</w:t>
      </w:r>
      <w:r w:rsidR="007F6F47" w:rsidRPr="00C822C2">
        <w:rPr>
          <w:rFonts w:ascii="Arial" w:hAnsi="Arial" w:cs="Arial"/>
          <w:iCs/>
          <w:snapToGrid w:val="0"/>
        </w:rPr>
        <w:t>elerate</w:t>
      </w:r>
      <w:proofErr w:type="spellEnd"/>
      <w:r w:rsidR="0046656C" w:rsidRPr="00C822C2">
        <w:rPr>
          <w:rFonts w:ascii="Arial" w:hAnsi="Arial" w:cs="Arial"/>
          <w:iCs/>
          <w:snapToGrid w:val="0"/>
        </w:rPr>
        <w:t xml:space="preserve"> a </w:t>
      </w:r>
      <w:proofErr w:type="spellStart"/>
      <w:r w:rsidRPr="00C822C2">
        <w:rPr>
          <w:rFonts w:ascii="Arial" w:hAnsi="Arial" w:cs="Arial"/>
          <w:iCs/>
          <w:snapToGrid w:val="0"/>
        </w:rPr>
        <w:t>B</w:t>
      </w:r>
      <w:r w:rsidR="007F6F47" w:rsidRPr="00C822C2">
        <w:rPr>
          <w:rFonts w:ascii="Arial" w:hAnsi="Arial" w:cs="Arial"/>
          <w:iCs/>
          <w:snapToGrid w:val="0"/>
        </w:rPr>
        <w:t>loomberg</w:t>
      </w:r>
      <w:proofErr w:type="spellEnd"/>
      <w:r w:rsidRPr="00C822C2">
        <w:rPr>
          <w:rFonts w:ascii="Arial" w:hAnsi="Arial" w:cs="Arial"/>
          <w:snapToGrid w:val="0"/>
        </w:rPr>
        <w:t>. Počet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složení referenčních bank je uveden v poznámkách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jednotlivým tabulkám historických hodnot sazeb PRIBOR.</w:t>
      </w:r>
    </w:p>
    <w:p w:rsidR="000572F9" w:rsidRPr="00C822C2" w:rsidRDefault="000572F9">
      <w:pPr>
        <w:widowControl w:val="0"/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-8. </w:t>
      </w:r>
      <w:proofErr w:type="spellStart"/>
      <w:r w:rsidRPr="00C822C2">
        <w:rPr>
          <w:rFonts w:ascii="Arial" w:hAnsi="Arial" w:cs="Arial"/>
          <w:b/>
          <w:snapToGrid w:val="0"/>
        </w:rPr>
        <w:t>Repo</w:t>
      </w:r>
      <w:proofErr w:type="spellEnd"/>
      <w:r w:rsidRPr="00C822C2">
        <w:rPr>
          <w:rFonts w:ascii="Arial" w:hAnsi="Arial" w:cs="Arial"/>
          <w:b/>
          <w:snapToGrid w:val="0"/>
        </w:rPr>
        <w:t xml:space="preserve"> sazba</w:t>
      </w:r>
      <w:r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b/>
          <w:snapToGrid w:val="0"/>
        </w:rPr>
        <w:t>diskontní sazba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lombardní sazba</w:t>
      </w:r>
    </w:p>
    <w:p w:rsidR="001F0D38" w:rsidRPr="00C822C2" w:rsidRDefault="000572F9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Hlavní měnový nástroj má podobu </w:t>
      </w:r>
      <w:proofErr w:type="spellStart"/>
      <w:r w:rsidRPr="00C822C2">
        <w:rPr>
          <w:rFonts w:ascii="Arial" w:hAnsi="Arial" w:cs="Arial"/>
          <w:snapToGrid w:val="0"/>
        </w:rPr>
        <w:t>repo</w:t>
      </w:r>
      <w:proofErr w:type="spellEnd"/>
      <w:r w:rsidRPr="00C822C2">
        <w:rPr>
          <w:rFonts w:ascii="Arial" w:hAnsi="Arial" w:cs="Arial"/>
          <w:snapToGrid w:val="0"/>
        </w:rPr>
        <w:t xml:space="preserve"> operací prováděných formou tendrů. Při </w:t>
      </w:r>
      <w:proofErr w:type="spellStart"/>
      <w:r w:rsidRPr="00C822C2">
        <w:rPr>
          <w:rFonts w:ascii="Arial" w:hAnsi="Arial" w:cs="Arial"/>
          <w:b/>
          <w:snapToGrid w:val="0"/>
        </w:rPr>
        <w:t>repo</w:t>
      </w:r>
      <w:proofErr w:type="spellEnd"/>
      <w:r w:rsidRPr="00C822C2">
        <w:rPr>
          <w:rFonts w:ascii="Arial" w:hAnsi="Arial" w:cs="Arial"/>
          <w:b/>
          <w:snapToGrid w:val="0"/>
        </w:rPr>
        <w:t xml:space="preserve"> operacích</w:t>
      </w:r>
      <w:r w:rsidRPr="00C822C2">
        <w:rPr>
          <w:rFonts w:ascii="Arial" w:hAnsi="Arial" w:cs="Arial"/>
          <w:snapToGrid w:val="0"/>
        </w:rPr>
        <w:t xml:space="preserve"> ČNB přijímá od bank přebytečnou likviditu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dohodnutý úrok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věřitelská banka vrátí ČNB poskytnutý kolaterál. Základní doba trvání těchto operací je stanovena na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dní, avšak v závislosti na predikci vývoje likvidity bankovního sektoru jsou čas od času prováděny i </w:t>
      </w:r>
      <w:proofErr w:type="spellStart"/>
      <w:r w:rsidRPr="00C822C2">
        <w:rPr>
          <w:rFonts w:ascii="Arial" w:hAnsi="Arial" w:cs="Arial"/>
          <w:snapToGrid w:val="0"/>
        </w:rPr>
        <w:t>repo</w:t>
      </w:r>
      <w:proofErr w:type="spellEnd"/>
      <w:r w:rsidRPr="00C822C2">
        <w:rPr>
          <w:rFonts w:ascii="Arial" w:hAnsi="Arial" w:cs="Arial"/>
          <w:snapToGrid w:val="0"/>
        </w:rPr>
        <w:t xml:space="preserve"> operace s dobou splatnosti kratší než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dní. Vzhledem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 xml:space="preserve">systémovému přebytku likvidity v bankovním sektoru slouží v současné době </w:t>
      </w:r>
      <w:proofErr w:type="spellStart"/>
      <w:r w:rsidRPr="00C822C2">
        <w:rPr>
          <w:rFonts w:ascii="Arial" w:hAnsi="Arial" w:cs="Arial"/>
          <w:snapToGrid w:val="0"/>
        </w:rPr>
        <w:t>repo</w:t>
      </w:r>
      <w:proofErr w:type="spellEnd"/>
      <w:r w:rsidRPr="00C822C2">
        <w:rPr>
          <w:rFonts w:ascii="Arial" w:hAnsi="Arial" w:cs="Arial"/>
          <w:snapToGrid w:val="0"/>
        </w:rPr>
        <w:t xml:space="preserve"> tendry pouze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="001F0D38" w:rsidRPr="00C822C2">
        <w:rPr>
          <w:rFonts w:ascii="Arial" w:hAnsi="Arial" w:cs="Arial"/>
          <w:snapToGrid w:val="0"/>
        </w:rPr>
        <w:t>odčerpávání likvidity.</w:t>
      </w:r>
    </w:p>
    <w:p w:rsidR="000572F9" w:rsidRPr="00C822C2" w:rsidRDefault="000572F9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ČNB provádí </w:t>
      </w:r>
      <w:proofErr w:type="spellStart"/>
      <w:r w:rsidRPr="00C822C2">
        <w:rPr>
          <w:rFonts w:ascii="Arial" w:hAnsi="Arial" w:cs="Arial"/>
          <w:snapToGrid w:val="0"/>
        </w:rPr>
        <w:t>repo</w:t>
      </w:r>
      <w:proofErr w:type="spellEnd"/>
      <w:r w:rsidRPr="00C822C2">
        <w:rPr>
          <w:rFonts w:ascii="Arial" w:hAnsi="Arial" w:cs="Arial"/>
          <w:snapToGrid w:val="0"/>
        </w:rPr>
        <w:t xml:space="preserve"> tendry s tzv. variabilní sazbou. To znamená, že vyhlášená </w:t>
      </w:r>
      <w:hyperlink r:id="rId14" w:anchor="e4" w:history="1">
        <w:proofErr w:type="spellStart"/>
        <w:r w:rsidRPr="00C822C2">
          <w:rPr>
            <w:rFonts w:ascii="Arial" w:hAnsi="Arial" w:cs="Arial"/>
            <w:snapToGrid w:val="0"/>
          </w:rPr>
          <w:t>repo</w:t>
        </w:r>
        <w:proofErr w:type="spellEnd"/>
        <w:r w:rsidRPr="00C822C2">
          <w:rPr>
            <w:rFonts w:ascii="Arial" w:hAnsi="Arial" w:cs="Arial"/>
            <w:snapToGrid w:val="0"/>
          </w:rPr>
          <w:t xml:space="preserve"> sazba</w:t>
        </w:r>
      </w:hyperlink>
      <w:r w:rsidRPr="00C822C2">
        <w:rPr>
          <w:rFonts w:ascii="Arial" w:hAnsi="Arial" w:cs="Arial"/>
          <w:snapToGrid w:val="0"/>
        </w:rPr>
        <w:t xml:space="preserve"> slouží jako maximální limitní sazba, za kterou mohou být banky v </w:t>
      </w:r>
      <w:proofErr w:type="spellStart"/>
      <w:r w:rsidRPr="00C822C2">
        <w:rPr>
          <w:rFonts w:ascii="Arial" w:hAnsi="Arial" w:cs="Arial"/>
          <w:snapToGrid w:val="0"/>
        </w:rPr>
        <w:t>repo</w:t>
      </w:r>
      <w:proofErr w:type="spellEnd"/>
      <w:r w:rsidRPr="00C822C2">
        <w:rPr>
          <w:rFonts w:ascii="Arial" w:hAnsi="Arial" w:cs="Arial"/>
          <w:snapToGrid w:val="0"/>
        </w:rPr>
        <w:t xml:space="preserve"> tendru uspokojovány. Nabídky bank jsou vypořádány podle americké aukční procedury, tj. ČNB přijme přednostně nabídky požadující nejnižší úrokovou sazbu,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to až do výše predikovaného přebytku likvidity na daný den. V případě, že objem objednaný bankami přesáhne predikovaný přebytek likvidity, ČNB nabídky za nejvyšší sazby buď zcela odmítne, nebo proporcionálně zkrátí. </w:t>
      </w:r>
      <w:proofErr w:type="spellStart"/>
      <w:r w:rsidRPr="00C822C2">
        <w:rPr>
          <w:rFonts w:ascii="Arial" w:hAnsi="Arial" w:cs="Arial"/>
          <w:snapToGrid w:val="0"/>
        </w:rPr>
        <w:t>Repo</w:t>
      </w:r>
      <w:proofErr w:type="spellEnd"/>
      <w:r w:rsidRPr="00C822C2">
        <w:rPr>
          <w:rFonts w:ascii="Arial" w:hAnsi="Arial" w:cs="Arial"/>
          <w:snapToGrid w:val="0"/>
        </w:rPr>
        <w:t xml:space="preserve"> tendr je obvykle vyhlašován každý pracovní den kolem 9:30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hod. Banky mají možnost ve stanovené době předávat své objednávky, tj.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C822C2">
          <w:rPr>
            <w:rFonts w:ascii="Arial" w:hAnsi="Arial" w:cs="Arial"/>
            <w:snapToGrid w:val="0"/>
          </w:rPr>
          <w:t>300 mil</w:t>
        </w:r>
      </w:smartTag>
      <w:r w:rsidRPr="00C822C2">
        <w:rPr>
          <w:rFonts w:ascii="Arial" w:hAnsi="Arial" w:cs="Arial"/>
          <w:snapToGrid w:val="0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C822C2">
          <w:rPr>
            <w:rFonts w:ascii="Arial" w:hAnsi="Arial" w:cs="Arial"/>
            <w:snapToGrid w:val="0"/>
          </w:rPr>
          <w:t>100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>
      <w:pPr>
        <w:tabs>
          <w:tab w:val="left" w:pos="397"/>
          <w:tab w:val="left" w:pos="1928"/>
        </w:tabs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Diskontní sazba </w:t>
      </w:r>
      <w:r w:rsidRPr="00C822C2">
        <w:rPr>
          <w:rFonts w:ascii="Arial" w:hAnsi="Arial" w:cs="Arial"/>
          <w:snapToGrid w:val="0"/>
        </w:rPr>
        <w:t>je základní sazba ČNB. Za tuto sazbu poskytovala ČNB do 30. </w:t>
      </w:r>
      <w:r w:rsidR="00D46514">
        <w:rPr>
          <w:rFonts w:ascii="Arial" w:hAnsi="Arial" w:cs="Arial"/>
          <w:snapToGrid w:val="0"/>
        </w:rPr>
        <w:t>září</w:t>
      </w:r>
      <w:r w:rsidRPr="00C822C2">
        <w:rPr>
          <w:rFonts w:ascii="Arial" w:hAnsi="Arial" w:cs="Arial"/>
          <w:snapToGrid w:val="0"/>
        </w:rPr>
        <w:t xml:space="preserve"> 1997 směnečné úvěry bankám. Po jejich zrušení se od roku 1998 úročí diskontní sazbou depozitní </w:t>
      </w:r>
      <w:proofErr w:type="spellStart"/>
      <w:r w:rsidRPr="00C822C2">
        <w:rPr>
          <w:rFonts w:ascii="Arial" w:hAnsi="Arial" w:cs="Arial"/>
          <w:snapToGrid w:val="0"/>
        </w:rPr>
        <w:t>facility</w:t>
      </w:r>
      <w:proofErr w:type="spellEnd"/>
      <w:r w:rsidRPr="00C822C2">
        <w:rPr>
          <w:rFonts w:ascii="Arial" w:hAnsi="Arial" w:cs="Arial"/>
          <w:snapToGrid w:val="0"/>
        </w:rPr>
        <w:t xml:space="preserve">, které představují nezajištěná </w:t>
      </w:r>
      <w:proofErr w:type="spellStart"/>
      <w:r w:rsidRPr="00C822C2">
        <w:rPr>
          <w:rFonts w:ascii="Arial" w:hAnsi="Arial" w:cs="Arial"/>
          <w:snapToGrid w:val="0"/>
        </w:rPr>
        <w:t>overnight</w:t>
      </w:r>
      <w:proofErr w:type="spellEnd"/>
      <w:r w:rsidRPr="00C822C2">
        <w:rPr>
          <w:rFonts w:ascii="Arial" w:hAnsi="Arial" w:cs="Arial"/>
          <w:snapToGrid w:val="0"/>
        </w:rPr>
        <w:t xml:space="preserve"> depozita, jež může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Lombardní sazba </w:t>
      </w:r>
      <w:r w:rsidRPr="00C822C2">
        <w:rPr>
          <w:rFonts w:ascii="Arial" w:hAnsi="Arial" w:cs="Arial"/>
          <w:snapToGrid w:val="0"/>
        </w:rPr>
        <w:t>je sazba, za kterou ČNB poskytuje lombardní úvěr. Lombardní úvěr se poskytuje proti zástavě vybraných cenných papírů zveřejněných v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Seznamu cenných papírů přijímaných do zástavy ČNB pro účely poskytování lombardního úvěru.</w:t>
      </w:r>
    </w:p>
    <w:p w:rsidR="000572F9" w:rsidRPr="00C822C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widowControl w:val="0"/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-9.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-10. </w:t>
      </w:r>
      <w:r w:rsidRPr="00C822C2">
        <w:rPr>
          <w:rFonts w:ascii="Arial" w:hAnsi="Arial" w:cs="Arial"/>
          <w:b/>
          <w:snapToGrid w:val="0"/>
        </w:rPr>
        <w:t>Průměrné úrokové sazby z korunových klientských úvěrů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vkladů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Průměrné sazby z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korunových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 přijatých/poskytnutých bankami od klientů/klientům. Průměrné sazby jsou stanoveny jako vážený průměr, kde vahami jsou objemy v příslušných kategoriích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úvěrů.</w:t>
      </w:r>
    </w:p>
    <w:p w:rsidR="00125F53" w:rsidRDefault="004D040B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4D040B">
        <w:rPr>
          <w:rFonts w:ascii="Arial" w:hAnsi="Arial" w:cs="Arial"/>
          <w:snapToGrid w:val="0"/>
        </w:rPr>
        <w:t xml:space="preserve">Od roku 2004 je metodika sladěna s požadavky </w:t>
      </w:r>
      <w:r w:rsidRPr="00F2522E">
        <w:rPr>
          <w:rFonts w:ascii="Arial" w:hAnsi="Arial" w:cs="Arial"/>
          <w:snapToGrid w:val="0"/>
        </w:rPr>
        <w:t>Nařízení Evropské centrální banky (EU) č.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>1072/2013 ze dne 24.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 xml:space="preserve">září 2013 </w:t>
      </w:r>
      <w:r w:rsidRPr="004D040B">
        <w:rPr>
          <w:rFonts w:ascii="Arial" w:hAnsi="Arial" w:cs="Arial"/>
          <w:snapToGrid w:val="0"/>
        </w:rPr>
        <w:t>o</w:t>
      </w:r>
      <w:r w:rsidR="00F2522E">
        <w:rPr>
          <w:rFonts w:ascii="Arial" w:hAnsi="Arial" w:cs="Arial"/>
          <w:snapToGrid w:val="0"/>
        </w:rPr>
        <w:t> </w:t>
      </w:r>
      <w:r w:rsidRPr="004D040B">
        <w:rPr>
          <w:rFonts w:ascii="Arial" w:hAnsi="Arial" w:cs="Arial"/>
          <w:snapToGrid w:val="0"/>
        </w:rPr>
        <w:t xml:space="preserve">statistice úrokových sazeb uplatňovaných měnovými finančními institucemi (přepracované </w:t>
      </w:r>
      <w:proofErr w:type="gramStart"/>
      <w:r w:rsidRPr="004D040B">
        <w:rPr>
          <w:rFonts w:ascii="Arial" w:hAnsi="Arial" w:cs="Arial"/>
          <w:snapToGrid w:val="0"/>
        </w:rPr>
        <w:t>znění) (ECB/2013/34</w:t>
      </w:r>
      <w:proofErr w:type="gramEnd"/>
      <w:r w:rsidRPr="004D040B">
        <w:rPr>
          <w:rFonts w:ascii="Arial" w:hAnsi="Arial" w:cs="Arial"/>
          <w:snapToGrid w:val="0"/>
        </w:rPr>
        <w:t>).</w:t>
      </w:r>
      <w:r w:rsidR="000572F9" w:rsidRPr="00C822C2">
        <w:rPr>
          <w:rFonts w:ascii="Arial" w:hAnsi="Arial" w:cs="Arial"/>
          <w:snapToGrid w:val="0"/>
        </w:rPr>
        <w:t xml:space="preserve"> Sledované úrokové sazby nejsou nadále sjednané nominální sazby, ale sazby sjednané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0572F9" w:rsidRPr="00C822C2">
        <w:rPr>
          <w:rFonts w:ascii="Arial" w:hAnsi="Arial" w:cs="Arial"/>
          <w:snapToGrid w:val="0"/>
        </w:rPr>
        <w:t>přepočtené na roční základ.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Stavy obchodů jsou definovány jako bilanční zůstatky přijatých resp. poskytnutých vkladů a úvěrů bankou k okamžiku vykazování. Jsou členěny podle původní sjednané doby splatnosti. Nově byla zavedena statistika nových obchodů. Novým obchodem se rozumí jakákoliv nová dohoda mezi bankou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klientem v daném období. Nové úvěrové obchody jsou členěny podle původní doby fixace úrokové sazby. Rozumí se jí období na počátku kontraktu, během kterého se výše úrokové sazby nemůže měnit.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U ukazatelů – jednodenní vklady, vklady s výpovědní lhůtou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přečerpání bankovních účtů – se nové obchody shodují se stavy.</w:t>
      </w:r>
    </w:p>
    <w:p w:rsidR="006468C7" w:rsidRPr="00C822C2" w:rsidRDefault="006468C7">
      <w:pPr>
        <w:widowControl w:val="0"/>
        <w:spacing w:before="120"/>
        <w:ind w:firstLine="709"/>
        <w:jc w:val="both"/>
        <w:rPr>
          <w:rFonts w:ascii="Tahoma" w:hAnsi="Tahoma" w:cs="Tahoma"/>
        </w:rPr>
      </w:pPr>
      <w:r w:rsidRPr="00C822C2">
        <w:rPr>
          <w:rFonts w:ascii="Tahoma" w:hAnsi="Tahoma" w:cs="Tahoma"/>
        </w:rPr>
        <w:t>Celkové ukazatele nových obchodů, jejichž součástí byly nové obchody odpovídající zůstatkům vkladů na konci sledovaného období, byly z</w:t>
      </w:r>
      <w:r w:rsidR="00BB1052" w:rsidRPr="00C822C2">
        <w:rPr>
          <w:rFonts w:ascii="Tahoma" w:hAnsi="Tahoma" w:cs="Tahoma"/>
        </w:rPr>
        <w:t> </w:t>
      </w:r>
      <w:r w:rsidRPr="00C822C2">
        <w:rPr>
          <w:rFonts w:ascii="Tahoma" w:hAnsi="Tahoma" w:cs="Tahoma"/>
        </w:rPr>
        <w:t>metodických důvodů z</w:t>
      </w:r>
      <w:r w:rsidR="00BB1052" w:rsidRPr="00C822C2">
        <w:rPr>
          <w:rFonts w:ascii="Tahoma" w:hAnsi="Tahoma" w:cs="Tahoma"/>
        </w:rPr>
        <w:t> </w:t>
      </w:r>
      <w:r w:rsidRPr="00C822C2">
        <w:rPr>
          <w:rFonts w:ascii="Tahoma" w:hAnsi="Tahoma" w:cs="Tahoma"/>
        </w:rPr>
        <w:t>výstupů úrokové statistiky odstraněny.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Zdrojem dat jsou výkazy úrokové statistiky, které banky předkládají ČNB.</w:t>
      </w:r>
    </w:p>
    <w:p w:rsidR="000572F9" w:rsidRPr="00C822C2" w:rsidRDefault="000572F9">
      <w:pPr>
        <w:widowControl w:val="0"/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>
      <w:pPr>
        <w:widowControl w:val="0"/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-11. </w:t>
      </w:r>
      <w:r w:rsidR="00373677" w:rsidRPr="00C822C2">
        <w:rPr>
          <w:rFonts w:ascii="Arial" w:hAnsi="Arial" w:cs="Arial"/>
          <w:b/>
          <w:color w:val="auto"/>
          <w:sz w:val="20"/>
        </w:rPr>
        <w:t>Počet činných komerčních bank</w:t>
      </w:r>
    </w:p>
    <w:p w:rsidR="000572F9" w:rsidRPr="00C822C2" w:rsidRDefault="000572F9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 jsou převzaty z výkazu E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(ČNB)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5-04 Hlášení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organizační struktuře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kvalifikovaných účastech banky. </w:t>
      </w:r>
      <w:r w:rsidR="00253088" w:rsidRPr="00C822C2">
        <w:rPr>
          <w:rFonts w:ascii="Arial" w:hAnsi="Arial" w:cs="Arial"/>
          <w:color w:val="auto"/>
          <w:sz w:val="20"/>
        </w:rPr>
        <w:t>Banky</w:t>
      </w:r>
      <w:r w:rsidRPr="00C822C2">
        <w:rPr>
          <w:rFonts w:ascii="Arial" w:hAnsi="Arial" w:cs="Arial"/>
          <w:color w:val="auto"/>
          <w:sz w:val="20"/>
        </w:rPr>
        <w:t xml:space="preserve"> jsou rozděleny do skupin podle podílu splaceného tuzemského a zahraničního kapitálu.</w:t>
      </w:r>
    </w:p>
    <w:p w:rsidR="000572F9" w:rsidRPr="00C822C2" w:rsidRDefault="000572F9">
      <w:pPr>
        <w:pStyle w:val="Standardn1"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1"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1"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-12.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Platební bilance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Platební bilance zachycuje ekonomické transakce se zahraničím (tj. mezi rezidenty a nerezidenty) za určité časové období. Základní struktura platební bilance vycházející z Příručky k sestavování platební bilance MMF (5. vydání, 1993) zahrnuje běžný, kapitálový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finanční účet a změnu </w:t>
      </w:r>
      <w:r w:rsidR="00655E31" w:rsidRPr="00C822C2">
        <w:rPr>
          <w:rFonts w:ascii="Arial" w:hAnsi="Arial" w:cs="Arial"/>
          <w:color w:val="auto"/>
          <w:sz w:val="20"/>
        </w:rPr>
        <w:t xml:space="preserve">devizových </w:t>
      </w:r>
      <w:r w:rsidRPr="00C822C2">
        <w:rPr>
          <w:rFonts w:ascii="Arial" w:hAnsi="Arial" w:cs="Arial"/>
          <w:color w:val="auto"/>
          <w:sz w:val="20"/>
        </w:rPr>
        <w:t xml:space="preserve">rezerv. 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V běžném účtu</w:t>
      </w:r>
      <w:r w:rsidRPr="00C822C2">
        <w:rPr>
          <w:rFonts w:ascii="Arial" w:hAnsi="Arial" w:cs="Arial"/>
          <w:color w:val="auto"/>
          <w:sz w:val="20"/>
        </w:rPr>
        <w:t xml:space="preserve"> jsou zachyceny toky zboží (vývoz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dovoz)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služeb (</w:t>
      </w:r>
      <w:r w:rsidR="006F3573" w:rsidRPr="00C822C2">
        <w:rPr>
          <w:rFonts w:ascii="Arial" w:hAnsi="Arial" w:cs="Arial"/>
          <w:color w:val="auto"/>
          <w:sz w:val="20"/>
        </w:rPr>
        <w:t>vývoz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6F3573" w:rsidRPr="00C822C2">
        <w:rPr>
          <w:rFonts w:ascii="Arial" w:hAnsi="Arial" w:cs="Arial"/>
          <w:color w:val="auto"/>
          <w:sz w:val="20"/>
        </w:rPr>
        <w:t xml:space="preserve">dovoz </w:t>
      </w:r>
      <w:r w:rsidRPr="00C822C2">
        <w:rPr>
          <w:rFonts w:ascii="Arial" w:hAnsi="Arial" w:cs="Arial"/>
          <w:color w:val="auto"/>
          <w:sz w:val="20"/>
        </w:rPr>
        <w:t>dopravní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6F3573" w:rsidRPr="00C822C2">
        <w:rPr>
          <w:rFonts w:ascii="Arial" w:hAnsi="Arial" w:cs="Arial"/>
          <w:color w:val="auto"/>
          <w:sz w:val="20"/>
        </w:rPr>
        <w:t>služeb v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655E31" w:rsidRPr="00C822C2">
        <w:rPr>
          <w:rFonts w:ascii="Arial" w:hAnsi="Arial" w:cs="Arial"/>
          <w:color w:val="auto"/>
          <w:sz w:val="20"/>
        </w:rPr>
        <w:t>zahraniční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="00655E31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cestovní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Pr="00C822C2">
        <w:rPr>
          <w:rFonts w:ascii="Arial" w:hAnsi="Arial" w:cs="Arial"/>
          <w:color w:val="auto"/>
          <w:sz w:val="20"/>
        </w:rPr>
        <w:t xml:space="preserve"> ruch</w:t>
      </w:r>
      <w:r w:rsidR="006F3573" w:rsidRPr="00C822C2">
        <w:rPr>
          <w:rFonts w:ascii="Arial" w:hAnsi="Arial" w:cs="Arial"/>
          <w:color w:val="auto"/>
          <w:sz w:val="20"/>
        </w:rPr>
        <w:t>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>), výnosy z kapitálu, investic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práce (úroky, dividendy, reinvestované zisky, pracovní příjmy) </w:t>
      </w:r>
      <w:r w:rsidR="00983AD7" w:rsidRPr="00C822C2">
        <w:rPr>
          <w:rFonts w:ascii="Arial" w:hAnsi="Arial" w:cs="Arial"/>
          <w:color w:val="auto"/>
          <w:sz w:val="20"/>
        </w:rPr>
        <w:t>a </w:t>
      </w:r>
      <w:r w:rsidRPr="00C822C2">
        <w:rPr>
          <w:rFonts w:ascii="Arial" w:hAnsi="Arial" w:cs="Arial"/>
          <w:color w:val="auto"/>
          <w:sz w:val="20"/>
        </w:rPr>
        <w:t>kompenzující položky k reálným a</w:t>
      </w:r>
      <w:r w:rsidR="001D300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finančním zdrojům poskytnutým či získaným bez protihodnoty (běžné jednostranné převody jako např. </w:t>
      </w:r>
      <w:r w:rsidR="00983AD7" w:rsidRPr="00C822C2">
        <w:rPr>
          <w:rFonts w:ascii="Arial" w:hAnsi="Arial" w:cs="Arial"/>
          <w:color w:val="auto"/>
          <w:sz w:val="20"/>
        </w:rPr>
        <w:t>dotace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odvody ve vztahu k rozpočtu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dalším fondům Evropské unie</w:t>
      </w:r>
      <w:r w:rsidRPr="00C822C2">
        <w:rPr>
          <w:rFonts w:ascii="Arial" w:hAnsi="Arial" w:cs="Arial"/>
          <w:color w:val="auto"/>
          <w:sz w:val="20"/>
        </w:rPr>
        <w:t>, penze, zahraniční pomoc, příspěvky aj.).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Kapitálový účet</w:t>
      </w:r>
      <w:r w:rsidRPr="00C822C2">
        <w:rPr>
          <w:rFonts w:ascii="Arial" w:hAnsi="Arial" w:cs="Arial"/>
          <w:color w:val="auto"/>
          <w:sz w:val="20"/>
        </w:rPr>
        <w:t xml:space="preserve"> tvoří převody kapitálového charakteru související s migrací obyvatelstva, promíjením dluhů, vlastnickými právy k fixním aktivům</w:t>
      </w:r>
      <w:r w:rsidR="00F950A2" w:rsidRPr="00C822C2">
        <w:rPr>
          <w:rFonts w:ascii="Arial" w:hAnsi="Arial" w:cs="Arial"/>
          <w:color w:val="auto"/>
          <w:sz w:val="20"/>
        </w:rPr>
        <w:t xml:space="preserve">, </w:t>
      </w:r>
      <w:r w:rsidRPr="00C822C2">
        <w:rPr>
          <w:rFonts w:ascii="Arial" w:hAnsi="Arial" w:cs="Arial"/>
          <w:color w:val="auto"/>
          <w:sz w:val="20"/>
        </w:rPr>
        <w:t>investiční granty</w:t>
      </w:r>
      <w:r w:rsidR="00F950A2" w:rsidRPr="00C822C2">
        <w:rPr>
          <w:rFonts w:ascii="Arial" w:hAnsi="Arial" w:cs="Arial"/>
          <w:color w:val="auto"/>
          <w:sz w:val="20"/>
        </w:rPr>
        <w:t xml:space="preserve"> především z</w:t>
      </w:r>
      <w:r w:rsidR="00983AD7" w:rsidRPr="00C822C2">
        <w:rPr>
          <w:rFonts w:ascii="Arial" w:hAnsi="Arial" w:cs="Arial"/>
          <w:color w:val="auto"/>
          <w:sz w:val="20"/>
        </w:rPr>
        <w:t> rozpočtu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</w:t>
      </w:r>
      <w:r w:rsidR="00F950A2" w:rsidRPr="00C822C2">
        <w:rPr>
          <w:rFonts w:ascii="Arial" w:hAnsi="Arial" w:cs="Arial"/>
          <w:color w:val="auto"/>
          <w:sz w:val="20"/>
        </w:rPr>
        <w:t>ch</w:t>
      </w:r>
      <w:r w:rsidR="00983AD7" w:rsidRPr="00C822C2">
        <w:rPr>
          <w:rFonts w:ascii="Arial" w:hAnsi="Arial" w:cs="Arial"/>
          <w:color w:val="auto"/>
          <w:sz w:val="20"/>
        </w:rPr>
        <w:t xml:space="preserve"> fondů Evropské unie metodicky vykazované na kapitálovém účtu,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převody nevyráběných, nefinančních hmotných aktiv (např. půda – pozemky pro zastupitelské úřady)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nehmotných práv (patenty, licence, autorská práva</w:t>
      </w:r>
      <w:r w:rsidR="00983AD7" w:rsidRPr="00C822C2">
        <w:rPr>
          <w:rFonts w:ascii="Arial" w:hAnsi="Arial" w:cs="Arial"/>
          <w:color w:val="auto"/>
          <w:sz w:val="20"/>
        </w:rPr>
        <w:t xml:space="preserve">, obchody s emisními povolenkami </w:t>
      </w:r>
      <w:r w:rsidRPr="00C822C2">
        <w:rPr>
          <w:rFonts w:ascii="Arial" w:hAnsi="Arial" w:cs="Arial"/>
          <w:color w:val="auto"/>
          <w:sz w:val="20"/>
        </w:rPr>
        <w:t>aj.).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Finanční účet</w:t>
      </w:r>
      <w:r w:rsidRPr="00C822C2">
        <w:rPr>
          <w:rFonts w:ascii="Arial" w:hAnsi="Arial" w:cs="Arial"/>
          <w:color w:val="auto"/>
          <w:sz w:val="20"/>
        </w:rPr>
        <w:t xml:space="preserve"> zahrnuje transakce spojené se vznikem, zánikem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změnou vlastnictví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vlády, bankovní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podnikové sféry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ostatních subjektů ve vztahu k zahraničí. Poskytuje informace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finančních (kapitálových) tocích v členění na přímé investice (základní kapitál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reinvestovaný zisk, ostatní kapitál), portfoliové investice majetkového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dluhového charakteru, finanční deriváty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investice dělené z časového hlediska na dlouhodobé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krátkodobé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členěné podle základních sektorů (ČNB, obchodní banky, vláda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sektory), pod něž spadají dodavatelské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bankovní úvěry, půjčky, depozita, členské podíly v mezinárodních </w:t>
      </w:r>
      <w:proofErr w:type="spellStart"/>
      <w:r w:rsidRPr="00C822C2">
        <w:rPr>
          <w:rFonts w:ascii="Arial" w:hAnsi="Arial" w:cs="Arial"/>
          <w:color w:val="auto"/>
          <w:sz w:val="20"/>
        </w:rPr>
        <w:t>neměnových</w:t>
      </w:r>
      <w:proofErr w:type="spellEnd"/>
      <w:r w:rsidRPr="00C822C2">
        <w:rPr>
          <w:rFonts w:ascii="Arial" w:hAnsi="Arial" w:cs="Arial"/>
          <w:color w:val="auto"/>
          <w:sz w:val="20"/>
        </w:rPr>
        <w:t xml:space="preserve"> organizacích aj.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Ve změně devizových rezerv</w:t>
      </w:r>
      <w:r w:rsidRPr="00C822C2">
        <w:rPr>
          <w:rFonts w:ascii="Arial" w:hAnsi="Arial" w:cs="Arial"/>
          <w:color w:val="auto"/>
          <w:sz w:val="20"/>
        </w:rPr>
        <w:t xml:space="preserve"> jsou zaznamenány transakce se zahraničními aktivy centrální banky. Devizové rezervy jsou snadno mobilizovatelná aktiva využitelná především jako zdroj přímého financování platební nerovnováhy i nepřímé regulace velikosti této nerovnováhy prostřednictvím intervencí na devizovém trhu.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Chyby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opomenutí</w:t>
      </w:r>
      <w:r w:rsidRPr="00C822C2">
        <w:rPr>
          <w:rFonts w:ascii="Arial" w:hAnsi="Arial" w:cs="Arial"/>
          <w:color w:val="auto"/>
          <w:sz w:val="20"/>
        </w:rPr>
        <w:t xml:space="preserve"> jsou </w:t>
      </w:r>
      <w:proofErr w:type="spellStart"/>
      <w:r w:rsidRPr="00C822C2">
        <w:rPr>
          <w:rFonts w:ascii="Arial" w:hAnsi="Arial" w:cs="Arial"/>
          <w:color w:val="auto"/>
          <w:sz w:val="20"/>
        </w:rPr>
        <w:t>dopočtovou</w:t>
      </w:r>
      <w:proofErr w:type="spellEnd"/>
      <w:r w:rsidRPr="00C822C2">
        <w:rPr>
          <w:rFonts w:ascii="Arial" w:hAnsi="Arial" w:cs="Arial"/>
          <w:color w:val="auto"/>
          <w:sz w:val="20"/>
        </w:rPr>
        <w:t xml:space="preserve"> položkou mezi výsledným saldem běžného, kapitálového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finančního účtu na jedné straně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změnou devizových rezerv na straně druhé, představují saldo neidentifikovaných toků v běžném, kapitálovém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finančním účtu.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Podkladem pro sestavení platební bilance je statistika zahraničního obchodu se zbožím a službami (ČSÚ), údaje z výkazů bankovních a nebankovních subjektů, informace z administrativních zdrojů od centrálních orgánů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dalších institucí,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dále vlastní propočty ČNB.</w:t>
      </w:r>
    </w:p>
    <w:p w:rsidR="000572F9" w:rsidRPr="00C822C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A031DA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72688C">
      <w:pPr>
        <w:keepNext/>
        <w:autoSpaceDE w:val="0"/>
        <w:autoSpaceDN w:val="0"/>
        <w:adjustRightInd w:val="0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Tab. </w:t>
      </w:r>
      <w:r w:rsidRPr="00C822C2">
        <w:rPr>
          <w:rFonts w:ascii="Arial" w:hAnsi="Arial" w:cs="Arial"/>
          <w:b/>
        </w:rPr>
        <w:t>7</w:t>
      </w:r>
      <w:r w:rsidRPr="00C822C2">
        <w:rPr>
          <w:rFonts w:ascii="Arial" w:hAnsi="Arial" w:cs="Arial"/>
        </w:rPr>
        <w:t>-13.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  <w:b/>
        </w:rPr>
        <w:t>7</w:t>
      </w:r>
      <w:r w:rsidRPr="00C822C2">
        <w:rPr>
          <w:rFonts w:ascii="Arial" w:hAnsi="Arial" w:cs="Arial"/>
        </w:rPr>
        <w:t xml:space="preserve">-14. </w:t>
      </w:r>
      <w:r w:rsidRPr="00C822C2">
        <w:rPr>
          <w:rFonts w:ascii="Arial" w:hAnsi="Arial" w:cs="Arial"/>
          <w:b/>
        </w:rPr>
        <w:t>Přímé zahraniční investice do Č</w:t>
      </w:r>
      <w:r w:rsidR="00715964" w:rsidRPr="00C822C2">
        <w:rPr>
          <w:rFonts w:ascii="Arial" w:hAnsi="Arial" w:cs="Arial"/>
          <w:b/>
        </w:rPr>
        <w:t>eské republiky</w:t>
      </w:r>
      <w:r w:rsidRPr="00C822C2">
        <w:rPr>
          <w:rFonts w:ascii="Arial" w:hAnsi="Arial" w:cs="Arial"/>
          <w:b/>
        </w:rPr>
        <w:t xml:space="preserve"> podle zemí</w:t>
      </w:r>
      <w:r w:rsidR="0046656C" w:rsidRPr="00C822C2">
        <w:rPr>
          <w:rFonts w:ascii="Arial" w:hAnsi="Arial" w:cs="Arial"/>
          <w:b/>
        </w:rPr>
        <w:t xml:space="preserve"> a </w:t>
      </w:r>
      <w:r w:rsidR="00A85731" w:rsidRPr="00C822C2">
        <w:rPr>
          <w:rFonts w:ascii="Arial" w:hAnsi="Arial" w:cs="Arial"/>
          <w:b/>
        </w:rPr>
        <w:t>činností</w:t>
      </w:r>
    </w:p>
    <w:p w:rsidR="000572F9" w:rsidRPr="00C822C2" w:rsidRDefault="000572F9" w:rsidP="0072688C">
      <w:pPr>
        <w:pStyle w:val="Standardnte"/>
        <w:keepNext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přímých zahraničních investicích jsou vypracovány na základě hlášení nebankovních subjektů vyplývající z oznamovací povinnosti podle devizového zákona. Doplňujícími informačními zdroji jsou výkazy bankovních subjektů, ministerstva financí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zahraničních platbách,</w:t>
      </w:r>
      <w:r w:rsidR="00C43935" w:rsidRPr="00C822C2">
        <w:rPr>
          <w:rFonts w:ascii="Arial" w:hAnsi="Arial" w:cs="Arial"/>
          <w:color w:val="auto"/>
          <w:sz w:val="20"/>
        </w:rPr>
        <w:t xml:space="preserve"> roční</w:t>
      </w:r>
      <w:r w:rsidR="00D35264" w:rsidRPr="00C822C2">
        <w:rPr>
          <w:rFonts w:ascii="Arial" w:hAnsi="Arial" w:cs="Arial"/>
          <w:color w:val="auto"/>
          <w:sz w:val="20"/>
        </w:rPr>
        <w:t xml:space="preserve"> </w:t>
      </w:r>
      <w:r w:rsidR="00C43935" w:rsidRPr="00C822C2">
        <w:rPr>
          <w:rFonts w:ascii="Arial" w:hAnsi="Arial" w:cs="Arial"/>
          <w:color w:val="auto"/>
          <w:sz w:val="20"/>
        </w:rPr>
        <w:t>výkazy nefinančních podniků o stavech</w:t>
      </w:r>
      <w:r w:rsidR="00DD5844" w:rsidRPr="00C822C2">
        <w:rPr>
          <w:rFonts w:ascii="Arial" w:hAnsi="Arial" w:cs="Arial"/>
          <w:color w:val="auto"/>
          <w:sz w:val="20"/>
        </w:rPr>
        <w:t xml:space="preserve"> </w:t>
      </w:r>
      <w:r w:rsidR="00C43935" w:rsidRPr="00C822C2">
        <w:rPr>
          <w:rFonts w:ascii="Arial" w:hAnsi="Arial" w:cs="Arial"/>
          <w:color w:val="auto"/>
          <w:sz w:val="20"/>
        </w:rPr>
        <w:t>přímých investic v tuzemsku a v zahraničí,</w:t>
      </w:r>
      <w:r w:rsidR="00DD5844" w:rsidRPr="00C822C2">
        <w:rPr>
          <w:rFonts w:ascii="Arial" w:hAnsi="Arial" w:cs="Arial"/>
          <w:color w:val="auto"/>
          <w:sz w:val="20"/>
        </w:rPr>
        <w:t xml:space="preserve"> čtvrtletní výkaz o</w:t>
      </w:r>
      <w:r w:rsidR="00DC4637" w:rsidRPr="00C822C2">
        <w:rPr>
          <w:rFonts w:ascii="Arial" w:hAnsi="Arial" w:cs="Arial"/>
          <w:color w:val="auto"/>
          <w:sz w:val="20"/>
        </w:rPr>
        <w:t> </w:t>
      </w:r>
      <w:r w:rsidR="00DD5844" w:rsidRPr="00C822C2">
        <w:rPr>
          <w:rFonts w:ascii="Arial" w:hAnsi="Arial" w:cs="Arial"/>
          <w:color w:val="auto"/>
          <w:sz w:val="20"/>
        </w:rPr>
        <w:t>v</w:t>
      </w:r>
      <w:r w:rsidR="00DD5844" w:rsidRPr="00C822C2">
        <w:rPr>
          <w:rFonts w:ascii="Arial" w:hAnsi="Arial" w:cs="Arial"/>
          <w:sz w:val="20"/>
        </w:rPr>
        <w:t>ybraných aktivech</w:t>
      </w:r>
      <w:r w:rsidR="001F0D38" w:rsidRPr="00C822C2">
        <w:rPr>
          <w:rFonts w:ascii="Arial" w:hAnsi="Arial" w:cs="Arial"/>
          <w:sz w:val="20"/>
        </w:rPr>
        <w:t> </w:t>
      </w:r>
      <w:r w:rsidR="00DD5844" w:rsidRPr="00C822C2">
        <w:rPr>
          <w:rFonts w:ascii="Arial" w:hAnsi="Arial" w:cs="Arial"/>
          <w:sz w:val="20"/>
        </w:rPr>
        <w:t xml:space="preserve">a </w:t>
      </w:r>
      <w:r w:rsidR="00C822C2" w:rsidRPr="00C822C2">
        <w:rPr>
          <w:rFonts w:ascii="Arial" w:hAnsi="Arial" w:cs="Arial"/>
          <w:sz w:val="20"/>
        </w:rPr>
        <w:t xml:space="preserve">pasivech </w:t>
      </w:r>
      <w:r w:rsidR="00DD5844" w:rsidRPr="00C822C2">
        <w:rPr>
          <w:rFonts w:ascii="Arial" w:hAnsi="Arial" w:cs="Arial"/>
          <w:sz w:val="20"/>
        </w:rPr>
        <w:t>vůči zahraničí,</w:t>
      </w:r>
      <w:r w:rsidR="00C43935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informace z burzy cenných papírů, obchodní věstník</w:t>
      </w:r>
      <w:r w:rsidR="00C43935" w:rsidRPr="00C822C2">
        <w:rPr>
          <w:rFonts w:ascii="Arial" w:hAnsi="Arial" w:cs="Arial"/>
          <w:color w:val="auto"/>
          <w:sz w:val="20"/>
        </w:rPr>
        <w:t xml:space="preserve"> a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tisk.</w:t>
      </w:r>
    </w:p>
    <w:p w:rsidR="000572F9" w:rsidRPr="00C822C2" w:rsidRDefault="000572F9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Vykazované údaje zachycují příliv (tok) přímých zahraničních investic v daném roce do základního kapitálu včetně reinvestovaných zisků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úvěrové vztahy s přímým investorem.</w:t>
      </w:r>
    </w:p>
    <w:p w:rsidR="000572F9" w:rsidRPr="00C822C2" w:rsidRDefault="000572F9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Za přímé zahraniční investice se v souladu s definicí Mezinárodního měnového fondu považují vklady zahraničních investorů do českých podniků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společností, které představují minimálně 10 % základního kapitálu nebo nejméně 10 % hlasovacích práv. Podmínkou je trvalý zájem investora na společnosti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jeho podíl na řízení.</w:t>
      </w:r>
    </w:p>
    <w:p w:rsidR="000572F9" w:rsidRPr="00C822C2" w:rsidRDefault="000572F9">
      <w:pPr>
        <w:pStyle w:val="Standardn1"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1"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1"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C822C2">
        <w:rPr>
          <w:rFonts w:ascii="Arial" w:hAnsi="Arial" w:cs="Arial"/>
          <w:b/>
          <w:color w:val="auto"/>
          <w:sz w:val="20"/>
        </w:rPr>
        <w:t xml:space="preserve"> 7</w:t>
      </w:r>
      <w:r w:rsidRPr="00C822C2">
        <w:rPr>
          <w:rFonts w:ascii="Arial" w:hAnsi="Arial" w:cs="Arial"/>
          <w:color w:val="auto"/>
          <w:sz w:val="20"/>
        </w:rPr>
        <w:t xml:space="preserve">-15. </w:t>
      </w:r>
      <w:r w:rsidRPr="00C822C2">
        <w:rPr>
          <w:rFonts w:ascii="Arial" w:hAnsi="Arial" w:cs="Arial"/>
          <w:b/>
          <w:color w:val="auto"/>
          <w:sz w:val="20"/>
        </w:rPr>
        <w:t>Investiční pozice vůči zahraničí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vůči zahraničí poskytuje přehled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celkové skladbě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F950A2" w:rsidRPr="00C822C2">
        <w:rPr>
          <w:rFonts w:ascii="Arial" w:hAnsi="Arial" w:cs="Arial"/>
          <w:color w:val="auto"/>
          <w:sz w:val="20"/>
        </w:rPr>
        <w:t>jednotek národního hospodářství (rezidentů)</w:t>
      </w:r>
      <w:r w:rsidRPr="00C822C2">
        <w:rPr>
          <w:rFonts w:ascii="Arial" w:hAnsi="Arial" w:cs="Arial"/>
          <w:color w:val="auto"/>
          <w:sz w:val="20"/>
        </w:rPr>
        <w:t xml:space="preserve"> ve vztahu k zahraničí (nerezidentům) k určitému datu. 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odpovídá svou strukturou finančnímu účtu platební bilance; v aktivech i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Pr="00C822C2">
        <w:rPr>
          <w:rFonts w:ascii="Arial" w:hAnsi="Arial" w:cs="Arial"/>
          <w:color w:val="auto"/>
          <w:sz w:val="20"/>
        </w:rPr>
        <w:t xml:space="preserve">je členěna </w:t>
      </w:r>
      <w:r w:rsidR="00F950A2" w:rsidRPr="00C822C2">
        <w:rPr>
          <w:rFonts w:ascii="Arial" w:hAnsi="Arial" w:cs="Arial"/>
          <w:color w:val="auto"/>
          <w:sz w:val="20"/>
        </w:rPr>
        <w:t xml:space="preserve">podle instrumentů </w:t>
      </w:r>
      <w:r w:rsidRPr="00C822C2">
        <w:rPr>
          <w:rFonts w:ascii="Arial" w:hAnsi="Arial" w:cs="Arial"/>
          <w:color w:val="auto"/>
          <w:sz w:val="20"/>
        </w:rPr>
        <w:t>na přímé investice (základní kapitál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kapitál), portfoliové investice (majetkové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dluhové), finanční deriváty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783CB5" w:rsidRPr="00C822C2">
        <w:rPr>
          <w:rFonts w:ascii="Arial" w:hAnsi="Arial" w:cs="Arial"/>
          <w:color w:val="auto"/>
          <w:sz w:val="20"/>
        </w:rPr>
        <w:t xml:space="preserve">, které jsou dále členěny na </w:t>
      </w:r>
      <w:r w:rsidRPr="00C822C2">
        <w:rPr>
          <w:rFonts w:ascii="Arial" w:hAnsi="Arial" w:cs="Arial"/>
          <w:color w:val="auto"/>
          <w:sz w:val="20"/>
        </w:rPr>
        <w:t>dlouhodobé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krátkodobé </w:t>
      </w:r>
      <w:r w:rsidR="00783CB5" w:rsidRPr="00C822C2">
        <w:rPr>
          <w:rFonts w:ascii="Arial" w:hAnsi="Arial" w:cs="Arial"/>
          <w:color w:val="auto"/>
          <w:sz w:val="20"/>
        </w:rPr>
        <w:t>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podle základních </w:t>
      </w:r>
      <w:r w:rsidR="00783CB5" w:rsidRPr="00C822C2">
        <w:rPr>
          <w:rFonts w:ascii="Arial" w:hAnsi="Arial" w:cs="Arial"/>
          <w:color w:val="auto"/>
          <w:sz w:val="20"/>
        </w:rPr>
        <w:t xml:space="preserve">skupin institucionálních </w:t>
      </w:r>
      <w:r w:rsidRPr="00C822C2">
        <w:rPr>
          <w:rFonts w:ascii="Arial" w:hAnsi="Arial" w:cs="Arial"/>
          <w:color w:val="auto"/>
          <w:sz w:val="20"/>
        </w:rPr>
        <w:t>sektorů. Na straně aktiv jsou odděleně uvedeny rezervy ČNB. Zlato jako součást jejích rezerv (obdobně i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zlato v držení obchodních bank) </w:t>
      </w:r>
      <w:r w:rsidR="00783CB5" w:rsidRPr="00C822C2">
        <w:rPr>
          <w:rFonts w:ascii="Arial" w:hAnsi="Arial" w:cs="Arial"/>
          <w:color w:val="auto"/>
          <w:sz w:val="20"/>
        </w:rPr>
        <w:t>je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od roku 2000</w:t>
      </w:r>
      <w:r w:rsidR="00783CB5" w:rsidRPr="00C822C2">
        <w:rPr>
          <w:rFonts w:ascii="Arial" w:hAnsi="Arial" w:cs="Arial"/>
          <w:color w:val="auto"/>
          <w:sz w:val="20"/>
        </w:rPr>
        <w:t xml:space="preserve"> oceněno</w:t>
      </w:r>
      <w:r w:rsidRPr="00C822C2">
        <w:rPr>
          <w:rFonts w:ascii="Arial" w:hAnsi="Arial" w:cs="Arial"/>
          <w:color w:val="auto"/>
          <w:sz w:val="20"/>
        </w:rPr>
        <w:t xml:space="preserve"> tržní cenou.</w:t>
      </w:r>
    </w:p>
    <w:p w:rsidR="000572F9" w:rsidRPr="00C822C2" w:rsidRDefault="00783CB5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Saldo investiční pozice (tj. r</w:t>
      </w:r>
      <w:r w:rsidR="000572F9" w:rsidRPr="00C822C2">
        <w:rPr>
          <w:rFonts w:ascii="Arial" w:hAnsi="Arial" w:cs="Arial"/>
          <w:color w:val="auto"/>
          <w:sz w:val="20"/>
        </w:rPr>
        <w:t>ozdíl mezi úhrnnými aktivy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>pasivy</w:t>
      </w:r>
      <w:r w:rsidR="000572F9" w:rsidRPr="00C822C2">
        <w:rPr>
          <w:rFonts w:ascii="Arial" w:hAnsi="Arial" w:cs="Arial"/>
          <w:color w:val="auto"/>
          <w:sz w:val="20"/>
        </w:rPr>
        <w:t>) představuje čistý vztah vůči zahraničí (věřitelskou či dlužnickou pozici).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Ve stavu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zachycených v investiční pozici</w:t>
      </w:r>
      <w:r w:rsidR="0046656C" w:rsidRPr="00C822C2">
        <w:rPr>
          <w:rFonts w:ascii="Arial" w:hAnsi="Arial" w:cs="Arial"/>
          <w:color w:val="auto"/>
          <w:sz w:val="20"/>
        </w:rPr>
        <w:t xml:space="preserve"> k </w:t>
      </w:r>
      <w:r w:rsidRPr="00C822C2">
        <w:rPr>
          <w:rFonts w:ascii="Arial" w:hAnsi="Arial" w:cs="Arial"/>
          <w:color w:val="auto"/>
          <w:sz w:val="20"/>
        </w:rPr>
        <w:t>určitému datu se odrážejí vedle transakcí uskutečněných v předcházejících obdobích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vykázaných v platební bilanci i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kurzové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 (např. cenové) vlivy.</w:t>
      </w:r>
    </w:p>
    <w:p w:rsidR="00783CB5" w:rsidRPr="00C822C2" w:rsidRDefault="000572F9" w:rsidP="00433F84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Zdroj</w:t>
      </w:r>
      <w:r w:rsidR="00783CB5" w:rsidRPr="00C822C2">
        <w:rPr>
          <w:rFonts w:ascii="Arial" w:hAnsi="Arial" w:cs="Arial"/>
          <w:color w:val="auto"/>
          <w:sz w:val="20"/>
        </w:rPr>
        <w:t>e</w:t>
      </w:r>
      <w:r w:rsidRPr="00C822C2">
        <w:rPr>
          <w:rFonts w:ascii="Arial" w:hAnsi="Arial" w:cs="Arial"/>
          <w:color w:val="auto"/>
          <w:sz w:val="20"/>
        </w:rPr>
        <w:t xml:space="preserve"> dat pro sestavení investiční pozice jsou </w:t>
      </w:r>
      <w:r w:rsidR="00783CB5" w:rsidRPr="00C822C2">
        <w:rPr>
          <w:rFonts w:ascii="Arial" w:hAnsi="Arial" w:cs="Arial"/>
          <w:color w:val="auto"/>
          <w:sz w:val="20"/>
        </w:rPr>
        <w:t>následující:</w:t>
      </w:r>
    </w:p>
    <w:p w:rsidR="00511B05" w:rsidRPr="00C822C2" w:rsidRDefault="00783CB5" w:rsidP="00433F84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Přímé investice</w:t>
      </w:r>
      <w:r w:rsidR="00C60A31" w:rsidRPr="00C822C2">
        <w:rPr>
          <w:rFonts w:ascii="Arial" w:hAnsi="Arial" w:cs="Arial"/>
          <w:color w:val="auto"/>
          <w:sz w:val="20"/>
        </w:rPr>
        <w:t xml:space="preserve"> –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C60A31" w:rsidRPr="00C822C2">
        <w:rPr>
          <w:rFonts w:ascii="Arial" w:hAnsi="Arial" w:cs="Arial"/>
          <w:color w:val="auto"/>
          <w:sz w:val="20"/>
        </w:rPr>
        <w:t>čtvrtletní šetření nefinančních podniků zaměřené na aktiva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C60A31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 xml:space="preserve">roční </w:t>
      </w:r>
      <w:r w:rsidR="00C43935" w:rsidRPr="00C822C2">
        <w:rPr>
          <w:rFonts w:ascii="Arial" w:hAnsi="Arial" w:cs="Arial"/>
          <w:color w:val="auto"/>
          <w:sz w:val="20"/>
        </w:rPr>
        <w:t xml:space="preserve">výkazy </w:t>
      </w:r>
      <w:r w:rsidR="00C60A31" w:rsidRPr="00C822C2">
        <w:rPr>
          <w:rFonts w:ascii="Arial" w:hAnsi="Arial" w:cs="Arial"/>
          <w:color w:val="auto"/>
          <w:sz w:val="20"/>
        </w:rPr>
        <w:t>nefinančních podniků o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stavech přímých investic v tuzemsku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511B05" w:rsidRPr="00C822C2">
        <w:rPr>
          <w:rFonts w:ascii="Arial" w:hAnsi="Arial" w:cs="Arial"/>
          <w:color w:val="auto"/>
          <w:sz w:val="20"/>
        </w:rPr>
        <w:t>v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zahraničí.</w:t>
      </w:r>
    </w:p>
    <w:p w:rsidR="00783CB5" w:rsidRPr="00C822C2" w:rsidRDefault="00B57F7F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Portfoliové investice –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měsíční výkaz měnových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355B80" w:rsidRPr="00C822C2">
        <w:rPr>
          <w:rFonts w:ascii="Arial" w:hAnsi="Arial" w:cs="Arial"/>
          <w:color w:val="auto"/>
          <w:sz w:val="20"/>
        </w:rPr>
        <w:t xml:space="preserve">ostatních </w:t>
      </w:r>
      <w:r w:rsidRPr="00C822C2">
        <w:rPr>
          <w:rFonts w:ascii="Arial" w:hAnsi="Arial" w:cs="Arial"/>
          <w:color w:val="auto"/>
          <w:sz w:val="20"/>
        </w:rPr>
        <w:t xml:space="preserve">finančních institucí, čtvrtletní šetření nefinančních podniků zaměřené na aktiva, </w:t>
      </w:r>
      <w:r w:rsidR="00355B80" w:rsidRPr="00C822C2">
        <w:rPr>
          <w:rFonts w:ascii="Arial" w:hAnsi="Arial" w:cs="Arial"/>
          <w:color w:val="auto"/>
          <w:sz w:val="20"/>
        </w:rPr>
        <w:t xml:space="preserve">měsíční </w:t>
      </w:r>
      <w:r w:rsidRPr="00C822C2">
        <w:rPr>
          <w:rFonts w:ascii="Arial" w:hAnsi="Arial" w:cs="Arial"/>
          <w:color w:val="auto"/>
          <w:sz w:val="20"/>
        </w:rPr>
        <w:t>výkaz obchodníků s cennými papíry (na účet zákazníka</w:t>
      </w:r>
      <w:r w:rsidR="008D2FDE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na vlastní účet), </w:t>
      </w:r>
      <w:r w:rsidR="00DC4637" w:rsidRPr="00C822C2">
        <w:rPr>
          <w:rFonts w:ascii="Arial" w:hAnsi="Arial" w:cs="Arial"/>
          <w:color w:val="auto"/>
          <w:sz w:val="20"/>
        </w:rPr>
        <w:t>oznámení tuzemců o </w:t>
      </w:r>
      <w:r w:rsidR="00355B80" w:rsidRPr="00C822C2">
        <w:rPr>
          <w:rFonts w:ascii="Arial" w:hAnsi="Arial" w:cs="Arial"/>
          <w:color w:val="auto"/>
          <w:sz w:val="20"/>
        </w:rPr>
        <w:t xml:space="preserve">emisích cenných papírů </w:t>
      </w:r>
      <w:r w:rsidR="001F0D38" w:rsidRPr="00C822C2">
        <w:rPr>
          <w:rFonts w:ascii="Arial" w:hAnsi="Arial" w:cs="Arial"/>
          <w:color w:val="auto"/>
          <w:sz w:val="20"/>
        </w:rPr>
        <w:t>na zahraničních trzích a </w:t>
      </w:r>
      <w:r w:rsidR="00355B80" w:rsidRPr="00C822C2">
        <w:rPr>
          <w:rFonts w:ascii="Arial" w:hAnsi="Arial" w:cs="Arial"/>
          <w:color w:val="auto"/>
          <w:sz w:val="20"/>
        </w:rPr>
        <w:t xml:space="preserve">údaje </w:t>
      </w:r>
      <w:r w:rsidR="008D2FDE" w:rsidRPr="00C822C2">
        <w:rPr>
          <w:rFonts w:ascii="Arial" w:hAnsi="Arial" w:cs="Arial"/>
          <w:color w:val="auto"/>
          <w:sz w:val="20"/>
        </w:rPr>
        <w:t>SKD (Systém krátkodobých dluhopisů spravovaný ČNB)</w:t>
      </w:r>
      <w:r w:rsidR="00355B80" w:rsidRPr="00C822C2">
        <w:rPr>
          <w:rFonts w:ascii="Arial" w:hAnsi="Arial" w:cs="Arial"/>
          <w:color w:val="auto"/>
          <w:sz w:val="20"/>
        </w:rPr>
        <w:t>.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="00355B80" w:rsidRPr="00C822C2">
        <w:rPr>
          <w:rFonts w:ascii="Arial" w:hAnsi="Arial" w:cs="Arial"/>
          <w:color w:val="auto"/>
          <w:sz w:val="20"/>
        </w:rPr>
        <w:t>Získaná data jsou porovnávána</w:t>
      </w:r>
      <w:r w:rsidR="00DC4637" w:rsidRPr="00C822C2">
        <w:rPr>
          <w:rFonts w:ascii="Arial" w:hAnsi="Arial" w:cs="Arial"/>
          <w:color w:val="auto"/>
          <w:sz w:val="20"/>
        </w:rPr>
        <w:t xml:space="preserve"> s </w:t>
      </w:r>
      <w:r w:rsidR="001F0D38" w:rsidRPr="00C822C2">
        <w:rPr>
          <w:rFonts w:ascii="Arial" w:hAnsi="Arial" w:cs="Arial"/>
          <w:color w:val="auto"/>
          <w:sz w:val="20"/>
        </w:rPr>
        <w:t>údaji</w:t>
      </w:r>
      <w:r w:rsidR="008D2FDE" w:rsidRPr="00C822C2">
        <w:rPr>
          <w:rFonts w:ascii="Arial" w:hAnsi="Arial" w:cs="Arial"/>
          <w:color w:val="auto"/>
          <w:sz w:val="20"/>
        </w:rPr>
        <w:t xml:space="preserve"> CDCP (Centrální depozitář cenných papírů).</w:t>
      </w:r>
    </w:p>
    <w:p w:rsidR="00783CB5" w:rsidRPr="00C822C2" w:rsidRDefault="00EA165A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Finanční deriváty –</w:t>
      </w:r>
      <w:r w:rsidR="008D2FDE" w:rsidRPr="00C822C2">
        <w:rPr>
          <w:rFonts w:ascii="Arial" w:hAnsi="Arial" w:cs="Arial"/>
          <w:color w:val="auto"/>
          <w:sz w:val="20"/>
        </w:rPr>
        <w:t xml:space="preserve">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8D2FDE"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finanční instituce)</w:t>
      </w:r>
      <w:r w:rsidR="00714B89" w:rsidRPr="00C822C2">
        <w:rPr>
          <w:rFonts w:ascii="Arial" w:hAnsi="Arial" w:cs="Arial"/>
          <w:color w:val="auto"/>
          <w:sz w:val="20"/>
        </w:rPr>
        <w:t>,</w:t>
      </w:r>
      <w:r w:rsidR="00C43935" w:rsidRPr="00C822C2">
        <w:rPr>
          <w:rFonts w:ascii="Arial" w:hAnsi="Arial" w:cs="Arial"/>
          <w:color w:val="auto"/>
          <w:sz w:val="20"/>
        </w:rPr>
        <w:t xml:space="preserve"> čtvrtletní výkazy zahraničních aktiv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C43935" w:rsidRPr="00C822C2">
        <w:rPr>
          <w:rFonts w:ascii="Arial" w:hAnsi="Arial" w:cs="Arial"/>
          <w:color w:val="auto"/>
          <w:sz w:val="20"/>
        </w:rPr>
        <w:t>sektoru nefinančních podniků, pojišťoven a</w:t>
      </w:r>
      <w:r w:rsidR="001F0D38" w:rsidRPr="00C822C2">
        <w:rPr>
          <w:rFonts w:ascii="Arial" w:hAnsi="Arial" w:cs="Arial"/>
          <w:color w:val="auto"/>
          <w:sz w:val="20"/>
        </w:rPr>
        <w:t> </w:t>
      </w:r>
      <w:r w:rsidR="00C43935" w:rsidRPr="00C822C2">
        <w:rPr>
          <w:rFonts w:ascii="Arial" w:hAnsi="Arial" w:cs="Arial"/>
          <w:color w:val="auto"/>
          <w:sz w:val="20"/>
        </w:rPr>
        <w:t>centrální vlády</w:t>
      </w:r>
      <w:r w:rsidR="00DC4637" w:rsidRPr="00C822C2">
        <w:rPr>
          <w:rFonts w:ascii="Arial" w:hAnsi="Arial" w:cs="Arial"/>
          <w:color w:val="auto"/>
          <w:sz w:val="20"/>
        </w:rPr>
        <w:t xml:space="preserve"> a měsíční výkaz o </w:t>
      </w:r>
      <w:r w:rsidR="001F0D38" w:rsidRPr="00C822C2">
        <w:rPr>
          <w:rFonts w:ascii="Arial" w:hAnsi="Arial" w:cs="Arial"/>
          <w:color w:val="auto"/>
          <w:sz w:val="20"/>
        </w:rPr>
        <w:t>aktivech a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="00714B89" w:rsidRPr="00C822C2">
        <w:rPr>
          <w:rFonts w:ascii="Arial" w:hAnsi="Arial" w:cs="Arial"/>
          <w:color w:val="auto"/>
          <w:sz w:val="20"/>
        </w:rPr>
        <w:t>sektoru penzijních fondů</w:t>
      </w:r>
      <w:r w:rsidR="008243EC" w:rsidRPr="00C822C2">
        <w:rPr>
          <w:rFonts w:ascii="Arial" w:hAnsi="Arial" w:cs="Arial"/>
          <w:color w:val="auto"/>
          <w:sz w:val="20"/>
        </w:rPr>
        <w:t>.</w:t>
      </w:r>
    </w:p>
    <w:p w:rsidR="00191C8E" w:rsidRPr="00C822C2" w:rsidRDefault="00EA165A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Ostatní investice –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 instituce), čtvrtletní šetření nefinančních podniků zaměřené na aktiva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E67753" w:rsidRPr="00C822C2">
        <w:rPr>
          <w:rFonts w:ascii="Arial" w:hAnsi="Arial" w:cs="Arial"/>
          <w:color w:val="auto"/>
          <w:sz w:val="20"/>
        </w:rPr>
        <w:t xml:space="preserve"> (obchodní úvěry)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E67753" w:rsidRPr="00C822C2">
        <w:rPr>
          <w:rFonts w:ascii="Arial" w:hAnsi="Arial" w:cs="Arial"/>
          <w:color w:val="auto"/>
          <w:sz w:val="20"/>
        </w:rPr>
        <w:t>měsíční výkaz</w:t>
      </w:r>
      <w:r w:rsidR="00DC4637" w:rsidRPr="00C822C2">
        <w:rPr>
          <w:rFonts w:ascii="Arial" w:hAnsi="Arial" w:cs="Arial"/>
          <w:color w:val="auto"/>
          <w:sz w:val="20"/>
        </w:rPr>
        <w:t xml:space="preserve"> o </w:t>
      </w:r>
      <w:r w:rsidR="001F0D38" w:rsidRPr="00C822C2">
        <w:rPr>
          <w:rFonts w:ascii="Arial" w:hAnsi="Arial" w:cs="Arial"/>
          <w:color w:val="auto"/>
          <w:sz w:val="20"/>
        </w:rPr>
        <w:t>finančních úvěrech a </w:t>
      </w:r>
      <w:r w:rsidR="00E67753" w:rsidRPr="00C822C2">
        <w:rPr>
          <w:rFonts w:ascii="Arial" w:hAnsi="Arial" w:cs="Arial"/>
          <w:color w:val="auto"/>
          <w:sz w:val="20"/>
        </w:rPr>
        <w:t xml:space="preserve">účtech </w:t>
      </w:r>
      <w:r w:rsidR="00DC4637" w:rsidRPr="00C822C2">
        <w:rPr>
          <w:rFonts w:ascii="Arial" w:hAnsi="Arial" w:cs="Arial"/>
          <w:color w:val="auto"/>
          <w:sz w:val="20"/>
        </w:rPr>
        <w:t>v </w:t>
      </w:r>
      <w:r w:rsidR="00E67753" w:rsidRPr="00C822C2">
        <w:rPr>
          <w:rFonts w:ascii="Arial" w:hAnsi="Arial" w:cs="Arial"/>
          <w:color w:val="auto"/>
          <w:sz w:val="20"/>
        </w:rPr>
        <w:t>zahraničí nefinančních podniků a</w:t>
      </w:r>
      <w:r w:rsidR="001F0D38" w:rsidRPr="00C822C2">
        <w:rPr>
          <w:rFonts w:ascii="Arial" w:hAnsi="Arial" w:cs="Arial"/>
          <w:color w:val="auto"/>
          <w:sz w:val="20"/>
        </w:rPr>
        <w:t> ostatních finančních institucí</w:t>
      </w:r>
      <w:r w:rsidR="00191C8E" w:rsidRPr="00C822C2">
        <w:rPr>
          <w:rFonts w:ascii="Arial" w:hAnsi="Arial" w:cs="Arial"/>
          <w:color w:val="auto"/>
          <w:sz w:val="20"/>
        </w:rPr>
        <w:t>, měsíční výkaz vládních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</w:t>
      </w:r>
      <w:r w:rsidR="00191C8E" w:rsidRPr="00C822C2">
        <w:rPr>
          <w:rFonts w:ascii="Arial" w:hAnsi="Arial" w:cs="Arial"/>
          <w:color w:val="auto"/>
          <w:sz w:val="20"/>
        </w:rPr>
        <w:t>, administrativní zdroje.</w:t>
      </w:r>
    </w:p>
    <w:p w:rsidR="000572F9" w:rsidRPr="00C822C2" w:rsidRDefault="00191C8E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Rezervní aktiva – rozvaha ČNB.</w:t>
      </w:r>
    </w:p>
    <w:p w:rsidR="000572F9" w:rsidRPr="00C822C2" w:rsidRDefault="000572F9">
      <w:pPr>
        <w:pStyle w:val="Standardn1"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783CB5">
      <w:pPr>
        <w:pStyle w:val="Standardn1"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1"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C822C2">
        <w:rPr>
          <w:rFonts w:ascii="Arial" w:hAnsi="Arial" w:cs="Arial"/>
          <w:b/>
          <w:color w:val="auto"/>
          <w:sz w:val="20"/>
        </w:rPr>
        <w:t xml:space="preserve"> 7</w:t>
      </w:r>
      <w:r w:rsidRPr="00C822C2">
        <w:rPr>
          <w:rFonts w:ascii="Arial" w:hAnsi="Arial" w:cs="Arial"/>
          <w:color w:val="auto"/>
          <w:sz w:val="20"/>
        </w:rPr>
        <w:t>-16.</w:t>
      </w:r>
      <w:r w:rsidRPr="00C822C2">
        <w:rPr>
          <w:rFonts w:ascii="Arial" w:hAnsi="Arial" w:cs="Arial"/>
          <w:b/>
          <w:color w:val="auto"/>
          <w:sz w:val="20"/>
        </w:rPr>
        <w:t xml:space="preserve"> Zahraniční zadluženost České republiky</w:t>
      </w:r>
    </w:p>
    <w:p w:rsidR="000572F9" w:rsidRPr="00C822C2" w:rsidRDefault="000572F9" w:rsidP="0072688C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Zahraniční zadluženost představuje stav finančních 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 xml:space="preserve">(s pevně stanovenou lhůtou splatnosti) </w:t>
      </w:r>
      <w:r w:rsidR="0080080B" w:rsidRPr="00C822C2">
        <w:rPr>
          <w:rFonts w:ascii="Arial" w:hAnsi="Arial" w:cs="Arial"/>
          <w:color w:val="auto"/>
          <w:sz w:val="20"/>
        </w:rPr>
        <w:t xml:space="preserve">jednotek národního hospodářství (rezidentů) </w:t>
      </w:r>
      <w:r w:rsidRPr="00C822C2">
        <w:rPr>
          <w:rFonts w:ascii="Arial" w:hAnsi="Arial" w:cs="Arial"/>
          <w:color w:val="auto"/>
          <w:sz w:val="20"/>
        </w:rPr>
        <w:t>ve vztahu k zahraničí (nerezidentům), tj. hodnotu čerpaných (na základě smluvního ujednání)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 určitému datu nesplacených (dlužných) </w:t>
      </w:r>
      <w:r w:rsidRPr="00C822C2">
        <w:rPr>
          <w:rFonts w:ascii="Arial" w:hAnsi="Arial" w:cs="Arial"/>
          <w:color w:val="auto"/>
          <w:sz w:val="20"/>
        </w:rPr>
        <w:lastRenderedPageBreak/>
        <w:t xml:space="preserve">částek. Nezahrnuje majetkové investice, tj. přímé investice </w:t>
      </w:r>
      <w:r w:rsidR="00E044C4" w:rsidRPr="00C822C2">
        <w:rPr>
          <w:rFonts w:ascii="Arial" w:hAnsi="Arial" w:cs="Arial"/>
          <w:color w:val="auto"/>
          <w:sz w:val="20"/>
        </w:rPr>
        <w:t xml:space="preserve">– </w:t>
      </w:r>
      <w:r w:rsidRPr="00C822C2">
        <w:rPr>
          <w:rFonts w:ascii="Arial" w:hAnsi="Arial" w:cs="Arial"/>
          <w:color w:val="auto"/>
          <w:sz w:val="20"/>
        </w:rPr>
        <w:t>základní kapitál, portfoliové investice – majetkové cenné papíry</w:t>
      </w:r>
      <w:r w:rsidR="00374D75" w:rsidRPr="00C822C2">
        <w:rPr>
          <w:rFonts w:ascii="Arial" w:hAnsi="Arial" w:cs="Arial"/>
          <w:color w:val="auto"/>
          <w:sz w:val="20"/>
        </w:rPr>
        <w:t>, účasti</w:t>
      </w:r>
      <w:r w:rsidR="0046656C" w:rsidRPr="00C822C2">
        <w:rPr>
          <w:rFonts w:ascii="Arial" w:hAnsi="Arial" w:cs="Arial"/>
          <w:color w:val="auto"/>
          <w:sz w:val="20"/>
        </w:rPr>
        <w:t xml:space="preserve"> </w:t>
      </w:r>
      <w:r w:rsidR="004B08E7" w:rsidRPr="00C822C2">
        <w:rPr>
          <w:rFonts w:ascii="Arial" w:hAnsi="Arial" w:cs="Arial"/>
          <w:color w:val="auto"/>
          <w:sz w:val="20"/>
        </w:rPr>
        <w:t>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4B08E7" w:rsidRPr="00C822C2">
        <w:rPr>
          <w:rFonts w:ascii="Arial" w:hAnsi="Arial" w:cs="Arial"/>
          <w:color w:val="auto"/>
          <w:sz w:val="20"/>
        </w:rPr>
        <w:t>deriváty</w:t>
      </w:r>
      <w:r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C251ED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Zdroje </w:t>
      </w:r>
      <w:r w:rsidR="000572F9" w:rsidRPr="00C822C2">
        <w:rPr>
          <w:rFonts w:ascii="Arial" w:hAnsi="Arial" w:cs="Arial"/>
          <w:color w:val="auto"/>
          <w:sz w:val="20"/>
        </w:rPr>
        <w:t xml:space="preserve">dat pro sestavení zahraniční zadluženosti jsou </w:t>
      </w:r>
      <w:r w:rsidR="00374D75" w:rsidRPr="00C822C2">
        <w:rPr>
          <w:rFonts w:ascii="Arial" w:hAnsi="Arial" w:cs="Arial"/>
          <w:color w:val="auto"/>
          <w:sz w:val="20"/>
        </w:rPr>
        <w:t xml:space="preserve">shodné se zdroji dat </w:t>
      </w:r>
      <w:r w:rsidR="00900606" w:rsidRPr="00C822C2">
        <w:rPr>
          <w:rFonts w:ascii="Arial" w:hAnsi="Arial" w:cs="Arial"/>
          <w:color w:val="auto"/>
          <w:sz w:val="20"/>
        </w:rPr>
        <w:t>i</w:t>
      </w:r>
      <w:r w:rsidR="00374D75" w:rsidRPr="00C822C2">
        <w:rPr>
          <w:rFonts w:ascii="Arial" w:hAnsi="Arial" w:cs="Arial"/>
          <w:color w:val="auto"/>
          <w:sz w:val="20"/>
        </w:rPr>
        <w:t xml:space="preserve">nvestiční pozice vůči zahraničí (viz </w:t>
      </w:r>
      <w:r w:rsidRPr="00C822C2">
        <w:rPr>
          <w:rFonts w:ascii="Arial" w:hAnsi="Arial" w:cs="Arial"/>
          <w:color w:val="auto"/>
          <w:sz w:val="20"/>
        </w:rPr>
        <w:t>metodika k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tabulce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374D75" w:rsidRPr="00C822C2">
        <w:rPr>
          <w:rFonts w:ascii="Arial" w:hAnsi="Arial" w:cs="Arial"/>
          <w:b/>
          <w:color w:val="auto"/>
          <w:sz w:val="20"/>
        </w:rPr>
        <w:t>7</w:t>
      </w:r>
      <w:r w:rsidR="00374D75" w:rsidRPr="00C822C2">
        <w:rPr>
          <w:rFonts w:ascii="Arial" w:hAnsi="Arial" w:cs="Arial"/>
          <w:color w:val="auto"/>
          <w:sz w:val="20"/>
        </w:rPr>
        <w:t>-15</w:t>
      </w:r>
      <w:r w:rsidR="00AA14F9" w:rsidRPr="00C822C2">
        <w:rPr>
          <w:rFonts w:ascii="Arial" w:hAnsi="Arial" w:cs="Arial"/>
          <w:color w:val="auto"/>
          <w:sz w:val="20"/>
        </w:rPr>
        <w:t>.</w:t>
      </w:r>
      <w:r w:rsidR="00374D75" w:rsidRPr="00C822C2">
        <w:rPr>
          <w:rFonts w:ascii="Arial" w:hAnsi="Arial" w:cs="Arial"/>
          <w:color w:val="auto"/>
          <w:sz w:val="20"/>
        </w:rPr>
        <w:t>)</w:t>
      </w:r>
      <w:r w:rsidR="000572F9"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0572F9">
      <w:pPr>
        <w:pStyle w:val="Standardn1"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1"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1"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-17.</w:t>
      </w:r>
      <w:r w:rsidRPr="00C822C2">
        <w:rPr>
          <w:rFonts w:ascii="Arial" w:hAnsi="Arial" w:cs="Arial"/>
          <w:b/>
          <w:color w:val="auto"/>
          <w:sz w:val="20"/>
        </w:rPr>
        <w:t xml:space="preserve"> Devizové rezervy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Devizové rezervy představují krátkodobá (likvidní) zahraniční aktiva </w:t>
      </w:r>
      <w:r w:rsidR="007255BB">
        <w:rPr>
          <w:rFonts w:ascii="Arial" w:hAnsi="Arial" w:cs="Arial"/>
          <w:color w:val="auto"/>
          <w:sz w:val="20"/>
        </w:rPr>
        <w:t>ČNB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900606" w:rsidRPr="00C822C2">
        <w:rPr>
          <w:rFonts w:ascii="Arial" w:hAnsi="Arial" w:cs="Arial"/>
          <w:color w:val="auto"/>
          <w:sz w:val="20"/>
        </w:rPr>
        <w:t>ve </w:t>
      </w:r>
      <w:r w:rsidRPr="00C822C2">
        <w:rPr>
          <w:rFonts w:ascii="Arial" w:hAnsi="Arial" w:cs="Arial"/>
          <w:color w:val="auto"/>
          <w:sz w:val="20"/>
        </w:rPr>
        <w:t>směnitelných měnách (vklady v zahraničních bankách, poskytnuté úvěry, cenn</w:t>
      </w:r>
      <w:r w:rsidR="00CC0A91" w:rsidRPr="00C822C2">
        <w:rPr>
          <w:rFonts w:ascii="Arial" w:hAnsi="Arial" w:cs="Arial"/>
          <w:color w:val="auto"/>
          <w:sz w:val="20"/>
        </w:rPr>
        <w:t>é</w:t>
      </w:r>
      <w:r w:rsidRPr="00C822C2">
        <w:rPr>
          <w:rFonts w:ascii="Arial" w:hAnsi="Arial" w:cs="Arial"/>
          <w:color w:val="auto"/>
          <w:sz w:val="20"/>
        </w:rPr>
        <w:t xml:space="preserve"> papír</w:t>
      </w:r>
      <w:r w:rsidR="00CC0A91" w:rsidRPr="00C822C2">
        <w:rPr>
          <w:rFonts w:ascii="Arial" w:hAnsi="Arial" w:cs="Arial"/>
          <w:color w:val="auto"/>
          <w:sz w:val="20"/>
        </w:rPr>
        <w:t>y</w:t>
      </w:r>
      <w:r w:rsidRPr="00C822C2">
        <w:rPr>
          <w:rFonts w:ascii="Arial" w:hAnsi="Arial" w:cs="Arial"/>
          <w:color w:val="auto"/>
          <w:sz w:val="20"/>
        </w:rPr>
        <w:t>, valut</w:t>
      </w:r>
      <w:r w:rsidR="000D73EC" w:rsidRPr="00C822C2">
        <w:rPr>
          <w:rFonts w:ascii="Arial" w:hAnsi="Arial" w:cs="Arial"/>
          <w:color w:val="auto"/>
          <w:sz w:val="20"/>
        </w:rPr>
        <w:t>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zlat</w:t>
      </w:r>
      <w:r w:rsidR="000D73EC" w:rsidRPr="00C822C2">
        <w:rPr>
          <w:rFonts w:ascii="Arial" w:hAnsi="Arial" w:cs="Arial"/>
          <w:color w:val="auto"/>
          <w:sz w:val="20"/>
        </w:rPr>
        <w:t>o</w:t>
      </w:r>
      <w:r w:rsidRPr="00C822C2">
        <w:rPr>
          <w:rFonts w:ascii="Arial" w:hAnsi="Arial" w:cs="Arial"/>
          <w:color w:val="auto"/>
          <w:sz w:val="20"/>
        </w:rPr>
        <w:t>, zvláštní práva čerpání, rezervní pozice</w:t>
      </w:r>
      <w:r w:rsidR="0046656C" w:rsidRPr="00C822C2">
        <w:rPr>
          <w:rFonts w:ascii="Arial" w:hAnsi="Arial" w:cs="Arial"/>
          <w:color w:val="auto"/>
          <w:sz w:val="20"/>
        </w:rPr>
        <w:t xml:space="preserve"> u </w:t>
      </w:r>
      <w:r w:rsidRPr="00C822C2">
        <w:rPr>
          <w:rFonts w:ascii="Arial" w:hAnsi="Arial" w:cs="Arial"/>
          <w:color w:val="auto"/>
          <w:sz w:val="20"/>
        </w:rPr>
        <w:t>MMF) použitelná k financování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regulování nerovnováhy platební bilance.</w:t>
      </w:r>
    </w:p>
    <w:p w:rsidR="000572F9" w:rsidRPr="00C822C2" w:rsidRDefault="000572F9">
      <w:pPr>
        <w:pStyle w:val="Standardn1"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Podkladem pro jejich propočet je bilance ČNB.</w:t>
      </w:r>
    </w:p>
    <w:p w:rsidR="000572F9" w:rsidRPr="00C822C2" w:rsidRDefault="000572F9">
      <w:pPr>
        <w:pStyle w:val="Standardn1"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1"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1"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-18. </w:t>
      </w:r>
      <w:r w:rsidRPr="00C822C2">
        <w:rPr>
          <w:rFonts w:ascii="Arial" w:hAnsi="Arial" w:cs="Arial"/>
          <w:b/>
          <w:color w:val="auto"/>
          <w:sz w:val="20"/>
        </w:rPr>
        <w:t>Indexy nominálního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reálného efektivního kurzu koruny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Nominální efektivní kurz koruny (NEER) vyjádřený indexem uvádí zhodnocení (index nad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či znehodnocení (index pod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národní měny vůči koši vybraných měn za určité období oproti základnímu období (rok</w:t>
      </w:r>
      <w:r w:rsidR="00411917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20</w:t>
      </w:r>
      <w:r w:rsidR="00511B05" w:rsidRPr="00C822C2">
        <w:rPr>
          <w:rFonts w:ascii="Arial" w:hAnsi="Arial" w:cs="Arial"/>
          <w:snapToGrid w:val="0"/>
        </w:rPr>
        <w:t>1</w:t>
      </w:r>
      <w:r w:rsidRPr="00C822C2">
        <w:rPr>
          <w:rFonts w:ascii="Arial" w:hAnsi="Arial" w:cs="Arial"/>
          <w:snapToGrid w:val="0"/>
        </w:rPr>
        <w:t xml:space="preserve">0). 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K výpočtům byla použita </w:t>
      </w:r>
      <w:r w:rsidR="002F0EF9">
        <w:rPr>
          <w:rFonts w:ascii="Arial" w:hAnsi="Arial" w:cs="Arial"/>
          <w:snapToGrid w:val="0"/>
        </w:rPr>
        <w:t xml:space="preserve">nejrozšířenější </w:t>
      </w:r>
      <w:r w:rsidRPr="00C822C2">
        <w:rPr>
          <w:rFonts w:ascii="Arial" w:hAnsi="Arial" w:cs="Arial"/>
          <w:snapToGrid w:val="0"/>
        </w:rPr>
        <w:t>metoda váženého geometrického průměru nominálních směnných kurzů se zohledněním váhových podílů celkového exportu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importu zemí, které patří k našim nejvýznamnějším obchodním partnerům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jejichž podíl na 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 xml:space="preserve"> zaujímá cca 90 %. Mimo zem</w:t>
      </w:r>
      <w:r w:rsidR="003B2090" w:rsidRPr="00C822C2">
        <w:rPr>
          <w:rFonts w:ascii="Arial" w:hAnsi="Arial" w:cs="Arial"/>
          <w:snapToGrid w:val="0"/>
        </w:rPr>
        <w:t>ě</w:t>
      </w:r>
      <w:r w:rsidRPr="00C822C2">
        <w:rPr>
          <w:rFonts w:ascii="Arial" w:hAnsi="Arial" w:cs="Arial"/>
          <w:snapToGrid w:val="0"/>
        </w:rPr>
        <w:t xml:space="preserve"> </w:t>
      </w:r>
      <w:proofErr w:type="spellStart"/>
      <w:r w:rsidRPr="00C822C2">
        <w:rPr>
          <w:rFonts w:ascii="Arial" w:hAnsi="Arial" w:cs="Arial"/>
          <w:snapToGrid w:val="0"/>
        </w:rPr>
        <w:t>eurozóny</w:t>
      </w:r>
      <w:proofErr w:type="spellEnd"/>
      <w:r w:rsidRPr="00C822C2">
        <w:rPr>
          <w:rFonts w:ascii="Arial" w:hAnsi="Arial" w:cs="Arial"/>
          <w:snapToGrid w:val="0"/>
        </w:rPr>
        <w:t xml:space="preserve">, </w:t>
      </w:r>
      <w:r w:rsidR="00D560D6" w:rsidRPr="00C822C2">
        <w:rPr>
          <w:rFonts w:ascii="Arial" w:hAnsi="Arial" w:cs="Arial"/>
          <w:snapToGrid w:val="0"/>
        </w:rPr>
        <w:t xml:space="preserve">zohledněné </w:t>
      </w:r>
      <w:r w:rsidRPr="00C822C2">
        <w:rPr>
          <w:rFonts w:ascii="Arial" w:hAnsi="Arial" w:cs="Arial"/>
          <w:snapToGrid w:val="0"/>
        </w:rPr>
        <w:t>jedním váhovým podílem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kurzem EUR, je to Rusk</w:t>
      </w:r>
      <w:r w:rsidR="00C34D3F">
        <w:rPr>
          <w:rFonts w:ascii="Arial" w:hAnsi="Arial" w:cs="Arial"/>
          <w:snapToGrid w:val="0"/>
        </w:rPr>
        <w:t>o</w:t>
      </w:r>
      <w:r w:rsidRPr="00C822C2">
        <w:rPr>
          <w:rFonts w:ascii="Arial" w:hAnsi="Arial" w:cs="Arial"/>
          <w:snapToGrid w:val="0"/>
        </w:rPr>
        <w:t xml:space="preserve">, Polsko, </w:t>
      </w:r>
      <w:r w:rsidR="00C34D3F">
        <w:rPr>
          <w:rFonts w:ascii="Arial" w:hAnsi="Arial" w:cs="Arial"/>
          <w:snapToGrid w:val="0"/>
        </w:rPr>
        <w:t>Velká Británie</w:t>
      </w:r>
      <w:r w:rsidRPr="00C822C2">
        <w:rPr>
          <w:rFonts w:ascii="Arial" w:hAnsi="Arial" w:cs="Arial"/>
          <w:snapToGrid w:val="0"/>
        </w:rPr>
        <w:t xml:space="preserve">, </w:t>
      </w:r>
      <w:r w:rsidR="00A563BC" w:rsidRPr="00C822C2">
        <w:rPr>
          <w:rFonts w:ascii="Arial" w:hAnsi="Arial" w:cs="Arial"/>
          <w:snapToGrid w:val="0"/>
        </w:rPr>
        <w:t>Spojené státy</w:t>
      </w:r>
      <w:r w:rsidRPr="00C822C2">
        <w:rPr>
          <w:rFonts w:ascii="Arial" w:hAnsi="Arial" w:cs="Arial"/>
          <w:snapToGrid w:val="0"/>
        </w:rPr>
        <w:t>, Japonsko, Maďarsko, Švýcarsko, Švédsko, Dánsko</w:t>
      </w:r>
      <w:r w:rsidR="008613A9"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snapToGrid w:val="0"/>
        </w:rPr>
        <w:t>Čína</w:t>
      </w:r>
      <w:r w:rsidR="008613A9" w:rsidRPr="00C822C2">
        <w:rPr>
          <w:rFonts w:ascii="Arial" w:hAnsi="Arial" w:cs="Arial"/>
          <w:snapToGrid w:val="0"/>
        </w:rPr>
        <w:t xml:space="preserve">, </w:t>
      </w:r>
      <w:r w:rsidR="00A563BC" w:rsidRPr="00C822C2">
        <w:rPr>
          <w:rFonts w:ascii="Arial" w:hAnsi="Arial" w:cs="Arial"/>
          <w:snapToGrid w:val="0"/>
        </w:rPr>
        <w:t>Korejská republika</w:t>
      </w:r>
      <w:r w:rsidR="008613A9" w:rsidRPr="00C822C2">
        <w:rPr>
          <w:rFonts w:ascii="Arial" w:hAnsi="Arial" w:cs="Arial"/>
          <w:snapToGrid w:val="0"/>
        </w:rPr>
        <w:t xml:space="preserve"> a</w:t>
      </w:r>
      <w:r w:rsidR="00BB1052" w:rsidRPr="00C822C2">
        <w:rPr>
          <w:rFonts w:ascii="Arial" w:hAnsi="Arial" w:cs="Arial"/>
          <w:snapToGrid w:val="0"/>
        </w:rPr>
        <w:t> </w:t>
      </w:r>
      <w:r w:rsidR="008613A9" w:rsidRPr="00C822C2">
        <w:rPr>
          <w:rFonts w:ascii="Arial" w:hAnsi="Arial" w:cs="Arial"/>
          <w:snapToGrid w:val="0"/>
        </w:rPr>
        <w:t>Rumunsko</w:t>
      </w:r>
      <w:r w:rsidRPr="00C822C2">
        <w:rPr>
          <w:rFonts w:ascii="Arial" w:hAnsi="Arial" w:cs="Arial"/>
          <w:snapToGrid w:val="0"/>
        </w:rPr>
        <w:t>. Váhové podíly byly zpracovány ve dvou variantách. První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Mezinárodním měnovým fondem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se vztahuje k celému obchodnímu obratu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. Druhá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Evropskou centrální bankou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</w:t>
      </w:r>
      <w:r w:rsidR="008613A9" w:rsidRPr="00C822C2">
        <w:rPr>
          <w:rFonts w:ascii="Arial" w:hAnsi="Arial" w:cs="Arial"/>
          <w:snapToGrid w:val="0"/>
        </w:rPr>
        <w:t>se </w:t>
      </w:r>
      <w:r w:rsidRPr="00C822C2">
        <w:rPr>
          <w:rFonts w:ascii="Arial" w:hAnsi="Arial" w:cs="Arial"/>
          <w:snapToGrid w:val="0"/>
        </w:rPr>
        <w:t>vztahuje pouze ke čtyřem komoditním skupinám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, mezi které patří komoditní skupiny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(5–8) podle klasifikace OSN </w:t>
      </w:r>
      <w:r w:rsidR="00E044C4" w:rsidRPr="00C822C2">
        <w:rPr>
          <w:rFonts w:ascii="Arial" w:hAnsi="Arial" w:cs="Arial"/>
          <w:snapToGrid w:val="0"/>
        </w:rPr>
        <w:t>– </w:t>
      </w:r>
      <w:r w:rsidRPr="00C822C2">
        <w:rPr>
          <w:rFonts w:ascii="Arial" w:hAnsi="Arial" w:cs="Arial"/>
          <w:i/>
          <w:iCs/>
          <w:snapToGrid w:val="0"/>
        </w:rPr>
        <w:t xml:space="preserve">Standard </w:t>
      </w:r>
      <w:proofErr w:type="spellStart"/>
      <w:r w:rsidRPr="00C822C2">
        <w:rPr>
          <w:rFonts w:ascii="Arial" w:hAnsi="Arial" w:cs="Arial"/>
          <w:i/>
          <w:iCs/>
          <w:snapToGrid w:val="0"/>
        </w:rPr>
        <w:t>International</w:t>
      </w:r>
      <w:proofErr w:type="spellEnd"/>
      <w:r w:rsidRPr="00C822C2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C822C2">
        <w:rPr>
          <w:rFonts w:ascii="Arial" w:hAnsi="Arial" w:cs="Arial"/>
          <w:i/>
          <w:iCs/>
          <w:snapToGrid w:val="0"/>
        </w:rPr>
        <w:t>Trade</w:t>
      </w:r>
      <w:proofErr w:type="spellEnd"/>
      <w:r w:rsidRPr="00C822C2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C822C2">
        <w:rPr>
          <w:rFonts w:ascii="Arial" w:hAnsi="Arial" w:cs="Arial"/>
          <w:i/>
          <w:iCs/>
          <w:snapToGrid w:val="0"/>
        </w:rPr>
        <w:t>Classification</w:t>
      </w:r>
      <w:proofErr w:type="spellEnd"/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(SITC).</w:t>
      </w:r>
      <w:r w:rsidR="003B2090" w:rsidRPr="00C822C2">
        <w:rPr>
          <w:rFonts w:ascii="Arial" w:hAnsi="Arial" w:cs="Arial"/>
          <w:snapToGrid w:val="0"/>
        </w:rPr>
        <w:t xml:space="preserve"> </w:t>
      </w:r>
    </w:p>
    <w:p w:rsidR="000572F9" w:rsidRPr="00C822C2" w:rsidRDefault="000572F9">
      <w:pPr>
        <w:widowControl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 dat: kurzovní lístek ČNB</w:t>
      </w:r>
      <w:r w:rsidR="002F0EF9">
        <w:rPr>
          <w:rFonts w:ascii="Arial" w:hAnsi="Arial" w:cs="Arial"/>
          <w:snapToGrid w:val="0"/>
        </w:rPr>
        <w:t>;</w:t>
      </w:r>
      <w:r w:rsidR="002F0EF9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publikace ČSÚ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ČR. </w:t>
      </w:r>
    </w:p>
    <w:p w:rsidR="000572F9" w:rsidRPr="00C822C2" w:rsidRDefault="000572F9">
      <w:pPr>
        <w:pStyle w:val="Zkladntext"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Reálný efektivní</w:t>
      </w:r>
      <w:r w:rsidR="00027B73" w:rsidRPr="00C822C2">
        <w:rPr>
          <w:rFonts w:ascii="Arial" w:hAnsi="Arial" w:cs="Arial"/>
          <w:sz w:val="20"/>
        </w:rPr>
        <w:t xml:space="preserve"> kurz koruny (REER) je jedním z</w:t>
      </w:r>
      <w:r w:rsidR="00C56E0B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indikátorů vývoje mezinárodní konkurenceschopnosti země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obecně se jím rozumí různé míry relativních cen nebo nákladů vyjádřené v určité měně. Z tohoto pohledu index REER nad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signalizuje tendenci ke snižování konkurenceschopnosti země proti základnímu období, pokles indexu REER pod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znamená zvyšování konkurenceschopnosti země oproti základnímu období (rok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20</w:t>
      </w:r>
      <w:r w:rsidR="00511B05" w:rsidRPr="00C822C2">
        <w:rPr>
          <w:rFonts w:ascii="Arial" w:hAnsi="Arial" w:cs="Arial"/>
          <w:sz w:val="20"/>
        </w:rPr>
        <w:t>1</w:t>
      </w:r>
      <w:r w:rsidRPr="00C822C2">
        <w:rPr>
          <w:rFonts w:ascii="Arial" w:hAnsi="Arial" w:cs="Arial"/>
          <w:sz w:val="20"/>
        </w:rPr>
        <w:t>0).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>
      <w:pPr>
        <w:pStyle w:val="Zkladntext"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 metod používaných pro výpočet REER byla použita nejrozšířenější metoda váženého geometrického průměru poměru indexu nominálního kurzu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cenového diferenciálu, přičemž vahami jsou podíly největších obchodních partnerů na obratu zahraničního obchodu.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>
      <w:pPr>
        <w:pStyle w:val="Zkladntext"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Při konstrukci indexu reálného efektivního kurzu koruny byly použity spotřebitelské ceny a ceny průmyslových výrobců 1</w:t>
      </w:r>
      <w:r w:rsidR="008613A9" w:rsidRPr="00C822C2">
        <w:rPr>
          <w:rFonts w:ascii="Arial" w:hAnsi="Arial" w:cs="Arial"/>
          <w:sz w:val="20"/>
        </w:rPr>
        <w:t>2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 xml:space="preserve">zemí mimo </w:t>
      </w:r>
      <w:proofErr w:type="spellStart"/>
      <w:r w:rsidRPr="00C822C2">
        <w:rPr>
          <w:rFonts w:ascii="Arial" w:hAnsi="Arial" w:cs="Arial"/>
          <w:sz w:val="20"/>
        </w:rPr>
        <w:t>eurozónu</w:t>
      </w:r>
      <w:proofErr w:type="spellEnd"/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všech zemí </w:t>
      </w:r>
      <w:proofErr w:type="spellStart"/>
      <w:r w:rsidRPr="00C822C2">
        <w:rPr>
          <w:rFonts w:ascii="Arial" w:hAnsi="Arial" w:cs="Arial"/>
          <w:sz w:val="20"/>
        </w:rPr>
        <w:t>eurozóny</w:t>
      </w:r>
      <w:proofErr w:type="spellEnd"/>
      <w:r w:rsidRPr="00C822C2">
        <w:rPr>
          <w:rFonts w:ascii="Arial" w:hAnsi="Arial" w:cs="Arial"/>
          <w:sz w:val="20"/>
        </w:rPr>
        <w:t xml:space="preserve">. Jednotlivé země </w:t>
      </w:r>
      <w:proofErr w:type="spellStart"/>
      <w:r w:rsidRPr="00C822C2">
        <w:rPr>
          <w:rFonts w:ascii="Arial" w:hAnsi="Arial" w:cs="Arial"/>
          <w:sz w:val="20"/>
        </w:rPr>
        <w:t>eurozóny</w:t>
      </w:r>
      <w:proofErr w:type="spellEnd"/>
      <w:r w:rsidRPr="00C822C2">
        <w:rPr>
          <w:rFonts w:ascii="Arial" w:hAnsi="Arial" w:cs="Arial"/>
          <w:sz w:val="20"/>
        </w:rPr>
        <w:t xml:space="preserve"> jsou pro výpočty uváděny jako jedna měnová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cenová oblast. Počet zemí </w:t>
      </w:r>
      <w:proofErr w:type="spellStart"/>
      <w:r w:rsidRPr="00C822C2">
        <w:rPr>
          <w:rFonts w:ascii="Arial" w:hAnsi="Arial" w:cs="Arial"/>
          <w:sz w:val="20"/>
        </w:rPr>
        <w:t>eurozóny</w:t>
      </w:r>
      <w:proofErr w:type="spellEnd"/>
      <w:r w:rsidRPr="00C822C2">
        <w:rPr>
          <w:rFonts w:ascii="Arial" w:hAnsi="Arial" w:cs="Arial"/>
          <w:sz w:val="20"/>
        </w:rPr>
        <w:t xml:space="preserve"> </w:t>
      </w:r>
      <w:r w:rsidR="008613A9" w:rsidRPr="00C822C2">
        <w:rPr>
          <w:rFonts w:ascii="Arial" w:hAnsi="Arial" w:cs="Arial"/>
          <w:sz w:val="20"/>
        </w:rPr>
        <w:t>se </w:t>
      </w:r>
      <w:r w:rsidRPr="00C822C2">
        <w:rPr>
          <w:rFonts w:ascii="Arial" w:hAnsi="Arial" w:cs="Arial"/>
          <w:sz w:val="20"/>
        </w:rPr>
        <w:t>mění podle aktuálního stavu. Struktura zemí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jejich váhové podíly jsou shodné s metodikou výpočtu indexu </w:t>
      </w:r>
      <w:r w:rsidR="002F0EF9">
        <w:rPr>
          <w:rFonts w:ascii="Arial" w:hAnsi="Arial" w:cs="Arial"/>
          <w:sz w:val="20"/>
        </w:rPr>
        <w:t>NEER</w:t>
      </w:r>
      <w:r w:rsidRPr="00C822C2">
        <w:rPr>
          <w:rFonts w:ascii="Arial" w:hAnsi="Arial" w:cs="Arial"/>
          <w:sz w:val="20"/>
        </w:rPr>
        <w:t>. V první variantě se váhy vztahují k celému obratu zahraničního obchodu, ve druhé variantě se váhové podíly vztahují pouze na obrat v komoditních skupinách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(5–8) podle klasifikace SITC.</w:t>
      </w:r>
    </w:p>
    <w:p w:rsidR="000572F9" w:rsidRPr="00C822C2" w:rsidRDefault="000572F9">
      <w:pPr>
        <w:pStyle w:val="Zkladntext"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Zdroj dat: statistiky ECB</w:t>
      </w:r>
      <w:r w:rsidR="002F0EF9">
        <w:rPr>
          <w:rFonts w:ascii="Arial" w:hAnsi="Arial" w:cs="Arial"/>
          <w:sz w:val="20"/>
        </w:rPr>
        <w:t>;</w:t>
      </w:r>
      <w:r w:rsidRPr="00C822C2">
        <w:rPr>
          <w:rFonts w:ascii="Arial" w:hAnsi="Arial" w:cs="Arial"/>
          <w:sz w:val="20"/>
        </w:rPr>
        <w:t xml:space="preserve"> indexy nominálního kurzu z propočtů ČNB.</w:t>
      </w:r>
    </w:p>
    <w:p w:rsidR="000572F9" w:rsidRPr="00C822C2" w:rsidRDefault="000572F9" w:rsidP="0072688C">
      <w:pPr>
        <w:pStyle w:val="Zkladntext"/>
        <w:keepNext/>
        <w:spacing w:before="120"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lastRenderedPageBreak/>
        <w:t xml:space="preserve">Vzorec výpočtu indexu </w:t>
      </w:r>
      <w:r w:rsidR="002F0EF9">
        <w:rPr>
          <w:rFonts w:ascii="Arial" w:hAnsi="Arial" w:cs="Arial"/>
          <w:sz w:val="20"/>
        </w:rPr>
        <w:t>REER</w:t>
      </w:r>
      <w:r w:rsidRPr="00C822C2">
        <w:rPr>
          <w:rFonts w:ascii="Arial" w:hAnsi="Arial" w:cs="Arial"/>
          <w:sz w:val="20"/>
        </w:rPr>
        <w:t>:</w:t>
      </w:r>
    </w:p>
    <w:p w:rsidR="000572F9" w:rsidRPr="00C822C2" w:rsidRDefault="000572F9" w:rsidP="0072688C">
      <w:pPr>
        <w:pStyle w:val="Zkladntext"/>
        <w:keepNext/>
        <w:ind w:left="737"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5" type="#_x0000_t75" style="width:180.6pt;height:60pt" o:ole="" fillcolor="window">
            <v:imagedata r:id="rId15" o:title=""/>
          </v:shape>
          <o:OLEObject Type="Embed" ProgID="Equation.3" ShapeID="_x0000_i1025" DrawAspect="Content" ObjectID="_1473056772" r:id="rId16"/>
        </w:object>
      </w:r>
    </w:p>
    <w:p w:rsidR="000572F9" w:rsidRPr="00C822C2" w:rsidRDefault="000572F9" w:rsidP="00CF06E3">
      <w:pPr>
        <w:pStyle w:val="Zkladntext"/>
        <w:keepNext/>
        <w:ind w:right="0"/>
        <w:jc w:val="both"/>
        <w:rPr>
          <w:rFonts w:ascii="Arial" w:hAnsi="Arial" w:cs="Arial"/>
          <w:sz w:val="20"/>
        </w:rPr>
      </w:pPr>
    </w:p>
    <w:p w:rsidR="000572F9" w:rsidRPr="00C822C2" w:rsidRDefault="000572F9" w:rsidP="00CF06E3">
      <w:pPr>
        <w:pStyle w:val="Zkladntext"/>
        <w:keepNext/>
        <w:ind w:right="0"/>
        <w:jc w:val="both"/>
        <w:rPr>
          <w:rFonts w:ascii="Arial" w:hAnsi="Arial"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7938"/>
      </w:tblGrid>
      <w:tr w:rsidR="000572F9" w:rsidRPr="00C822C2">
        <w:tc>
          <w:tcPr>
            <w:tcW w:w="496" w:type="dxa"/>
          </w:tcPr>
          <w:p w:rsidR="000572F9" w:rsidRPr="00C822C2" w:rsidRDefault="000572F9" w:rsidP="0072688C">
            <w:pPr>
              <w:pStyle w:val="Standardnte"/>
              <w:keepNext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kde</w:t>
            </w:r>
          </w:p>
        </w:tc>
        <w:tc>
          <w:tcPr>
            <w:tcW w:w="708" w:type="dxa"/>
          </w:tcPr>
          <w:p w:rsidR="000572F9" w:rsidRPr="00C822C2" w:rsidRDefault="000572F9" w:rsidP="0072688C">
            <w:pPr>
              <w:pStyle w:val="Standardnte"/>
              <w:keepNext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C822C2">
              <w:rPr>
                <w:rFonts w:ascii="Arial" w:hAnsi="Arial" w:cs="Arial"/>
                <w:color w:val="auto"/>
                <w:sz w:val="20"/>
              </w:rPr>
              <w:t>S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proofErr w:type="spellEnd"/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72688C">
            <w:pPr>
              <w:pStyle w:val="Standardnte"/>
              <w:keepNext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bazický index tuzemské měny k měně i-</w:t>
            </w:r>
            <w:proofErr w:type="spellStart"/>
            <w:r w:rsidRPr="00C822C2">
              <w:rPr>
                <w:rFonts w:ascii="Arial" w:hAnsi="Arial" w:cs="Arial"/>
                <w:color w:val="auto"/>
                <w:sz w:val="20"/>
              </w:rPr>
              <w:t>tého</w:t>
            </w:r>
            <w:proofErr w:type="spellEnd"/>
            <w:r w:rsidRPr="00C822C2">
              <w:rPr>
                <w:rFonts w:ascii="Arial" w:hAnsi="Arial" w:cs="Arial"/>
                <w:color w:val="auto"/>
                <w:sz w:val="20"/>
              </w:rPr>
              <w:t xml:space="preserve"> obchodního partnera v období t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72688C">
            <w:pPr>
              <w:pStyle w:val="Standardnte"/>
              <w:keepNext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72688C">
            <w:pPr>
              <w:pStyle w:val="Standardnte"/>
              <w:keepNext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733795" w:rsidP="0072688C">
            <w:pPr>
              <w:pStyle w:val="Standardnte"/>
              <w:keepNext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="000572F9" w:rsidRPr="00C822C2">
              <w:rPr>
                <w:rFonts w:ascii="Arial" w:hAnsi="Arial" w:cs="Arial"/>
                <w:color w:val="auto"/>
                <w:sz w:val="20"/>
              </w:rPr>
              <w:t>oměr bazického cenového indexu i-</w:t>
            </w:r>
            <w:proofErr w:type="spellStart"/>
            <w:r w:rsidR="000572F9" w:rsidRPr="00C822C2">
              <w:rPr>
                <w:rFonts w:ascii="Arial" w:hAnsi="Arial" w:cs="Arial"/>
                <w:color w:val="auto"/>
                <w:sz w:val="20"/>
              </w:rPr>
              <w:t>tého</w:t>
            </w:r>
            <w:proofErr w:type="spellEnd"/>
            <w:r w:rsidR="000572F9" w:rsidRPr="00C822C2">
              <w:rPr>
                <w:rFonts w:ascii="Arial" w:hAnsi="Arial" w:cs="Arial"/>
                <w:color w:val="auto"/>
                <w:sz w:val="20"/>
              </w:rPr>
              <w:t xml:space="preserve"> obchodního partnera v období t k bazickému cenovému indexu ČR v období t, kde bazický rok je stejný jako bazický rok při výpočtu S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AA14F9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C822C2">
              <w:rPr>
                <w:rFonts w:ascii="Arial" w:hAnsi="Arial" w:cs="Arial"/>
                <w:color w:val="auto"/>
                <w:sz w:val="20"/>
              </w:rPr>
              <w:t>w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proofErr w:type="spellEnd"/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normalizované váhy měny i-</w:t>
            </w:r>
            <w:proofErr w:type="spellStart"/>
            <w:r w:rsidRPr="00C822C2">
              <w:rPr>
                <w:rFonts w:ascii="Arial" w:hAnsi="Arial" w:cs="Arial"/>
                <w:color w:val="auto"/>
                <w:sz w:val="20"/>
              </w:rPr>
              <w:t>tého</w:t>
            </w:r>
            <w:proofErr w:type="spellEnd"/>
            <w:r w:rsidRPr="00C822C2">
              <w:rPr>
                <w:rFonts w:ascii="Arial" w:hAnsi="Arial" w:cs="Arial"/>
                <w:color w:val="auto"/>
                <w:sz w:val="20"/>
              </w:rPr>
              <w:t xml:space="preserve"> obchodního partnera</w:t>
            </w:r>
          </w:p>
        </w:tc>
      </w:tr>
    </w:tbl>
    <w:p w:rsidR="000572F9" w:rsidRPr="00C822C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-19. </w:t>
      </w:r>
      <w:r w:rsidRPr="00C822C2">
        <w:rPr>
          <w:rFonts w:ascii="Arial" w:hAnsi="Arial" w:cs="Arial"/>
          <w:b/>
          <w:color w:val="auto"/>
          <w:sz w:val="20"/>
        </w:rPr>
        <w:t>Devizové kurzy hlavních měn</w:t>
      </w:r>
    </w:p>
    <w:p w:rsidR="000572F9" w:rsidRPr="00C822C2" w:rsidRDefault="000572F9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Průměrné roční kurzy </w:t>
      </w:r>
      <w:r w:rsidR="0089424A" w:rsidRPr="00C822C2">
        <w:rPr>
          <w:rFonts w:ascii="Arial" w:hAnsi="Arial" w:cs="Arial"/>
          <w:color w:val="auto"/>
          <w:sz w:val="20"/>
        </w:rPr>
        <w:t xml:space="preserve">zahraničních </w:t>
      </w:r>
      <w:r w:rsidRPr="00C822C2">
        <w:rPr>
          <w:rFonts w:ascii="Arial" w:hAnsi="Arial" w:cs="Arial"/>
          <w:color w:val="auto"/>
          <w:sz w:val="20"/>
        </w:rPr>
        <w:t>měn vůči Kč byly počítány z denních kótovaných hodnot uváděných v kurzovním lístku vydávaném ČNB.</w:t>
      </w:r>
    </w:p>
    <w:p w:rsidR="000572F9" w:rsidRPr="00C822C2" w:rsidRDefault="000572F9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te"/>
        <w:widowControl/>
        <w:jc w:val="center"/>
        <w:rPr>
          <w:rFonts w:ascii="Arial" w:hAnsi="Arial" w:cs="Arial"/>
          <w:color w:val="auto"/>
          <w:sz w:val="20"/>
        </w:rPr>
      </w:pPr>
      <w:proofErr w:type="gramStart"/>
      <w:r w:rsidRPr="00C822C2">
        <w:rPr>
          <w:rFonts w:ascii="Arial" w:hAnsi="Arial" w:cs="Arial"/>
          <w:color w:val="auto"/>
          <w:sz w:val="20"/>
        </w:rPr>
        <w:t>*          *          *</w:t>
      </w:r>
      <w:proofErr w:type="gramEnd"/>
    </w:p>
    <w:p w:rsidR="000572F9" w:rsidRPr="00C822C2" w:rsidRDefault="000572F9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F628D6" w:rsidRPr="00C822C2" w:rsidRDefault="000572F9" w:rsidP="00854289">
      <w:pPr>
        <w:pStyle w:val="Standardnte"/>
        <w:widowControl/>
        <w:ind w:firstLine="709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Podrobnější přehledy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aktuální údaje z oblasti měnové statistiky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platební bilance jsou k dispozici na </w:t>
      </w:r>
      <w:r w:rsidR="004C496E">
        <w:rPr>
          <w:rFonts w:ascii="Arial" w:hAnsi="Arial" w:cs="Arial"/>
          <w:color w:val="auto"/>
          <w:sz w:val="20"/>
        </w:rPr>
        <w:t>internetových stránkách ČNB</w:t>
      </w:r>
      <w:r w:rsidRPr="00C822C2">
        <w:rPr>
          <w:rFonts w:ascii="Arial" w:hAnsi="Arial" w:cs="Arial"/>
          <w:color w:val="auto"/>
          <w:sz w:val="20"/>
        </w:rPr>
        <w:t>: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</w:p>
    <w:p w:rsidR="000572F9" w:rsidRPr="00826A80" w:rsidRDefault="000572F9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bCs/>
          <w:color w:val="auto"/>
          <w:sz w:val="20"/>
        </w:rPr>
        <w:t>– </w:t>
      </w:r>
      <w:hyperlink w:history="1"/>
      <w:hyperlink r:id="rId17" w:history="1">
        <w:r w:rsidR="0000297B" w:rsidRPr="00DD61D3">
          <w:rPr>
            <w:rStyle w:val="Hypertextovodkaz"/>
            <w:rFonts w:ascii="Arial" w:hAnsi="Arial" w:cs="Arial"/>
            <w:bCs/>
            <w:sz w:val="20"/>
          </w:rPr>
          <w:t>www.cnb.cz/cs/statistika</w:t>
        </w:r>
      </w:hyperlink>
      <w:r w:rsidR="00433F84">
        <w:rPr>
          <w:rFonts w:ascii="Arial" w:hAnsi="Arial" w:cs="Arial"/>
          <w:bCs/>
          <w:color w:val="auto"/>
          <w:sz w:val="20"/>
        </w:rPr>
        <w:t xml:space="preserve"> </w:t>
      </w:r>
    </w:p>
    <w:sectPr w:rsidR="000572F9" w:rsidRPr="00826A80" w:rsidSect="00615E70">
      <w:headerReference w:type="even" r:id="rId18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35" w:rsidRDefault="00672335">
      <w:r>
        <w:separator/>
      </w:r>
    </w:p>
  </w:endnote>
  <w:endnote w:type="continuationSeparator" w:id="0">
    <w:p w:rsidR="00672335" w:rsidRDefault="0067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35" w:rsidRDefault="00672335">
      <w:r>
        <w:separator/>
      </w:r>
    </w:p>
  </w:footnote>
  <w:footnote w:type="continuationSeparator" w:id="0">
    <w:p w:rsidR="00672335" w:rsidRDefault="0067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9" w:rsidRDefault="00771FD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72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72F9">
      <w:rPr>
        <w:rStyle w:val="slostrnky"/>
        <w:noProof/>
      </w:rPr>
      <w:t>10</w:t>
    </w:r>
    <w:r>
      <w:rPr>
        <w:rStyle w:val="slostrnky"/>
      </w:rPr>
      <w:fldChar w:fldCharType="end"/>
    </w:r>
  </w:p>
  <w:p w:rsidR="000572F9" w:rsidRDefault="000572F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C8"/>
    <w:rsid w:val="0000297B"/>
    <w:rsid w:val="00016A3A"/>
    <w:rsid w:val="0002783A"/>
    <w:rsid w:val="00027B73"/>
    <w:rsid w:val="000314C8"/>
    <w:rsid w:val="000572F9"/>
    <w:rsid w:val="000900E9"/>
    <w:rsid w:val="0009131E"/>
    <w:rsid w:val="000A3B45"/>
    <w:rsid w:val="000B065A"/>
    <w:rsid w:val="000B0F0D"/>
    <w:rsid w:val="000B62E4"/>
    <w:rsid w:val="000C3F4E"/>
    <w:rsid w:val="000D73EC"/>
    <w:rsid w:val="000E42BA"/>
    <w:rsid w:val="00110527"/>
    <w:rsid w:val="00125F53"/>
    <w:rsid w:val="00136612"/>
    <w:rsid w:val="00137347"/>
    <w:rsid w:val="00164427"/>
    <w:rsid w:val="00173F39"/>
    <w:rsid w:val="00191C8E"/>
    <w:rsid w:val="00193E70"/>
    <w:rsid w:val="001A5E5B"/>
    <w:rsid w:val="001B0D4E"/>
    <w:rsid w:val="001B7B11"/>
    <w:rsid w:val="001D300C"/>
    <w:rsid w:val="001D301D"/>
    <w:rsid w:val="001F0D38"/>
    <w:rsid w:val="001F3F9F"/>
    <w:rsid w:val="001F706B"/>
    <w:rsid w:val="002023AC"/>
    <w:rsid w:val="00203D9E"/>
    <w:rsid w:val="00214344"/>
    <w:rsid w:val="002148E2"/>
    <w:rsid w:val="00216260"/>
    <w:rsid w:val="0023066C"/>
    <w:rsid w:val="002446C8"/>
    <w:rsid w:val="00244FB1"/>
    <w:rsid w:val="00247B6C"/>
    <w:rsid w:val="00251255"/>
    <w:rsid w:val="002523C8"/>
    <w:rsid w:val="00253088"/>
    <w:rsid w:val="0027794F"/>
    <w:rsid w:val="002834A3"/>
    <w:rsid w:val="00291215"/>
    <w:rsid w:val="002A75CF"/>
    <w:rsid w:val="002B7687"/>
    <w:rsid w:val="002C1CDF"/>
    <w:rsid w:val="002C422A"/>
    <w:rsid w:val="002E1558"/>
    <w:rsid w:val="002E3BCC"/>
    <w:rsid w:val="002F0EF9"/>
    <w:rsid w:val="002F54BA"/>
    <w:rsid w:val="0030666D"/>
    <w:rsid w:val="00314A5F"/>
    <w:rsid w:val="00336EC0"/>
    <w:rsid w:val="003478B2"/>
    <w:rsid w:val="00354553"/>
    <w:rsid w:val="00355B80"/>
    <w:rsid w:val="00373677"/>
    <w:rsid w:val="0037401A"/>
    <w:rsid w:val="00374D75"/>
    <w:rsid w:val="00377B82"/>
    <w:rsid w:val="00382AA3"/>
    <w:rsid w:val="003B2090"/>
    <w:rsid w:val="003C1771"/>
    <w:rsid w:val="003D6C67"/>
    <w:rsid w:val="003E6D84"/>
    <w:rsid w:val="003F6772"/>
    <w:rsid w:val="00411917"/>
    <w:rsid w:val="00413B7F"/>
    <w:rsid w:val="00420721"/>
    <w:rsid w:val="00433F84"/>
    <w:rsid w:val="0046656C"/>
    <w:rsid w:val="00466912"/>
    <w:rsid w:val="004675B5"/>
    <w:rsid w:val="004862BA"/>
    <w:rsid w:val="004B06C2"/>
    <w:rsid w:val="004B08E7"/>
    <w:rsid w:val="004B48D4"/>
    <w:rsid w:val="004C496E"/>
    <w:rsid w:val="004D040B"/>
    <w:rsid w:val="00511B05"/>
    <w:rsid w:val="005337EA"/>
    <w:rsid w:val="005379AC"/>
    <w:rsid w:val="00537C1B"/>
    <w:rsid w:val="005407C2"/>
    <w:rsid w:val="0054296F"/>
    <w:rsid w:val="00544857"/>
    <w:rsid w:val="005967C8"/>
    <w:rsid w:val="005C00D3"/>
    <w:rsid w:val="005E650A"/>
    <w:rsid w:val="0060409A"/>
    <w:rsid w:val="00615E70"/>
    <w:rsid w:val="00626950"/>
    <w:rsid w:val="006468C7"/>
    <w:rsid w:val="00655E31"/>
    <w:rsid w:val="00672335"/>
    <w:rsid w:val="00685343"/>
    <w:rsid w:val="006A4D6B"/>
    <w:rsid w:val="006B2312"/>
    <w:rsid w:val="006B3F7B"/>
    <w:rsid w:val="006B4BA9"/>
    <w:rsid w:val="006C0161"/>
    <w:rsid w:val="006C26CC"/>
    <w:rsid w:val="006F3573"/>
    <w:rsid w:val="006F5AAA"/>
    <w:rsid w:val="00707180"/>
    <w:rsid w:val="00714B89"/>
    <w:rsid w:val="00715964"/>
    <w:rsid w:val="007255BB"/>
    <w:rsid w:val="0072688C"/>
    <w:rsid w:val="00733795"/>
    <w:rsid w:val="0074223B"/>
    <w:rsid w:val="00744FE7"/>
    <w:rsid w:val="00760E27"/>
    <w:rsid w:val="007701F8"/>
    <w:rsid w:val="00771A50"/>
    <w:rsid w:val="00771FD4"/>
    <w:rsid w:val="00783CB5"/>
    <w:rsid w:val="007B2365"/>
    <w:rsid w:val="007B4A87"/>
    <w:rsid w:val="007D3609"/>
    <w:rsid w:val="007E3009"/>
    <w:rsid w:val="007F6F47"/>
    <w:rsid w:val="0080080B"/>
    <w:rsid w:val="00816E88"/>
    <w:rsid w:val="008243EC"/>
    <w:rsid w:val="00826A80"/>
    <w:rsid w:val="00832D78"/>
    <w:rsid w:val="00846AEF"/>
    <w:rsid w:val="00854289"/>
    <w:rsid w:val="008613A9"/>
    <w:rsid w:val="0086606D"/>
    <w:rsid w:val="008875E8"/>
    <w:rsid w:val="0089102C"/>
    <w:rsid w:val="0089424A"/>
    <w:rsid w:val="008A3195"/>
    <w:rsid w:val="008B71D3"/>
    <w:rsid w:val="008D2FDE"/>
    <w:rsid w:val="008F4534"/>
    <w:rsid w:val="00900606"/>
    <w:rsid w:val="00947303"/>
    <w:rsid w:val="00983AD7"/>
    <w:rsid w:val="009C3F86"/>
    <w:rsid w:val="009D7A9D"/>
    <w:rsid w:val="009E3002"/>
    <w:rsid w:val="009E6D29"/>
    <w:rsid w:val="00A031DA"/>
    <w:rsid w:val="00A04CD0"/>
    <w:rsid w:val="00A43914"/>
    <w:rsid w:val="00A534B0"/>
    <w:rsid w:val="00A563BC"/>
    <w:rsid w:val="00A85731"/>
    <w:rsid w:val="00AA14F9"/>
    <w:rsid w:val="00AE118D"/>
    <w:rsid w:val="00B01E93"/>
    <w:rsid w:val="00B57F7F"/>
    <w:rsid w:val="00B63BDD"/>
    <w:rsid w:val="00B961B1"/>
    <w:rsid w:val="00BA3F1C"/>
    <w:rsid w:val="00BB1052"/>
    <w:rsid w:val="00BB23B7"/>
    <w:rsid w:val="00BB69ED"/>
    <w:rsid w:val="00BC074A"/>
    <w:rsid w:val="00BD0F80"/>
    <w:rsid w:val="00BD41C9"/>
    <w:rsid w:val="00BE1EC3"/>
    <w:rsid w:val="00BE3CF3"/>
    <w:rsid w:val="00C02B31"/>
    <w:rsid w:val="00C1633E"/>
    <w:rsid w:val="00C1634C"/>
    <w:rsid w:val="00C251ED"/>
    <w:rsid w:val="00C253B4"/>
    <w:rsid w:val="00C34D3F"/>
    <w:rsid w:val="00C43935"/>
    <w:rsid w:val="00C56E0B"/>
    <w:rsid w:val="00C60A31"/>
    <w:rsid w:val="00C822C2"/>
    <w:rsid w:val="00C97F6F"/>
    <w:rsid w:val="00CC0A91"/>
    <w:rsid w:val="00CC6BAA"/>
    <w:rsid w:val="00CD2908"/>
    <w:rsid w:val="00CE4728"/>
    <w:rsid w:val="00CF06E3"/>
    <w:rsid w:val="00D35264"/>
    <w:rsid w:val="00D37C43"/>
    <w:rsid w:val="00D46514"/>
    <w:rsid w:val="00D560D6"/>
    <w:rsid w:val="00D755D4"/>
    <w:rsid w:val="00DC4637"/>
    <w:rsid w:val="00DC5E89"/>
    <w:rsid w:val="00DD0207"/>
    <w:rsid w:val="00DD5844"/>
    <w:rsid w:val="00DF61B9"/>
    <w:rsid w:val="00E044C4"/>
    <w:rsid w:val="00E13551"/>
    <w:rsid w:val="00E41919"/>
    <w:rsid w:val="00E67753"/>
    <w:rsid w:val="00E67817"/>
    <w:rsid w:val="00E757DC"/>
    <w:rsid w:val="00E93D81"/>
    <w:rsid w:val="00EA165A"/>
    <w:rsid w:val="00EA42AB"/>
    <w:rsid w:val="00EA7F4C"/>
    <w:rsid w:val="00EC59A9"/>
    <w:rsid w:val="00EC5FCF"/>
    <w:rsid w:val="00ED6289"/>
    <w:rsid w:val="00F012D7"/>
    <w:rsid w:val="00F2295B"/>
    <w:rsid w:val="00F2522E"/>
    <w:rsid w:val="00F33C3A"/>
    <w:rsid w:val="00F628D6"/>
    <w:rsid w:val="00F702DC"/>
    <w:rsid w:val="00F950A2"/>
    <w:rsid w:val="00F975EC"/>
    <w:rsid w:val="00FD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vr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titul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http://www.cnb.cz/cs/statistika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file:///D:\Documents%20and%20Settings\u00187\Documents%20and%20Settings\u04183\Temporary%20Internet%20Files\Documents%20and%20Settings\Documents%20and%20Settings\temp\e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3779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26027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Jan Kučera</dc:creator>
  <cp:lastModifiedBy>novotna17122</cp:lastModifiedBy>
  <cp:revision>6</cp:revision>
  <cp:lastPrinted>2013-01-28T07:03:00Z</cp:lastPrinted>
  <dcterms:created xsi:type="dcterms:W3CDTF">2014-08-05T08:25:00Z</dcterms:created>
  <dcterms:modified xsi:type="dcterms:W3CDTF">2014-09-24T07:40:00Z</dcterms:modified>
</cp:coreProperties>
</file>