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2F5F" w14:textId="25F9F885" w:rsidR="00867569" w:rsidRPr="00AE6D5B" w:rsidRDefault="008051F8" w:rsidP="00AE6D5B">
      <w:pPr>
        <w:pStyle w:val="Datum"/>
      </w:pPr>
      <w:r>
        <w:t>15</w:t>
      </w:r>
      <w:r w:rsidR="00D6002E">
        <w:t xml:space="preserve">. </w:t>
      </w:r>
      <w:r w:rsidR="00EE7FA5">
        <w:t>února</w:t>
      </w:r>
      <w:r w:rsidR="00FD61A9">
        <w:t xml:space="preserve"> 202</w:t>
      </w:r>
      <w:r w:rsidR="00D6002E">
        <w:t>4</w:t>
      </w:r>
    </w:p>
    <w:p w14:paraId="40E30DA1" w14:textId="21B811B1" w:rsidR="00867569" w:rsidRPr="00EA7349" w:rsidRDefault="008051F8" w:rsidP="00AE6D5B">
      <w:pPr>
        <w:pStyle w:val="Nzev"/>
      </w:pPr>
      <w:r w:rsidRPr="008051F8">
        <w:t xml:space="preserve">Podíl penzijních nároků na HDP se vrátil </w:t>
      </w:r>
      <w:bookmarkStart w:id="0" w:name="_GoBack"/>
      <w:bookmarkEnd w:id="0"/>
      <w:r w:rsidR="00C37F74">
        <w:t xml:space="preserve">na </w:t>
      </w:r>
      <w:r w:rsidRPr="008051F8">
        <w:t>předcovidovou úroveň</w:t>
      </w:r>
    </w:p>
    <w:p w14:paraId="350A2FB7" w14:textId="77777777" w:rsidR="008051F8" w:rsidRDefault="008051F8" w:rsidP="008051F8">
      <w:pPr>
        <w:rPr>
          <w:rFonts w:cs="Arial"/>
          <w:b/>
          <w:szCs w:val="18"/>
        </w:rPr>
      </w:pPr>
      <w:r w:rsidRPr="008051F8">
        <w:rPr>
          <w:rFonts w:cs="Arial"/>
          <w:b/>
          <w:szCs w:val="18"/>
        </w:rPr>
        <w:t>Hodnota penzijních nároků českých domácností (nárok současných i budoucích penzistů ze všech typů penzí) se po poklesu na 270,2 % HDP ke konci roku 2021 vrátila na úroveň 305,2 % HDP ke konci roku 2022.</w:t>
      </w:r>
    </w:p>
    <w:p w14:paraId="23E8A442" w14:textId="77777777" w:rsidR="008051F8" w:rsidRDefault="008051F8" w:rsidP="00D73A16">
      <w:pPr>
        <w:spacing w:line="240" w:lineRule="auto"/>
        <w:rPr>
          <w:rFonts w:cs="Arial"/>
          <w:b/>
          <w:szCs w:val="18"/>
        </w:rPr>
      </w:pPr>
    </w:p>
    <w:p w14:paraId="1B4D30B9" w14:textId="2345A973" w:rsidR="008051F8" w:rsidRPr="00A26E48" w:rsidRDefault="008051F8" w:rsidP="008051F8">
      <w:pPr>
        <w:rPr>
          <w:rFonts w:eastAsia="Times New Roman" w:cs="Arial"/>
          <w:szCs w:val="18"/>
          <w:lang w:eastAsia="cs-CZ"/>
        </w:rPr>
      </w:pPr>
      <w:r w:rsidRPr="00A57DB9">
        <w:rPr>
          <w:rFonts w:eastAsia="Times New Roman" w:cs="Arial"/>
          <w:i/>
          <w:szCs w:val="18"/>
          <w:lang w:eastAsia="cs-CZ"/>
        </w:rPr>
        <w:t>„</w:t>
      </w:r>
      <w:r w:rsidRPr="000E7E04">
        <w:rPr>
          <w:rStyle w:val="ui-provider"/>
          <w:i/>
        </w:rPr>
        <w:t>D</w:t>
      </w:r>
      <w:r>
        <w:rPr>
          <w:rStyle w:val="ui-provider"/>
          <w:i/>
        </w:rPr>
        <w:t>o poklesu hodnoty penzijních nároků v roce</w:t>
      </w:r>
      <w:r w:rsidRPr="000E7E04">
        <w:rPr>
          <w:rStyle w:val="ui-provider"/>
          <w:i/>
        </w:rPr>
        <w:t xml:space="preserve"> 2021 se promítla pandemie </w:t>
      </w:r>
      <w:r>
        <w:rPr>
          <w:rStyle w:val="ui-provider"/>
          <w:i/>
        </w:rPr>
        <w:t xml:space="preserve">onemocnění </w:t>
      </w:r>
      <w:r>
        <w:rPr>
          <w:rStyle w:val="ui-provider"/>
          <w:i/>
        </w:rPr>
        <w:br/>
        <w:t>c</w:t>
      </w:r>
      <w:r w:rsidRPr="000E7E04">
        <w:rPr>
          <w:rStyle w:val="ui-provider"/>
          <w:i/>
        </w:rPr>
        <w:t xml:space="preserve">ovid-19, která měla významný dopad na úmrtnost. </w:t>
      </w:r>
      <w:r>
        <w:rPr>
          <w:rStyle w:val="ui-provider"/>
          <w:i/>
        </w:rPr>
        <w:t>V roce</w:t>
      </w:r>
      <w:r w:rsidRPr="000E7E04">
        <w:rPr>
          <w:rStyle w:val="ui-provider"/>
          <w:i/>
        </w:rPr>
        <w:t xml:space="preserve"> 2022 se díky zvýšení důchodového věku žen a třem valorizacím </w:t>
      </w:r>
      <w:r>
        <w:rPr>
          <w:rStyle w:val="ui-provider"/>
          <w:i/>
        </w:rPr>
        <w:t xml:space="preserve">tato hodnota </w:t>
      </w:r>
      <w:r w:rsidRPr="000E7E04">
        <w:rPr>
          <w:rStyle w:val="ui-provider"/>
          <w:i/>
        </w:rPr>
        <w:t>vrátila na předcovidovou úroveň</w:t>
      </w:r>
      <w:r>
        <w:rPr>
          <w:rStyle w:val="ui-provider"/>
        </w:rPr>
        <w:t>,</w:t>
      </w:r>
      <w:r w:rsidRPr="00BD12E3">
        <w:rPr>
          <w:rFonts w:cs="Arial"/>
          <w:i/>
          <w:sz w:val="22"/>
        </w:rPr>
        <w:t xml:space="preserve">“ </w:t>
      </w:r>
      <w:r w:rsidRPr="004D5094">
        <w:rPr>
          <w:rFonts w:eastAsia="Times New Roman" w:cs="Arial"/>
          <w:szCs w:val="18"/>
          <w:lang w:eastAsia="cs-CZ"/>
        </w:rPr>
        <w:t>říká Helena Houžvičková</w:t>
      </w:r>
      <w:r>
        <w:rPr>
          <w:rFonts w:eastAsia="Times New Roman" w:cs="Arial"/>
          <w:szCs w:val="18"/>
          <w:lang w:eastAsia="cs-CZ"/>
        </w:rPr>
        <w:t xml:space="preserve">, </w:t>
      </w:r>
      <w:r w:rsidRPr="004D5094">
        <w:rPr>
          <w:rFonts w:eastAsia="Times New Roman" w:cs="Arial"/>
          <w:szCs w:val="18"/>
          <w:lang w:eastAsia="cs-CZ"/>
        </w:rPr>
        <w:t>ředitelka odboru vládních a finančních účtů</w:t>
      </w:r>
      <w:r>
        <w:rPr>
          <w:rFonts w:eastAsia="Times New Roman" w:cs="Arial"/>
          <w:szCs w:val="18"/>
          <w:lang w:eastAsia="cs-CZ"/>
        </w:rPr>
        <w:t xml:space="preserve"> ČSÚ</w:t>
      </w:r>
      <w:r>
        <w:rPr>
          <w:rFonts w:cs="Arial"/>
          <w:i/>
          <w:sz w:val="22"/>
        </w:rPr>
        <w:t>.</w:t>
      </w:r>
    </w:p>
    <w:p w14:paraId="2FA997FA" w14:textId="78A99371" w:rsidR="00F35615" w:rsidRPr="00D73A16" w:rsidRDefault="00F35615" w:rsidP="008051F8">
      <w:pPr>
        <w:rPr>
          <w:szCs w:val="20"/>
        </w:rPr>
      </w:pPr>
    </w:p>
    <w:p w14:paraId="67588D21" w14:textId="77777777" w:rsidR="008051F8" w:rsidRDefault="008051F8" w:rsidP="008051F8">
      <w:pPr>
        <w:rPr>
          <w:rFonts w:eastAsia="Times New Roman" w:cs="Arial"/>
          <w:szCs w:val="18"/>
          <w:lang w:eastAsia="cs-CZ"/>
        </w:rPr>
      </w:pPr>
      <w:r w:rsidRPr="00CB6DE1">
        <w:rPr>
          <w:rFonts w:eastAsia="Times New Roman" w:cs="Arial"/>
          <w:szCs w:val="18"/>
          <w:lang w:eastAsia="cs-CZ"/>
        </w:rPr>
        <w:t>V České republice vyplývají nároky domácností z prvního důchodového pilíře, tj. průběžného systému financování důchodů (dávkově definovaného důchodového pojištění) a</w:t>
      </w:r>
      <w:r>
        <w:rPr>
          <w:rFonts w:eastAsia="Times New Roman" w:cs="Arial"/>
          <w:szCs w:val="18"/>
          <w:lang w:eastAsia="cs-CZ"/>
        </w:rPr>
        <w:t xml:space="preserve"> dobrovolného</w:t>
      </w:r>
      <w:r w:rsidRPr="00CB6DE1">
        <w:rPr>
          <w:rFonts w:eastAsia="Times New Roman" w:cs="Arial"/>
          <w:szCs w:val="18"/>
          <w:lang w:eastAsia="cs-CZ"/>
        </w:rPr>
        <w:t xml:space="preserve"> třetího pilíře ve formě naspořených prostředků v penzijních fondech.</w:t>
      </w:r>
    </w:p>
    <w:p w14:paraId="4B2B0966" w14:textId="77777777" w:rsidR="008051F8" w:rsidRDefault="008051F8" w:rsidP="008051F8">
      <w:pPr>
        <w:rPr>
          <w:rFonts w:eastAsia="Times New Roman" w:cs="Arial"/>
          <w:szCs w:val="18"/>
          <w:lang w:eastAsia="cs-CZ"/>
        </w:rPr>
      </w:pPr>
    </w:p>
    <w:p w14:paraId="4D1462CC" w14:textId="77777777" w:rsidR="008051F8" w:rsidRDefault="008051F8" w:rsidP="008051F8">
      <w:pPr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 xml:space="preserve">Součástí </w:t>
      </w:r>
      <w:hyperlink r:id="rId10" w:history="1">
        <w:r w:rsidRPr="00CB6DE1">
          <w:rPr>
            <w:rStyle w:val="Hypertextovodkaz"/>
            <w:rFonts w:eastAsia="Times New Roman" w:cs="Arial"/>
            <w:szCs w:val="18"/>
            <w:lang w:eastAsia="cs-CZ"/>
          </w:rPr>
          <w:t>aktuální pub</w:t>
        </w:r>
        <w:r w:rsidRPr="00CB6DE1">
          <w:rPr>
            <w:rStyle w:val="Hypertextovodkaz"/>
            <w:rFonts w:eastAsia="Times New Roman" w:cs="Arial"/>
            <w:szCs w:val="18"/>
            <w:lang w:eastAsia="cs-CZ"/>
          </w:rPr>
          <w:t>l</w:t>
        </w:r>
        <w:r w:rsidRPr="00CB6DE1">
          <w:rPr>
            <w:rStyle w:val="Hypertextovodkaz"/>
            <w:rFonts w:eastAsia="Times New Roman" w:cs="Arial"/>
            <w:szCs w:val="18"/>
            <w:lang w:eastAsia="cs-CZ"/>
          </w:rPr>
          <w:t>ikace</w:t>
        </w:r>
      </w:hyperlink>
      <w:r w:rsidRPr="00CB6DE1">
        <w:rPr>
          <w:rFonts w:eastAsia="Times New Roman" w:cs="Arial"/>
          <w:szCs w:val="18"/>
          <w:lang w:eastAsia="cs-CZ"/>
        </w:rPr>
        <w:t xml:space="preserve"> </w:t>
      </w:r>
      <w:r>
        <w:rPr>
          <w:rFonts w:eastAsia="Times New Roman" w:cs="Arial"/>
          <w:szCs w:val="18"/>
          <w:lang w:eastAsia="cs-CZ"/>
        </w:rPr>
        <w:t>je v</w:t>
      </w:r>
      <w:r w:rsidRPr="00CB6DE1">
        <w:rPr>
          <w:rFonts w:eastAsia="Times New Roman" w:cs="Arial"/>
          <w:szCs w:val="18"/>
          <w:lang w:eastAsia="cs-CZ"/>
        </w:rPr>
        <w:t>edle metodických popisů</w:t>
      </w:r>
      <w:r>
        <w:rPr>
          <w:rFonts w:eastAsia="Times New Roman" w:cs="Arial"/>
          <w:szCs w:val="18"/>
          <w:lang w:eastAsia="cs-CZ"/>
        </w:rPr>
        <w:t xml:space="preserve"> a komentářů k publikovaným údajům</w:t>
      </w:r>
      <w:r w:rsidRPr="00CB6DE1">
        <w:rPr>
          <w:rFonts w:eastAsia="Times New Roman" w:cs="Arial"/>
          <w:szCs w:val="18"/>
          <w:lang w:eastAsia="cs-CZ"/>
        </w:rPr>
        <w:t xml:space="preserve"> také analýza citlivosti penzijních </w:t>
      </w:r>
      <w:r>
        <w:rPr>
          <w:rFonts w:eastAsia="Times New Roman" w:cs="Arial"/>
          <w:szCs w:val="18"/>
          <w:lang w:eastAsia="cs-CZ"/>
        </w:rPr>
        <w:t>nároků</w:t>
      </w:r>
      <w:r w:rsidRPr="00CB6DE1">
        <w:rPr>
          <w:rFonts w:eastAsia="Times New Roman" w:cs="Arial"/>
          <w:szCs w:val="18"/>
          <w:lang w:eastAsia="cs-CZ"/>
        </w:rPr>
        <w:t xml:space="preserve"> na výši aplikované úrokové sazby. Úroková sazba je v modelu využita pro diskontování budoucích nároků do současné hodnoty a má tak významný vliv na výsledek modelu</w:t>
      </w:r>
      <w:r>
        <w:rPr>
          <w:rFonts w:eastAsia="Times New Roman" w:cs="Arial"/>
          <w:szCs w:val="18"/>
          <w:lang w:eastAsia="cs-CZ"/>
        </w:rPr>
        <w:t>.</w:t>
      </w:r>
      <w:r w:rsidRPr="00093150">
        <w:t xml:space="preserve"> </w:t>
      </w:r>
      <w:r>
        <w:rPr>
          <w:rStyle w:val="ui-provider"/>
        </w:rPr>
        <w:t>Změny v penzijních nárocích za aktuálně publikované roky ukazují, že kromě ekonomických faktorů má na jejich výši také vliv širší sociální a demografický kontext</w:t>
      </w:r>
    </w:p>
    <w:p w14:paraId="221F16A9" w14:textId="77777777" w:rsidR="008051F8" w:rsidRDefault="008051F8" w:rsidP="008051F8">
      <w:pPr>
        <w:rPr>
          <w:rFonts w:eastAsia="Times New Roman" w:cs="Arial"/>
          <w:szCs w:val="18"/>
          <w:lang w:eastAsia="cs-CZ"/>
        </w:rPr>
      </w:pPr>
    </w:p>
    <w:p w14:paraId="1DB5101D" w14:textId="77777777" w:rsidR="008051F8" w:rsidRDefault="008051F8" w:rsidP="008051F8">
      <w:pPr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 xml:space="preserve">Stanovení hodnoty penzijních nároků </w:t>
      </w:r>
      <w:r w:rsidRPr="00CB6DE1">
        <w:rPr>
          <w:rFonts w:eastAsia="Times New Roman" w:cs="Arial"/>
          <w:szCs w:val="18"/>
          <w:lang w:eastAsia="cs-CZ"/>
        </w:rPr>
        <w:t>vycház</w:t>
      </w:r>
      <w:r>
        <w:rPr>
          <w:rFonts w:eastAsia="Times New Roman" w:cs="Arial"/>
          <w:szCs w:val="18"/>
          <w:lang w:eastAsia="cs-CZ"/>
        </w:rPr>
        <w:t>í</w:t>
      </w:r>
      <w:r w:rsidRPr="00CB6DE1">
        <w:rPr>
          <w:rFonts w:eastAsia="Times New Roman" w:cs="Arial"/>
          <w:szCs w:val="18"/>
          <w:lang w:eastAsia="cs-CZ"/>
        </w:rPr>
        <w:t xml:space="preserve"> z </w:t>
      </w:r>
      <w:r>
        <w:rPr>
          <w:rFonts w:eastAsia="Times New Roman" w:cs="Arial"/>
          <w:szCs w:val="18"/>
          <w:lang w:eastAsia="cs-CZ"/>
        </w:rPr>
        <w:t>manuálu</w:t>
      </w:r>
      <w:r w:rsidRPr="00CB6DE1">
        <w:rPr>
          <w:rFonts w:eastAsia="Times New Roman" w:cs="Arial"/>
          <w:szCs w:val="18"/>
          <w:lang w:eastAsia="cs-CZ"/>
        </w:rPr>
        <w:t xml:space="preserve"> Technical Compilation Guide for Pension Data in National Accounts, vydané</w:t>
      </w:r>
      <w:r>
        <w:rPr>
          <w:rFonts w:eastAsia="Times New Roman" w:cs="Arial"/>
          <w:szCs w:val="18"/>
          <w:lang w:eastAsia="cs-CZ"/>
        </w:rPr>
        <w:t>ho</w:t>
      </w:r>
      <w:r w:rsidRPr="00CB6DE1">
        <w:rPr>
          <w:rFonts w:eastAsia="Times New Roman" w:cs="Arial"/>
          <w:szCs w:val="18"/>
          <w:lang w:eastAsia="cs-CZ"/>
        </w:rPr>
        <w:t xml:space="preserve"> roku 2020 Eurostatem. Dle Transmisního programu Eurostatu jsou členské státy povinny </w:t>
      </w:r>
      <w:r>
        <w:rPr>
          <w:rFonts w:eastAsia="Times New Roman" w:cs="Arial"/>
          <w:szCs w:val="18"/>
          <w:lang w:eastAsia="cs-CZ"/>
        </w:rPr>
        <w:t xml:space="preserve">zveřejňovat tato data </w:t>
      </w:r>
      <w:r w:rsidRPr="00CB6DE1">
        <w:rPr>
          <w:rFonts w:eastAsia="Times New Roman" w:cs="Arial"/>
          <w:szCs w:val="18"/>
          <w:lang w:eastAsia="cs-CZ"/>
        </w:rPr>
        <w:t>v tříleté periodicitě.</w:t>
      </w:r>
      <w:r>
        <w:rPr>
          <w:rFonts w:eastAsia="Times New Roman" w:cs="Arial"/>
          <w:szCs w:val="18"/>
          <w:lang w:eastAsia="cs-CZ"/>
        </w:rPr>
        <w:t xml:space="preserve"> V mezidobí jsou údaje publikovány na dobrovolné bázi. ČSÚ aktuálně publikuje data za rok 2022 a 2021.</w:t>
      </w:r>
    </w:p>
    <w:p w14:paraId="4637DD49" w14:textId="77777777" w:rsidR="008051F8" w:rsidRDefault="008051F8" w:rsidP="008051F8">
      <w:pPr>
        <w:rPr>
          <w:rFonts w:eastAsia="Times New Roman" w:cs="Arial"/>
          <w:szCs w:val="18"/>
          <w:lang w:eastAsia="cs-CZ"/>
        </w:rPr>
      </w:pPr>
    </w:p>
    <w:p w14:paraId="68310E90" w14:textId="77777777" w:rsidR="008051F8" w:rsidRPr="00CB6DE1" w:rsidRDefault="008051F8" w:rsidP="008051F8">
      <w:pPr>
        <w:rPr>
          <w:rFonts w:eastAsia="Times New Roman" w:cs="Arial"/>
          <w:szCs w:val="18"/>
          <w:lang w:eastAsia="cs-CZ"/>
        </w:rPr>
      </w:pPr>
      <w:r w:rsidRPr="00CB6DE1">
        <w:rPr>
          <w:rFonts w:eastAsia="Times New Roman" w:cs="Arial"/>
          <w:szCs w:val="18"/>
          <w:lang w:eastAsia="cs-CZ"/>
        </w:rPr>
        <w:t>V souladu s metodikou není hodnota penzijních nároků z průběžného systému financování důchodů (1. pilíř) součástí dluhu sektoru vládních institucí (tzv. maastrichtské kritérium).</w:t>
      </w:r>
    </w:p>
    <w:p w14:paraId="77D194D3" w14:textId="0B74EA29" w:rsidR="007B1333" w:rsidRDefault="007B1333" w:rsidP="00AE6D5B">
      <w:pPr>
        <w:rPr>
          <w:b/>
        </w:rPr>
      </w:pPr>
    </w:p>
    <w:p w14:paraId="1239715C" w14:textId="77777777" w:rsidR="00D45B31" w:rsidRPr="006314D3" w:rsidRDefault="00D45B31" w:rsidP="00D45B31">
      <w:pPr>
        <w:rPr>
          <w:b/>
        </w:rPr>
      </w:pPr>
      <w:r w:rsidRPr="006314D3">
        <w:rPr>
          <w:b/>
        </w:rPr>
        <w:t>Kontakt:</w:t>
      </w:r>
    </w:p>
    <w:p w14:paraId="40BE7E95" w14:textId="77777777" w:rsidR="00D45B31" w:rsidRDefault="00D45B31" w:rsidP="00D45B31">
      <w:pPr>
        <w:rPr>
          <w:rFonts w:cs="Arial"/>
        </w:rPr>
      </w:pPr>
      <w:r w:rsidRPr="006314D3">
        <w:rPr>
          <w:rFonts w:cs="Arial"/>
        </w:rPr>
        <w:t>Jan Cieslar</w:t>
      </w:r>
    </w:p>
    <w:p w14:paraId="670B01C1" w14:textId="77777777" w:rsidR="00D45B31" w:rsidRDefault="00D45B31" w:rsidP="00D45B31">
      <w:pPr>
        <w:rPr>
          <w:rFonts w:cs="Arial"/>
        </w:rPr>
      </w:pPr>
      <w:r>
        <w:rPr>
          <w:rFonts w:cs="Arial"/>
        </w:rPr>
        <w:t>tiskový mluvčí ČSÚ</w:t>
      </w:r>
    </w:p>
    <w:p w14:paraId="2C4F2AF9" w14:textId="77777777" w:rsidR="00D45B31" w:rsidRDefault="00D45B31" w:rsidP="00D45B31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4304E79" w14:textId="77777777" w:rsidR="00D45B31" w:rsidRDefault="00D45B31" w:rsidP="00D45B31">
      <w:pPr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13E26"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p w14:paraId="439BD77F" w14:textId="3907537B" w:rsidR="00024A74" w:rsidRDefault="00024A74" w:rsidP="006D10A0">
      <w:pPr>
        <w:rPr>
          <w:rStyle w:val="jlqj4b"/>
          <w:rFonts w:cs="Arial"/>
          <w:color w:val="000000" w:themeColor="text1"/>
          <w:szCs w:val="20"/>
        </w:rPr>
      </w:pPr>
    </w:p>
    <w:p w14:paraId="45067EF0" w14:textId="522AF177" w:rsidR="00024A74" w:rsidRPr="004920AD" w:rsidRDefault="00024A74" w:rsidP="00024A74"/>
    <w:sectPr w:rsidR="00024A74" w:rsidRPr="004920AD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1599" w14:textId="77777777" w:rsidR="00FA5600" w:rsidRDefault="00FA5600" w:rsidP="00BA6370">
      <w:r>
        <w:separator/>
      </w:r>
    </w:p>
  </w:endnote>
  <w:endnote w:type="continuationSeparator" w:id="0">
    <w:p w14:paraId="567C39E7" w14:textId="77777777" w:rsidR="00FA5600" w:rsidRDefault="00FA56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559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90D8D" wp14:editId="0BF9BFE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BFF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FE7AC0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5C0B308" w14:textId="765BBC6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A560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0D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903BFF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FE7AC0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5C0B308" w14:textId="765BBC6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A560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743C70E" wp14:editId="4E38182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B5B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4BA7B" w14:textId="77777777" w:rsidR="00FA5600" w:rsidRDefault="00FA5600" w:rsidP="00BA6370">
      <w:r>
        <w:separator/>
      </w:r>
    </w:p>
  </w:footnote>
  <w:footnote w:type="continuationSeparator" w:id="0">
    <w:p w14:paraId="1C4AD0AF" w14:textId="77777777" w:rsidR="00FA5600" w:rsidRDefault="00FA56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41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DA4356" wp14:editId="3855E46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227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146F7"/>
    <w:rsid w:val="00024A74"/>
    <w:rsid w:val="00043BF4"/>
    <w:rsid w:val="0006132C"/>
    <w:rsid w:val="000842D2"/>
    <w:rsid w:val="000843A5"/>
    <w:rsid w:val="000B5C47"/>
    <w:rsid w:val="000B6201"/>
    <w:rsid w:val="000B6F63"/>
    <w:rsid w:val="000C0AD6"/>
    <w:rsid w:val="000C435D"/>
    <w:rsid w:val="000C51C7"/>
    <w:rsid w:val="000E0855"/>
    <w:rsid w:val="000F2A9C"/>
    <w:rsid w:val="000F726E"/>
    <w:rsid w:val="00102FF2"/>
    <w:rsid w:val="00113AB7"/>
    <w:rsid w:val="001222D6"/>
    <w:rsid w:val="001404AB"/>
    <w:rsid w:val="00146745"/>
    <w:rsid w:val="0014674F"/>
    <w:rsid w:val="001658A9"/>
    <w:rsid w:val="0017231D"/>
    <w:rsid w:val="001776E2"/>
    <w:rsid w:val="00177AE6"/>
    <w:rsid w:val="001810DC"/>
    <w:rsid w:val="00183C7E"/>
    <w:rsid w:val="00194333"/>
    <w:rsid w:val="001A214A"/>
    <w:rsid w:val="001A3256"/>
    <w:rsid w:val="001A59BF"/>
    <w:rsid w:val="001B607F"/>
    <w:rsid w:val="001D369A"/>
    <w:rsid w:val="002070FB"/>
    <w:rsid w:val="00213729"/>
    <w:rsid w:val="0022626E"/>
    <w:rsid w:val="002272A6"/>
    <w:rsid w:val="002406FA"/>
    <w:rsid w:val="002460EA"/>
    <w:rsid w:val="00266A24"/>
    <w:rsid w:val="00270109"/>
    <w:rsid w:val="00281FE1"/>
    <w:rsid w:val="00283CE6"/>
    <w:rsid w:val="002848DA"/>
    <w:rsid w:val="002A1259"/>
    <w:rsid w:val="002B2E47"/>
    <w:rsid w:val="002D028D"/>
    <w:rsid w:val="002D6A6C"/>
    <w:rsid w:val="002E2811"/>
    <w:rsid w:val="002E7402"/>
    <w:rsid w:val="002F0D92"/>
    <w:rsid w:val="002F2633"/>
    <w:rsid w:val="00322412"/>
    <w:rsid w:val="003301A3"/>
    <w:rsid w:val="0035578A"/>
    <w:rsid w:val="0036777B"/>
    <w:rsid w:val="00374ABB"/>
    <w:rsid w:val="00375315"/>
    <w:rsid w:val="0038282A"/>
    <w:rsid w:val="003939FF"/>
    <w:rsid w:val="00397580"/>
    <w:rsid w:val="003A1794"/>
    <w:rsid w:val="003A45C8"/>
    <w:rsid w:val="003B5855"/>
    <w:rsid w:val="003C2DCF"/>
    <w:rsid w:val="003C7FE7"/>
    <w:rsid w:val="003D02AA"/>
    <w:rsid w:val="003D0499"/>
    <w:rsid w:val="003F526A"/>
    <w:rsid w:val="00405244"/>
    <w:rsid w:val="00413A9D"/>
    <w:rsid w:val="00414656"/>
    <w:rsid w:val="004436EE"/>
    <w:rsid w:val="00446057"/>
    <w:rsid w:val="0045547F"/>
    <w:rsid w:val="00461659"/>
    <w:rsid w:val="004628BC"/>
    <w:rsid w:val="00466F06"/>
    <w:rsid w:val="004920AD"/>
    <w:rsid w:val="004A1D85"/>
    <w:rsid w:val="004D05B3"/>
    <w:rsid w:val="004D4CC5"/>
    <w:rsid w:val="004D6E70"/>
    <w:rsid w:val="004E479E"/>
    <w:rsid w:val="004E583B"/>
    <w:rsid w:val="004F78E6"/>
    <w:rsid w:val="00512D99"/>
    <w:rsid w:val="005204E2"/>
    <w:rsid w:val="00531DBB"/>
    <w:rsid w:val="00581C48"/>
    <w:rsid w:val="00593663"/>
    <w:rsid w:val="005E25F8"/>
    <w:rsid w:val="005E589C"/>
    <w:rsid w:val="005F699D"/>
    <w:rsid w:val="005F79FB"/>
    <w:rsid w:val="0060126A"/>
    <w:rsid w:val="00604406"/>
    <w:rsid w:val="00605F4A"/>
    <w:rsid w:val="00607822"/>
    <w:rsid w:val="006103AA"/>
    <w:rsid w:val="006113AB"/>
    <w:rsid w:val="00613BBF"/>
    <w:rsid w:val="00617321"/>
    <w:rsid w:val="00622B80"/>
    <w:rsid w:val="006341E5"/>
    <w:rsid w:val="0064139A"/>
    <w:rsid w:val="00675330"/>
    <w:rsid w:val="00675D16"/>
    <w:rsid w:val="006A40DC"/>
    <w:rsid w:val="006D10A0"/>
    <w:rsid w:val="006E024F"/>
    <w:rsid w:val="006E4E81"/>
    <w:rsid w:val="006F0A8A"/>
    <w:rsid w:val="006F5FB8"/>
    <w:rsid w:val="00707F7D"/>
    <w:rsid w:val="00717EC5"/>
    <w:rsid w:val="00727525"/>
    <w:rsid w:val="00734C7B"/>
    <w:rsid w:val="00737B80"/>
    <w:rsid w:val="00752101"/>
    <w:rsid w:val="0076592F"/>
    <w:rsid w:val="00777641"/>
    <w:rsid w:val="0079182B"/>
    <w:rsid w:val="00792E53"/>
    <w:rsid w:val="007A57F2"/>
    <w:rsid w:val="007B1333"/>
    <w:rsid w:val="007D3DB9"/>
    <w:rsid w:val="007D4442"/>
    <w:rsid w:val="007F4AEB"/>
    <w:rsid w:val="007F75B2"/>
    <w:rsid w:val="008043C4"/>
    <w:rsid w:val="008051F8"/>
    <w:rsid w:val="008279D6"/>
    <w:rsid w:val="00831B1B"/>
    <w:rsid w:val="00861D0E"/>
    <w:rsid w:val="00862A06"/>
    <w:rsid w:val="00867010"/>
    <w:rsid w:val="00867569"/>
    <w:rsid w:val="00875CC2"/>
    <w:rsid w:val="008A63C5"/>
    <w:rsid w:val="008A750A"/>
    <w:rsid w:val="008C384C"/>
    <w:rsid w:val="008C7AF4"/>
    <w:rsid w:val="008D0F11"/>
    <w:rsid w:val="008F35B4"/>
    <w:rsid w:val="008F73B4"/>
    <w:rsid w:val="009058FC"/>
    <w:rsid w:val="0093178F"/>
    <w:rsid w:val="0094402F"/>
    <w:rsid w:val="009668FF"/>
    <w:rsid w:val="009754B4"/>
    <w:rsid w:val="009770F6"/>
    <w:rsid w:val="00993EA0"/>
    <w:rsid w:val="00996D94"/>
    <w:rsid w:val="009B55B1"/>
    <w:rsid w:val="009C731B"/>
    <w:rsid w:val="009F05A0"/>
    <w:rsid w:val="00A00672"/>
    <w:rsid w:val="00A31849"/>
    <w:rsid w:val="00A32334"/>
    <w:rsid w:val="00A365FE"/>
    <w:rsid w:val="00A4343D"/>
    <w:rsid w:val="00A502F1"/>
    <w:rsid w:val="00A54B63"/>
    <w:rsid w:val="00A56C12"/>
    <w:rsid w:val="00A5755E"/>
    <w:rsid w:val="00A61B9B"/>
    <w:rsid w:val="00A70A83"/>
    <w:rsid w:val="00A81EB3"/>
    <w:rsid w:val="00A842CF"/>
    <w:rsid w:val="00AC75CB"/>
    <w:rsid w:val="00AC7F7A"/>
    <w:rsid w:val="00AE1B41"/>
    <w:rsid w:val="00AE6D5B"/>
    <w:rsid w:val="00B00C1D"/>
    <w:rsid w:val="00B0361F"/>
    <w:rsid w:val="00B03E21"/>
    <w:rsid w:val="00B565EB"/>
    <w:rsid w:val="00BA439F"/>
    <w:rsid w:val="00BA6370"/>
    <w:rsid w:val="00BA6B6E"/>
    <w:rsid w:val="00BF1BE7"/>
    <w:rsid w:val="00C05F6C"/>
    <w:rsid w:val="00C269D4"/>
    <w:rsid w:val="00C37F74"/>
    <w:rsid w:val="00C4160D"/>
    <w:rsid w:val="00C5001E"/>
    <w:rsid w:val="00C52466"/>
    <w:rsid w:val="00C60B4D"/>
    <w:rsid w:val="00C65DDE"/>
    <w:rsid w:val="00C65E54"/>
    <w:rsid w:val="00C71BED"/>
    <w:rsid w:val="00C8124A"/>
    <w:rsid w:val="00C82BAD"/>
    <w:rsid w:val="00C8406E"/>
    <w:rsid w:val="00C91CAB"/>
    <w:rsid w:val="00CB2709"/>
    <w:rsid w:val="00CB6F89"/>
    <w:rsid w:val="00CC5D50"/>
    <w:rsid w:val="00CD4431"/>
    <w:rsid w:val="00CE228C"/>
    <w:rsid w:val="00CF545B"/>
    <w:rsid w:val="00D018F0"/>
    <w:rsid w:val="00D27074"/>
    <w:rsid w:val="00D27D69"/>
    <w:rsid w:val="00D448C2"/>
    <w:rsid w:val="00D45AA3"/>
    <w:rsid w:val="00D45B31"/>
    <w:rsid w:val="00D45BFD"/>
    <w:rsid w:val="00D6002E"/>
    <w:rsid w:val="00D666C3"/>
    <w:rsid w:val="00D73A16"/>
    <w:rsid w:val="00D879C8"/>
    <w:rsid w:val="00DB3587"/>
    <w:rsid w:val="00DC0C40"/>
    <w:rsid w:val="00DC0D7B"/>
    <w:rsid w:val="00DC1078"/>
    <w:rsid w:val="00DE06ED"/>
    <w:rsid w:val="00DE3A99"/>
    <w:rsid w:val="00DF47FE"/>
    <w:rsid w:val="00E11027"/>
    <w:rsid w:val="00E15790"/>
    <w:rsid w:val="00E2374E"/>
    <w:rsid w:val="00E26704"/>
    <w:rsid w:val="00E27C40"/>
    <w:rsid w:val="00E31980"/>
    <w:rsid w:val="00E57646"/>
    <w:rsid w:val="00E6423C"/>
    <w:rsid w:val="00E64AAA"/>
    <w:rsid w:val="00E81A3C"/>
    <w:rsid w:val="00E82FC7"/>
    <w:rsid w:val="00E93830"/>
    <w:rsid w:val="00E93E0E"/>
    <w:rsid w:val="00EA7349"/>
    <w:rsid w:val="00EB004C"/>
    <w:rsid w:val="00EB1ED3"/>
    <w:rsid w:val="00EC0A80"/>
    <w:rsid w:val="00EC111D"/>
    <w:rsid w:val="00EC2D51"/>
    <w:rsid w:val="00ED7AEF"/>
    <w:rsid w:val="00EE7FA5"/>
    <w:rsid w:val="00F26395"/>
    <w:rsid w:val="00F35615"/>
    <w:rsid w:val="00F46D88"/>
    <w:rsid w:val="00F46F18"/>
    <w:rsid w:val="00F54600"/>
    <w:rsid w:val="00F60C08"/>
    <w:rsid w:val="00F83E7F"/>
    <w:rsid w:val="00F95652"/>
    <w:rsid w:val="00FA5600"/>
    <w:rsid w:val="00FB005B"/>
    <w:rsid w:val="00FB687C"/>
    <w:rsid w:val="00FC58CB"/>
    <w:rsid w:val="00FD61A9"/>
    <w:rsid w:val="00FE0F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963D5E"/>
  <w15:docId w15:val="{C0C92B42-069D-45BD-B009-62A046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FD61A9"/>
  </w:style>
  <w:style w:type="paragraph" w:styleId="Seznam">
    <w:name w:val="List"/>
    <w:basedOn w:val="Normln"/>
    <w:uiPriority w:val="99"/>
    <w:unhideWhenUsed/>
    <w:qFormat/>
    <w:rsid w:val="00FD61A9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1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1D"/>
    <w:rPr>
      <w:rFonts w:ascii="Arial" w:hAnsi="Arial"/>
      <w:b/>
      <w:bCs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633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A6B6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F1BE7"/>
    <w:rPr>
      <w:rFonts w:ascii="Arial" w:hAnsi="Arial"/>
      <w:szCs w:val="22"/>
      <w:lang w:eastAsia="en-US"/>
    </w:rPr>
  </w:style>
  <w:style w:type="character" w:customStyle="1" w:styleId="jlqj4b">
    <w:name w:val="jlqj4b"/>
    <w:basedOn w:val="Standardnpsmoodstavce"/>
    <w:rsid w:val="006D10A0"/>
  </w:style>
  <w:style w:type="character" w:customStyle="1" w:styleId="ui-provider">
    <w:name w:val="ui-provider"/>
    <w:basedOn w:val="Standardnpsmoodstavce"/>
    <w:rsid w:val="0080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l.czso.cz/pll/rocenka/rocenkaout.pension_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54a9b-48f0-4027-84a6-b753b7361b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9F2DB7AEC6647A8C955557DF8632E" ma:contentTypeVersion="11" ma:contentTypeDescription="Vytvoří nový dokument" ma:contentTypeScope="" ma:versionID="2e294472c64c1acf144e3c1f4319ecf4">
  <xsd:schema xmlns:xsd="http://www.w3.org/2001/XMLSchema" xmlns:xs="http://www.w3.org/2001/XMLSchema" xmlns:p="http://schemas.microsoft.com/office/2006/metadata/properties" xmlns:ns3="a54ffe45-0905-4298-9ac1-24bf84dddb4f" xmlns:ns4="58154a9b-48f0-4027-84a6-b753b7361b43" targetNamespace="http://schemas.microsoft.com/office/2006/metadata/properties" ma:root="true" ma:fieldsID="1107ba7165bd0034f1dfb04a9beaf750" ns3:_="" ns4:_="">
    <xsd:import namespace="a54ffe45-0905-4298-9ac1-24bf84dddb4f"/>
    <xsd:import namespace="58154a9b-48f0-4027-84a6-b753b7361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fe45-0905-4298-9ac1-24bf84dd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4a9b-48f0-4027-84a6-b753b7361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A8FF-DA56-46FB-80CF-512A38969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4100A-70DB-429B-8144-02C8743FCE44}">
  <ds:schemaRefs>
    <ds:schemaRef ds:uri="http://schemas.microsoft.com/office/2006/metadata/properties"/>
    <ds:schemaRef ds:uri="http://schemas.microsoft.com/office/infopath/2007/PartnerControls"/>
    <ds:schemaRef ds:uri="58154a9b-48f0-4027-84a6-b753b7361b43"/>
  </ds:schemaRefs>
</ds:datastoreItem>
</file>

<file path=customXml/itemProps3.xml><?xml version="1.0" encoding="utf-8"?>
<ds:datastoreItem xmlns:ds="http://schemas.openxmlformats.org/officeDocument/2006/customXml" ds:itemID="{E8F1916C-CC7D-488F-83C4-20066ADA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fe45-0905-4298-9ac1-24bf84dddb4f"/>
    <ds:schemaRef ds:uri="58154a9b-48f0-4027-84a6-b753b7361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CB05F-3C6F-493F-A5A8-34E25679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CZ_2022-02-08(1).dotx</Template>
  <TotalTime>1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Podíl penzijních nároků na HDP se vrátil na předcovidovou úroveň</vt:lpstr>
    </vt:vector>
  </TitlesOfParts>
  <Company>ČSÚ</Company>
  <LinksUpToDate>false</LinksUpToDate>
  <CharactersWithSpaces>2049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Hykyšová Alena</dc:creator>
  <cp:lastModifiedBy>Cieslar Jan</cp:lastModifiedBy>
  <cp:revision>3</cp:revision>
  <cp:lastPrinted>2024-01-30T05:41:00Z</cp:lastPrinted>
  <dcterms:created xsi:type="dcterms:W3CDTF">2024-02-14T13:57:00Z</dcterms:created>
  <dcterms:modified xsi:type="dcterms:W3CDTF">2024-02-14T13:57:00Z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0x01010004D9F2DB7AEC6647A8C955557DF8632E</vt:lpwstr>
  </property>
</Properties>
</file>