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B5" w:rsidRPr="00581FB5" w:rsidRDefault="00BF1EB5" w:rsidP="00246136">
      <w:pPr>
        <w:rPr>
          <w:rFonts w:ascii="Times New Roman" w:hAnsi="Times New Roman"/>
          <w:b/>
          <w:sz w:val="28"/>
          <w:szCs w:val="28"/>
          <w:lang w:val="en-GB"/>
        </w:rPr>
      </w:pPr>
      <w:r w:rsidRPr="00581FB5">
        <w:rPr>
          <w:rFonts w:ascii="Times New Roman" w:hAnsi="Times New Roman"/>
          <w:b/>
          <w:sz w:val="28"/>
          <w:szCs w:val="28"/>
          <w:lang w:val="en-GB"/>
        </w:rPr>
        <w:t>Standard revision of the calculation of price indices of market services</w:t>
      </w:r>
    </w:p>
    <w:p w:rsidR="00581FB5" w:rsidRDefault="00547BCA" w:rsidP="0024613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17720">
        <w:rPr>
          <w:rFonts w:ascii="Times New Roman" w:hAnsi="Times New Roman"/>
          <w:sz w:val="24"/>
          <w:szCs w:val="24"/>
          <w:lang w:val="en-GB"/>
        </w:rPr>
        <w:t xml:space="preserve">The purpose of revision </w:t>
      </w:r>
      <w:r w:rsidR="00C52EDD" w:rsidRPr="00F17720">
        <w:rPr>
          <w:rFonts w:ascii="Times New Roman" w:hAnsi="Times New Roman"/>
          <w:sz w:val="24"/>
          <w:szCs w:val="24"/>
          <w:lang w:val="en-GB"/>
        </w:rPr>
        <w:t xml:space="preserve">is updating of </w:t>
      </w:r>
      <w:r w:rsidR="002C7D58" w:rsidRPr="00F17720">
        <w:rPr>
          <w:rFonts w:ascii="Times New Roman" w:hAnsi="Times New Roman"/>
          <w:sz w:val="24"/>
          <w:szCs w:val="24"/>
          <w:lang w:val="en-GB"/>
        </w:rPr>
        <w:t xml:space="preserve">the system of price indices </w:t>
      </w:r>
      <w:r w:rsidR="00027DB0" w:rsidRPr="00F17720">
        <w:rPr>
          <w:rFonts w:ascii="Times New Roman" w:hAnsi="Times New Roman"/>
          <w:sz w:val="24"/>
          <w:szCs w:val="24"/>
          <w:lang w:val="en-GB"/>
        </w:rPr>
        <w:t xml:space="preserve">especially due to accumulated changes </w:t>
      </w:r>
      <w:r w:rsidR="00280F5B" w:rsidRPr="00F17720">
        <w:rPr>
          <w:rFonts w:ascii="Times New Roman" w:hAnsi="Times New Roman"/>
          <w:sz w:val="24"/>
          <w:szCs w:val="24"/>
          <w:lang w:val="en-GB"/>
        </w:rPr>
        <w:t xml:space="preserve">in real described section. </w:t>
      </w:r>
      <w:r w:rsidR="00BB377B" w:rsidRPr="00F17720">
        <w:rPr>
          <w:rFonts w:ascii="Times New Roman" w:hAnsi="Times New Roman"/>
          <w:sz w:val="24"/>
          <w:szCs w:val="24"/>
          <w:lang w:val="en-GB"/>
        </w:rPr>
        <w:t xml:space="preserve">This updating </w:t>
      </w:r>
      <w:r w:rsidR="00225D8F" w:rsidRPr="00F17720">
        <w:rPr>
          <w:rFonts w:ascii="Times New Roman" w:hAnsi="Times New Roman"/>
          <w:sz w:val="24"/>
          <w:szCs w:val="24"/>
          <w:lang w:val="en-GB"/>
        </w:rPr>
        <w:t>is focus on selected files of the representatives and reporting units, weight structure, price base and the concept of calculation.</w:t>
      </w:r>
      <w:r w:rsidR="002632BB" w:rsidRPr="00F17720">
        <w:rPr>
          <w:rFonts w:ascii="Times New Roman" w:hAnsi="Times New Roman"/>
          <w:sz w:val="24"/>
          <w:szCs w:val="24"/>
          <w:lang w:val="en-GB"/>
        </w:rPr>
        <w:t xml:space="preserve"> Revision of price indices of m</w:t>
      </w:r>
      <w:r w:rsidR="00FC5EF0">
        <w:rPr>
          <w:rFonts w:ascii="Times New Roman" w:hAnsi="Times New Roman"/>
          <w:sz w:val="24"/>
          <w:szCs w:val="24"/>
          <w:lang w:val="en-GB"/>
        </w:rPr>
        <w:t xml:space="preserve">arket services is doing every 5 </w:t>
      </w:r>
      <w:r w:rsidR="002632BB" w:rsidRPr="00F17720">
        <w:rPr>
          <w:rFonts w:ascii="Times New Roman" w:hAnsi="Times New Roman"/>
          <w:sz w:val="24"/>
          <w:szCs w:val="24"/>
          <w:lang w:val="en-GB"/>
        </w:rPr>
        <w:t>years.</w:t>
      </w:r>
    </w:p>
    <w:p w:rsidR="008F39F7" w:rsidRPr="002C6CF8" w:rsidRDefault="00C52EDD" w:rsidP="00246136">
      <w:pPr>
        <w:spacing w:after="0"/>
        <w:jc w:val="both"/>
        <w:rPr>
          <w:lang w:val="en-GB"/>
        </w:rPr>
      </w:pPr>
      <w:r>
        <w:br/>
      </w:r>
      <w:r w:rsidR="0076361D">
        <w:rPr>
          <w:rFonts w:ascii="Times New Roman" w:hAnsi="Times New Roman"/>
          <w:sz w:val="24"/>
          <w:szCs w:val="24"/>
          <w:lang w:val="en-GB"/>
        </w:rPr>
        <w:t>During the year 2017</w:t>
      </w:r>
      <w:r w:rsidRPr="002C6CF8">
        <w:rPr>
          <w:rFonts w:ascii="Times New Roman" w:hAnsi="Times New Roman"/>
          <w:sz w:val="24"/>
          <w:szCs w:val="24"/>
          <w:lang w:val="en-GB"/>
        </w:rPr>
        <w:t xml:space="preserve"> a complex standard revision of price indices </w:t>
      </w:r>
      <w:r w:rsidR="00E62AFF" w:rsidRPr="002C6CF8">
        <w:rPr>
          <w:rFonts w:ascii="Times New Roman" w:hAnsi="Times New Roman"/>
          <w:sz w:val="24"/>
          <w:szCs w:val="24"/>
          <w:lang w:val="en-GB"/>
        </w:rPr>
        <w:t xml:space="preserve">in market services </w:t>
      </w:r>
      <w:r w:rsidRPr="002C6CF8">
        <w:rPr>
          <w:rFonts w:ascii="Times New Roman" w:hAnsi="Times New Roman"/>
          <w:sz w:val="24"/>
          <w:szCs w:val="24"/>
          <w:lang w:val="en-GB"/>
        </w:rPr>
        <w:t>had ta</w:t>
      </w:r>
      <w:r w:rsidR="00064DF9" w:rsidRPr="002C6CF8">
        <w:rPr>
          <w:rFonts w:ascii="Times New Roman" w:hAnsi="Times New Roman"/>
          <w:sz w:val="24"/>
          <w:szCs w:val="24"/>
          <w:lang w:val="en-GB"/>
        </w:rPr>
        <w:t>ken place</w:t>
      </w:r>
      <w:r w:rsidR="00E4769E">
        <w:rPr>
          <w:rFonts w:ascii="Times New Roman" w:hAnsi="Times New Roman"/>
          <w:sz w:val="24"/>
          <w:szCs w:val="24"/>
          <w:lang w:val="en-GB"/>
        </w:rPr>
        <w:t>. Since January 2018</w:t>
      </w:r>
      <w:r w:rsidRPr="002C6CF8">
        <w:rPr>
          <w:rFonts w:ascii="Times New Roman" w:hAnsi="Times New Roman"/>
          <w:sz w:val="24"/>
          <w:szCs w:val="24"/>
          <w:lang w:val="en-GB"/>
        </w:rPr>
        <w:t xml:space="preserve"> was started the calc</w:t>
      </w:r>
      <w:r w:rsidR="00E4769E">
        <w:rPr>
          <w:rFonts w:ascii="Times New Roman" w:hAnsi="Times New Roman"/>
          <w:sz w:val="24"/>
          <w:szCs w:val="24"/>
          <w:lang w:val="en-GB"/>
        </w:rPr>
        <w:t>ulation on the structure of 2015</w:t>
      </w:r>
      <w:r w:rsidRPr="002C6CF8">
        <w:rPr>
          <w:rFonts w:ascii="Times New Roman" w:hAnsi="Times New Roman"/>
          <w:sz w:val="24"/>
          <w:szCs w:val="24"/>
          <w:lang w:val="en-GB"/>
        </w:rPr>
        <w:t xml:space="preserve"> sales w</w:t>
      </w:r>
      <w:r w:rsidR="00064DF9" w:rsidRPr="002C6CF8">
        <w:rPr>
          <w:rFonts w:ascii="Times New Roman" w:hAnsi="Times New Roman"/>
          <w:sz w:val="24"/>
          <w:szCs w:val="24"/>
          <w:lang w:val="en-GB"/>
        </w:rPr>
        <w:t>ith the</w:t>
      </w:r>
      <w:r w:rsidR="00E4769E">
        <w:rPr>
          <w:rFonts w:ascii="Times New Roman" w:hAnsi="Times New Roman"/>
          <w:sz w:val="24"/>
          <w:szCs w:val="24"/>
          <w:lang w:val="en-GB"/>
        </w:rPr>
        <w:t xml:space="preserve"> new</w:t>
      </w:r>
      <w:r w:rsidR="00912AA7">
        <w:rPr>
          <w:rFonts w:ascii="Times New Roman" w:hAnsi="Times New Roman"/>
          <w:sz w:val="24"/>
          <w:szCs w:val="24"/>
          <w:lang w:val="en-GB"/>
        </w:rPr>
        <w:t xml:space="preserve"> price base </w:t>
      </w:r>
      <w:r w:rsidR="006D6504">
        <w:rPr>
          <w:rFonts w:ascii="Times New Roman" w:hAnsi="Times New Roman"/>
          <w:sz w:val="24"/>
          <w:szCs w:val="24"/>
          <w:lang w:val="en-US"/>
        </w:rPr>
        <w:t>“</w:t>
      </w:r>
      <w:r w:rsidR="00912AA7" w:rsidRPr="00805D45">
        <w:rPr>
          <w:rFonts w:ascii="Times New Roman" w:hAnsi="Times New Roman"/>
          <w:sz w:val="24"/>
          <w:szCs w:val="24"/>
          <w:lang w:val="en-GB"/>
        </w:rPr>
        <w:t>average 2015</w:t>
      </w:r>
      <w:r w:rsidRPr="00805D45">
        <w:rPr>
          <w:rFonts w:ascii="Times New Roman" w:hAnsi="Times New Roman"/>
          <w:sz w:val="24"/>
          <w:szCs w:val="24"/>
          <w:lang w:val="en-GB"/>
        </w:rPr>
        <w:t xml:space="preserve"> = 100</w:t>
      </w:r>
      <w:r w:rsidR="006D6504">
        <w:rPr>
          <w:rFonts w:ascii="Times New Roman" w:hAnsi="Times New Roman"/>
          <w:sz w:val="24"/>
          <w:szCs w:val="24"/>
          <w:lang w:val="en-GB"/>
        </w:rPr>
        <w:t>”</w:t>
      </w:r>
      <w:r w:rsidRPr="00805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4769E" w:rsidRPr="00805D45">
        <w:rPr>
          <w:rFonts w:ascii="Times New Roman" w:hAnsi="Times New Roman"/>
          <w:sz w:val="24"/>
          <w:szCs w:val="24"/>
          <w:lang w:val="en-GB"/>
        </w:rPr>
        <w:t>The new time series of indices with base” average 2015</w:t>
      </w:r>
      <w:r w:rsidR="009A6E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769E" w:rsidRPr="00805D45">
        <w:rPr>
          <w:rFonts w:ascii="Times New Roman" w:hAnsi="Times New Roman"/>
          <w:sz w:val="24"/>
          <w:szCs w:val="24"/>
          <w:lang w:val="en-GB"/>
        </w:rPr>
        <w:t>= 100”</w:t>
      </w:r>
      <w:r w:rsidRPr="00805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769E" w:rsidRPr="00805D45">
        <w:rPr>
          <w:rFonts w:ascii="Times New Roman" w:hAnsi="Times New Roman"/>
          <w:sz w:val="24"/>
          <w:szCs w:val="24"/>
          <w:lang w:val="en-GB"/>
        </w:rPr>
        <w:t>replaced the</w:t>
      </w:r>
      <w:r w:rsidRPr="00805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769E" w:rsidRPr="00805D45">
        <w:rPr>
          <w:rFonts w:ascii="Times New Roman" w:hAnsi="Times New Roman"/>
          <w:sz w:val="24"/>
          <w:szCs w:val="24"/>
          <w:lang w:val="en-GB"/>
        </w:rPr>
        <w:t>time series of indices with base</w:t>
      </w:r>
      <w:r w:rsidR="003C6C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769E" w:rsidRPr="00805D45">
        <w:rPr>
          <w:rFonts w:ascii="Times New Roman" w:hAnsi="Times New Roman"/>
          <w:sz w:val="24"/>
          <w:szCs w:val="24"/>
          <w:lang w:val="en-GB"/>
        </w:rPr>
        <w:t>”average 2005</w:t>
      </w:r>
      <w:r w:rsidR="009A6E4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769E" w:rsidRPr="00805D45">
        <w:rPr>
          <w:rFonts w:ascii="Times New Roman" w:hAnsi="Times New Roman"/>
          <w:sz w:val="24"/>
          <w:szCs w:val="24"/>
          <w:lang w:val="en-GB"/>
        </w:rPr>
        <w:t>= 100”</w:t>
      </w:r>
      <w:r w:rsidRPr="00805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4769E" w:rsidRPr="00805D45">
        <w:rPr>
          <w:rFonts w:ascii="Times New Roman" w:hAnsi="Times New Roman"/>
          <w:bCs/>
          <w:sz w:val="24"/>
          <w:szCs w:val="24"/>
          <w:lang w:val="en-US"/>
        </w:rPr>
        <w:t>Previous publishe</w:t>
      </w:r>
      <w:r w:rsidR="003521FC">
        <w:rPr>
          <w:rFonts w:ascii="Times New Roman" w:hAnsi="Times New Roman"/>
          <w:bCs/>
          <w:sz w:val="24"/>
          <w:szCs w:val="24"/>
          <w:lang w:val="en-US"/>
        </w:rPr>
        <w:t>d indices haven´t been revised</w:t>
      </w:r>
      <w:r w:rsidR="00E4769E" w:rsidRPr="00805D45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20787" w:rsidRDefault="00A20787" w:rsidP="0024613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0787" w:rsidRDefault="002C6CF8" w:rsidP="0024613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C6CF8">
        <w:rPr>
          <w:rFonts w:ascii="Times New Roman" w:hAnsi="Times New Roman"/>
          <w:sz w:val="24"/>
          <w:szCs w:val="24"/>
          <w:lang w:val="en-US"/>
        </w:rPr>
        <w:t>Within some divisions of services included in CZ-CPA some</w:t>
      </w:r>
      <w:r w:rsidR="00E4769E">
        <w:rPr>
          <w:rFonts w:ascii="Times New Roman" w:hAnsi="Times New Roman"/>
          <w:sz w:val="24"/>
          <w:szCs w:val="24"/>
          <w:lang w:val="en-US"/>
        </w:rPr>
        <w:t xml:space="preserve"> following</w:t>
      </w:r>
      <w:r w:rsidRPr="002C6C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769E">
        <w:rPr>
          <w:rFonts w:ascii="Times New Roman" w:hAnsi="Times New Roman"/>
          <w:sz w:val="24"/>
          <w:szCs w:val="24"/>
          <w:lang w:val="en-US"/>
        </w:rPr>
        <w:t>groups of services were newly classified:</w:t>
      </w:r>
    </w:p>
    <w:p w:rsidR="00E4769E" w:rsidRDefault="00E4769E" w:rsidP="00E4769E">
      <w:pPr>
        <w:jc w:val="both"/>
        <w:rPr>
          <w:rFonts w:ascii="Times New Roman" w:hAnsi="Times New Roman"/>
          <w:sz w:val="24"/>
          <w:szCs w:val="24"/>
        </w:rPr>
      </w:pPr>
    </w:p>
    <w:p w:rsidR="00E4769E" w:rsidRPr="00E4769E" w:rsidRDefault="00E4769E" w:rsidP="00E4769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4769E">
        <w:rPr>
          <w:rFonts w:ascii="Times New Roman" w:hAnsi="Times New Roman"/>
          <w:sz w:val="24"/>
          <w:szCs w:val="24"/>
          <w:lang w:val="en-US"/>
        </w:rPr>
        <w:t>M702</w:t>
      </w:r>
      <w:r w:rsidRPr="00E4769E">
        <w:rPr>
          <w:rFonts w:ascii="Times New Roman" w:hAnsi="Times New Roman"/>
          <w:sz w:val="24"/>
          <w:szCs w:val="24"/>
          <w:lang w:val="en-US"/>
        </w:rPr>
        <w:tab/>
      </w:r>
      <w:r w:rsidRPr="00E4769E">
        <w:rPr>
          <w:rFonts w:ascii="Times New Roman" w:hAnsi="Times New Roman"/>
          <w:sz w:val="24"/>
          <w:szCs w:val="24"/>
          <w:lang w:val="en-US"/>
        </w:rPr>
        <w:tab/>
        <w:t>Management consulting</w:t>
      </w:r>
    </w:p>
    <w:p w:rsidR="00E4769E" w:rsidRDefault="00E4769E" w:rsidP="002461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C64" w:rsidRPr="00E4769E" w:rsidRDefault="00DE0F22">
      <w:r w:rsidRPr="0060169E">
        <w:rPr>
          <w:rFonts w:ascii="Times New Roman" w:hAnsi="Times New Roman"/>
          <w:b/>
          <w:sz w:val="24"/>
          <w:szCs w:val="24"/>
          <w:lang w:val="en-GB"/>
        </w:rPr>
        <w:t xml:space="preserve">Table: </w:t>
      </w:r>
      <w:r w:rsidR="00AC139A" w:rsidRPr="0060169E">
        <w:rPr>
          <w:rFonts w:ascii="Times New Roman" w:hAnsi="Times New Roman"/>
          <w:b/>
          <w:sz w:val="24"/>
          <w:szCs w:val="24"/>
          <w:lang w:val="en-GB"/>
        </w:rPr>
        <w:t xml:space="preserve">The structure of the monitored sections of market services and </w:t>
      </w:r>
      <w:r w:rsidR="00AC139A">
        <w:rPr>
          <w:rFonts w:ascii="Times New Roman" w:hAnsi="Times New Roman"/>
          <w:b/>
          <w:sz w:val="24"/>
          <w:szCs w:val="24"/>
          <w:lang w:val="en-GB"/>
        </w:rPr>
        <w:t>their weight structure</w:t>
      </w:r>
      <w:r w:rsidR="00E4769E">
        <w:rPr>
          <w:rFonts w:ascii="Times New Roman" w:hAnsi="Times New Roman"/>
          <w:b/>
          <w:sz w:val="24"/>
          <w:szCs w:val="24"/>
          <w:lang w:val="en-GB"/>
        </w:rPr>
        <w:t xml:space="preserve"> in years 2011</w:t>
      </w:r>
      <w:r w:rsidR="00AC139A" w:rsidRPr="0060169E">
        <w:rPr>
          <w:rFonts w:ascii="Times New Roman" w:hAnsi="Times New Roman"/>
          <w:b/>
          <w:sz w:val="24"/>
          <w:szCs w:val="24"/>
          <w:lang w:val="en-GB"/>
        </w:rPr>
        <w:t xml:space="preserve"> and 201</w:t>
      </w:r>
      <w:r w:rsidR="00E4769E">
        <w:rPr>
          <w:rFonts w:ascii="Times New Roman" w:hAnsi="Times New Roman"/>
          <w:b/>
          <w:sz w:val="24"/>
          <w:szCs w:val="24"/>
          <w:lang w:val="en-GB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1134"/>
        <w:gridCol w:w="1134"/>
      </w:tblGrid>
      <w:tr w:rsidR="005F3595" w:rsidRPr="00C24468" w:rsidTr="00CC5057">
        <w:tc>
          <w:tcPr>
            <w:tcW w:w="675" w:type="dxa"/>
          </w:tcPr>
          <w:p w:rsidR="005F3595" w:rsidRPr="00CF5FC4" w:rsidRDefault="005F3595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F5FC4">
              <w:rPr>
                <w:rFonts w:ascii="Arial" w:hAnsi="Arial" w:cs="Arial"/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6663" w:type="dxa"/>
          </w:tcPr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34" w:type="dxa"/>
          </w:tcPr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Weights 2011</w:t>
            </w:r>
            <w:r w:rsidRPr="00C244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(‰)</w:t>
            </w:r>
          </w:p>
        </w:tc>
        <w:tc>
          <w:tcPr>
            <w:tcW w:w="1134" w:type="dxa"/>
          </w:tcPr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Weights</w:t>
            </w:r>
            <w:r w:rsidRPr="00C244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C244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(‰)</w:t>
            </w:r>
          </w:p>
        </w:tc>
      </w:tr>
      <w:tr w:rsidR="005F3595" w:rsidRPr="00C24468" w:rsidTr="00CC5057">
        <w:tc>
          <w:tcPr>
            <w:tcW w:w="675" w:type="dxa"/>
          </w:tcPr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H49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H50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H52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H53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J58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J61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J62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J63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K64</w:t>
            </w:r>
          </w:p>
          <w:p w:rsidR="005F3595" w:rsidRPr="00CF5FC4" w:rsidRDefault="005F3595" w:rsidP="00CC5057">
            <w:pPr>
              <w:pStyle w:val="Normlnweb"/>
              <w:spacing w:before="120" w:beforeAutospacing="0" w:after="36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K65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L68</w:t>
            </w:r>
          </w:p>
          <w:p w:rsidR="005F3595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M69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M70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M71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M73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M74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N77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N78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N80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N81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468">
              <w:rPr>
                <w:rFonts w:ascii="Arial" w:hAnsi="Arial" w:cs="Arial"/>
                <w:sz w:val="20"/>
                <w:szCs w:val="20"/>
                <w:lang w:val="en-US"/>
              </w:rPr>
              <w:t>N82</w:t>
            </w:r>
          </w:p>
        </w:tc>
        <w:tc>
          <w:tcPr>
            <w:tcW w:w="6663" w:type="dxa"/>
          </w:tcPr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TOTAL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Land transport services and transport services via pipelines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 transport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Warehousing and support services for transportation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Postal and courier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Publishing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Telecommunication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Computer programming, consultancy and relates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Information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Financial services except insurance and pension funding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Insurance, reinsurance and pension funding except compulsory social security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Real estate services</w:t>
            </w:r>
          </w:p>
          <w:p w:rsidR="005F3595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Law and accounting services</w:t>
            </w:r>
          </w:p>
          <w:p w:rsidR="005F3595" w:rsidRPr="000A3C3C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3C3C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0A3C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C3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0A3C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C3C">
              <w:rPr>
                <w:rFonts w:ascii="Arial" w:hAnsi="Arial" w:cs="Arial"/>
                <w:sz w:val="20"/>
                <w:szCs w:val="20"/>
              </w:rPr>
              <w:t>head</w:t>
            </w:r>
            <w:proofErr w:type="spellEnd"/>
            <w:r w:rsidRPr="000A3C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C3C">
              <w:rPr>
                <w:rFonts w:ascii="Arial" w:hAnsi="Arial" w:cs="Arial"/>
                <w:sz w:val="20"/>
                <w:szCs w:val="20"/>
              </w:rPr>
              <w:t>offices</w:t>
            </w:r>
            <w:proofErr w:type="spellEnd"/>
            <w:r w:rsidRPr="000A3C3C">
              <w:rPr>
                <w:rFonts w:ascii="Arial" w:hAnsi="Arial" w:cs="Arial"/>
                <w:sz w:val="20"/>
                <w:szCs w:val="20"/>
              </w:rPr>
              <w:t xml:space="preserve">; management </w:t>
            </w:r>
            <w:proofErr w:type="spellStart"/>
            <w:r w:rsidRPr="000A3C3C"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 w:rsidRPr="000A3C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C3C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Architectural and engineering services, technical testing and analysis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Advertising and market research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 professional, scientific and technical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Rental and leasing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Employment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Security and investigation services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Services to buildings and landscape</w:t>
            </w:r>
          </w:p>
          <w:p w:rsidR="005F3595" w:rsidRPr="00C24468" w:rsidRDefault="005F3595" w:rsidP="00CC505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administrative, office support and other business support services</w:t>
            </w:r>
          </w:p>
        </w:tc>
        <w:tc>
          <w:tcPr>
            <w:tcW w:w="1134" w:type="dxa"/>
          </w:tcPr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151,622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0,403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57,229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26,327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20,370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92,690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98,325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22,555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39,884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58,450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85,018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55,101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114,737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81,075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5,179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31,444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18,439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lastRenderedPageBreak/>
              <w:t>16,404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19,567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5,182</w:t>
            </w:r>
          </w:p>
        </w:tc>
        <w:tc>
          <w:tcPr>
            <w:tcW w:w="1134" w:type="dxa"/>
          </w:tcPr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lastRenderedPageBreak/>
              <w:t>1000,000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160,004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0,425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78,125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25,835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13,680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82,623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103,070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21,456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55,984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62,381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118,913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28,802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25,548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74,078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58,563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0,966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27,997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26,076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lastRenderedPageBreak/>
              <w:t>14,435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17,475</w:t>
            </w:r>
          </w:p>
          <w:p w:rsidR="005F3595" w:rsidRPr="00382E3E" w:rsidRDefault="005F3595" w:rsidP="00CC505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3,564</w:t>
            </w:r>
          </w:p>
        </w:tc>
      </w:tr>
    </w:tbl>
    <w:p w:rsidR="00E2304D" w:rsidRDefault="00E2304D" w:rsidP="00E2304D">
      <w:pPr>
        <w:spacing w:after="15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139A" w:rsidRDefault="00AC139A" w:rsidP="00B806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06B3" w:rsidRPr="002E636A" w:rsidRDefault="00B806B3" w:rsidP="00B806B3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2E636A">
        <w:rPr>
          <w:rFonts w:ascii="Times New Roman" w:hAnsi="Times New Roman"/>
          <w:b/>
          <w:sz w:val="24"/>
          <w:szCs w:val="24"/>
          <w:lang w:val="en-GB"/>
        </w:rPr>
        <w:t>Graph:</w:t>
      </w:r>
      <w:r w:rsidR="004C72A6" w:rsidRPr="002E636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D7F03">
        <w:rPr>
          <w:rFonts w:ascii="Times New Roman" w:hAnsi="Times New Roman"/>
          <w:b/>
          <w:sz w:val="24"/>
          <w:szCs w:val="24"/>
          <w:lang w:val="en-GB"/>
        </w:rPr>
        <w:t>Weight structure in years 2011</w:t>
      </w:r>
      <w:r w:rsidR="00466177" w:rsidRPr="002E636A">
        <w:rPr>
          <w:rFonts w:ascii="Times New Roman" w:hAnsi="Times New Roman"/>
          <w:b/>
          <w:sz w:val="24"/>
          <w:szCs w:val="24"/>
          <w:lang w:val="en-GB"/>
        </w:rPr>
        <w:t xml:space="preserve"> and </w:t>
      </w:r>
      <w:r w:rsidR="006D7F03">
        <w:rPr>
          <w:rFonts w:ascii="Times New Roman" w:hAnsi="Times New Roman"/>
          <w:b/>
          <w:sz w:val="24"/>
          <w:szCs w:val="24"/>
          <w:lang w:val="en-GB"/>
        </w:rPr>
        <w:t>2015</w:t>
      </w:r>
      <w:r w:rsidR="00A03AFD" w:rsidRPr="00A03AFD">
        <w:rPr>
          <w:rFonts w:ascii="Times New Roman" w:hAnsi="Times New Roman"/>
          <w:b/>
          <w:sz w:val="24"/>
          <w:szCs w:val="24"/>
          <w:lang w:val="en-GB"/>
        </w:rPr>
        <w:t xml:space="preserve"> (v </w:t>
      </w:r>
      <w:r w:rsidR="00A03AFD" w:rsidRPr="00A03AFD">
        <w:rPr>
          <w:rFonts w:ascii="Times New Roman" w:hAnsi="Times New Roman"/>
          <w:b/>
          <w:sz w:val="24"/>
          <w:szCs w:val="24"/>
        </w:rPr>
        <w:t>‰)</w:t>
      </w:r>
    </w:p>
    <w:p w:rsidR="00B806B3" w:rsidRPr="00B806B3" w:rsidRDefault="00B42523" w:rsidP="00B806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42523">
        <w:rPr>
          <w:rFonts w:ascii="Times New Roman" w:hAnsi="Times New Roman"/>
          <w:b/>
          <w:noProof/>
          <w:color w:val="FF000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5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VMIB3AAAAAUBAAAPAAAAZHJzL2Rvd25y&#10;ZXYueG1sTI/BTsMwEETvSPyDtUhcELVpG0RDNhVCgjttAXFz7W0cEa9D7Lbp32O4wGWl0Yxm3lbL&#10;0XfiQENsAyPcTBQIYhNsyw3CZv10fQciJs1Wd4EJ4UQRlvX5WaVLG478QodVakQu4VhqBJdSX0oZ&#10;jSOv4yT0xNnbhcHrlOXQSDvoYy73nZwqdSu9bjkvON3ToyPzudp7hNn66tl9FW9mEacfu9Pruyk2&#10;ISJeXowP9yASjekvDD/4GR3qzLQNe7ZRdAj5kfR7s7eYzwoQW4RirhTIupL/6etvAAAA//8DAFBL&#10;AwQUAAYACAAAACEA3RYKmhABAAA3AgAADgAAAGRycy9lMm9Eb2MueG1snJHBasMwEETvhf6D2Hsj&#10;xwG3MZFzCYWeemk/QJVWscCWxEqJ27/vNjElPRV8m92Bx+zsbv85DuKMlH0MCtarCgQGE60PRwXv&#10;b88PTyBy0cHqIQZU8IUZ9t393W5KLdaxj4NFEgwJuZ2Sgr6U1EqZTY+jzquYMLDpIo268EhHaUlP&#10;TB8HWVdVI6dINlE0mDNvD1cTugvfOTTl1bmMRQycrl5vaxBFQVNtGxCk4HHTsPhQUFebGmS30+2R&#10;dOq9mTPpBZFG7QMn+EUddNHiRH4ByvSaCrNMe1FzKLOYNAP48v+Ljs55g4doTiOGcm2bcNCFX517&#10;nzI32HqrgF7s+qc7+efi25n17b+7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7i&#10;sDP5AAAAaAEAACAAAABkcnMvY2hhcnRzL19yZWxzL2NoYXJ0MS54bWwucmVsc4SQwUrEMBRF94L/&#10;EB64tOnMQmRoOpvOyCxEGMZdNzF9bWPTvJDE0vo3foBfMT9mEAQHBBdvcXnccy+32M6jYRP6oMkK&#10;WGU5MLSKGm07Ac+n/e09sBClbaQhiwIWDLAtr6+KIxoZkyn02gWWKDYI6GN0G86D6nGUISOHNn1a&#10;8qOMSfqOO6kG2SFf5/kd978ZUF4w2aER4A/NCthpcSn5fza1rVZYkXob0cY/IjgZfHp5RRUTVPoO&#10;o4BWG0yVebWpKxq+nUt9xEm/Y/3gZXuzzod0jjxN9vxhz59JTbLPZhPmH8wjNanhbo7orTTAy4Jf&#10;7FN+AQAA//8DAFBLAwQUAAYACAAAACEAVGPFMdgFAADlFgAAFQAAAGRycy9jaGFydHMvY2hhcnQx&#10;LnhtbOxYzXLbNhC+d6bvwHJ8aA6GCP5TYynjSJM4qeN4krTTZnqBSEhiQ5EcEJLlnPpIfaY+SRcA&#10;QVKKYTuZ9BYfZBJcLBbf7mI/7NnT/aawdpQ1eVVObIwc26JlWmV5uZrYv75/fhrbVsNJmZGiKunE&#10;vqWN/XT64w9n6ThdE8bf1SSlFigpm3E6sdec1+PRqEnXdEMaVNW0hG/Lim0Ih1e2GmWM3IDyTTFy&#10;HSccSSV2q4B8hYINyUs9nz1mfrVc5imdV+l2Q0uurGC0IBwQaNZ53dhT2FxBypW1I8XETpvT2Qd7&#10;JAalseJhl9Mbby6eWMV/V3LYUUIw8ocaaQdqQLemKc93dCg5Gqqpi4qfM0rU0rfVlssFF4R585nA&#10;WXyAt3nOWquqQi23YtW2BkDb4WLbcMpopj42lImJebY/sKhiGW31tDbyvZBrOHtLl+JpOb3MG45/&#10;OpmduGdgqRyEzzMCnhUCNZ9V25K3G1Kr1dyClSa2IxHcTWcAKIQOt25ovlpzy3Uwtn7+9+9/ngiV&#10;u6n4rWFn8K9XrV6kGfCo7EqJ3P8d5j078ccnz05c/2EjXXy3lRd+cmiOMEptBLcbuQxjk4jbirwK&#10;JU79pnotXieCTVr8VuQiMGoJWpHXkVFL2Ir8EgaWaaWoU+OZROJOjUT1ri0lWktoxk5HwVUUmVbC&#10;GuCryAgw1ghfBEaLsYb4deQY19IYvwrNejTIV7ERZKxRvorNa2mUXwXmfWmYr2Kjz3GHc2R0hatx&#10;vgiO7LknrdqEgvNN5HK53Xye9pBXkPt9XoFQl/zqPJ9VGZ2+oCVlpBCoD0aPDwhT7uEAo9CFQqD/&#10;zLC3ERcHyMGxFof/xhk6bpIYeW4wmGF0v46ixEXmuNZhFETIdeNk8GeKPB1UGPso8sJHzNAhFsTI&#10;D0xqdYzFULSjR+1PR5yXoDg2BpSOuSBA2HEG1j6c6h5Gvu89aorOfAxb9MyatRPdEJwYDZxozhnt&#10;xaNs6M9jrF3ouigIjPjizm8JCkLzGaadhUPkO0ZUsXaX6yDPrEy7CLCPB2nh3KO48xfCUTJAyDHG&#10;eXdkOGCxN5ziHMEKWd3nvXrRlVmeHeKIURTjmGm0xXbANNoRI9OYf1umEXxnGndVbh3735kGxK4g&#10;n4NzQR8235nGgJz3+HTHxjdlGnPB4CH3/2+mETrIcYa1yVRXu8oEpSnB5kO0JSTY8aD+mpTpYhQD&#10;pXCHR62x7OgEjWKEXaOUrk2RD4sP6ZDRXl2mQhd5ZnarqxQwjyAc2ntUGPqo6CpWgJLYHxQT4wxd&#10;sNwYxccFp9cL12mRnLupG6EkMQLcXSGAIThROFjfSAy7G4UboNgbMifzFO1HmBL40YDhmPm9dqQL&#10;pCgITQHSs4wI+Qc0zmyMdiXwSd8zhkjHOLCHzPdXrP3ngcOH7jMT6+5W4qAkDAZY3OOm7uwAyuH6&#10;B3OOyN8XUI41qduOyqLaq8s92b/MVE8iSeLIw4F717gfxvHxuGyEwOKHLRe4KJ3L1ohJcZOSArov&#10;IlQrlkNDSfaRlAmbvHxNpGGCJ/WCZH9dNUpkoczgefrxclF0wyXd8/dV+21/zaZnZLyosttrZkF7&#10;aWKfBspVtmjdwfu6Yp9si5QpPEzshX6ccXiTGyPjouHv+G1Boa9ExrX8UXozunx7zWB4BONqiJbZ&#10;NWEEhi3RBxv0wISMbNhwaRW0xFjVNOdte0lg3mMrP9F2o2TLqw+UtXsSbweto2JRnBerUo2lnKmt&#10;w+ib5bKhus3kaCd1bgEWepd/eiMGsH+Nf9om24b8VbEXLM/A17SRrTngxc833OovvYD0n9DbgnZp&#10;tWUpvczLjzRr4YdG1j0e/gzDPm7vwVB+ekb5DaUtbgv1IrCDgGuhgaeD5iJdgXdFuBbyqQs5DTnp&#10;mo/KxTrwZNw8EERW82liQzWSFnx5NIGpyijJyqAj+lvevCmL20GkgEjXhIUcoawkxZxwYjFock5s&#10;9jKT1wwtJrvT0/8AAAD//wMAUEsBAi0AFAAGAAgAAAAhAKTylZEcAQAAXgIAABMAAAAAAAAAAAAA&#10;AAAAAAAAAFtDb250ZW50X1R5cGVzXS54bWxQSwECLQAUAAYACAAAACEAOP0h/9YAAACUAQAACwAA&#10;AAAAAAAAAAAAAABNAQAAX3JlbHMvLnJlbHNQSwECLQAUAAYACAAAACEAAFTCAdwAAAAFAQAADwAA&#10;AAAAAAAAAAAAAABMAgAAZHJzL2Rvd25yZXYueG1sUEsBAi0AFAAGAAgAAAAhAN0WCpoQAQAANwIA&#10;AA4AAAAAAAAAAAAAAAAAVQMAAGRycy9lMm9Eb2MueG1sUEsBAi0AFAAGAAgAAAAhAKsWzUa5AAAA&#10;IgEAABkAAAAAAAAAAAAAAAAAkQQAAGRycy9fcmVscy9lMm9Eb2MueG1sLnJlbHNQSwECLQAUAAYA&#10;CAAAACEAbuKwM/kAAABoAQAAIAAAAAAAAAAAAAAAAACBBQAAZHJzL2NoYXJ0cy9fcmVscy9jaGFy&#10;dDEueG1sLnJlbHNQSwECLQAUAAYACAAAACEAVGPFMdgFAADlFgAAFQAAAAAAAAAAAAAAAAC4BgAA&#10;ZHJzL2NoYXJ0cy9jaGFydDEueG1sUEsFBgAAAAAHAAcAywEAAMMMAAAAAA==&#10;">
            <v:imagedata r:id="rId5" o:title=""/>
            <o:lock v:ext="edit" aspectratio="f"/>
          </v:shape>
        </w:pict>
      </w:r>
    </w:p>
    <w:p w:rsidR="00FC7317" w:rsidRPr="00070ADA" w:rsidRDefault="00070ADA" w:rsidP="00070ADA">
      <w:pPr>
        <w:pStyle w:val="Normlnweb"/>
        <w:spacing w:after="0" w:afterAutospacing="0"/>
        <w:rPr>
          <w:bCs/>
          <w:lang w:val="en-GB"/>
        </w:rPr>
      </w:pPr>
      <w:r w:rsidRPr="00070ADA">
        <w:rPr>
          <w:bCs/>
          <w:lang w:val="en-GB"/>
        </w:rPr>
        <w:t xml:space="preserve">Changing </w:t>
      </w:r>
      <w:r>
        <w:rPr>
          <w:bCs/>
          <w:lang w:val="en-GB"/>
        </w:rPr>
        <w:t xml:space="preserve">of the weights in the compared periods </w:t>
      </w:r>
      <w:r w:rsidR="00D61404">
        <w:rPr>
          <w:bCs/>
          <w:lang w:val="en-GB"/>
        </w:rPr>
        <w:t>was caused by changing the amount of production and also by changing in the concept of the coverage of selected services.</w:t>
      </w:r>
    </w:p>
    <w:p w:rsidR="00070ADA" w:rsidRDefault="00070ADA" w:rsidP="00070ADA">
      <w:pPr>
        <w:pStyle w:val="Normlnweb"/>
        <w:spacing w:before="0" w:beforeAutospacing="0" w:after="0" w:afterAutospacing="0"/>
        <w:rPr>
          <w:b/>
          <w:bCs/>
          <w:lang w:val="en-GB"/>
        </w:rPr>
      </w:pPr>
    </w:p>
    <w:p w:rsidR="00070ADA" w:rsidRDefault="00C52EDD" w:rsidP="00070ADA">
      <w:pPr>
        <w:pStyle w:val="Normlnweb"/>
        <w:spacing w:before="0" w:beforeAutospacing="0" w:after="0" w:afterAutospacing="0"/>
        <w:rPr>
          <w:b/>
          <w:bCs/>
        </w:rPr>
      </w:pPr>
      <w:r w:rsidRPr="0003075C">
        <w:rPr>
          <w:b/>
          <w:bCs/>
          <w:lang w:val="en-GB"/>
        </w:rPr>
        <w:t>The</w:t>
      </w:r>
      <w:r w:rsidRPr="00D95C46">
        <w:rPr>
          <w:b/>
          <w:bCs/>
        </w:rPr>
        <w:t xml:space="preserve"> </w:t>
      </w:r>
      <w:proofErr w:type="spellStart"/>
      <w:r w:rsidRPr="00D95C46">
        <w:rPr>
          <w:b/>
          <w:bCs/>
        </w:rPr>
        <w:t>history</w:t>
      </w:r>
      <w:proofErr w:type="spellEnd"/>
      <w:r w:rsidRPr="00D95C46">
        <w:rPr>
          <w:b/>
          <w:bCs/>
        </w:rPr>
        <w:t xml:space="preserve"> </w:t>
      </w:r>
      <w:proofErr w:type="spellStart"/>
      <w:r w:rsidRPr="00D95C46">
        <w:rPr>
          <w:b/>
          <w:bCs/>
        </w:rPr>
        <w:t>of</w:t>
      </w:r>
      <w:proofErr w:type="spellEnd"/>
      <w:r w:rsidRPr="00D95C46">
        <w:rPr>
          <w:b/>
          <w:bCs/>
        </w:rPr>
        <w:t xml:space="preserve"> </w:t>
      </w:r>
      <w:proofErr w:type="spellStart"/>
      <w:r w:rsidRPr="00D95C46">
        <w:rPr>
          <w:b/>
          <w:bCs/>
        </w:rPr>
        <w:t>revision</w:t>
      </w:r>
      <w:proofErr w:type="spellEnd"/>
      <w:r w:rsidRPr="00D95C46">
        <w:rPr>
          <w:b/>
          <w:bCs/>
        </w:rPr>
        <w:t xml:space="preserve"> </w:t>
      </w:r>
      <w:proofErr w:type="spellStart"/>
      <w:r w:rsidRPr="00D95C46">
        <w:rPr>
          <w:b/>
          <w:bCs/>
        </w:rPr>
        <w:t>after</w:t>
      </w:r>
      <w:proofErr w:type="spellEnd"/>
      <w:r w:rsidRPr="00D95C46">
        <w:rPr>
          <w:b/>
          <w:bCs/>
        </w:rPr>
        <w:t xml:space="preserve"> </w:t>
      </w:r>
      <w:proofErr w:type="spellStart"/>
      <w:r w:rsidRPr="00D95C46">
        <w:rPr>
          <w:b/>
          <w:bCs/>
        </w:rPr>
        <w:t>the</w:t>
      </w:r>
      <w:proofErr w:type="spellEnd"/>
      <w:r w:rsidRPr="00D95C46">
        <w:rPr>
          <w:b/>
          <w:bCs/>
        </w:rPr>
        <w:t xml:space="preserve"> </w:t>
      </w:r>
      <w:proofErr w:type="spellStart"/>
      <w:r w:rsidRPr="00D95C46">
        <w:rPr>
          <w:b/>
          <w:bCs/>
        </w:rPr>
        <w:t>year</w:t>
      </w:r>
      <w:proofErr w:type="spellEnd"/>
      <w:r w:rsidRPr="00D95C46">
        <w:rPr>
          <w:b/>
          <w:bCs/>
        </w:rPr>
        <w:t xml:space="preserve"> 1989</w:t>
      </w:r>
    </w:p>
    <w:p w:rsidR="00235811" w:rsidRPr="00070ADA" w:rsidRDefault="00C52EDD" w:rsidP="009206E6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br/>
      </w:r>
      <w:r w:rsidR="00235811" w:rsidRPr="00D0783D">
        <w:rPr>
          <w:lang w:val="en-GB"/>
        </w:rPr>
        <w:t xml:space="preserve">The first price indices of selected market services (Inland freight transport and sewerage) were calculated on the 1990 weights, with price and index base </w:t>
      </w:r>
      <w:r w:rsidR="0087155E">
        <w:rPr>
          <w:lang w:val="en-GB"/>
        </w:rPr>
        <w:t>“</w:t>
      </w:r>
      <w:r w:rsidR="00235811" w:rsidRPr="00D0783D">
        <w:rPr>
          <w:lang w:val="en-GB"/>
        </w:rPr>
        <w:t>January 1990 = 100</w:t>
      </w:r>
      <w:r w:rsidR="0087155E">
        <w:rPr>
          <w:lang w:val="en-GB"/>
        </w:rPr>
        <w:t>”</w:t>
      </w:r>
      <w:r w:rsidR="00235811" w:rsidRPr="00D0783D">
        <w:rPr>
          <w:lang w:val="en-GB"/>
        </w:rPr>
        <w:t>. These prices indices were calculated in January 1994.</w:t>
      </w:r>
    </w:p>
    <w:p w:rsidR="00E60530" w:rsidRDefault="00E60530" w:rsidP="009206E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E7DA3" w:rsidRPr="00D0783D" w:rsidRDefault="007E7DA3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0783D">
        <w:rPr>
          <w:rFonts w:ascii="Times New Roman" w:hAnsi="Times New Roman"/>
          <w:sz w:val="24"/>
          <w:szCs w:val="24"/>
          <w:lang w:val="en-GB"/>
        </w:rPr>
        <w:t xml:space="preserve">After revision 1994, indices for the period 1995 – 2000 were calculated on the 1993 weights, with price and index base December 1993 and the derived index base </w:t>
      </w:r>
      <w:r w:rsidR="0087155E">
        <w:rPr>
          <w:rFonts w:ascii="Times New Roman" w:hAnsi="Times New Roman"/>
          <w:sz w:val="24"/>
          <w:szCs w:val="24"/>
          <w:lang w:val="en-GB"/>
        </w:rPr>
        <w:t>“</w:t>
      </w:r>
      <w:r w:rsidRPr="00D0783D">
        <w:rPr>
          <w:rFonts w:ascii="Times New Roman" w:hAnsi="Times New Roman"/>
          <w:sz w:val="24"/>
          <w:szCs w:val="24"/>
          <w:lang w:val="en-GB"/>
        </w:rPr>
        <w:t>1994 average = 100</w:t>
      </w:r>
      <w:r w:rsidR="0087155E">
        <w:rPr>
          <w:rFonts w:ascii="Times New Roman" w:hAnsi="Times New Roman"/>
          <w:sz w:val="24"/>
          <w:szCs w:val="24"/>
          <w:lang w:val="en-GB"/>
        </w:rPr>
        <w:t>”</w:t>
      </w:r>
      <w:r w:rsidRPr="00D0783D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7155E">
        <w:rPr>
          <w:rFonts w:ascii="Times New Roman" w:hAnsi="Times New Roman"/>
          <w:sz w:val="24"/>
          <w:szCs w:val="24"/>
          <w:lang w:val="en-GB"/>
        </w:rPr>
        <w:t>“</w:t>
      </w:r>
      <w:r w:rsidRPr="00D0783D">
        <w:rPr>
          <w:rFonts w:ascii="Times New Roman" w:hAnsi="Times New Roman"/>
          <w:sz w:val="24"/>
          <w:szCs w:val="24"/>
          <w:lang w:val="en-GB"/>
        </w:rPr>
        <w:t>1995 average = 100</w:t>
      </w:r>
      <w:r w:rsidR="0087155E">
        <w:rPr>
          <w:rFonts w:ascii="Times New Roman" w:hAnsi="Times New Roman"/>
          <w:sz w:val="24"/>
          <w:szCs w:val="24"/>
          <w:lang w:val="en-GB"/>
        </w:rPr>
        <w:t>”</w:t>
      </w:r>
      <w:r w:rsidRPr="00D0783D">
        <w:rPr>
          <w:rFonts w:ascii="Times New Roman" w:hAnsi="Times New Roman"/>
          <w:sz w:val="24"/>
          <w:szCs w:val="24"/>
          <w:lang w:val="en-GB"/>
        </w:rPr>
        <w:t>.</w:t>
      </w:r>
    </w:p>
    <w:p w:rsidR="00BB2190" w:rsidRPr="00D0783D" w:rsidRDefault="00BB2190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0783D">
        <w:rPr>
          <w:rFonts w:ascii="Times New Roman" w:hAnsi="Times New Roman"/>
          <w:sz w:val="24"/>
          <w:szCs w:val="24"/>
          <w:lang w:val="en-GB"/>
        </w:rPr>
        <w:t xml:space="preserve">After revision 2000, indices for the period 2001 – 2006 were calculated on the 1999 weights, with price and index base </w:t>
      </w:r>
      <w:r w:rsidR="0087155E">
        <w:rPr>
          <w:rFonts w:ascii="Times New Roman" w:hAnsi="Times New Roman"/>
          <w:sz w:val="24"/>
          <w:szCs w:val="24"/>
          <w:lang w:val="en-GB"/>
        </w:rPr>
        <w:t>“</w:t>
      </w:r>
      <w:r w:rsidRPr="00D0783D">
        <w:rPr>
          <w:rFonts w:ascii="Times New Roman" w:hAnsi="Times New Roman"/>
          <w:sz w:val="24"/>
          <w:szCs w:val="24"/>
          <w:lang w:val="en-GB"/>
        </w:rPr>
        <w:t>December 1999 = 100</w:t>
      </w:r>
      <w:r w:rsidR="0087155E">
        <w:rPr>
          <w:rFonts w:ascii="Times New Roman" w:hAnsi="Times New Roman"/>
          <w:sz w:val="24"/>
          <w:szCs w:val="24"/>
          <w:lang w:val="en-GB"/>
        </w:rPr>
        <w:t>”</w:t>
      </w:r>
      <w:r w:rsidRPr="00D0783D">
        <w:rPr>
          <w:rFonts w:ascii="Times New Roman" w:hAnsi="Times New Roman"/>
          <w:sz w:val="24"/>
          <w:szCs w:val="24"/>
          <w:lang w:val="en-GB"/>
        </w:rPr>
        <w:t xml:space="preserve"> and the derived index base </w:t>
      </w:r>
      <w:r w:rsidR="0087155E">
        <w:rPr>
          <w:rFonts w:ascii="Times New Roman" w:hAnsi="Times New Roman"/>
          <w:sz w:val="24"/>
          <w:szCs w:val="24"/>
          <w:lang w:val="en-GB"/>
        </w:rPr>
        <w:t>“</w:t>
      </w:r>
      <w:r w:rsidRPr="00D0783D">
        <w:rPr>
          <w:rFonts w:ascii="Times New Roman" w:hAnsi="Times New Roman"/>
          <w:sz w:val="24"/>
          <w:szCs w:val="24"/>
          <w:lang w:val="en-GB"/>
        </w:rPr>
        <w:t>2000 average = 100</w:t>
      </w:r>
      <w:r w:rsidR="0087155E">
        <w:rPr>
          <w:rFonts w:ascii="Times New Roman" w:hAnsi="Times New Roman"/>
          <w:sz w:val="24"/>
          <w:szCs w:val="24"/>
          <w:lang w:val="en-GB"/>
        </w:rPr>
        <w:t>”</w:t>
      </w:r>
      <w:r w:rsidRPr="00D0783D">
        <w:rPr>
          <w:rFonts w:ascii="Times New Roman" w:hAnsi="Times New Roman"/>
          <w:sz w:val="24"/>
          <w:szCs w:val="24"/>
          <w:lang w:val="en-GB"/>
        </w:rPr>
        <w:t>.</w:t>
      </w:r>
    </w:p>
    <w:p w:rsidR="004F6B08" w:rsidRPr="00D0783D" w:rsidRDefault="004F6B08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0783D">
        <w:rPr>
          <w:rFonts w:ascii="Times New Roman" w:hAnsi="Times New Roman"/>
          <w:sz w:val="24"/>
          <w:szCs w:val="24"/>
          <w:lang w:val="en-GB"/>
        </w:rPr>
        <w:t xml:space="preserve">After revision 2005, indices for the period 2007 – 2012 were calculated on the 2005 weights with price and index base </w:t>
      </w:r>
      <w:r w:rsidR="0087155E">
        <w:rPr>
          <w:rFonts w:ascii="Times New Roman" w:hAnsi="Times New Roman"/>
          <w:sz w:val="24"/>
          <w:szCs w:val="24"/>
          <w:lang w:val="en-US"/>
        </w:rPr>
        <w:t>“</w:t>
      </w:r>
      <w:r w:rsidRPr="00D0783D">
        <w:rPr>
          <w:rFonts w:ascii="Times New Roman" w:hAnsi="Times New Roman"/>
          <w:sz w:val="24"/>
          <w:szCs w:val="24"/>
          <w:lang w:val="en-GB"/>
        </w:rPr>
        <w:t>December 2005 = 100</w:t>
      </w:r>
      <w:r w:rsidR="0087155E">
        <w:rPr>
          <w:rFonts w:ascii="Times New Roman" w:hAnsi="Times New Roman"/>
          <w:sz w:val="24"/>
          <w:szCs w:val="24"/>
          <w:lang w:val="en-GB"/>
        </w:rPr>
        <w:t>”</w:t>
      </w:r>
      <w:r w:rsidRPr="00D0783D">
        <w:rPr>
          <w:rFonts w:ascii="Times New Roman" w:hAnsi="Times New Roman"/>
          <w:sz w:val="24"/>
          <w:szCs w:val="24"/>
          <w:lang w:val="en-GB"/>
        </w:rPr>
        <w:t>.</w:t>
      </w:r>
    </w:p>
    <w:p w:rsidR="00E92F34" w:rsidRPr="00D0783D" w:rsidRDefault="00E92F34" w:rsidP="00D078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0783D">
        <w:rPr>
          <w:rFonts w:ascii="Times New Roman" w:hAnsi="Times New Roman"/>
          <w:sz w:val="24"/>
          <w:szCs w:val="24"/>
          <w:lang w:val="en-GB"/>
        </w:rPr>
        <w:t xml:space="preserve">During the year 2008 was changed the classification and since January 2009 </w:t>
      </w:r>
      <w:r w:rsidR="00D0783D">
        <w:rPr>
          <w:rFonts w:ascii="Times New Roman" w:hAnsi="Times New Roman"/>
          <w:sz w:val="24"/>
          <w:szCs w:val="24"/>
          <w:lang w:val="en-GB"/>
        </w:rPr>
        <w:t>are</w:t>
      </w:r>
      <w:r w:rsidRPr="00D0783D">
        <w:rPr>
          <w:rFonts w:ascii="Times New Roman" w:hAnsi="Times New Roman"/>
          <w:sz w:val="24"/>
          <w:szCs w:val="24"/>
          <w:lang w:val="en-GB"/>
        </w:rPr>
        <w:t xml:space="preserve"> all price indices set up, calculated and published in CZ-CPA 2008 classification.</w:t>
      </w:r>
    </w:p>
    <w:p w:rsidR="006D7F03" w:rsidRPr="00816F49" w:rsidRDefault="006D7F03" w:rsidP="006D7F0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16F49">
        <w:rPr>
          <w:rFonts w:ascii="Times New Roman" w:hAnsi="Times New Roman"/>
          <w:sz w:val="24"/>
          <w:szCs w:val="24"/>
          <w:lang w:val="en-GB"/>
        </w:rPr>
        <w:lastRenderedPageBreak/>
        <w:t>After revision in 2012, the indices for the period 2013 to 2017 were calculated on the w</w:t>
      </w:r>
      <w:r w:rsidR="00816F49" w:rsidRPr="00816F49">
        <w:rPr>
          <w:rFonts w:ascii="Times New Roman" w:hAnsi="Times New Roman"/>
          <w:sz w:val="24"/>
          <w:szCs w:val="24"/>
          <w:lang w:val="en-GB"/>
        </w:rPr>
        <w:t>eights from 2011 to index base “2005 average = 100”</w:t>
      </w:r>
      <w:r w:rsidRPr="00816F49">
        <w:rPr>
          <w:rFonts w:ascii="Times New Roman" w:hAnsi="Times New Roman"/>
          <w:sz w:val="24"/>
          <w:szCs w:val="24"/>
          <w:lang w:val="en-GB"/>
        </w:rPr>
        <w:t>.</w:t>
      </w:r>
    </w:p>
    <w:p w:rsidR="006D7F03" w:rsidRPr="00816F49" w:rsidRDefault="006D7F03" w:rsidP="006D7F0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16F49">
        <w:rPr>
          <w:rFonts w:ascii="Times New Roman" w:hAnsi="Times New Roman"/>
          <w:sz w:val="24"/>
          <w:szCs w:val="24"/>
          <w:lang w:val="en-GB"/>
        </w:rPr>
        <w:t>After revision in 2017, the indices for the period 2018 to 2022 are calculated on the w</w:t>
      </w:r>
      <w:r w:rsidR="00816F49" w:rsidRPr="00816F49">
        <w:rPr>
          <w:rFonts w:ascii="Times New Roman" w:hAnsi="Times New Roman"/>
          <w:sz w:val="24"/>
          <w:szCs w:val="24"/>
          <w:lang w:val="en-GB"/>
        </w:rPr>
        <w:t>eights from 2015 to index base “</w:t>
      </w:r>
      <w:r w:rsidRPr="00816F49">
        <w:rPr>
          <w:rFonts w:ascii="Times New Roman" w:hAnsi="Times New Roman"/>
          <w:sz w:val="24"/>
          <w:szCs w:val="24"/>
          <w:lang w:val="en-GB"/>
        </w:rPr>
        <w:t>2015 average = 100</w:t>
      </w:r>
      <w:r w:rsidR="00816F49" w:rsidRPr="00816F49">
        <w:rPr>
          <w:rFonts w:ascii="Times New Roman" w:hAnsi="Times New Roman"/>
          <w:sz w:val="24"/>
          <w:szCs w:val="24"/>
          <w:lang w:val="en-US"/>
        </w:rPr>
        <w:t>”</w:t>
      </w:r>
      <w:r w:rsidRPr="00816F49">
        <w:rPr>
          <w:rFonts w:ascii="Times New Roman" w:hAnsi="Times New Roman"/>
          <w:sz w:val="24"/>
          <w:szCs w:val="24"/>
          <w:lang w:val="en-US"/>
        </w:rPr>
        <w:t>.</w:t>
      </w:r>
    </w:p>
    <w:p w:rsidR="006D7F03" w:rsidRPr="00C24468" w:rsidRDefault="006D7F03" w:rsidP="006D7F03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117F3A" w:rsidRDefault="00C52EDD" w:rsidP="0003075C">
      <w:pPr>
        <w:pStyle w:val="Normlnweb"/>
        <w:jc w:val="both"/>
      </w:pPr>
      <w:r>
        <w:br/>
      </w:r>
    </w:p>
    <w:sectPr w:rsidR="00117F3A" w:rsidSect="007256F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DD"/>
    <w:rsid w:val="00027DB0"/>
    <w:rsid w:val="0003075C"/>
    <w:rsid w:val="00035F85"/>
    <w:rsid w:val="00044150"/>
    <w:rsid w:val="00064DF9"/>
    <w:rsid w:val="00070ADA"/>
    <w:rsid w:val="000732AF"/>
    <w:rsid w:val="000A3786"/>
    <w:rsid w:val="00115256"/>
    <w:rsid w:val="00117F3A"/>
    <w:rsid w:val="00133811"/>
    <w:rsid w:val="001562BA"/>
    <w:rsid w:val="001D21C9"/>
    <w:rsid w:val="001F069D"/>
    <w:rsid w:val="001F093E"/>
    <w:rsid w:val="0020274D"/>
    <w:rsid w:val="00225D8F"/>
    <w:rsid w:val="00235811"/>
    <w:rsid w:val="00246136"/>
    <w:rsid w:val="002632BB"/>
    <w:rsid w:val="00280F5B"/>
    <w:rsid w:val="002B1C64"/>
    <w:rsid w:val="002C6CF8"/>
    <w:rsid w:val="002C7D58"/>
    <w:rsid w:val="002E3D11"/>
    <w:rsid w:val="002E636A"/>
    <w:rsid w:val="003521FC"/>
    <w:rsid w:val="00370E8D"/>
    <w:rsid w:val="003854C4"/>
    <w:rsid w:val="003C6CF0"/>
    <w:rsid w:val="004340E5"/>
    <w:rsid w:val="00466177"/>
    <w:rsid w:val="004B32B5"/>
    <w:rsid w:val="004C72A6"/>
    <w:rsid w:val="004F6B08"/>
    <w:rsid w:val="00515314"/>
    <w:rsid w:val="00547BCA"/>
    <w:rsid w:val="00581FB5"/>
    <w:rsid w:val="005A62FC"/>
    <w:rsid w:val="005F3595"/>
    <w:rsid w:val="0060169E"/>
    <w:rsid w:val="00602BFF"/>
    <w:rsid w:val="00653C17"/>
    <w:rsid w:val="006550E5"/>
    <w:rsid w:val="00690824"/>
    <w:rsid w:val="006D435D"/>
    <w:rsid w:val="006D6504"/>
    <w:rsid w:val="006D7F03"/>
    <w:rsid w:val="007101B6"/>
    <w:rsid w:val="0072081D"/>
    <w:rsid w:val="007256F6"/>
    <w:rsid w:val="00735FE6"/>
    <w:rsid w:val="00737FA7"/>
    <w:rsid w:val="0076361D"/>
    <w:rsid w:val="00772ADD"/>
    <w:rsid w:val="007E7DA3"/>
    <w:rsid w:val="008035F2"/>
    <w:rsid w:val="00805D45"/>
    <w:rsid w:val="00816F49"/>
    <w:rsid w:val="0087155E"/>
    <w:rsid w:val="0088033A"/>
    <w:rsid w:val="008D3285"/>
    <w:rsid w:val="008F39F7"/>
    <w:rsid w:val="00905E0E"/>
    <w:rsid w:val="00912AA7"/>
    <w:rsid w:val="009206E6"/>
    <w:rsid w:val="00981FE8"/>
    <w:rsid w:val="009A6E47"/>
    <w:rsid w:val="00A03AFD"/>
    <w:rsid w:val="00A20787"/>
    <w:rsid w:val="00A51691"/>
    <w:rsid w:val="00A94783"/>
    <w:rsid w:val="00AA2DF6"/>
    <w:rsid w:val="00AB127D"/>
    <w:rsid w:val="00AC139A"/>
    <w:rsid w:val="00AD2F50"/>
    <w:rsid w:val="00B104ED"/>
    <w:rsid w:val="00B30FF5"/>
    <w:rsid w:val="00B42523"/>
    <w:rsid w:val="00B52CBC"/>
    <w:rsid w:val="00B806B3"/>
    <w:rsid w:val="00BA4604"/>
    <w:rsid w:val="00BB2190"/>
    <w:rsid w:val="00BB377B"/>
    <w:rsid w:val="00BF1EB5"/>
    <w:rsid w:val="00C52EDD"/>
    <w:rsid w:val="00D0783D"/>
    <w:rsid w:val="00D61404"/>
    <w:rsid w:val="00D754D2"/>
    <w:rsid w:val="00D95C46"/>
    <w:rsid w:val="00DD1442"/>
    <w:rsid w:val="00DE0F22"/>
    <w:rsid w:val="00DF37C2"/>
    <w:rsid w:val="00E2304D"/>
    <w:rsid w:val="00E4769E"/>
    <w:rsid w:val="00E5691D"/>
    <w:rsid w:val="00E60530"/>
    <w:rsid w:val="00E62AFF"/>
    <w:rsid w:val="00E92F34"/>
    <w:rsid w:val="00F17720"/>
    <w:rsid w:val="00F771FD"/>
    <w:rsid w:val="00FC5EF0"/>
    <w:rsid w:val="00FC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F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4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3854C4"/>
    <w:pPr>
      <w:spacing w:line="240" w:lineRule="auto"/>
      <w:ind w:left="284"/>
    </w:pPr>
    <w:rPr>
      <w:rFonts w:ascii="Arial" w:hAnsi="Arial"/>
      <w:sz w:val="24"/>
    </w:rPr>
  </w:style>
  <w:style w:type="character" w:customStyle="1" w:styleId="TextChar">
    <w:name w:val="Text Char"/>
    <w:basedOn w:val="Standardnpsmoodstavce"/>
    <w:link w:val="Text"/>
    <w:rsid w:val="003854C4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E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B1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769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8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6D2D4-9E42-4861-AF41-22291EC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sulc8448</dc:creator>
  <cp:lastModifiedBy>Lukáš Pokorný</cp:lastModifiedBy>
  <cp:revision>17</cp:revision>
  <dcterms:created xsi:type="dcterms:W3CDTF">2018-02-02T10:14:00Z</dcterms:created>
  <dcterms:modified xsi:type="dcterms:W3CDTF">2018-02-07T11:58:00Z</dcterms:modified>
</cp:coreProperties>
</file>