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4" w:rsidRPr="000658B4" w:rsidRDefault="0045307A">
      <w:pPr>
        <w:rPr>
          <w:rFonts w:ascii="Arial" w:hAnsi="Arial" w:cs="Arial"/>
          <w:b/>
          <w:sz w:val="22"/>
          <w:szCs w:val="22"/>
        </w:rPr>
      </w:pPr>
      <w:r w:rsidRPr="000658B4">
        <w:rPr>
          <w:rFonts w:ascii="Arial" w:hAnsi="Arial" w:cs="Arial"/>
          <w:b/>
          <w:sz w:val="22"/>
          <w:szCs w:val="22"/>
        </w:rPr>
        <w:t>Zpráva o činnosti</w:t>
      </w:r>
      <w:r w:rsidR="000658B4">
        <w:rPr>
          <w:rFonts w:ascii="Arial" w:hAnsi="Arial" w:cs="Arial"/>
          <w:b/>
          <w:sz w:val="22"/>
          <w:szCs w:val="22"/>
        </w:rPr>
        <w:t xml:space="preserve"> </w:t>
      </w:r>
      <w:r w:rsidRPr="000658B4">
        <w:rPr>
          <w:rFonts w:ascii="Arial" w:hAnsi="Arial" w:cs="Arial"/>
          <w:b/>
          <w:sz w:val="22"/>
          <w:szCs w:val="22"/>
        </w:rPr>
        <w:t>v oblasti informačních služeb</w:t>
      </w:r>
      <w:r w:rsidR="000658B4">
        <w:rPr>
          <w:rFonts w:ascii="Arial" w:hAnsi="Arial" w:cs="Arial"/>
          <w:b/>
          <w:sz w:val="22"/>
          <w:szCs w:val="22"/>
        </w:rPr>
        <w:t xml:space="preserve"> </w:t>
      </w:r>
      <w:r w:rsidRPr="000658B4">
        <w:rPr>
          <w:rFonts w:ascii="Arial" w:hAnsi="Arial" w:cs="Arial"/>
          <w:b/>
          <w:sz w:val="22"/>
          <w:szCs w:val="22"/>
        </w:rPr>
        <w:t xml:space="preserve">na krajských </w:t>
      </w:r>
      <w:r w:rsidR="00CB066A" w:rsidRPr="000658B4">
        <w:rPr>
          <w:rFonts w:ascii="Arial" w:hAnsi="Arial" w:cs="Arial"/>
          <w:b/>
          <w:sz w:val="22"/>
          <w:szCs w:val="22"/>
        </w:rPr>
        <w:t>správách</w:t>
      </w:r>
      <w:r w:rsidRPr="000658B4">
        <w:rPr>
          <w:rFonts w:ascii="Arial" w:hAnsi="Arial" w:cs="Arial"/>
          <w:b/>
          <w:sz w:val="22"/>
          <w:szCs w:val="22"/>
        </w:rPr>
        <w:t xml:space="preserve"> </w:t>
      </w:r>
      <w:r w:rsidR="000658B4">
        <w:rPr>
          <w:rFonts w:ascii="Arial" w:hAnsi="Arial" w:cs="Arial"/>
          <w:b/>
          <w:sz w:val="22"/>
          <w:szCs w:val="22"/>
        </w:rPr>
        <w:t>ČSÚ</w:t>
      </w:r>
      <w:r w:rsidRPr="000658B4">
        <w:rPr>
          <w:rFonts w:ascii="Arial" w:hAnsi="Arial" w:cs="Arial"/>
          <w:b/>
          <w:sz w:val="22"/>
          <w:szCs w:val="22"/>
        </w:rPr>
        <w:t xml:space="preserve"> v roce 2014</w:t>
      </w:r>
    </w:p>
    <w:p w:rsidR="0045307A" w:rsidRDefault="0045307A"/>
    <w:p w:rsidR="0045307A" w:rsidRDefault="0045307A" w:rsidP="00862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Úkoly v oblasti informačních služeb zajišťují na krajských </w:t>
      </w:r>
      <w:r w:rsidR="00CB066A">
        <w:rPr>
          <w:rFonts w:ascii="Arial" w:hAnsi="Arial" w:cs="Arial"/>
          <w:sz w:val="20"/>
          <w:szCs w:val="20"/>
        </w:rPr>
        <w:t>správ</w:t>
      </w:r>
      <w:r w:rsidR="005C06FC">
        <w:rPr>
          <w:rFonts w:ascii="Arial" w:hAnsi="Arial" w:cs="Arial"/>
          <w:sz w:val="20"/>
          <w:szCs w:val="20"/>
        </w:rPr>
        <w:t>á</w:t>
      </w:r>
      <w:r w:rsidR="00CB066A">
        <w:rPr>
          <w:rFonts w:ascii="Arial" w:hAnsi="Arial" w:cs="Arial"/>
          <w:sz w:val="20"/>
          <w:szCs w:val="20"/>
        </w:rPr>
        <w:t>ch</w:t>
      </w:r>
      <w:r w:rsidR="002A592C">
        <w:rPr>
          <w:rFonts w:ascii="Arial" w:hAnsi="Arial" w:cs="Arial"/>
          <w:sz w:val="20"/>
          <w:szCs w:val="20"/>
        </w:rPr>
        <w:t xml:space="preserve"> ČSÚ</w:t>
      </w:r>
      <w:r>
        <w:rPr>
          <w:rFonts w:ascii="Arial" w:hAnsi="Arial" w:cs="Arial"/>
          <w:sz w:val="20"/>
          <w:szCs w:val="20"/>
        </w:rPr>
        <w:t xml:space="preserve"> oddělení Informačních služeb a správy registrů. Činnost v těchto odděleních</w:t>
      </w:r>
      <w:r w:rsidR="002A592C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</w:t>
      </w:r>
      <w:r w:rsidR="002A592C">
        <w:rPr>
          <w:rFonts w:ascii="Arial" w:hAnsi="Arial" w:cs="Arial"/>
          <w:sz w:val="20"/>
          <w:szCs w:val="20"/>
        </w:rPr>
        <w:t>v roce 2014</w:t>
      </w:r>
      <w:r>
        <w:rPr>
          <w:rFonts w:ascii="Arial" w:hAnsi="Arial" w:cs="Arial"/>
          <w:sz w:val="20"/>
          <w:szCs w:val="20"/>
        </w:rPr>
        <w:t xml:space="preserve"> odvíjela od Plánu</w:t>
      </w:r>
      <w:r w:rsidR="00CB066A">
        <w:rPr>
          <w:rFonts w:ascii="Arial" w:hAnsi="Arial" w:cs="Arial"/>
          <w:sz w:val="20"/>
          <w:szCs w:val="20"/>
        </w:rPr>
        <w:t xml:space="preserve"> hlavních </w:t>
      </w:r>
      <w:r>
        <w:rPr>
          <w:rFonts w:ascii="Arial" w:hAnsi="Arial" w:cs="Arial"/>
          <w:sz w:val="20"/>
          <w:szCs w:val="20"/>
        </w:rPr>
        <w:t xml:space="preserve">úkolů </w:t>
      </w:r>
      <w:r w:rsidR="00CB066A">
        <w:rPr>
          <w:rFonts w:ascii="Arial" w:hAnsi="Arial" w:cs="Arial"/>
          <w:sz w:val="20"/>
          <w:szCs w:val="20"/>
        </w:rPr>
        <w:t xml:space="preserve">a Plánu </w:t>
      </w:r>
      <w:r>
        <w:rPr>
          <w:rFonts w:ascii="Arial" w:hAnsi="Arial" w:cs="Arial"/>
          <w:sz w:val="20"/>
          <w:szCs w:val="20"/>
        </w:rPr>
        <w:t>porad a seminářů, kter</w:t>
      </w:r>
      <w:r w:rsidR="00CB066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byl</w:t>
      </w:r>
      <w:r w:rsidR="00F447E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přijat</w:t>
      </w:r>
      <w:r w:rsidR="00F447E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řediteli KS na poradě konané v březnu. Metodicky jsou oddělení </w:t>
      </w:r>
      <w:r w:rsidR="0086253C">
        <w:rPr>
          <w:rFonts w:ascii="Arial" w:hAnsi="Arial" w:cs="Arial"/>
          <w:sz w:val="20"/>
          <w:szCs w:val="20"/>
        </w:rPr>
        <w:t xml:space="preserve">i nadále </w:t>
      </w:r>
      <w:r>
        <w:rPr>
          <w:rFonts w:ascii="Arial" w:hAnsi="Arial" w:cs="Arial"/>
          <w:sz w:val="20"/>
          <w:szCs w:val="20"/>
        </w:rPr>
        <w:t>řízena a k</w:t>
      </w:r>
      <w:r w:rsidR="001A6B2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ordinována ve spolupráci s odborem Informačních služeb a odborem </w:t>
      </w:r>
      <w:r w:rsidR="003A1FB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tatistických re</w:t>
      </w:r>
      <w:r w:rsidR="001A6B25">
        <w:rPr>
          <w:rFonts w:ascii="Arial" w:hAnsi="Arial" w:cs="Arial"/>
          <w:sz w:val="20"/>
          <w:szCs w:val="20"/>
        </w:rPr>
        <w:t>gistrů.</w:t>
      </w:r>
      <w:r w:rsidR="00F447E2">
        <w:rPr>
          <w:rFonts w:ascii="Arial" w:hAnsi="Arial" w:cs="Arial"/>
          <w:sz w:val="20"/>
          <w:szCs w:val="20"/>
        </w:rPr>
        <w:t xml:space="preserve"> Na základě provedeného vyhodnocení je možno konstatovat, že úkoly, které ze schválených plánů vyplynuly, byly ve stanovených termínech a požadované kvalitě splněny. </w:t>
      </w:r>
    </w:p>
    <w:p w:rsidR="001A6B25" w:rsidRDefault="00F447E2" w:rsidP="00862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Efektivita</w:t>
      </w:r>
      <w:r w:rsidR="001A6B25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>i</w:t>
      </w:r>
      <w:r w:rsidR="001A6B25">
        <w:rPr>
          <w:rFonts w:ascii="Arial" w:hAnsi="Arial" w:cs="Arial"/>
          <w:sz w:val="20"/>
          <w:szCs w:val="20"/>
        </w:rPr>
        <w:t xml:space="preserve"> v oblasti poskytování </w:t>
      </w:r>
      <w:r>
        <w:rPr>
          <w:rFonts w:ascii="Arial" w:hAnsi="Arial" w:cs="Arial"/>
          <w:sz w:val="20"/>
          <w:szCs w:val="20"/>
        </w:rPr>
        <w:t xml:space="preserve">informačních služeb </w:t>
      </w:r>
      <w:r w:rsidR="001A6B25">
        <w:rPr>
          <w:rFonts w:ascii="Arial" w:hAnsi="Arial" w:cs="Arial"/>
          <w:sz w:val="20"/>
          <w:szCs w:val="20"/>
        </w:rPr>
        <w:t>a zveřejňování informací byl</w:t>
      </w:r>
      <w:r w:rsidR="0086253C">
        <w:rPr>
          <w:rFonts w:ascii="Arial" w:hAnsi="Arial" w:cs="Arial"/>
          <w:sz w:val="20"/>
          <w:szCs w:val="20"/>
        </w:rPr>
        <w:t>a</w:t>
      </w:r>
      <w:r w:rsidR="001A6B25">
        <w:rPr>
          <w:rFonts w:ascii="Arial" w:hAnsi="Arial" w:cs="Arial"/>
          <w:sz w:val="20"/>
          <w:szCs w:val="20"/>
        </w:rPr>
        <w:t xml:space="preserve"> i v roce 2014 na krajské úrovni zajišťována zejména na základě spolupráce jednotlivých krajských oddělení IS, v rámci tzv. specializací, což prakticky znamená, že každé oddělení IS je zaměřeno na určitou oblast statistiky, za kterou zpracovává podklady pro poskytování informací, publikační činnost a zveřejňování informací </w:t>
      </w:r>
      <w:r w:rsidR="003A1FB6">
        <w:rPr>
          <w:rFonts w:ascii="Arial" w:hAnsi="Arial" w:cs="Arial"/>
          <w:sz w:val="20"/>
          <w:szCs w:val="20"/>
        </w:rPr>
        <w:t xml:space="preserve">na internetu </w:t>
      </w:r>
      <w:r w:rsidR="001A6B25">
        <w:rPr>
          <w:rFonts w:ascii="Arial" w:hAnsi="Arial" w:cs="Arial"/>
          <w:sz w:val="20"/>
          <w:szCs w:val="20"/>
        </w:rPr>
        <w:t>pro ostatní oddělení.</w:t>
      </w:r>
    </w:p>
    <w:p w:rsidR="00490E53" w:rsidRDefault="0086253C" w:rsidP="00862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2014 byla činnost krajských oddělení IS zaměřena především na poskytování informací širokému okruhu uživatelů, publikační a prezentační činnost</w:t>
      </w:r>
      <w:r w:rsidR="007A2EFA">
        <w:rPr>
          <w:rFonts w:ascii="Arial" w:hAnsi="Arial" w:cs="Arial"/>
          <w:sz w:val="20"/>
          <w:szCs w:val="20"/>
        </w:rPr>
        <w:t xml:space="preserve">, správu a aktualizaci krajských internetových stránek a spolupráci na zavedení nových systémů připravovaných v rámci projektu Redesign SIS. </w:t>
      </w:r>
      <w:r w:rsidR="00490E53">
        <w:rPr>
          <w:rFonts w:ascii="Arial" w:hAnsi="Arial" w:cs="Arial"/>
          <w:sz w:val="20"/>
          <w:szCs w:val="20"/>
        </w:rPr>
        <w:t>Pokračovala rovněž vzájemná spolupráce s orgány státní správy a samosprávy na r</w:t>
      </w:r>
      <w:r w:rsidR="00E16619">
        <w:rPr>
          <w:rFonts w:ascii="Arial" w:hAnsi="Arial" w:cs="Arial"/>
          <w:sz w:val="20"/>
          <w:szCs w:val="20"/>
        </w:rPr>
        <w:t>e</w:t>
      </w:r>
      <w:r w:rsidR="00490E53">
        <w:rPr>
          <w:rFonts w:ascii="Arial" w:hAnsi="Arial" w:cs="Arial"/>
          <w:sz w:val="20"/>
          <w:szCs w:val="20"/>
        </w:rPr>
        <w:t>gionální úrovni. Jednalo se především o krajské úřady (s nimiž jsou uzavřeny dohody o spolupráci</w:t>
      </w:r>
      <w:r w:rsidR="0080184B">
        <w:rPr>
          <w:rFonts w:ascii="Arial" w:hAnsi="Arial" w:cs="Arial"/>
          <w:sz w:val="20"/>
          <w:szCs w:val="20"/>
        </w:rPr>
        <w:t>), ale i úřady práce, hasičský záchranný sbor, městské a obecní úřady.</w:t>
      </w:r>
      <w:r w:rsidR="00490E53">
        <w:rPr>
          <w:rFonts w:ascii="Arial" w:hAnsi="Arial" w:cs="Arial"/>
          <w:sz w:val="20"/>
          <w:szCs w:val="20"/>
        </w:rPr>
        <w:t xml:space="preserve">  </w:t>
      </w:r>
    </w:p>
    <w:p w:rsidR="00490E53" w:rsidRDefault="00490E53" w:rsidP="0086253C">
      <w:pPr>
        <w:jc w:val="both"/>
        <w:rPr>
          <w:rFonts w:ascii="Arial" w:hAnsi="Arial" w:cs="Arial"/>
          <w:sz w:val="20"/>
          <w:szCs w:val="20"/>
        </w:rPr>
      </w:pPr>
    </w:p>
    <w:p w:rsidR="007A2EFA" w:rsidRDefault="007A2EFA" w:rsidP="00862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volebnímu roku byla převážná část pracovníků oddělení IS zapojena také do zpracování výsledků voleb, a to na všech úrovních zpracování.</w:t>
      </w:r>
    </w:p>
    <w:p w:rsidR="007A2EFA" w:rsidRDefault="007A2EFA" w:rsidP="0086253C">
      <w:pPr>
        <w:jc w:val="both"/>
        <w:rPr>
          <w:rFonts w:ascii="Arial" w:hAnsi="Arial" w:cs="Arial"/>
          <w:sz w:val="20"/>
          <w:szCs w:val="20"/>
        </w:rPr>
      </w:pPr>
    </w:p>
    <w:p w:rsidR="007A2EFA" w:rsidRDefault="007A2EFA" w:rsidP="0086253C">
      <w:pPr>
        <w:jc w:val="both"/>
        <w:rPr>
          <w:rFonts w:ascii="Arial" w:hAnsi="Arial" w:cs="Arial"/>
          <w:sz w:val="20"/>
          <w:szCs w:val="20"/>
        </w:rPr>
      </w:pPr>
    </w:p>
    <w:p w:rsidR="00C00D33" w:rsidRDefault="00C00D33" w:rsidP="0086253C">
      <w:pPr>
        <w:jc w:val="both"/>
        <w:rPr>
          <w:rFonts w:ascii="Arial" w:hAnsi="Arial" w:cs="Arial"/>
          <w:sz w:val="20"/>
          <w:szCs w:val="20"/>
        </w:rPr>
      </w:pPr>
    </w:p>
    <w:p w:rsidR="00C00D33" w:rsidRDefault="00C00D33" w:rsidP="0086253C">
      <w:pPr>
        <w:jc w:val="both"/>
        <w:rPr>
          <w:rFonts w:ascii="Arial" w:hAnsi="Arial" w:cs="Arial"/>
          <w:sz w:val="20"/>
          <w:szCs w:val="20"/>
        </w:rPr>
      </w:pPr>
    </w:p>
    <w:p w:rsidR="007A2EFA" w:rsidRPr="00461BB2" w:rsidRDefault="007A2EFA" w:rsidP="0086253C">
      <w:pPr>
        <w:jc w:val="both"/>
        <w:rPr>
          <w:rFonts w:ascii="Arial" w:hAnsi="Arial" w:cs="Arial"/>
          <w:b/>
          <w:sz w:val="20"/>
          <w:szCs w:val="20"/>
        </w:rPr>
      </w:pPr>
      <w:r w:rsidRPr="00461BB2">
        <w:rPr>
          <w:rFonts w:ascii="Arial" w:hAnsi="Arial" w:cs="Arial"/>
          <w:b/>
          <w:sz w:val="20"/>
          <w:szCs w:val="20"/>
        </w:rPr>
        <w:t xml:space="preserve">Poskytování informací </w:t>
      </w:r>
    </w:p>
    <w:p w:rsidR="00461BB2" w:rsidRDefault="007A2EFA" w:rsidP="008625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Krajská pracoviště IS zodpověděla v roce 2014 na </w:t>
      </w:r>
      <w:r w:rsidRPr="005723C2">
        <w:rPr>
          <w:rFonts w:ascii="Arial" w:hAnsi="Arial" w:cs="Arial"/>
          <w:b/>
          <w:sz w:val="20"/>
          <w:szCs w:val="20"/>
        </w:rPr>
        <w:t>více než 8 300 dotazů a požadavků</w:t>
      </w:r>
      <w:r w:rsidR="00461BB2">
        <w:rPr>
          <w:rFonts w:ascii="Arial" w:hAnsi="Arial" w:cs="Arial"/>
          <w:sz w:val="20"/>
          <w:szCs w:val="20"/>
        </w:rPr>
        <w:t>, tedy téměř 47% z celkového počtu požadavků, které směřovaly na ČSÚ</w:t>
      </w:r>
      <w:r>
        <w:rPr>
          <w:rFonts w:ascii="Arial" w:hAnsi="Arial" w:cs="Arial"/>
          <w:sz w:val="20"/>
          <w:szCs w:val="20"/>
        </w:rPr>
        <w:t>. Ve srovnání s minulými lety jde</w:t>
      </w:r>
      <w:r w:rsidR="00461BB2">
        <w:rPr>
          <w:rFonts w:ascii="Arial" w:hAnsi="Arial" w:cs="Arial"/>
          <w:sz w:val="20"/>
          <w:szCs w:val="20"/>
        </w:rPr>
        <w:t xml:space="preserve"> o mírný pokles, který je způsoben především zvyšující se dostupností informací na internetových stránkách a na druhé straně také omezením některých poskytovaných služeb např. zrušením poskytování výpisu o přidělení IČO v souvislosti se zavedením registrů státní správy a </w:t>
      </w:r>
      <w:r w:rsidR="003A1FB6">
        <w:rPr>
          <w:rFonts w:ascii="Arial" w:hAnsi="Arial" w:cs="Arial"/>
          <w:sz w:val="20"/>
          <w:szCs w:val="20"/>
        </w:rPr>
        <w:t>postupným odezníváním</w:t>
      </w:r>
      <w:r w:rsidR="00461BB2">
        <w:rPr>
          <w:rFonts w:ascii="Arial" w:hAnsi="Arial" w:cs="Arial"/>
          <w:sz w:val="20"/>
          <w:szCs w:val="20"/>
        </w:rPr>
        <w:t xml:space="preserve"> </w:t>
      </w:r>
      <w:r w:rsidR="003A1FB6">
        <w:rPr>
          <w:rFonts w:ascii="Arial" w:hAnsi="Arial" w:cs="Arial"/>
          <w:sz w:val="20"/>
          <w:szCs w:val="20"/>
        </w:rPr>
        <w:t xml:space="preserve">požadavků na data ze </w:t>
      </w:r>
      <w:r w:rsidR="00461BB2">
        <w:rPr>
          <w:rFonts w:ascii="Arial" w:hAnsi="Arial" w:cs="Arial"/>
          <w:sz w:val="20"/>
          <w:szCs w:val="20"/>
        </w:rPr>
        <w:t>SLDB</w:t>
      </w:r>
      <w:r w:rsidR="003A1FB6">
        <w:rPr>
          <w:rFonts w:ascii="Arial" w:hAnsi="Arial" w:cs="Arial"/>
          <w:sz w:val="20"/>
          <w:szCs w:val="20"/>
        </w:rPr>
        <w:t xml:space="preserve"> 2011</w:t>
      </w:r>
      <w:r w:rsidR="00461BB2">
        <w:rPr>
          <w:rFonts w:ascii="Arial" w:hAnsi="Arial" w:cs="Arial"/>
          <w:sz w:val="20"/>
          <w:szCs w:val="20"/>
        </w:rPr>
        <w:t>.</w:t>
      </w:r>
      <w:r w:rsidR="0086253C">
        <w:rPr>
          <w:rFonts w:ascii="Arial" w:hAnsi="Arial" w:cs="Arial"/>
          <w:sz w:val="20"/>
          <w:szCs w:val="20"/>
        </w:rPr>
        <w:t xml:space="preserve"> </w:t>
      </w:r>
    </w:p>
    <w:p w:rsidR="00461BB2" w:rsidRDefault="00461BB2" w:rsidP="0086253C">
      <w:pPr>
        <w:jc w:val="both"/>
        <w:rPr>
          <w:rFonts w:ascii="Arial" w:hAnsi="Arial" w:cs="Arial"/>
          <w:sz w:val="20"/>
          <w:szCs w:val="20"/>
        </w:rPr>
      </w:pPr>
    </w:p>
    <w:p w:rsidR="001A6B25" w:rsidRDefault="00461BB2" w:rsidP="00C00D33">
      <w:pPr>
        <w:jc w:val="both"/>
        <w:rPr>
          <w:rFonts w:ascii="Arial" w:hAnsi="Arial" w:cs="Arial"/>
          <w:sz w:val="20"/>
          <w:szCs w:val="20"/>
        </w:rPr>
      </w:pPr>
      <w:r w:rsidRPr="00461B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61610" cy="2186940"/>
            <wp:effectExtent l="19050" t="0" r="15240" b="381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238" w:rsidRDefault="00DB3238">
      <w:pPr>
        <w:rPr>
          <w:rFonts w:ascii="Arial" w:hAnsi="Arial" w:cs="Arial"/>
          <w:sz w:val="20"/>
          <w:szCs w:val="20"/>
        </w:rPr>
      </w:pPr>
    </w:p>
    <w:p w:rsidR="00C00D33" w:rsidRDefault="00C00D33">
      <w:pPr>
        <w:rPr>
          <w:rFonts w:ascii="Arial" w:hAnsi="Arial" w:cs="Arial"/>
          <w:sz w:val="20"/>
          <w:szCs w:val="20"/>
        </w:rPr>
      </w:pPr>
    </w:p>
    <w:p w:rsidR="00C00D33" w:rsidRDefault="00C00D33">
      <w:pPr>
        <w:rPr>
          <w:rFonts w:ascii="Arial" w:hAnsi="Arial" w:cs="Arial"/>
          <w:sz w:val="20"/>
          <w:szCs w:val="20"/>
        </w:rPr>
      </w:pPr>
    </w:p>
    <w:p w:rsidR="00C00D33" w:rsidRDefault="00C00D33">
      <w:pPr>
        <w:rPr>
          <w:rFonts w:ascii="Arial" w:hAnsi="Arial" w:cs="Arial"/>
          <w:sz w:val="20"/>
          <w:szCs w:val="20"/>
        </w:rPr>
      </w:pPr>
    </w:p>
    <w:p w:rsidR="001A6B25" w:rsidRDefault="00DA287D" w:rsidP="00DB32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Evidenční systémy</w:t>
      </w:r>
      <w:r w:rsidR="00904AE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C4073">
        <w:rPr>
          <w:rFonts w:ascii="Arial" w:hAnsi="Arial" w:cs="Arial"/>
          <w:sz w:val="20"/>
          <w:szCs w:val="20"/>
        </w:rPr>
        <w:t>pou</w:t>
      </w:r>
      <w:r>
        <w:rPr>
          <w:rFonts w:ascii="Arial" w:hAnsi="Arial" w:cs="Arial"/>
          <w:sz w:val="20"/>
          <w:szCs w:val="20"/>
        </w:rPr>
        <w:t>žívané</w:t>
      </w:r>
      <w:r w:rsidR="00065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7B3A5C">
        <w:rPr>
          <w:rFonts w:ascii="Arial" w:hAnsi="Arial" w:cs="Arial"/>
          <w:sz w:val="20"/>
          <w:szCs w:val="20"/>
        </w:rPr>
        <w:t xml:space="preserve"> </w:t>
      </w:r>
      <w:r w:rsidR="00F87FB0"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umožňují získat informac</w:t>
      </w:r>
      <w:r w:rsidR="00904AE7">
        <w:rPr>
          <w:rFonts w:ascii="Arial" w:hAnsi="Arial" w:cs="Arial"/>
          <w:sz w:val="20"/>
          <w:szCs w:val="20"/>
        </w:rPr>
        <w:t>e nejen o počtu poskytnutých dotazů, ale také např. o</w:t>
      </w:r>
      <w:r>
        <w:rPr>
          <w:rFonts w:ascii="Arial" w:hAnsi="Arial" w:cs="Arial"/>
          <w:sz w:val="20"/>
          <w:szCs w:val="20"/>
        </w:rPr>
        <w:t xml:space="preserve"> </w:t>
      </w:r>
      <w:r w:rsidRPr="00DA287D">
        <w:rPr>
          <w:rFonts w:ascii="Arial" w:hAnsi="Arial" w:cs="Arial"/>
          <w:b/>
          <w:sz w:val="20"/>
          <w:szCs w:val="20"/>
        </w:rPr>
        <w:t>struktuře zákazníků</w:t>
      </w:r>
      <w:r>
        <w:rPr>
          <w:rFonts w:ascii="Arial" w:hAnsi="Arial" w:cs="Arial"/>
          <w:sz w:val="20"/>
          <w:szCs w:val="20"/>
        </w:rPr>
        <w:t xml:space="preserve">, kteří se obracejí na pracoviště informačních služeb. </w:t>
      </w:r>
      <w:r w:rsidR="00F87FB0">
        <w:rPr>
          <w:rFonts w:ascii="Arial" w:hAnsi="Arial" w:cs="Arial"/>
          <w:sz w:val="20"/>
          <w:szCs w:val="20"/>
        </w:rPr>
        <w:t>Nejvíce je jich z řad podnikatelských subjektů a občanů, následuje samospráva, sdružení a neziskové organizace, studenti a státní správa.</w:t>
      </w:r>
    </w:p>
    <w:p w:rsidR="00DA287D" w:rsidRPr="0045307A" w:rsidRDefault="00DA287D">
      <w:pPr>
        <w:rPr>
          <w:rFonts w:ascii="Arial" w:hAnsi="Arial" w:cs="Arial"/>
          <w:sz w:val="20"/>
          <w:szCs w:val="20"/>
        </w:rPr>
      </w:pPr>
    </w:p>
    <w:p w:rsidR="0045307A" w:rsidRDefault="00DA287D">
      <w:r w:rsidRPr="00DA287D">
        <w:rPr>
          <w:noProof/>
        </w:rPr>
        <w:lastRenderedPageBreak/>
        <w:drawing>
          <wp:inline distT="0" distB="0" distL="0" distR="0">
            <wp:extent cx="5802630" cy="2887980"/>
            <wp:effectExtent l="19050" t="0" r="26670" b="762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07A" w:rsidRDefault="0045307A"/>
    <w:p w:rsidR="00174207" w:rsidRDefault="00174207">
      <w:pPr>
        <w:rPr>
          <w:rFonts w:ascii="Arial" w:hAnsi="Arial" w:cs="Arial"/>
          <w:sz w:val="20"/>
          <w:szCs w:val="20"/>
        </w:rPr>
      </w:pPr>
    </w:p>
    <w:p w:rsidR="00BA16FE" w:rsidRDefault="00904AE7">
      <w:pPr>
        <w:rPr>
          <w:rFonts w:ascii="Arial" w:hAnsi="Arial" w:cs="Arial"/>
          <w:sz w:val="20"/>
          <w:szCs w:val="20"/>
        </w:rPr>
      </w:pPr>
      <w:r w:rsidRPr="00904AE7">
        <w:rPr>
          <w:rFonts w:ascii="Arial" w:hAnsi="Arial" w:cs="Arial"/>
          <w:sz w:val="20"/>
          <w:szCs w:val="20"/>
        </w:rPr>
        <w:t>V roce 2014</w:t>
      </w:r>
      <w:r>
        <w:rPr>
          <w:rFonts w:ascii="Arial" w:hAnsi="Arial" w:cs="Arial"/>
          <w:sz w:val="20"/>
          <w:szCs w:val="20"/>
        </w:rPr>
        <w:t xml:space="preserve"> zákazníci informačních služeb KS nejv</w:t>
      </w:r>
      <w:r w:rsidR="00174207">
        <w:rPr>
          <w:rFonts w:ascii="Arial" w:hAnsi="Arial" w:cs="Arial"/>
          <w:sz w:val="20"/>
          <w:szCs w:val="20"/>
        </w:rPr>
        <w:t xml:space="preserve">íce požadovali hotové výstupy a speciální výstupy </w:t>
      </w:r>
      <w:r w:rsidR="00304887">
        <w:rPr>
          <w:rFonts w:ascii="Arial" w:hAnsi="Arial" w:cs="Arial"/>
          <w:sz w:val="20"/>
          <w:szCs w:val="20"/>
        </w:rPr>
        <w:t xml:space="preserve">připravené </w:t>
      </w:r>
      <w:r w:rsidR="00174207">
        <w:rPr>
          <w:rFonts w:ascii="Arial" w:hAnsi="Arial" w:cs="Arial"/>
          <w:sz w:val="20"/>
          <w:szCs w:val="20"/>
        </w:rPr>
        <w:t>na zakázku.</w:t>
      </w:r>
      <w:r w:rsidR="00490E53">
        <w:rPr>
          <w:rFonts w:ascii="Arial" w:hAnsi="Arial" w:cs="Arial"/>
          <w:sz w:val="20"/>
          <w:szCs w:val="20"/>
        </w:rPr>
        <w:t xml:space="preserve"> Při samotném vyřizování zakázek v mnoha případech n</w:t>
      </w:r>
      <w:r w:rsidR="00BA16FE">
        <w:rPr>
          <w:rFonts w:ascii="Arial" w:hAnsi="Arial" w:cs="Arial"/>
          <w:sz w:val="20"/>
          <w:szCs w:val="20"/>
        </w:rPr>
        <w:t>e</w:t>
      </w:r>
      <w:r w:rsidR="00490E53">
        <w:rPr>
          <w:rFonts w:ascii="Arial" w:hAnsi="Arial" w:cs="Arial"/>
          <w:sz w:val="20"/>
          <w:szCs w:val="20"/>
        </w:rPr>
        <w:t>šlo o pouhé poskytnutí dat, ale v řadě př</w:t>
      </w:r>
      <w:r w:rsidR="00C00D33">
        <w:rPr>
          <w:rFonts w:ascii="Arial" w:hAnsi="Arial" w:cs="Arial"/>
          <w:sz w:val="20"/>
          <w:szCs w:val="20"/>
        </w:rPr>
        <w:t>ípadů i nalezení vhodných údajů</w:t>
      </w:r>
      <w:r w:rsidR="00490E53">
        <w:rPr>
          <w:rFonts w:ascii="Arial" w:hAnsi="Arial" w:cs="Arial"/>
          <w:sz w:val="20"/>
          <w:szCs w:val="20"/>
        </w:rPr>
        <w:t xml:space="preserve"> k řešení požadavku zákazníka, vysvětlení metodiky a relevantnosti dat.</w:t>
      </w:r>
    </w:p>
    <w:p w:rsidR="00BA16FE" w:rsidRDefault="00BA1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Pracovníci IS krajských správ spolupracovali v jednotlivých krajích na vyhodnocení</w:t>
      </w:r>
      <w:r w:rsidR="00FF1541">
        <w:rPr>
          <w:rFonts w:ascii="Arial" w:hAnsi="Arial" w:cs="Arial"/>
          <w:sz w:val="20"/>
          <w:szCs w:val="20"/>
        </w:rPr>
        <w:t xml:space="preserve"> programů rozvoje krajů za programové období 2008 až 2013 a na přípravě programů na období na roky 2014 až 2020, a to nejen na </w:t>
      </w:r>
      <w:proofErr w:type="spellStart"/>
      <w:r w:rsidR="00FF1541">
        <w:rPr>
          <w:rFonts w:ascii="Arial" w:hAnsi="Arial" w:cs="Arial"/>
          <w:sz w:val="20"/>
          <w:szCs w:val="20"/>
        </w:rPr>
        <w:t>celokrajské</w:t>
      </w:r>
      <w:proofErr w:type="spellEnd"/>
      <w:r w:rsidR="00FF1541">
        <w:rPr>
          <w:rFonts w:ascii="Arial" w:hAnsi="Arial" w:cs="Arial"/>
          <w:sz w:val="20"/>
          <w:szCs w:val="20"/>
        </w:rPr>
        <w:t xml:space="preserve"> úrovni, ale i na úrovni </w:t>
      </w:r>
      <w:proofErr w:type="spellStart"/>
      <w:r w:rsidR="00FF1541">
        <w:rPr>
          <w:rFonts w:ascii="Arial" w:hAnsi="Arial" w:cs="Arial"/>
          <w:sz w:val="20"/>
          <w:szCs w:val="20"/>
        </w:rPr>
        <w:t>mikroregionů</w:t>
      </w:r>
      <w:proofErr w:type="spellEnd"/>
      <w:r w:rsidR="00FF1541">
        <w:rPr>
          <w:rFonts w:ascii="Arial" w:hAnsi="Arial" w:cs="Arial"/>
          <w:sz w:val="20"/>
          <w:szCs w:val="20"/>
        </w:rPr>
        <w:t xml:space="preserve"> (místních akčních skupin – MAS). Kromě toho připravovali data i pro rozvojové dokumenty některých měst.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307A" w:rsidRDefault="0045307A">
      <w:pPr>
        <w:rPr>
          <w:rFonts w:ascii="Arial" w:hAnsi="Arial" w:cs="Arial"/>
          <w:sz w:val="20"/>
          <w:szCs w:val="20"/>
        </w:rPr>
      </w:pPr>
    </w:p>
    <w:p w:rsidR="00C00D33" w:rsidRPr="00904AE7" w:rsidRDefault="00C00D33">
      <w:pPr>
        <w:rPr>
          <w:rFonts w:ascii="Arial" w:hAnsi="Arial" w:cs="Arial"/>
          <w:sz w:val="20"/>
          <w:szCs w:val="20"/>
        </w:rPr>
      </w:pPr>
    </w:p>
    <w:p w:rsidR="0045307A" w:rsidRDefault="0045307A"/>
    <w:p w:rsidR="0045307A" w:rsidRDefault="00DB3238">
      <w:r w:rsidRPr="00DB3238">
        <w:rPr>
          <w:noProof/>
        </w:rPr>
        <w:drawing>
          <wp:inline distT="0" distB="0" distL="0" distR="0">
            <wp:extent cx="5760720" cy="2796540"/>
            <wp:effectExtent l="19050" t="0" r="11430" b="381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887" w:rsidRDefault="00304887"/>
    <w:p w:rsidR="00C00D33" w:rsidRDefault="00C00D33"/>
    <w:p w:rsidR="00F725E5" w:rsidRDefault="00F725E5">
      <w:pPr>
        <w:rPr>
          <w:rFonts w:ascii="Arial" w:hAnsi="Arial" w:cs="Arial"/>
          <w:sz w:val="20"/>
          <w:szCs w:val="20"/>
        </w:rPr>
      </w:pPr>
    </w:p>
    <w:p w:rsidR="00F725E5" w:rsidRDefault="00F725E5">
      <w:pPr>
        <w:rPr>
          <w:rFonts w:ascii="Arial" w:hAnsi="Arial" w:cs="Arial"/>
          <w:sz w:val="20"/>
          <w:szCs w:val="20"/>
        </w:rPr>
      </w:pPr>
    </w:p>
    <w:p w:rsidR="000658B4" w:rsidRDefault="000658B4">
      <w:pPr>
        <w:rPr>
          <w:rFonts w:ascii="Arial" w:hAnsi="Arial" w:cs="Arial"/>
          <w:sz w:val="20"/>
          <w:szCs w:val="20"/>
        </w:rPr>
      </w:pPr>
    </w:p>
    <w:p w:rsidR="000658B4" w:rsidRDefault="000658B4">
      <w:pPr>
        <w:rPr>
          <w:rFonts w:ascii="Arial" w:hAnsi="Arial" w:cs="Arial"/>
          <w:sz w:val="20"/>
          <w:szCs w:val="20"/>
        </w:rPr>
      </w:pPr>
    </w:p>
    <w:p w:rsidR="00F725E5" w:rsidRDefault="00F725E5">
      <w:pPr>
        <w:rPr>
          <w:rFonts w:ascii="Arial" w:hAnsi="Arial" w:cs="Arial"/>
          <w:sz w:val="20"/>
          <w:szCs w:val="20"/>
        </w:rPr>
      </w:pPr>
    </w:p>
    <w:p w:rsidR="00C00D33" w:rsidRDefault="00C00D33">
      <w:pPr>
        <w:rPr>
          <w:rFonts w:ascii="Arial" w:hAnsi="Arial" w:cs="Arial"/>
          <w:sz w:val="20"/>
          <w:szCs w:val="20"/>
        </w:rPr>
      </w:pPr>
    </w:p>
    <w:p w:rsidR="00F725E5" w:rsidRDefault="00F725E5" w:rsidP="00466236">
      <w:pPr>
        <w:jc w:val="both"/>
        <w:rPr>
          <w:rFonts w:ascii="Arial" w:hAnsi="Arial" w:cs="Arial"/>
          <w:b/>
          <w:sz w:val="20"/>
          <w:szCs w:val="20"/>
        </w:rPr>
      </w:pPr>
      <w:r w:rsidRPr="00B23772">
        <w:rPr>
          <w:rFonts w:ascii="Arial" w:hAnsi="Arial" w:cs="Arial"/>
          <w:b/>
          <w:sz w:val="20"/>
          <w:szCs w:val="20"/>
        </w:rPr>
        <w:lastRenderedPageBreak/>
        <w:t>Publikační činnost</w:t>
      </w:r>
    </w:p>
    <w:p w:rsidR="00B50C51" w:rsidRDefault="00B50C51" w:rsidP="00466236">
      <w:pPr>
        <w:jc w:val="both"/>
        <w:rPr>
          <w:rFonts w:ascii="Arial" w:hAnsi="Arial" w:cs="Arial"/>
          <w:sz w:val="20"/>
          <w:szCs w:val="20"/>
        </w:rPr>
      </w:pPr>
      <w:r w:rsidRPr="00B50C51">
        <w:rPr>
          <w:rFonts w:ascii="Arial" w:hAnsi="Arial" w:cs="Arial"/>
          <w:sz w:val="20"/>
          <w:szCs w:val="20"/>
        </w:rPr>
        <w:t xml:space="preserve">Publikační činnost oddělení IS KS byla </w:t>
      </w:r>
      <w:r>
        <w:rPr>
          <w:rFonts w:ascii="Arial" w:hAnsi="Arial" w:cs="Arial"/>
          <w:sz w:val="20"/>
          <w:szCs w:val="20"/>
        </w:rPr>
        <w:t xml:space="preserve">v minulých letech v důsledku racionalizačních opatření redukována, přesto krajské správy zajišťují každoročně vydávání </w:t>
      </w:r>
      <w:r w:rsidR="00BE3F9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„ závazných</w:t>
      </w:r>
      <w:r w:rsidR="00C00D33">
        <w:rPr>
          <w:rFonts w:ascii="Arial" w:hAnsi="Arial" w:cs="Arial"/>
          <w:sz w:val="20"/>
          <w:szCs w:val="20"/>
        </w:rPr>
        <w:t>“</w:t>
      </w:r>
      <w:r w:rsidR="00325E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titulů</w:t>
      </w:r>
      <w:r w:rsidR="00BE3F93">
        <w:rPr>
          <w:rFonts w:ascii="Arial" w:hAnsi="Arial" w:cs="Arial"/>
          <w:sz w:val="20"/>
          <w:szCs w:val="20"/>
        </w:rPr>
        <w:t>, a to 2 datových publikac</w:t>
      </w:r>
      <w:r w:rsidR="00FD3AB3">
        <w:rPr>
          <w:rFonts w:ascii="Arial" w:hAnsi="Arial" w:cs="Arial"/>
          <w:sz w:val="20"/>
          <w:szCs w:val="20"/>
        </w:rPr>
        <w:t>í</w:t>
      </w:r>
      <w:r w:rsidR="00BE3F93">
        <w:rPr>
          <w:rFonts w:ascii="Arial" w:hAnsi="Arial" w:cs="Arial"/>
          <w:sz w:val="20"/>
          <w:szCs w:val="20"/>
        </w:rPr>
        <w:t xml:space="preserve"> a jedné společné analýzy</w:t>
      </w:r>
      <w:r>
        <w:rPr>
          <w:rFonts w:ascii="Arial" w:hAnsi="Arial" w:cs="Arial"/>
          <w:sz w:val="20"/>
          <w:szCs w:val="20"/>
        </w:rPr>
        <w:t>.</w:t>
      </w:r>
    </w:p>
    <w:p w:rsidR="00772231" w:rsidRDefault="00B50C51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2014 to byla </w:t>
      </w:r>
      <w:r w:rsidRPr="005723C2">
        <w:rPr>
          <w:rFonts w:ascii="Arial" w:hAnsi="Arial" w:cs="Arial"/>
          <w:b/>
          <w:sz w:val="20"/>
          <w:szCs w:val="20"/>
        </w:rPr>
        <w:t>krajská statistická ročenka</w:t>
      </w:r>
      <w:r>
        <w:rPr>
          <w:rFonts w:ascii="Arial" w:hAnsi="Arial" w:cs="Arial"/>
          <w:sz w:val="20"/>
          <w:szCs w:val="20"/>
        </w:rPr>
        <w:t>, která byla vydána kromě elektronické podoby (</w:t>
      </w:r>
      <w:r w:rsidR="00BE3F93">
        <w:rPr>
          <w:rFonts w:ascii="Arial" w:hAnsi="Arial" w:cs="Arial"/>
          <w:sz w:val="20"/>
          <w:szCs w:val="20"/>
        </w:rPr>
        <w:t xml:space="preserve">internet a </w:t>
      </w:r>
      <w:r>
        <w:rPr>
          <w:rFonts w:ascii="Arial" w:hAnsi="Arial" w:cs="Arial"/>
          <w:sz w:val="20"/>
          <w:szCs w:val="20"/>
        </w:rPr>
        <w:t xml:space="preserve">CD) </w:t>
      </w:r>
      <w:r w:rsidR="00BE3F93">
        <w:rPr>
          <w:rFonts w:ascii="Arial" w:hAnsi="Arial" w:cs="Arial"/>
          <w:sz w:val="20"/>
          <w:szCs w:val="20"/>
        </w:rPr>
        <w:t xml:space="preserve">v omezeném rozsahu </w:t>
      </w:r>
      <w:r>
        <w:rPr>
          <w:rFonts w:ascii="Arial" w:hAnsi="Arial" w:cs="Arial"/>
          <w:sz w:val="20"/>
          <w:szCs w:val="20"/>
        </w:rPr>
        <w:t xml:space="preserve">také v tištěné podobě a </w:t>
      </w:r>
      <w:r w:rsidRPr="005723C2">
        <w:rPr>
          <w:rFonts w:ascii="Arial" w:hAnsi="Arial" w:cs="Arial"/>
          <w:b/>
          <w:sz w:val="20"/>
          <w:szCs w:val="20"/>
        </w:rPr>
        <w:t>krajský statistický bulletin</w:t>
      </w:r>
      <w:r w:rsidR="00BE3F93">
        <w:rPr>
          <w:rFonts w:ascii="Arial" w:hAnsi="Arial" w:cs="Arial"/>
          <w:sz w:val="20"/>
          <w:szCs w:val="20"/>
        </w:rPr>
        <w:t xml:space="preserve"> vydávaný čtvrtletně</w:t>
      </w:r>
      <w:r>
        <w:rPr>
          <w:rFonts w:ascii="Arial" w:hAnsi="Arial" w:cs="Arial"/>
          <w:sz w:val="20"/>
          <w:szCs w:val="20"/>
        </w:rPr>
        <w:t xml:space="preserve"> v elektronické podobě na internetu. Kromě těchto titulů byla do Katalogu produktů zařazena analyticky zaměřená publikace pod názvem </w:t>
      </w:r>
      <w:r w:rsidRPr="005723C2">
        <w:rPr>
          <w:rFonts w:ascii="Arial" w:hAnsi="Arial" w:cs="Arial"/>
          <w:b/>
          <w:sz w:val="20"/>
          <w:szCs w:val="20"/>
        </w:rPr>
        <w:t>Základní tendence demografického, sociálního a ekonomického vývoje kraje</w:t>
      </w:r>
      <w:r>
        <w:rPr>
          <w:rFonts w:ascii="Arial" w:hAnsi="Arial" w:cs="Arial"/>
          <w:sz w:val="20"/>
          <w:szCs w:val="20"/>
        </w:rPr>
        <w:t>, která navazovala na obdobnou publikaci vydanou v předchozích letech. Nad rámec těchto publikací, které vychází jednotně ve</w:t>
      </w:r>
      <w:r w:rsidR="00772231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šech krajích</w:t>
      </w:r>
      <w:r w:rsidR="00466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72231">
        <w:rPr>
          <w:rFonts w:ascii="Arial" w:hAnsi="Arial" w:cs="Arial"/>
          <w:sz w:val="20"/>
          <w:szCs w:val="20"/>
        </w:rPr>
        <w:t>vydalo několik krajů i další publikace, a to na základě poptávky uživatelů, či na základě spolupráce s různými institucemi.</w:t>
      </w:r>
    </w:p>
    <w:p w:rsidR="00772231" w:rsidRDefault="00772231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Přehled všech publikací vydaných v krajích v roce 2014 je možné najít na adrese:</w:t>
      </w:r>
      <w:r w:rsidRPr="00772231">
        <w:t xml:space="preserve"> </w:t>
      </w:r>
      <w:hyperlink r:id="rId11" w:history="1">
        <w:r w:rsidRPr="00AA1465">
          <w:rPr>
            <w:rStyle w:val="Hypertextovodkaz"/>
            <w:rFonts w:ascii="Arial" w:hAnsi="Arial" w:cs="Arial"/>
            <w:sz w:val="20"/>
            <w:szCs w:val="20"/>
          </w:rPr>
          <w:t>http://www.czso.cz/csu/produkty.nsf/kraje?openform&amp;:2014</w:t>
        </w:r>
      </w:hyperlink>
    </w:p>
    <w:p w:rsidR="00F725E5" w:rsidRDefault="00B50C51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725E5" w:rsidRPr="00B23772" w:rsidRDefault="00F725E5" w:rsidP="00466236">
      <w:pPr>
        <w:jc w:val="both"/>
        <w:rPr>
          <w:rFonts w:ascii="Arial" w:hAnsi="Arial" w:cs="Arial"/>
          <w:b/>
          <w:sz w:val="20"/>
          <w:szCs w:val="20"/>
        </w:rPr>
      </w:pPr>
      <w:r w:rsidRPr="00B23772">
        <w:rPr>
          <w:rFonts w:ascii="Arial" w:hAnsi="Arial" w:cs="Arial"/>
          <w:b/>
          <w:sz w:val="20"/>
          <w:szCs w:val="20"/>
        </w:rPr>
        <w:t>Prezentační činnost</w:t>
      </w:r>
    </w:p>
    <w:p w:rsidR="00B23772" w:rsidRDefault="00B23772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Prezentační činnost oddělení IS je zaměřena především na oblast prezentace </w:t>
      </w:r>
      <w:r w:rsidR="00FD3AB3">
        <w:rPr>
          <w:rFonts w:ascii="Arial" w:hAnsi="Arial" w:cs="Arial"/>
          <w:sz w:val="20"/>
          <w:szCs w:val="20"/>
        </w:rPr>
        <w:t xml:space="preserve">výsledků pravidelných statistických zjišťování a </w:t>
      </w:r>
      <w:r w:rsidR="00466236">
        <w:rPr>
          <w:rFonts w:ascii="Arial" w:hAnsi="Arial" w:cs="Arial"/>
          <w:sz w:val="20"/>
          <w:szCs w:val="20"/>
        </w:rPr>
        <w:t>mim</w:t>
      </w:r>
      <w:r>
        <w:rPr>
          <w:rFonts w:ascii="Arial" w:hAnsi="Arial" w:cs="Arial"/>
          <w:sz w:val="20"/>
          <w:szCs w:val="20"/>
        </w:rPr>
        <w:t>ořádných šetření</w:t>
      </w:r>
      <w:r w:rsidR="00FD3AB3">
        <w:rPr>
          <w:rFonts w:ascii="Arial" w:hAnsi="Arial" w:cs="Arial"/>
          <w:sz w:val="20"/>
          <w:szCs w:val="20"/>
        </w:rPr>
        <w:t xml:space="preserve"> (včetně jejich analýz)</w:t>
      </w:r>
      <w:r>
        <w:rPr>
          <w:rFonts w:ascii="Arial" w:hAnsi="Arial" w:cs="Arial"/>
          <w:sz w:val="20"/>
          <w:szCs w:val="20"/>
        </w:rPr>
        <w:t>, prezentace činnosti úřadu a prezentace titulů vzniklých v rámci publikační činnosti. Prezentační činnost je realizována formou pořádání prezentací pro odbornou veřejnost a studenty</w:t>
      </w:r>
      <w:r w:rsidR="00FD3AB3">
        <w:rPr>
          <w:rFonts w:ascii="Arial" w:hAnsi="Arial" w:cs="Arial"/>
          <w:sz w:val="20"/>
          <w:szCs w:val="20"/>
        </w:rPr>
        <w:t xml:space="preserve"> vysokých a středních škol</w:t>
      </w:r>
      <w:r>
        <w:rPr>
          <w:rFonts w:ascii="Arial" w:hAnsi="Arial" w:cs="Arial"/>
          <w:sz w:val="20"/>
          <w:szCs w:val="20"/>
        </w:rPr>
        <w:t>, pořádání tiskových konferencí a vydávání tiskových zpráv. Pro podporu prezentační i propagační činnosti jsou připravovány také různé materiály</w:t>
      </w:r>
      <w:r w:rsidR="00FD3AB3">
        <w:rPr>
          <w:rFonts w:ascii="Arial" w:hAnsi="Arial" w:cs="Arial"/>
          <w:sz w:val="20"/>
          <w:szCs w:val="20"/>
        </w:rPr>
        <w:t xml:space="preserve"> v elektronické i tištěné podobě</w:t>
      </w:r>
      <w:r>
        <w:rPr>
          <w:rFonts w:ascii="Arial" w:hAnsi="Arial" w:cs="Arial"/>
          <w:sz w:val="20"/>
          <w:szCs w:val="20"/>
        </w:rPr>
        <w:t xml:space="preserve">, např. </w:t>
      </w:r>
      <w:proofErr w:type="spellStart"/>
      <w:r>
        <w:rPr>
          <w:rFonts w:ascii="Arial" w:hAnsi="Arial" w:cs="Arial"/>
          <w:sz w:val="20"/>
          <w:szCs w:val="20"/>
        </w:rPr>
        <w:t>Infolisty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723C2" w:rsidRDefault="005723C2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Celkem oddělení IS KS v roce 2014 </w:t>
      </w:r>
      <w:r w:rsidR="00FD3AB3">
        <w:rPr>
          <w:rFonts w:ascii="Arial" w:hAnsi="Arial" w:cs="Arial"/>
          <w:sz w:val="20"/>
          <w:szCs w:val="20"/>
        </w:rPr>
        <w:t xml:space="preserve">připravila </w:t>
      </w:r>
      <w:r>
        <w:rPr>
          <w:rFonts w:ascii="Arial" w:hAnsi="Arial" w:cs="Arial"/>
          <w:sz w:val="20"/>
          <w:szCs w:val="20"/>
        </w:rPr>
        <w:t>43 prezentací, pro více než více 1</w:t>
      </w:r>
      <w:r w:rsidR="00FD3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900 účastníků.</w:t>
      </w:r>
    </w:p>
    <w:p w:rsidR="000658B4" w:rsidRDefault="000658B4" w:rsidP="00466236">
      <w:pPr>
        <w:jc w:val="both"/>
        <w:rPr>
          <w:rFonts w:ascii="Arial" w:hAnsi="Arial" w:cs="Arial"/>
          <w:b/>
          <w:sz w:val="20"/>
          <w:szCs w:val="20"/>
        </w:rPr>
      </w:pPr>
    </w:p>
    <w:p w:rsidR="00F725E5" w:rsidRPr="002C669F" w:rsidRDefault="00466236" w:rsidP="00466236">
      <w:pPr>
        <w:jc w:val="both"/>
        <w:rPr>
          <w:rFonts w:ascii="Arial" w:hAnsi="Arial" w:cs="Arial"/>
          <w:b/>
          <w:sz w:val="20"/>
          <w:szCs w:val="20"/>
        </w:rPr>
      </w:pPr>
      <w:r w:rsidRPr="002C669F">
        <w:rPr>
          <w:rFonts w:ascii="Arial" w:hAnsi="Arial" w:cs="Arial"/>
          <w:b/>
          <w:sz w:val="20"/>
          <w:szCs w:val="20"/>
        </w:rPr>
        <w:t>Krajské internetové stránky</w:t>
      </w:r>
    </w:p>
    <w:p w:rsidR="000A3DDC" w:rsidRDefault="000A3DDC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Úkolem krajských internetových stránek je prezentovat </w:t>
      </w:r>
      <w:r w:rsidR="00E02D1E">
        <w:rPr>
          <w:rFonts w:ascii="Arial" w:hAnsi="Arial" w:cs="Arial"/>
          <w:sz w:val="20"/>
          <w:szCs w:val="20"/>
        </w:rPr>
        <w:t xml:space="preserve">především </w:t>
      </w:r>
      <w:r>
        <w:rPr>
          <w:rFonts w:ascii="Arial" w:hAnsi="Arial" w:cs="Arial"/>
          <w:sz w:val="20"/>
          <w:szCs w:val="20"/>
        </w:rPr>
        <w:t>informace a data vztahující se k danému kraji.</w:t>
      </w:r>
      <w:r w:rsidR="00E02D1E">
        <w:rPr>
          <w:rFonts w:ascii="Arial" w:hAnsi="Arial" w:cs="Arial"/>
          <w:sz w:val="20"/>
          <w:szCs w:val="20"/>
        </w:rPr>
        <w:t xml:space="preserve"> Ve spolupráci s dalšími odděleními na krajské správě jsou na nich prezentovány také informace o statistických zjišťováních i pro jejich respondenty.</w:t>
      </w:r>
    </w:p>
    <w:p w:rsidR="000A3DDC" w:rsidRDefault="000A3DDC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krajských stránek byla v roce 2014 zajišťována pracovníky krajských oddělení IS v úzké spolupráci s oddělením internetu ústředí. Při aktualizaci krajských stránek byla důsledně využív</w:t>
      </w:r>
      <w:r w:rsidR="00E02D1E">
        <w:rPr>
          <w:rFonts w:ascii="Arial" w:hAnsi="Arial" w:cs="Arial"/>
          <w:sz w:val="20"/>
          <w:szCs w:val="20"/>
        </w:rPr>
        <w:t>ána</w:t>
      </w:r>
      <w:r>
        <w:rPr>
          <w:rFonts w:ascii="Arial" w:hAnsi="Arial" w:cs="Arial"/>
          <w:sz w:val="20"/>
          <w:szCs w:val="20"/>
        </w:rPr>
        <w:t xml:space="preserve"> tzv. specializace jednotlivých oddělení IS, v rámci níž je zajištěna aktualizace novými daty z dané oblasti z jednoho místa na všechny krajské stránky</w:t>
      </w:r>
      <w:r w:rsidR="00E02D1E">
        <w:rPr>
          <w:rFonts w:ascii="Arial" w:hAnsi="Arial" w:cs="Arial"/>
          <w:sz w:val="20"/>
          <w:szCs w:val="20"/>
        </w:rPr>
        <w:t>, a to buď přímo vložením dat na stránky všech krajů</w:t>
      </w:r>
      <w:r w:rsidR="00C00D33">
        <w:rPr>
          <w:rFonts w:ascii="Arial" w:hAnsi="Arial" w:cs="Arial"/>
          <w:sz w:val="20"/>
          <w:szCs w:val="20"/>
        </w:rPr>
        <w:t>,</w:t>
      </w:r>
      <w:r w:rsidR="00E02D1E">
        <w:rPr>
          <w:rFonts w:ascii="Arial" w:hAnsi="Arial" w:cs="Arial"/>
          <w:sz w:val="20"/>
          <w:szCs w:val="20"/>
        </w:rPr>
        <w:t xml:space="preserve"> nebo upozorněním, aby si příslušnou ak</w:t>
      </w:r>
      <w:r w:rsidR="00C00D33">
        <w:rPr>
          <w:rFonts w:ascii="Arial" w:hAnsi="Arial" w:cs="Arial"/>
          <w:sz w:val="20"/>
          <w:szCs w:val="20"/>
        </w:rPr>
        <w:t>t</w:t>
      </w:r>
      <w:r w:rsidR="00E02D1E">
        <w:rPr>
          <w:rFonts w:ascii="Arial" w:hAnsi="Arial" w:cs="Arial"/>
          <w:sz w:val="20"/>
          <w:szCs w:val="20"/>
        </w:rPr>
        <w:t>ualizaci provedly</w:t>
      </w:r>
      <w:r>
        <w:rPr>
          <w:rFonts w:ascii="Arial" w:hAnsi="Arial" w:cs="Arial"/>
          <w:sz w:val="20"/>
          <w:szCs w:val="20"/>
        </w:rPr>
        <w:t>.</w:t>
      </w:r>
    </w:p>
    <w:p w:rsidR="00A124F5" w:rsidRDefault="00A124F5" w:rsidP="00466236">
      <w:pPr>
        <w:jc w:val="both"/>
        <w:rPr>
          <w:rFonts w:ascii="Arial" w:hAnsi="Arial" w:cs="Arial"/>
          <w:sz w:val="20"/>
          <w:szCs w:val="20"/>
        </w:rPr>
      </w:pPr>
    </w:p>
    <w:p w:rsidR="00A124F5" w:rsidRDefault="00A124F5" w:rsidP="004662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Pravidelně je měřena návštěvnost krajských webů i některých nejdůležitějších stránek (pomocí </w:t>
      </w:r>
      <w:proofErr w:type="spellStart"/>
      <w:r>
        <w:rPr>
          <w:rFonts w:ascii="Arial" w:hAnsi="Arial" w:cs="Arial"/>
          <w:sz w:val="20"/>
          <w:szCs w:val="20"/>
        </w:rPr>
        <w:t>GoogleAnalytics</w:t>
      </w:r>
      <w:proofErr w:type="spellEnd"/>
      <w:r>
        <w:rPr>
          <w:rFonts w:ascii="Arial" w:hAnsi="Arial" w:cs="Arial"/>
          <w:sz w:val="20"/>
          <w:szCs w:val="20"/>
        </w:rPr>
        <w:t xml:space="preserve">). V roce 2014 </w:t>
      </w:r>
      <w:r w:rsidR="00150E63">
        <w:rPr>
          <w:rFonts w:ascii="Arial" w:hAnsi="Arial" w:cs="Arial"/>
          <w:sz w:val="20"/>
          <w:szCs w:val="20"/>
        </w:rPr>
        <w:t xml:space="preserve">bylo </w:t>
      </w:r>
      <w:r w:rsidR="00680E54">
        <w:rPr>
          <w:rFonts w:ascii="Arial" w:hAnsi="Arial" w:cs="Arial"/>
          <w:sz w:val="20"/>
          <w:szCs w:val="20"/>
        </w:rPr>
        <w:t xml:space="preserve">na krajských stránkách celkem </w:t>
      </w:r>
      <w:r w:rsidR="00150E63">
        <w:rPr>
          <w:rFonts w:ascii="Arial" w:hAnsi="Arial" w:cs="Arial"/>
          <w:sz w:val="20"/>
          <w:szCs w:val="20"/>
        </w:rPr>
        <w:t xml:space="preserve">zaznamenáno </w:t>
      </w:r>
      <w:r w:rsidR="00680E54">
        <w:rPr>
          <w:rFonts w:ascii="Arial" w:hAnsi="Arial" w:cs="Arial"/>
          <w:sz w:val="20"/>
          <w:szCs w:val="20"/>
        </w:rPr>
        <w:t>více než</w:t>
      </w:r>
      <w:r w:rsidR="00150E63">
        <w:rPr>
          <w:rFonts w:ascii="Arial" w:hAnsi="Arial" w:cs="Arial"/>
          <w:sz w:val="20"/>
          <w:szCs w:val="20"/>
        </w:rPr>
        <w:t xml:space="preserve"> 2,</w:t>
      </w:r>
      <w:r w:rsidR="00680E54">
        <w:rPr>
          <w:rFonts w:ascii="Arial" w:hAnsi="Arial" w:cs="Arial"/>
          <w:sz w:val="20"/>
          <w:szCs w:val="20"/>
        </w:rPr>
        <w:t>4</w:t>
      </w:r>
      <w:r w:rsidR="00150E63">
        <w:rPr>
          <w:rFonts w:ascii="Arial" w:hAnsi="Arial" w:cs="Arial"/>
          <w:sz w:val="20"/>
          <w:szCs w:val="20"/>
        </w:rPr>
        <w:t xml:space="preserve"> mil. </w:t>
      </w:r>
      <w:proofErr w:type="gramStart"/>
      <w:r w:rsidR="00325E72">
        <w:rPr>
          <w:rFonts w:ascii="Arial" w:hAnsi="Arial" w:cs="Arial"/>
          <w:sz w:val="20"/>
          <w:szCs w:val="20"/>
        </w:rPr>
        <w:t>n</w:t>
      </w:r>
      <w:r w:rsidR="00150E63">
        <w:rPr>
          <w:rFonts w:ascii="Arial" w:hAnsi="Arial" w:cs="Arial"/>
          <w:sz w:val="20"/>
          <w:szCs w:val="20"/>
        </w:rPr>
        <w:t>ávštěv</w:t>
      </w:r>
      <w:r w:rsidR="00325E72">
        <w:rPr>
          <w:rFonts w:ascii="Arial" w:hAnsi="Arial" w:cs="Arial"/>
          <w:sz w:val="20"/>
          <w:szCs w:val="20"/>
        </w:rPr>
        <w:t xml:space="preserve"> </w:t>
      </w:r>
      <w:r w:rsidR="00150E63">
        <w:rPr>
          <w:rFonts w:ascii="Arial" w:hAnsi="Arial" w:cs="Arial"/>
          <w:sz w:val="20"/>
          <w:szCs w:val="20"/>
        </w:rPr>
        <w:t>s</w:t>
      </w:r>
      <w:r w:rsidR="00680E54">
        <w:rPr>
          <w:rFonts w:ascii="Arial" w:hAnsi="Arial" w:cs="Arial"/>
          <w:sz w:val="20"/>
          <w:szCs w:val="20"/>
        </w:rPr>
        <w:t> 1.5</w:t>
      </w:r>
      <w:proofErr w:type="gramEnd"/>
      <w:r w:rsidR="00680E54">
        <w:rPr>
          <w:rFonts w:ascii="Arial" w:hAnsi="Arial" w:cs="Arial"/>
          <w:sz w:val="20"/>
          <w:szCs w:val="20"/>
        </w:rPr>
        <w:t xml:space="preserve"> mil. unikátními zobraz</w:t>
      </w:r>
      <w:r w:rsidR="00D87C71">
        <w:rPr>
          <w:rFonts w:ascii="Arial" w:hAnsi="Arial" w:cs="Arial"/>
          <w:sz w:val="20"/>
          <w:szCs w:val="20"/>
        </w:rPr>
        <w:t>e</w:t>
      </w:r>
      <w:r w:rsidR="00680E54">
        <w:rPr>
          <w:rFonts w:ascii="Arial" w:hAnsi="Arial" w:cs="Arial"/>
          <w:sz w:val="20"/>
          <w:szCs w:val="20"/>
        </w:rPr>
        <w:t>ními.</w:t>
      </w:r>
      <w:r w:rsidR="00D87C71">
        <w:rPr>
          <w:rFonts w:ascii="Arial" w:hAnsi="Arial" w:cs="Arial"/>
          <w:sz w:val="20"/>
          <w:szCs w:val="20"/>
        </w:rPr>
        <w:t xml:space="preserve"> Návštěvnost se tak v podstatě udržela na úrovni roku 2013.</w:t>
      </w:r>
      <w:r w:rsidR="00680E54">
        <w:rPr>
          <w:rFonts w:ascii="Arial" w:hAnsi="Arial" w:cs="Arial"/>
          <w:sz w:val="20"/>
          <w:szCs w:val="20"/>
        </w:rPr>
        <w:t xml:space="preserve"> </w:t>
      </w:r>
      <w:r w:rsidR="00150E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6236" w:rsidRDefault="000A3DDC" w:rsidP="00AA3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25E5" w:rsidRDefault="008810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Spolupráce se středními a vysokými školami</w:t>
      </w:r>
    </w:p>
    <w:p w:rsidR="008810C5" w:rsidRPr="000A3DDC" w:rsidRDefault="000A3DDC" w:rsidP="00C05056">
      <w:pPr>
        <w:jc w:val="both"/>
        <w:rPr>
          <w:rFonts w:ascii="Arial" w:hAnsi="Arial" w:cs="Arial"/>
          <w:sz w:val="20"/>
          <w:szCs w:val="20"/>
        </w:rPr>
      </w:pPr>
      <w:r w:rsidRPr="000A3DDC">
        <w:rPr>
          <w:rFonts w:ascii="Arial" w:hAnsi="Arial" w:cs="Arial"/>
          <w:sz w:val="20"/>
          <w:szCs w:val="20"/>
        </w:rPr>
        <w:t>Řada krajských správ dlouhodobě spolupracuje s</w:t>
      </w:r>
      <w:r w:rsidR="008810C5">
        <w:rPr>
          <w:rFonts w:ascii="Arial" w:hAnsi="Arial" w:cs="Arial"/>
          <w:sz w:val="20"/>
          <w:szCs w:val="20"/>
        </w:rPr>
        <w:t xml:space="preserve">e středními a </w:t>
      </w:r>
      <w:r w:rsidRPr="000A3DDC">
        <w:rPr>
          <w:rFonts w:ascii="Arial" w:hAnsi="Arial" w:cs="Arial"/>
          <w:sz w:val="20"/>
          <w:szCs w:val="20"/>
        </w:rPr>
        <w:t>vysokými školami, které mají působiště v jejich regionu.</w:t>
      </w:r>
      <w:r>
        <w:rPr>
          <w:rFonts w:ascii="Arial" w:hAnsi="Arial" w:cs="Arial"/>
          <w:sz w:val="20"/>
          <w:szCs w:val="20"/>
        </w:rPr>
        <w:t xml:space="preserve"> </w:t>
      </w:r>
      <w:r w:rsidR="00D87C71">
        <w:rPr>
          <w:rFonts w:ascii="Arial" w:hAnsi="Arial" w:cs="Arial"/>
          <w:sz w:val="20"/>
          <w:szCs w:val="20"/>
        </w:rPr>
        <w:t>S částí škol jsou o této spolupráci uzavřeny oficiální písemné dohody</w:t>
      </w:r>
      <w:r w:rsidR="00C05056">
        <w:rPr>
          <w:rFonts w:ascii="Arial" w:hAnsi="Arial" w:cs="Arial"/>
          <w:sz w:val="20"/>
          <w:szCs w:val="20"/>
        </w:rPr>
        <w:t>.</w:t>
      </w:r>
      <w:r w:rsidR="008810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Nově byla v roce 2014 uzavřena Dohoda o spolupráci mezi KS ČSÚ v Olomouci a Katedrou geografie,</w:t>
      </w:r>
      <w:r w:rsidR="008810C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řírodovědecké fakulty Uni</w:t>
      </w:r>
      <w:r w:rsidR="008810C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erzity P</w:t>
      </w:r>
      <w:r w:rsidR="008810C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lackého v</w:t>
      </w:r>
      <w:r w:rsidR="008810C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Olomouci</w:t>
      </w:r>
      <w:r w:rsidR="008810C5">
        <w:rPr>
          <w:rFonts w:ascii="Arial" w:hAnsi="Arial" w:cs="Arial"/>
          <w:sz w:val="20"/>
          <w:szCs w:val="20"/>
        </w:rPr>
        <w:t>.</w:t>
      </w:r>
      <w:r w:rsidR="00C05056">
        <w:rPr>
          <w:rFonts w:ascii="Arial" w:hAnsi="Arial" w:cs="Arial"/>
          <w:sz w:val="20"/>
          <w:szCs w:val="20"/>
        </w:rPr>
        <w:t xml:space="preserve"> </w:t>
      </w:r>
      <w:r w:rsidR="008810C5">
        <w:rPr>
          <w:rFonts w:ascii="Arial" w:hAnsi="Arial" w:cs="Arial"/>
          <w:sz w:val="20"/>
          <w:szCs w:val="20"/>
        </w:rPr>
        <w:t>Spolupráce se školami obou typů spočívala v roce 2014 zejména v poskytování informací studentům pro jejich práce, poskytování dat pro vědecké účely a v prezentaci dat a informací vznikajících v rámci činnosti ČSÚ.</w:t>
      </w:r>
      <w:r w:rsidR="007759CD">
        <w:rPr>
          <w:rFonts w:ascii="Arial" w:hAnsi="Arial" w:cs="Arial"/>
          <w:sz w:val="20"/>
          <w:szCs w:val="20"/>
        </w:rPr>
        <w:t xml:space="preserve"> </w:t>
      </w:r>
    </w:p>
    <w:p w:rsidR="002C669F" w:rsidRPr="002C669F" w:rsidRDefault="002C669F">
      <w:pPr>
        <w:rPr>
          <w:rFonts w:ascii="Arial" w:hAnsi="Arial" w:cs="Arial"/>
          <w:b/>
          <w:sz w:val="20"/>
          <w:szCs w:val="20"/>
        </w:rPr>
      </w:pPr>
    </w:p>
    <w:p w:rsidR="002A592C" w:rsidRDefault="002A592C">
      <w:pPr>
        <w:rPr>
          <w:rFonts w:ascii="Arial" w:hAnsi="Arial" w:cs="Arial"/>
          <w:b/>
          <w:sz w:val="20"/>
          <w:szCs w:val="20"/>
        </w:rPr>
      </w:pPr>
      <w:r w:rsidRPr="007C4073">
        <w:rPr>
          <w:rFonts w:ascii="Arial" w:hAnsi="Arial" w:cs="Arial"/>
          <w:b/>
          <w:sz w:val="20"/>
          <w:szCs w:val="20"/>
        </w:rPr>
        <w:t>Mezinárodní spolupráce</w:t>
      </w:r>
    </w:p>
    <w:p w:rsidR="008810C5" w:rsidRDefault="008810C5" w:rsidP="007C40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oblasti mezinárodní spolupráce v uplynulém roce zapojila řada krajských správ.</w:t>
      </w:r>
    </w:p>
    <w:p w:rsidR="008810C5" w:rsidRDefault="008810C5" w:rsidP="008810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svém aktivním působení v  rámci Euroregionu Nisa pokračovala KS ČSÚ v Liberci, která </w:t>
      </w:r>
      <w:r w:rsidRPr="002D44A6">
        <w:rPr>
          <w:rFonts w:ascii="Arial" w:hAnsi="Arial" w:cs="Arial"/>
          <w:sz w:val="20"/>
          <w:szCs w:val="20"/>
        </w:rPr>
        <w:t xml:space="preserve">se v rámci účasti v pracovní skupině EUREX zapojila do projektu s názvem </w:t>
      </w:r>
      <w:r w:rsidRPr="006878E5">
        <w:rPr>
          <w:rFonts w:ascii="Arial" w:hAnsi="Arial" w:cs="Arial"/>
          <w:i/>
          <w:sz w:val="20"/>
          <w:szCs w:val="20"/>
        </w:rPr>
        <w:t>„Lexikon základních pojmů v polské, české a německé statistice – metodická vysvětlení”</w:t>
      </w:r>
      <w:r w:rsidRPr="006878E5">
        <w:rPr>
          <w:rFonts w:ascii="Arial" w:hAnsi="Arial" w:cs="Arial"/>
          <w:sz w:val="20"/>
          <w:szCs w:val="20"/>
        </w:rPr>
        <w:t xml:space="preserve">, jehož hlavním úkolem </w:t>
      </w:r>
      <w:r>
        <w:rPr>
          <w:rFonts w:ascii="Arial" w:hAnsi="Arial" w:cs="Arial"/>
          <w:sz w:val="20"/>
          <w:szCs w:val="20"/>
        </w:rPr>
        <w:t>bylo</w:t>
      </w:r>
      <w:r w:rsidRPr="006878E5">
        <w:rPr>
          <w:rFonts w:ascii="Arial" w:hAnsi="Arial" w:cs="Arial"/>
          <w:sz w:val="20"/>
          <w:szCs w:val="20"/>
        </w:rPr>
        <w:t xml:space="preserve"> zpracování publikace obsahující definice ukazatelů popisujících </w:t>
      </w:r>
      <w:proofErr w:type="spellStart"/>
      <w:r w:rsidRPr="006878E5">
        <w:rPr>
          <w:rFonts w:ascii="Arial" w:hAnsi="Arial" w:cs="Arial"/>
          <w:sz w:val="20"/>
          <w:szCs w:val="20"/>
        </w:rPr>
        <w:t>socio</w:t>
      </w:r>
      <w:proofErr w:type="spellEnd"/>
      <w:r w:rsidRPr="006878E5">
        <w:rPr>
          <w:rFonts w:ascii="Arial" w:hAnsi="Arial" w:cs="Arial"/>
          <w:sz w:val="20"/>
          <w:szCs w:val="20"/>
        </w:rPr>
        <w:t xml:space="preserve"> – ekonomické jevy sledované polskou, českou a německou statistikou.</w:t>
      </w:r>
      <w:r>
        <w:rPr>
          <w:rFonts w:ascii="Arial" w:hAnsi="Arial" w:cs="Arial"/>
          <w:sz w:val="20"/>
          <w:szCs w:val="20"/>
        </w:rPr>
        <w:t xml:space="preserve"> Při přípravě této publikace spolupracovala rovněž KS ČSÚ v Ústí nad Labem a Hradci Králové. </w:t>
      </w:r>
    </w:p>
    <w:p w:rsidR="008810C5" w:rsidRDefault="008810C5" w:rsidP="008810C5">
      <w:pPr>
        <w:jc w:val="both"/>
        <w:rPr>
          <w:rFonts w:ascii="Arial" w:hAnsi="Arial" w:cs="Arial"/>
          <w:sz w:val="20"/>
          <w:szCs w:val="20"/>
        </w:rPr>
      </w:pPr>
      <w:r w:rsidRPr="006878E5">
        <w:rPr>
          <w:rFonts w:ascii="Arial" w:hAnsi="Arial" w:cs="Arial"/>
          <w:sz w:val="20"/>
          <w:szCs w:val="20"/>
        </w:rPr>
        <w:t xml:space="preserve">Dále pak v rámci spolupráce s Euroregionem </w:t>
      </w:r>
      <w:proofErr w:type="spellStart"/>
      <w:r w:rsidRPr="006878E5">
        <w:rPr>
          <w:rFonts w:ascii="Arial" w:hAnsi="Arial" w:cs="Arial"/>
          <w:sz w:val="20"/>
          <w:szCs w:val="20"/>
        </w:rPr>
        <w:t>Neisse</w:t>
      </w:r>
      <w:proofErr w:type="spellEnd"/>
      <w:r w:rsidRPr="006878E5">
        <w:rPr>
          <w:rFonts w:ascii="Arial" w:hAnsi="Arial" w:cs="Arial"/>
          <w:sz w:val="20"/>
          <w:szCs w:val="20"/>
        </w:rPr>
        <w:t>-</w:t>
      </w:r>
      <w:proofErr w:type="spellStart"/>
      <w:r w:rsidRPr="006878E5">
        <w:rPr>
          <w:rFonts w:ascii="Arial" w:hAnsi="Arial" w:cs="Arial"/>
          <w:sz w:val="20"/>
          <w:szCs w:val="20"/>
        </w:rPr>
        <w:t>Nisa</w:t>
      </w:r>
      <w:proofErr w:type="spellEnd"/>
      <w:r w:rsidRPr="006878E5">
        <w:rPr>
          <w:rFonts w:ascii="Arial" w:hAnsi="Arial" w:cs="Arial"/>
          <w:sz w:val="20"/>
          <w:szCs w:val="20"/>
        </w:rPr>
        <w:t>-</w:t>
      </w:r>
      <w:proofErr w:type="spellStart"/>
      <w:r w:rsidRPr="006878E5">
        <w:rPr>
          <w:rFonts w:ascii="Arial" w:hAnsi="Arial" w:cs="Arial"/>
          <w:sz w:val="20"/>
          <w:szCs w:val="20"/>
        </w:rPr>
        <w:t>Nysa</w:t>
      </w:r>
      <w:proofErr w:type="spellEnd"/>
      <w:r w:rsidRPr="006878E5">
        <w:rPr>
          <w:rFonts w:ascii="Arial" w:hAnsi="Arial" w:cs="Arial"/>
          <w:sz w:val="20"/>
          <w:szCs w:val="20"/>
        </w:rPr>
        <w:t xml:space="preserve">  připravila pro 16. zasedání Rady na téma „Euroregion z pohledu EUREX Statistika“ prezentaci</w:t>
      </w:r>
      <w:r w:rsidRPr="002D44A6">
        <w:rPr>
          <w:rFonts w:ascii="Arial" w:hAnsi="Arial" w:cs="Arial"/>
          <w:sz w:val="20"/>
          <w:szCs w:val="20"/>
        </w:rPr>
        <w:t xml:space="preserve"> </w:t>
      </w:r>
      <w:r w:rsidRPr="00465BDC">
        <w:rPr>
          <w:rFonts w:ascii="Arial" w:hAnsi="Arial" w:cs="Arial"/>
          <w:sz w:val="20"/>
          <w:szCs w:val="20"/>
        </w:rPr>
        <w:t>činnosti ČSÚ a následně pak v rámci setkání zá</w:t>
      </w:r>
      <w:r>
        <w:rPr>
          <w:rFonts w:ascii="Arial" w:hAnsi="Arial" w:cs="Arial"/>
          <w:sz w:val="20"/>
          <w:szCs w:val="20"/>
        </w:rPr>
        <w:t>stupců euroregionů působících v </w:t>
      </w:r>
      <w:proofErr w:type="spellStart"/>
      <w:r>
        <w:rPr>
          <w:rFonts w:ascii="Arial" w:hAnsi="Arial" w:cs="Arial"/>
          <w:sz w:val="20"/>
          <w:szCs w:val="20"/>
        </w:rPr>
        <w:t>ČR</w:t>
      </w:r>
      <w:r w:rsidRPr="00465BDC">
        <w:rPr>
          <w:rFonts w:ascii="Arial" w:hAnsi="Arial" w:cs="Arial"/>
          <w:sz w:val="20"/>
          <w:szCs w:val="20"/>
        </w:rPr>
        <w:t>v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465BDC">
        <w:rPr>
          <w:rFonts w:ascii="Arial" w:hAnsi="Arial" w:cs="Arial"/>
          <w:sz w:val="20"/>
          <w:szCs w:val="20"/>
        </w:rPr>
        <w:t>informovala</w:t>
      </w:r>
      <w:r>
        <w:rPr>
          <w:rFonts w:ascii="Arial" w:hAnsi="Arial" w:cs="Arial"/>
          <w:sz w:val="20"/>
          <w:szCs w:val="20"/>
        </w:rPr>
        <w:t xml:space="preserve"> </w:t>
      </w:r>
      <w:r w:rsidRPr="00465BDC">
        <w:rPr>
          <w:rFonts w:ascii="Arial" w:hAnsi="Arial" w:cs="Arial"/>
          <w:sz w:val="20"/>
          <w:szCs w:val="20"/>
        </w:rPr>
        <w:t>zástupce euroregionů o formách spolupráce mezi  KS ČSÚ v Liberci a ERN (činnost v expertní skupině EUREX Statistika - získávání dat, vytváření společných</w:t>
      </w:r>
      <w:r>
        <w:rPr>
          <w:rFonts w:ascii="Arial" w:hAnsi="Arial" w:cs="Arial"/>
          <w:sz w:val="20"/>
          <w:szCs w:val="20"/>
        </w:rPr>
        <w:t xml:space="preserve"> </w:t>
      </w:r>
      <w:r w:rsidRPr="00465BDC">
        <w:rPr>
          <w:rFonts w:ascii="Arial" w:hAnsi="Arial" w:cs="Arial"/>
          <w:sz w:val="20"/>
          <w:szCs w:val="20"/>
        </w:rPr>
        <w:t>výstupů, tvorba publikací atd.)</w:t>
      </w:r>
    </w:p>
    <w:p w:rsidR="007C4073" w:rsidRDefault="007C4073" w:rsidP="00D6308B">
      <w:pPr>
        <w:jc w:val="both"/>
        <w:rPr>
          <w:rFonts w:ascii="Arial" w:hAnsi="Arial" w:cs="Arial"/>
          <w:sz w:val="20"/>
          <w:szCs w:val="20"/>
        </w:rPr>
      </w:pPr>
      <w:r w:rsidRPr="001375EA">
        <w:rPr>
          <w:rFonts w:ascii="Arial" w:hAnsi="Arial" w:cs="Arial"/>
          <w:sz w:val="20"/>
          <w:szCs w:val="20"/>
        </w:rPr>
        <w:t>Krajsk</w:t>
      </w:r>
      <w:r w:rsidR="00511045">
        <w:rPr>
          <w:rFonts w:ascii="Arial" w:hAnsi="Arial" w:cs="Arial"/>
          <w:sz w:val="20"/>
          <w:szCs w:val="20"/>
        </w:rPr>
        <w:t>é</w:t>
      </w:r>
      <w:r w:rsidRPr="001375EA">
        <w:rPr>
          <w:rFonts w:ascii="Arial" w:hAnsi="Arial" w:cs="Arial"/>
          <w:sz w:val="20"/>
          <w:szCs w:val="20"/>
        </w:rPr>
        <w:t xml:space="preserve"> správ</w:t>
      </w:r>
      <w:r w:rsidR="00511045">
        <w:rPr>
          <w:rFonts w:ascii="Arial" w:hAnsi="Arial" w:cs="Arial"/>
          <w:sz w:val="20"/>
          <w:szCs w:val="20"/>
        </w:rPr>
        <w:t>y</w:t>
      </w:r>
      <w:r w:rsidRPr="001375EA">
        <w:rPr>
          <w:rFonts w:ascii="Arial" w:hAnsi="Arial" w:cs="Arial"/>
          <w:sz w:val="20"/>
          <w:szCs w:val="20"/>
        </w:rPr>
        <w:t xml:space="preserve"> ČSÚ z krajů Jihomoravského, Jihočeského a Kraje Vysočina </w:t>
      </w:r>
      <w:r w:rsidR="00511045">
        <w:rPr>
          <w:rFonts w:ascii="Arial" w:hAnsi="Arial" w:cs="Arial"/>
          <w:sz w:val="20"/>
          <w:szCs w:val="20"/>
        </w:rPr>
        <w:t xml:space="preserve">pokračovaly ve spolupráci </w:t>
      </w:r>
      <w:r w:rsidRPr="001375EA">
        <w:rPr>
          <w:rFonts w:ascii="Arial" w:hAnsi="Arial" w:cs="Arial"/>
          <w:sz w:val="20"/>
          <w:szCs w:val="20"/>
        </w:rPr>
        <w:t xml:space="preserve">na projektu </w:t>
      </w:r>
      <w:r>
        <w:rPr>
          <w:rFonts w:ascii="Arial" w:hAnsi="Arial" w:cs="Arial"/>
          <w:sz w:val="20"/>
          <w:szCs w:val="20"/>
        </w:rPr>
        <w:t xml:space="preserve">příhraniční region </w:t>
      </w:r>
      <w:proofErr w:type="spellStart"/>
      <w:r>
        <w:rPr>
          <w:rFonts w:ascii="Arial" w:hAnsi="Arial" w:cs="Arial"/>
          <w:sz w:val="20"/>
          <w:szCs w:val="20"/>
        </w:rPr>
        <w:t>Centrope</w:t>
      </w:r>
      <w:proofErr w:type="spellEnd"/>
      <w:r>
        <w:rPr>
          <w:rFonts w:ascii="Arial" w:hAnsi="Arial" w:cs="Arial"/>
          <w:sz w:val="20"/>
          <w:szCs w:val="20"/>
        </w:rPr>
        <w:t xml:space="preserve">, který byl vytvořen </w:t>
      </w:r>
      <w:r w:rsidRPr="001375E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rámci programu </w:t>
      </w:r>
      <w:proofErr w:type="spellStart"/>
      <w:r>
        <w:rPr>
          <w:rFonts w:ascii="Arial" w:hAnsi="Arial" w:cs="Arial"/>
          <w:sz w:val="20"/>
          <w:szCs w:val="20"/>
        </w:rPr>
        <w:t>Interreg</w:t>
      </w:r>
      <w:proofErr w:type="spellEnd"/>
      <w:r w:rsidR="00065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0658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IIIA m</w:t>
      </w:r>
      <w:r w:rsidRPr="001375EA">
        <w:rPr>
          <w:rFonts w:ascii="Arial" w:hAnsi="Arial" w:cs="Arial"/>
          <w:sz w:val="20"/>
          <w:szCs w:val="20"/>
        </w:rPr>
        <w:t>ezi Českou republikou, Slovenskem, Maďarskem a Rakouskem</w:t>
      </w:r>
      <w:r>
        <w:rPr>
          <w:rFonts w:ascii="Arial" w:hAnsi="Arial" w:cs="Arial"/>
          <w:sz w:val="20"/>
          <w:szCs w:val="20"/>
        </w:rPr>
        <w:t xml:space="preserve"> s cílem</w:t>
      </w:r>
      <w:r w:rsidRPr="001375EA">
        <w:rPr>
          <w:rFonts w:ascii="Arial" w:hAnsi="Arial" w:cs="Arial"/>
          <w:sz w:val="20"/>
          <w:szCs w:val="20"/>
        </w:rPr>
        <w:t xml:space="preserve"> získávání srovnatelných statistických informací o </w:t>
      </w:r>
      <w:r w:rsidRPr="001375EA">
        <w:rPr>
          <w:rFonts w:ascii="Arial" w:hAnsi="Arial" w:cs="Arial"/>
          <w:sz w:val="20"/>
          <w:szCs w:val="20"/>
        </w:rPr>
        <w:lastRenderedPageBreak/>
        <w:t xml:space="preserve">příhraničních územích zapojených zemí. V rámci regionu </w:t>
      </w:r>
      <w:proofErr w:type="spellStart"/>
      <w:r w:rsidRPr="001375EA">
        <w:rPr>
          <w:rFonts w:ascii="Arial" w:hAnsi="Arial" w:cs="Arial"/>
          <w:sz w:val="20"/>
          <w:szCs w:val="20"/>
        </w:rPr>
        <w:t>Centrope</w:t>
      </w:r>
      <w:proofErr w:type="spellEnd"/>
      <w:r w:rsidRPr="001375EA">
        <w:rPr>
          <w:rFonts w:ascii="Arial" w:hAnsi="Arial" w:cs="Arial"/>
          <w:sz w:val="20"/>
          <w:szCs w:val="20"/>
        </w:rPr>
        <w:t xml:space="preserve"> byla vytvořena databáze </w:t>
      </w:r>
      <w:proofErr w:type="spellStart"/>
      <w:r w:rsidRPr="001375EA">
        <w:rPr>
          <w:rFonts w:ascii="Arial" w:hAnsi="Arial" w:cs="Arial"/>
          <w:sz w:val="20"/>
          <w:szCs w:val="20"/>
        </w:rPr>
        <w:t>CentropeMAP</w:t>
      </w:r>
      <w:proofErr w:type="spellEnd"/>
      <w:r w:rsidRPr="001375E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375EA">
        <w:rPr>
          <w:rFonts w:ascii="Arial" w:hAnsi="Arial" w:cs="Arial"/>
          <w:sz w:val="20"/>
          <w:szCs w:val="20"/>
        </w:rPr>
        <w:t>Centrope</w:t>
      </w:r>
      <w:proofErr w:type="spellEnd"/>
      <w:r w:rsidRPr="001375EA">
        <w:rPr>
          <w:rFonts w:ascii="Arial" w:hAnsi="Arial" w:cs="Arial"/>
          <w:sz w:val="20"/>
          <w:szCs w:val="20"/>
        </w:rPr>
        <w:t xml:space="preserve"> STATISTICS. Datové sady jsou shromažďovány v časových řadách, takže vývoj v regionu může být znázorněn od roku 2001</w:t>
      </w:r>
      <w:r>
        <w:rPr>
          <w:rFonts w:ascii="Arial" w:hAnsi="Arial" w:cs="Arial"/>
          <w:sz w:val="20"/>
          <w:szCs w:val="20"/>
        </w:rPr>
        <w:t xml:space="preserve"> a to v oblastech </w:t>
      </w:r>
      <w:r w:rsidRPr="001375EA">
        <w:rPr>
          <w:rFonts w:ascii="Arial" w:hAnsi="Arial" w:cs="Arial"/>
          <w:sz w:val="20"/>
          <w:szCs w:val="20"/>
        </w:rPr>
        <w:t>demografick</w:t>
      </w:r>
      <w:r>
        <w:rPr>
          <w:rFonts w:ascii="Arial" w:hAnsi="Arial" w:cs="Arial"/>
          <w:sz w:val="20"/>
          <w:szCs w:val="20"/>
        </w:rPr>
        <w:t>é</w:t>
      </w:r>
      <w:r w:rsidRPr="001375EA">
        <w:rPr>
          <w:rFonts w:ascii="Arial" w:hAnsi="Arial" w:cs="Arial"/>
          <w:sz w:val="20"/>
          <w:szCs w:val="20"/>
        </w:rPr>
        <w:t xml:space="preserve"> statistik</w:t>
      </w:r>
      <w:r>
        <w:rPr>
          <w:rFonts w:ascii="Arial" w:hAnsi="Arial" w:cs="Arial"/>
          <w:sz w:val="20"/>
          <w:szCs w:val="20"/>
        </w:rPr>
        <w:t>y</w:t>
      </w:r>
      <w:r w:rsidRPr="001375EA">
        <w:rPr>
          <w:rFonts w:ascii="Arial" w:hAnsi="Arial" w:cs="Arial"/>
          <w:sz w:val="20"/>
          <w:szCs w:val="20"/>
        </w:rPr>
        <w:t xml:space="preserve"> včetně projekce obyvatelstva, využívání půdy, dat o zaměstnanosti a nezaměstnanosti, statistik</w:t>
      </w:r>
      <w:r>
        <w:rPr>
          <w:rFonts w:ascii="Arial" w:hAnsi="Arial" w:cs="Arial"/>
          <w:sz w:val="20"/>
          <w:szCs w:val="20"/>
        </w:rPr>
        <w:t>y</w:t>
      </w:r>
      <w:r w:rsidRPr="001375EA">
        <w:rPr>
          <w:rFonts w:ascii="Arial" w:hAnsi="Arial" w:cs="Arial"/>
          <w:sz w:val="20"/>
          <w:szCs w:val="20"/>
        </w:rPr>
        <w:t xml:space="preserve"> vzdělávání, cestovního ruchu nebo migrace</w:t>
      </w:r>
      <w:r>
        <w:rPr>
          <w:rFonts w:ascii="Arial" w:hAnsi="Arial" w:cs="Arial"/>
          <w:sz w:val="20"/>
          <w:szCs w:val="20"/>
        </w:rPr>
        <w:t xml:space="preserve">. </w:t>
      </w:r>
      <w:r w:rsidRPr="001375EA">
        <w:rPr>
          <w:rFonts w:ascii="Arial" w:hAnsi="Arial" w:cs="Arial"/>
          <w:sz w:val="20"/>
          <w:szCs w:val="20"/>
        </w:rPr>
        <w:t>V roce 2014 byla diskutována zejména problematika využití srovnatelných definitivních výsledků SLDB 2011 a údajů z oblasti zdravotní péče.</w:t>
      </w:r>
      <w:r w:rsidR="000A2FE2">
        <w:rPr>
          <w:rFonts w:ascii="Arial" w:hAnsi="Arial" w:cs="Arial"/>
          <w:sz w:val="20"/>
          <w:szCs w:val="20"/>
        </w:rPr>
        <w:t xml:space="preserve"> </w:t>
      </w:r>
      <w:r w:rsidR="00D6308B">
        <w:rPr>
          <w:rFonts w:ascii="Arial" w:hAnsi="Arial" w:cs="Arial"/>
          <w:sz w:val="20"/>
          <w:szCs w:val="20"/>
        </w:rPr>
        <w:t>Do databáze byla již zařazena data</w:t>
      </w:r>
      <w:r w:rsidR="00D6308B" w:rsidRPr="00D6308B">
        <w:rPr>
          <w:rFonts w:ascii="Arial" w:hAnsi="Arial" w:cs="Arial"/>
          <w:sz w:val="20"/>
          <w:szCs w:val="20"/>
        </w:rPr>
        <w:t xml:space="preserve"> ze SLDB 201</w:t>
      </w:r>
      <w:r w:rsidR="00D6308B">
        <w:rPr>
          <w:rFonts w:ascii="Arial" w:hAnsi="Arial" w:cs="Arial"/>
          <w:sz w:val="20"/>
          <w:szCs w:val="20"/>
        </w:rPr>
        <w:t>1</w:t>
      </w:r>
      <w:r w:rsidR="00D6308B" w:rsidRPr="00D6308B">
        <w:rPr>
          <w:rFonts w:ascii="Arial" w:hAnsi="Arial" w:cs="Arial"/>
          <w:sz w:val="20"/>
          <w:szCs w:val="20"/>
        </w:rPr>
        <w:t xml:space="preserve"> o struktuře obyvatelstva, ekonomické aktivitě, dojížďce a věkové struktuře domů a bytů</w:t>
      </w:r>
      <w:r w:rsidR="00D6308B">
        <w:rPr>
          <w:rFonts w:ascii="Arial" w:hAnsi="Arial" w:cs="Arial"/>
          <w:sz w:val="20"/>
          <w:szCs w:val="20"/>
        </w:rPr>
        <w:t>. V loňském roce krajské správy spolupracovaly na p</w:t>
      </w:r>
      <w:r w:rsidR="00D6308B" w:rsidRPr="00D6308B">
        <w:rPr>
          <w:rFonts w:ascii="Arial" w:hAnsi="Arial" w:cs="Arial"/>
          <w:sz w:val="20"/>
          <w:szCs w:val="20"/>
        </w:rPr>
        <w:t xml:space="preserve">řípravě 2 vydání </w:t>
      </w:r>
      <w:proofErr w:type="spellStart"/>
      <w:r w:rsidR="00D6308B" w:rsidRPr="00D6308B">
        <w:rPr>
          <w:rFonts w:ascii="Arial" w:hAnsi="Arial" w:cs="Arial"/>
          <w:sz w:val="20"/>
          <w:szCs w:val="20"/>
        </w:rPr>
        <w:t>newsletteru</w:t>
      </w:r>
      <w:proofErr w:type="spellEnd"/>
      <w:r w:rsidR="00C00D33">
        <w:rPr>
          <w:rFonts w:ascii="Arial" w:hAnsi="Arial" w:cs="Arial"/>
          <w:sz w:val="20"/>
          <w:szCs w:val="20"/>
        </w:rPr>
        <w:t>.</w:t>
      </w:r>
    </w:p>
    <w:p w:rsidR="007C4073" w:rsidRDefault="007C4073" w:rsidP="007C4073">
      <w:pPr>
        <w:jc w:val="both"/>
        <w:rPr>
          <w:rFonts w:ascii="Arial" w:hAnsi="Arial" w:cs="Arial"/>
          <w:sz w:val="20"/>
          <w:szCs w:val="20"/>
        </w:rPr>
      </w:pPr>
      <w:r w:rsidRPr="006878E5">
        <w:rPr>
          <w:rFonts w:ascii="Arial" w:hAnsi="Arial" w:cs="Arial"/>
          <w:sz w:val="20"/>
          <w:szCs w:val="20"/>
        </w:rPr>
        <w:t xml:space="preserve">Na základě spolupráce KS ČSÚ v Plzni s Krajským úřadem Plzeňského kraje se zástupci KS aktivně účastnily na Workshopech věnovaných tématu - Jak zajistit dostatek kvalifikovaných pracovníků pro region Horní </w:t>
      </w:r>
      <w:proofErr w:type="spellStart"/>
      <w:r w:rsidRPr="006878E5">
        <w:rPr>
          <w:rFonts w:ascii="Arial" w:hAnsi="Arial" w:cs="Arial"/>
          <w:sz w:val="20"/>
          <w:szCs w:val="20"/>
        </w:rPr>
        <w:t>Falcko</w:t>
      </w:r>
      <w:proofErr w:type="spellEnd"/>
      <w:r w:rsidRPr="006878E5">
        <w:rPr>
          <w:rFonts w:ascii="Arial" w:hAnsi="Arial" w:cs="Arial"/>
          <w:sz w:val="20"/>
          <w:szCs w:val="20"/>
        </w:rPr>
        <w:t xml:space="preserve"> a Plzeňský kraj.</w:t>
      </w:r>
    </w:p>
    <w:p w:rsidR="007C4073" w:rsidRDefault="007C4073" w:rsidP="007C40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C311C">
        <w:rPr>
          <w:rFonts w:ascii="Arial" w:hAnsi="Arial" w:cs="Arial"/>
          <w:sz w:val="20"/>
          <w:szCs w:val="20"/>
        </w:rPr>
        <w:t xml:space="preserve">ástupce KS  ČSÚ ve Zlíně </w:t>
      </w:r>
      <w:r>
        <w:rPr>
          <w:rFonts w:ascii="Arial" w:hAnsi="Arial" w:cs="Arial"/>
          <w:sz w:val="20"/>
          <w:szCs w:val="20"/>
        </w:rPr>
        <w:t>se zúčastnil jednání na</w:t>
      </w:r>
      <w:r w:rsidRPr="002C311C">
        <w:rPr>
          <w:rFonts w:ascii="Arial" w:hAnsi="Arial" w:cs="Arial"/>
          <w:sz w:val="20"/>
          <w:szCs w:val="20"/>
        </w:rPr>
        <w:t xml:space="preserve"> Slovenské</w:t>
      </w:r>
      <w:r>
        <w:rPr>
          <w:rFonts w:ascii="Arial" w:hAnsi="Arial" w:cs="Arial"/>
          <w:sz w:val="20"/>
          <w:szCs w:val="20"/>
        </w:rPr>
        <w:t>m</w:t>
      </w:r>
      <w:r w:rsidRPr="002C311C">
        <w:rPr>
          <w:rFonts w:ascii="Arial" w:hAnsi="Arial" w:cs="Arial"/>
          <w:sz w:val="20"/>
          <w:szCs w:val="20"/>
        </w:rPr>
        <w:t xml:space="preserve"> statistické</w:t>
      </w:r>
      <w:r>
        <w:rPr>
          <w:rFonts w:ascii="Arial" w:hAnsi="Arial" w:cs="Arial"/>
          <w:sz w:val="20"/>
          <w:szCs w:val="20"/>
        </w:rPr>
        <w:t>m</w:t>
      </w:r>
      <w:r w:rsidRPr="002C311C">
        <w:rPr>
          <w:rFonts w:ascii="Arial" w:hAnsi="Arial" w:cs="Arial"/>
          <w:sz w:val="20"/>
          <w:szCs w:val="20"/>
        </w:rPr>
        <w:t xml:space="preserve"> úřad</w:t>
      </w:r>
      <w:r>
        <w:rPr>
          <w:rFonts w:ascii="Arial" w:hAnsi="Arial" w:cs="Arial"/>
          <w:sz w:val="20"/>
          <w:szCs w:val="20"/>
        </w:rPr>
        <w:t>ě</w:t>
      </w:r>
      <w:r w:rsidRPr="002C311C">
        <w:rPr>
          <w:rFonts w:ascii="Arial" w:hAnsi="Arial" w:cs="Arial"/>
          <w:sz w:val="20"/>
          <w:szCs w:val="20"/>
        </w:rPr>
        <w:t xml:space="preserve"> v Trenčíně n</w:t>
      </w:r>
      <w:r>
        <w:rPr>
          <w:rFonts w:ascii="Arial" w:hAnsi="Arial" w:cs="Arial"/>
          <w:sz w:val="20"/>
          <w:szCs w:val="20"/>
        </w:rPr>
        <w:t>a</w:t>
      </w:r>
      <w:r w:rsidRPr="002C311C">
        <w:rPr>
          <w:rFonts w:ascii="Arial" w:hAnsi="Arial" w:cs="Arial"/>
          <w:sz w:val="20"/>
          <w:szCs w:val="20"/>
        </w:rPr>
        <w:t xml:space="preserve"> téma </w:t>
      </w:r>
      <w:r>
        <w:rPr>
          <w:rFonts w:ascii="Arial" w:hAnsi="Arial" w:cs="Arial"/>
          <w:sz w:val="20"/>
          <w:szCs w:val="20"/>
        </w:rPr>
        <w:t>přípravy společné publikace vycházející z výsledků SLDB 2011.</w:t>
      </w:r>
      <w:r w:rsidRPr="002C3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Jedná se o další publikaci připravovanou v rámci </w:t>
      </w:r>
      <w:r w:rsidRPr="00F6788D">
        <w:rPr>
          <w:rFonts w:ascii="Arial" w:hAnsi="Arial" w:cs="Arial"/>
          <w:sz w:val="20"/>
          <w:szCs w:val="20"/>
        </w:rPr>
        <w:t xml:space="preserve">spolupráce </w:t>
      </w:r>
      <w:r>
        <w:rPr>
          <w:rFonts w:ascii="Arial" w:hAnsi="Arial" w:cs="Arial"/>
          <w:sz w:val="20"/>
          <w:szCs w:val="20"/>
        </w:rPr>
        <w:t>s E</w:t>
      </w:r>
      <w:r w:rsidRPr="00F6788D">
        <w:rPr>
          <w:rFonts w:ascii="Arial" w:hAnsi="Arial" w:cs="Arial"/>
          <w:sz w:val="20"/>
          <w:szCs w:val="20"/>
        </w:rPr>
        <w:t>uroregion</w:t>
      </w:r>
      <w:r>
        <w:rPr>
          <w:rFonts w:ascii="Arial" w:hAnsi="Arial" w:cs="Arial"/>
          <w:sz w:val="20"/>
          <w:szCs w:val="20"/>
        </w:rPr>
        <w:t>em</w:t>
      </w:r>
      <w:r w:rsidRPr="00F6788D">
        <w:rPr>
          <w:rFonts w:ascii="Arial" w:hAnsi="Arial" w:cs="Arial"/>
          <w:sz w:val="20"/>
          <w:szCs w:val="20"/>
        </w:rPr>
        <w:t xml:space="preserve"> Bílé-</w:t>
      </w:r>
      <w:proofErr w:type="spellStart"/>
      <w:r w:rsidRPr="00F6788D">
        <w:rPr>
          <w:rFonts w:ascii="Arial" w:hAnsi="Arial" w:cs="Arial"/>
          <w:sz w:val="20"/>
          <w:szCs w:val="20"/>
        </w:rPr>
        <w:t>Biele</w:t>
      </w:r>
      <w:proofErr w:type="spellEnd"/>
      <w:r w:rsidRPr="00F6788D">
        <w:rPr>
          <w:rFonts w:ascii="Arial" w:hAnsi="Arial" w:cs="Arial"/>
          <w:sz w:val="20"/>
          <w:szCs w:val="20"/>
        </w:rPr>
        <w:t xml:space="preserve"> Karpaty. KS se také formou poskytování dat a konzultací podílela na tvorbě analýzy k "Programovému</w:t>
      </w:r>
      <w:r w:rsidRPr="002C311C">
        <w:rPr>
          <w:rFonts w:ascii="Arial" w:hAnsi="Arial" w:cs="Arial"/>
          <w:sz w:val="20"/>
          <w:szCs w:val="20"/>
        </w:rPr>
        <w:t xml:space="preserve"> dokumentu </w:t>
      </w:r>
      <w:proofErr w:type="spellStart"/>
      <w:r w:rsidRPr="002C311C">
        <w:rPr>
          <w:rFonts w:ascii="Arial" w:hAnsi="Arial" w:cs="Arial"/>
          <w:sz w:val="20"/>
          <w:szCs w:val="20"/>
        </w:rPr>
        <w:t>přeshraniční</w:t>
      </w:r>
      <w:proofErr w:type="spellEnd"/>
      <w:r w:rsidRPr="002C311C">
        <w:rPr>
          <w:rFonts w:ascii="Arial" w:hAnsi="Arial" w:cs="Arial"/>
          <w:sz w:val="20"/>
          <w:szCs w:val="20"/>
        </w:rPr>
        <w:t xml:space="preserve"> spolupráce na území Euroregionu Bílé-</w:t>
      </w:r>
      <w:proofErr w:type="spellStart"/>
      <w:r w:rsidRPr="002C311C">
        <w:rPr>
          <w:rFonts w:ascii="Arial" w:hAnsi="Arial" w:cs="Arial"/>
          <w:sz w:val="20"/>
          <w:szCs w:val="20"/>
        </w:rPr>
        <w:t>Biele</w:t>
      </w:r>
      <w:proofErr w:type="spellEnd"/>
      <w:r w:rsidRPr="002C311C">
        <w:rPr>
          <w:rFonts w:ascii="Arial" w:hAnsi="Arial" w:cs="Arial"/>
          <w:sz w:val="20"/>
          <w:szCs w:val="20"/>
        </w:rPr>
        <w:t xml:space="preserve"> Karpaty v letech 2014 – 2020".</w:t>
      </w:r>
    </w:p>
    <w:p w:rsidR="007C4073" w:rsidRPr="00527B4B" w:rsidRDefault="007C4073" w:rsidP="007C4073">
      <w:pPr>
        <w:pStyle w:val="Nadpis2"/>
        <w:spacing w:before="0" w:after="0"/>
        <w:rPr>
          <w:b w:val="0"/>
          <w:szCs w:val="20"/>
        </w:rPr>
      </w:pPr>
      <w:r w:rsidRPr="00527B4B">
        <w:rPr>
          <w:b w:val="0"/>
          <w:iCs w:val="0"/>
          <w:szCs w:val="20"/>
        </w:rPr>
        <w:t xml:space="preserve">KS ČSÚ v Hradci Králové započala v roce 2014 spolupráci </w:t>
      </w:r>
      <w:r>
        <w:rPr>
          <w:b w:val="0"/>
          <w:iCs w:val="0"/>
          <w:szCs w:val="20"/>
        </w:rPr>
        <w:t xml:space="preserve">s </w:t>
      </w:r>
      <w:r w:rsidRPr="00527B4B">
        <w:rPr>
          <w:b w:val="0"/>
          <w:iCs w:val="0"/>
          <w:szCs w:val="20"/>
        </w:rPr>
        <w:t>č</w:t>
      </w:r>
      <w:r w:rsidRPr="00527B4B">
        <w:rPr>
          <w:b w:val="0"/>
          <w:szCs w:val="20"/>
        </w:rPr>
        <w:t>asopisem Inovace na česko-polském pomezí</w:t>
      </w:r>
      <w:r>
        <w:rPr>
          <w:b w:val="0"/>
          <w:szCs w:val="20"/>
        </w:rPr>
        <w:t xml:space="preserve">. Jednalo se zejména o </w:t>
      </w:r>
      <w:r w:rsidRPr="00527B4B">
        <w:rPr>
          <w:b w:val="0"/>
          <w:szCs w:val="20"/>
        </w:rPr>
        <w:t>poskytování statistických údajů za regiony v česko-polském pohraničí, o nichž časopis přináší novinky a inspirace pro podnikatele a ostatní subjekty v oblasti inovací. Časopis je vydáván v rámci evropského projektu v nákladu 8 tisíc výtisků 4krát ročně v česko-polské verzi.</w:t>
      </w:r>
    </w:p>
    <w:p w:rsidR="002A592C" w:rsidRDefault="002A592C">
      <w:pPr>
        <w:rPr>
          <w:rFonts w:ascii="Arial" w:hAnsi="Arial" w:cs="Arial"/>
          <w:sz w:val="20"/>
          <w:szCs w:val="20"/>
        </w:rPr>
      </w:pPr>
    </w:p>
    <w:p w:rsidR="002A592C" w:rsidRDefault="002A592C">
      <w:pPr>
        <w:rPr>
          <w:rFonts w:ascii="Arial" w:hAnsi="Arial" w:cs="Arial"/>
          <w:b/>
          <w:sz w:val="20"/>
          <w:szCs w:val="20"/>
        </w:rPr>
      </w:pPr>
      <w:r w:rsidRPr="007759CD">
        <w:rPr>
          <w:rFonts w:ascii="Arial" w:hAnsi="Arial" w:cs="Arial"/>
          <w:b/>
          <w:sz w:val="20"/>
          <w:szCs w:val="20"/>
        </w:rPr>
        <w:t>Správa registrů</w:t>
      </w:r>
    </w:p>
    <w:p w:rsidR="00AA3403" w:rsidRPr="00995127" w:rsidRDefault="00995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Požadované úkoly na úseku správy registrů byly rovněž splněny. Jednalo se především o průběžnou aktualizaci RES z administrativních zdrojů</w:t>
      </w:r>
      <w:r w:rsidR="00490E53">
        <w:rPr>
          <w:rFonts w:ascii="Arial" w:hAnsi="Arial" w:cs="Arial"/>
          <w:sz w:val="20"/>
          <w:szCs w:val="20"/>
        </w:rPr>
        <w:t xml:space="preserve"> a zpracování dotazníků pro podniky a podnikatele, včetně nově vzniklých.</w:t>
      </w:r>
    </w:p>
    <w:p w:rsidR="002A592C" w:rsidRDefault="002A592C">
      <w:pPr>
        <w:rPr>
          <w:rFonts w:ascii="Arial" w:hAnsi="Arial" w:cs="Arial"/>
          <w:sz w:val="20"/>
          <w:szCs w:val="20"/>
        </w:rPr>
      </w:pPr>
    </w:p>
    <w:p w:rsidR="002A592C" w:rsidRDefault="002A592C">
      <w:pPr>
        <w:rPr>
          <w:rFonts w:ascii="Arial" w:hAnsi="Arial" w:cs="Arial"/>
          <w:sz w:val="20"/>
          <w:szCs w:val="20"/>
        </w:rPr>
      </w:pPr>
      <w:r w:rsidRPr="007759CD">
        <w:rPr>
          <w:rFonts w:ascii="Arial" w:hAnsi="Arial" w:cs="Arial"/>
          <w:b/>
          <w:sz w:val="20"/>
          <w:szCs w:val="20"/>
        </w:rPr>
        <w:t>Ostatní aktivity</w:t>
      </w:r>
      <w:r w:rsidR="007C4073">
        <w:rPr>
          <w:rFonts w:ascii="Arial" w:hAnsi="Arial" w:cs="Arial"/>
          <w:sz w:val="20"/>
          <w:szCs w:val="20"/>
        </w:rPr>
        <w:t xml:space="preserve"> </w:t>
      </w:r>
    </w:p>
    <w:p w:rsidR="007759CD" w:rsidRDefault="007759CD" w:rsidP="007759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roku spolupracovala v</w:t>
      </w:r>
      <w:r w:rsidRPr="006638DC">
        <w:rPr>
          <w:rFonts w:ascii="Arial" w:hAnsi="Arial" w:cs="Arial"/>
          <w:sz w:val="20"/>
          <w:szCs w:val="20"/>
        </w:rPr>
        <w:t>šechna oddělení IS KS  na vybraných úkolech REDESIGNU SIS, které souvis</w:t>
      </w:r>
      <w:r>
        <w:rPr>
          <w:rFonts w:ascii="Arial" w:hAnsi="Arial" w:cs="Arial"/>
          <w:sz w:val="20"/>
          <w:szCs w:val="20"/>
        </w:rPr>
        <w:t>ely</w:t>
      </w:r>
      <w:r w:rsidRPr="006638DC">
        <w:rPr>
          <w:rFonts w:ascii="Arial" w:hAnsi="Arial" w:cs="Arial"/>
          <w:sz w:val="20"/>
          <w:szCs w:val="20"/>
        </w:rPr>
        <w:t xml:space="preserve"> s poskytováním informačních služeb a s přípravou nového prezentačního systému.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759CD" w:rsidRDefault="0077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Jednalo se zejména o konzultační činnost a testování aplikací připravovaných pro informační služby </w:t>
      </w:r>
      <w:r w:rsidR="0095432D">
        <w:rPr>
          <w:rFonts w:ascii="Arial" w:hAnsi="Arial" w:cs="Arial"/>
          <w:sz w:val="20"/>
          <w:szCs w:val="20"/>
        </w:rPr>
        <w:t xml:space="preserve">a pro </w:t>
      </w:r>
      <w:r w:rsidR="00995127">
        <w:rPr>
          <w:rFonts w:ascii="Arial" w:hAnsi="Arial" w:cs="Arial"/>
          <w:sz w:val="20"/>
          <w:szCs w:val="20"/>
        </w:rPr>
        <w:t xml:space="preserve">správu internetových stránek pomocí nového redakčního systému </w:t>
      </w:r>
      <w:r>
        <w:rPr>
          <w:rFonts w:ascii="Arial" w:hAnsi="Arial" w:cs="Arial"/>
          <w:sz w:val="20"/>
          <w:szCs w:val="20"/>
        </w:rPr>
        <w:t xml:space="preserve">v rámci </w:t>
      </w:r>
      <w:proofErr w:type="spellStart"/>
      <w:r>
        <w:rPr>
          <w:rFonts w:ascii="Arial" w:hAnsi="Arial" w:cs="Arial"/>
          <w:sz w:val="20"/>
          <w:szCs w:val="20"/>
        </w:rPr>
        <w:t>Redesignu</w:t>
      </w:r>
      <w:proofErr w:type="spellEnd"/>
      <w:r>
        <w:rPr>
          <w:rFonts w:ascii="Arial" w:hAnsi="Arial" w:cs="Arial"/>
          <w:sz w:val="20"/>
          <w:szCs w:val="20"/>
        </w:rPr>
        <w:t xml:space="preserve"> SIS.</w:t>
      </w:r>
    </w:p>
    <w:p w:rsidR="007759CD" w:rsidRDefault="007759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Nemalým úkolem pro pracovníky informačních služeb bylo zapojení na všech úrovních zpracování </w:t>
      </w:r>
      <w:r w:rsidR="0095432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ýsledků</w:t>
      </w:r>
      <w:r w:rsidR="000658B4">
        <w:rPr>
          <w:rFonts w:ascii="Arial" w:hAnsi="Arial" w:cs="Arial"/>
          <w:sz w:val="20"/>
          <w:szCs w:val="20"/>
        </w:rPr>
        <w:t xml:space="preserve"> voleb,</w:t>
      </w:r>
      <w:r>
        <w:rPr>
          <w:rFonts w:ascii="Arial" w:hAnsi="Arial" w:cs="Arial"/>
          <w:sz w:val="20"/>
          <w:szCs w:val="20"/>
        </w:rPr>
        <w:t xml:space="preserve"> které se v roce 2014 konaly, včetně jejich prezentace.</w:t>
      </w: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FF1541" w:rsidRDefault="00FF1541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7759CD" w:rsidRDefault="007759CD">
      <w:pPr>
        <w:rPr>
          <w:rFonts w:ascii="Arial" w:hAnsi="Arial" w:cs="Arial"/>
          <w:sz w:val="20"/>
          <w:szCs w:val="20"/>
        </w:rPr>
      </w:pPr>
    </w:p>
    <w:p w:rsidR="004616AD" w:rsidRDefault="004616AD">
      <w:pPr>
        <w:rPr>
          <w:rFonts w:ascii="Arial" w:hAnsi="Arial" w:cs="Arial"/>
          <w:sz w:val="20"/>
          <w:szCs w:val="20"/>
        </w:rPr>
      </w:pPr>
    </w:p>
    <w:p w:rsidR="004616AD" w:rsidRDefault="004616AD">
      <w:pPr>
        <w:rPr>
          <w:rFonts w:ascii="Arial" w:hAnsi="Arial" w:cs="Arial"/>
          <w:sz w:val="20"/>
          <w:szCs w:val="20"/>
        </w:rPr>
      </w:pPr>
    </w:p>
    <w:p w:rsidR="004616AD" w:rsidRDefault="004616AD">
      <w:pPr>
        <w:rPr>
          <w:rFonts w:ascii="Arial" w:hAnsi="Arial" w:cs="Arial"/>
          <w:sz w:val="20"/>
          <w:szCs w:val="20"/>
        </w:rPr>
      </w:pPr>
    </w:p>
    <w:p w:rsidR="004616AD" w:rsidRDefault="004616AD">
      <w:pPr>
        <w:rPr>
          <w:rFonts w:ascii="Arial" w:hAnsi="Arial" w:cs="Arial"/>
          <w:sz w:val="20"/>
          <w:szCs w:val="20"/>
        </w:rPr>
      </w:pPr>
    </w:p>
    <w:p w:rsidR="00CB665C" w:rsidRPr="0014130A" w:rsidRDefault="00CB665C" w:rsidP="00936444">
      <w:pPr>
        <w:spacing w:after="200"/>
        <w:rPr>
          <w:rFonts w:ascii="Arial" w:hAnsi="Arial" w:cs="Arial"/>
          <w:sz w:val="20"/>
          <w:szCs w:val="20"/>
        </w:rPr>
      </w:pPr>
    </w:p>
    <w:sectPr w:rsidR="00CB665C" w:rsidRPr="0014130A" w:rsidSect="00065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08" w:rsidRDefault="00F92E08" w:rsidP="00325E72">
      <w:r>
        <w:separator/>
      </w:r>
    </w:p>
  </w:endnote>
  <w:endnote w:type="continuationSeparator" w:id="0">
    <w:p w:rsidR="00F92E08" w:rsidRDefault="00F92E08" w:rsidP="00325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B1" w:rsidRDefault="001838B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7662"/>
      <w:docPartObj>
        <w:docPartGallery w:val="Page Numbers (Bottom of Page)"/>
        <w:docPartUnique/>
      </w:docPartObj>
    </w:sdtPr>
    <w:sdtContent>
      <w:p w:rsidR="001838B1" w:rsidRDefault="00EE7F64">
        <w:pPr>
          <w:pStyle w:val="Zpat"/>
          <w:jc w:val="center"/>
        </w:pPr>
        <w:fldSimple w:instr=" PAGE   \* MERGEFORMAT ">
          <w:r w:rsidR="0095432D">
            <w:rPr>
              <w:noProof/>
            </w:rPr>
            <w:t>4</w:t>
          </w:r>
        </w:fldSimple>
      </w:p>
    </w:sdtContent>
  </w:sdt>
  <w:p w:rsidR="00325E72" w:rsidRDefault="00325E7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B1" w:rsidRDefault="001838B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08" w:rsidRDefault="00F92E08" w:rsidP="00325E72">
      <w:r>
        <w:separator/>
      </w:r>
    </w:p>
  </w:footnote>
  <w:footnote w:type="continuationSeparator" w:id="0">
    <w:p w:rsidR="00F92E08" w:rsidRDefault="00F92E08" w:rsidP="00325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B1" w:rsidRDefault="001838B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B1" w:rsidRDefault="001838B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B1" w:rsidRDefault="001838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1A3A"/>
    <w:multiLevelType w:val="hybridMultilevel"/>
    <w:tmpl w:val="16BA66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41632F"/>
    <w:multiLevelType w:val="hybridMultilevel"/>
    <w:tmpl w:val="72A6AF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FF7ED5"/>
    <w:multiLevelType w:val="hybridMultilevel"/>
    <w:tmpl w:val="9F4A52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68E67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5307A"/>
    <w:rsid w:val="00007626"/>
    <w:rsid w:val="00053CE2"/>
    <w:rsid w:val="000658B4"/>
    <w:rsid w:val="00073653"/>
    <w:rsid w:val="000830B5"/>
    <w:rsid w:val="000A2FE2"/>
    <w:rsid w:val="000A3DDC"/>
    <w:rsid w:val="0014130A"/>
    <w:rsid w:val="00150E63"/>
    <w:rsid w:val="00173431"/>
    <w:rsid w:val="00174207"/>
    <w:rsid w:val="001838B1"/>
    <w:rsid w:val="00191194"/>
    <w:rsid w:val="001A6B25"/>
    <w:rsid w:val="00236CD4"/>
    <w:rsid w:val="00251681"/>
    <w:rsid w:val="002A592C"/>
    <w:rsid w:val="002C669F"/>
    <w:rsid w:val="002E5F19"/>
    <w:rsid w:val="002F1FCF"/>
    <w:rsid w:val="00304887"/>
    <w:rsid w:val="00325E72"/>
    <w:rsid w:val="003A1FB6"/>
    <w:rsid w:val="0043706C"/>
    <w:rsid w:val="0045307A"/>
    <w:rsid w:val="004616AD"/>
    <w:rsid w:val="00461BB2"/>
    <w:rsid w:val="00466236"/>
    <w:rsid w:val="00481153"/>
    <w:rsid w:val="00490E53"/>
    <w:rsid w:val="00496EB2"/>
    <w:rsid w:val="004D0A87"/>
    <w:rsid w:val="00511045"/>
    <w:rsid w:val="00561282"/>
    <w:rsid w:val="005723C2"/>
    <w:rsid w:val="005C06FC"/>
    <w:rsid w:val="005C173D"/>
    <w:rsid w:val="00680E54"/>
    <w:rsid w:val="00772231"/>
    <w:rsid w:val="00775152"/>
    <w:rsid w:val="007759CD"/>
    <w:rsid w:val="007A2EFA"/>
    <w:rsid w:val="007B3A5C"/>
    <w:rsid w:val="007C4073"/>
    <w:rsid w:val="0080184B"/>
    <w:rsid w:val="00815277"/>
    <w:rsid w:val="0086253C"/>
    <w:rsid w:val="008810C5"/>
    <w:rsid w:val="00904AE7"/>
    <w:rsid w:val="00936444"/>
    <w:rsid w:val="0095432D"/>
    <w:rsid w:val="00995127"/>
    <w:rsid w:val="0099540C"/>
    <w:rsid w:val="009E0380"/>
    <w:rsid w:val="00A10463"/>
    <w:rsid w:val="00A124F5"/>
    <w:rsid w:val="00A2517C"/>
    <w:rsid w:val="00AA3403"/>
    <w:rsid w:val="00AE57E4"/>
    <w:rsid w:val="00B23772"/>
    <w:rsid w:val="00B50C51"/>
    <w:rsid w:val="00B966B3"/>
    <w:rsid w:val="00BA16FE"/>
    <w:rsid w:val="00BE3F93"/>
    <w:rsid w:val="00C00D33"/>
    <w:rsid w:val="00C05056"/>
    <w:rsid w:val="00CB066A"/>
    <w:rsid w:val="00CB665C"/>
    <w:rsid w:val="00CB718D"/>
    <w:rsid w:val="00D6308B"/>
    <w:rsid w:val="00D77436"/>
    <w:rsid w:val="00D87C71"/>
    <w:rsid w:val="00D92528"/>
    <w:rsid w:val="00DA287D"/>
    <w:rsid w:val="00DB3238"/>
    <w:rsid w:val="00DB6DDE"/>
    <w:rsid w:val="00E02D1E"/>
    <w:rsid w:val="00E16619"/>
    <w:rsid w:val="00ED1011"/>
    <w:rsid w:val="00EE7F64"/>
    <w:rsid w:val="00F342F0"/>
    <w:rsid w:val="00F447E2"/>
    <w:rsid w:val="00F725E5"/>
    <w:rsid w:val="00F87FB0"/>
    <w:rsid w:val="00F92E08"/>
    <w:rsid w:val="00FC2B2A"/>
    <w:rsid w:val="00FD3AB3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07A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25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7C4073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C4073"/>
    <w:rPr>
      <w:rFonts w:ascii="Arial" w:eastAsia="Times New Roman" w:hAnsi="Arial" w:cs="Arial"/>
      <w:b/>
      <w:bCs/>
      <w:iCs/>
      <w:sz w:val="20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2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5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E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5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produkty.nsf/kraje?openform&amp;:20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Zpr&#225;va%202014%20%20kraje\Po&#269;ty%20informac&#237;%202014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5\Zpr&#225;va%202014%20%20kraje\Po&#269;ty%20inf%20podle%20typu%20z&#225;kazn&#237;k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style val="5"/>
  <c:chart>
    <c:title>
      <c:tx>
        <c:rich>
          <a:bodyPr/>
          <a:lstStyle/>
          <a:p>
            <a:pPr>
              <a:defRPr baseline="0"/>
            </a:pPr>
            <a:r>
              <a:rPr lang="cs-CZ" sz="1000" baseline="0"/>
              <a:t>Počet poskytnutých informací</a:t>
            </a:r>
          </a:p>
          <a:p>
            <a:pPr>
              <a:defRPr baseline="0"/>
            </a:pPr>
            <a:r>
              <a:rPr lang="cs-CZ" sz="1000" baseline="0"/>
              <a:t> v letech 2012-2014</a:t>
            </a:r>
          </a:p>
        </c:rich>
      </c:tx>
    </c:title>
    <c:plotArea>
      <c:layout>
        <c:manualLayout>
          <c:layoutTarget val="inner"/>
          <c:xMode val="edge"/>
          <c:yMode val="edge"/>
          <c:x val="0.12368305518653076"/>
          <c:y val="0.22182297457774564"/>
          <c:w val="0.69430322405871603"/>
          <c:h val="0.60443709536308154"/>
        </c:manualLayout>
      </c:layout>
      <c:barChart>
        <c:barDir val="bar"/>
        <c:grouping val="clustered"/>
        <c:ser>
          <c:idx val="0"/>
          <c:order val="0"/>
          <c:tx>
            <c:v>kraje celkem</c:v>
          </c:tx>
          <c:cat>
            <c:numRef>
              <c:f>List1!$D$31:$D$33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List1!$E$31:$E$33</c:f>
              <c:numCache>
                <c:formatCode>General</c:formatCode>
                <c:ptCount val="3"/>
                <c:pt idx="0">
                  <c:v>11781</c:v>
                </c:pt>
                <c:pt idx="1">
                  <c:v>8935</c:v>
                </c:pt>
                <c:pt idx="2" formatCode="#,##0">
                  <c:v>8385</c:v>
                </c:pt>
              </c:numCache>
            </c:numRef>
          </c:val>
        </c:ser>
        <c:ser>
          <c:idx val="1"/>
          <c:order val="1"/>
          <c:tx>
            <c:v>ČSÚ celkem</c:v>
          </c:tx>
          <c:cat>
            <c:numRef>
              <c:f>List1!$D$31:$D$33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List1!$F$31:$F$33</c:f>
              <c:numCache>
                <c:formatCode>General</c:formatCode>
                <c:ptCount val="3"/>
                <c:pt idx="0">
                  <c:v>23563</c:v>
                </c:pt>
                <c:pt idx="1">
                  <c:v>19101</c:v>
                </c:pt>
                <c:pt idx="2">
                  <c:v>17947</c:v>
                </c:pt>
              </c:numCache>
            </c:numRef>
          </c:val>
        </c:ser>
        <c:axId val="68419968"/>
        <c:axId val="68859392"/>
      </c:barChart>
      <c:catAx>
        <c:axId val="68419968"/>
        <c:scaling>
          <c:orientation val="minMax"/>
        </c:scaling>
        <c:axPos val="l"/>
        <c:numFmt formatCode="General" sourceLinked="1"/>
        <c:majorTickMark val="none"/>
        <c:tickLblPos val="nextTo"/>
        <c:crossAx val="68859392"/>
        <c:crosses val="autoZero"/>
        <c:auto val="1"/>
        <c:lblAlgn val="ctr"/>
        <c:lblOffset val="100"/>
      </c:catAx>
      <c:valAx>
        <c:axId val="688593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68419968"/>
        <c:crosses val="autoZero"/>
        <c:crossBetween val="between"/>
      </c:valAx>
      <c:spPr>
        <a:ln cap="sq">
          <a:solidFill>
            <a:schemeClr val="accent1"/>
          </a:solidFill>
        </a:ln>
      </c:spPr>
    </c:plotArea>
    <c:legend>
      <c:legendPos val="r"/>
    </c:legend>
    <c:plotVisOnly val="1"/>
  </c:chart>
  <c:spPr>
    <a:ln cmpd="sng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chart>
    <c:title>
      <c:tx>
        <c:rich>
          <a:bodyPr/>
          <a:lstStyle/>
          <a:p>
            <a:pPr>
              <a:defRPr/>
            </a:pPr>
            <a:r>
              <a:rPr lang="en-US" sz="1000">
                <a:latin typeface="Arial" pitchFamily="34" charset="0"/>
                <a:cs typeface="Arial" pitchFamily="34" charset="0"/>
              </a:rPr>
              <a:t>Počet </a:t>
            </a:r>
            <a:r>
              <a:rPr lang="cs-CZ" sz="1000">
                <a:latin typeface="Arial" pitchFamily="34" charset="0"/>
                <a:cs typeface="Arial" pitchFamily="34" charset="0"/>
              </a:rPr>
              <a:t> p</a:t>
            </a:r>
            <a:r>
              <a:rPr lang="en-US" sz="1000">
                <a:latin typeface="Arial" pitchFamily="34" charset="0"/>
                <a:cs typeface="Arial" pitchFamily="34" charset="0"/>
              </a:rPr>
              <a:t>oskytnutých informací </a:t>
            </a:r>
            <a:r>
              <a:rPr lang="cs-CZ" sz="1000">
                <a:latin typeface="Arial" pitchFamily="34" charset="0"/>
                <a:cs typeface="Arial" pitchFamily="34" charset="0"/>
              </a:rPr>
              <a:t>v roce 2014</a:t>
            </a:r>
          </a:p>
          <a:p>
            <a:pPr>
              <a:defRPr/>
            </a:pPr>
            <a:r>
              <a:rPr lang="en-US" sz="1000">
                <a:latin typeface="Arial" pitchFamily="34" charset="0"/>
                <a:cs typeface="Arial" pitchFamily="34" charset="0"/>
              </a:rPr>
              <a:t>po</a:t>
            </a:r>
            <a:r>
              <a:rPr lang="cs-CZ" sz="1000">
                <a:latin typeface="Arial" pitchFamily="34" charset="0"/>
                <a:cs typeface="Arial" pitchFamily="34" charset="0"/>
              </a:rPr>
              <a:t>d</a:t>
            </a:r>
            <a:r>
              <a:rPr lang="en-US" sz="1000">
                <a:latin typeface="Arial" pitchFamily="34" charset="0"/>
                <a:cs typeface="Arial" pitchFamily="34" charset="0"/>
              </a:rPr>
              <a:t>le typu zákazníka</a:t>
            </a:r>
          </a:p>
        </c:rich>
      </c:tx>
      <c:layout>
        <c:manualLayout>
          <c:xMode val="edge"/>
          <c:yMode val="edge"/>
          <c:x val="0.25027771889643124"/>
          <c:y val="2.6385224274406351E-2"/>
        </c:manualLayout>
      </c:layout>
    </c:title>
    <c:plotArea>
      <c:layout>
        <c:manualLayout>
          <c:layoutTarget val="inner"/>
          <c:xMode val="edge"/>
          <c:yMode val="edge"/>
          <c:x val="0.30885495025531617"/>
          <c:y val="0.17590149516270975"/>
          <c:w val="0.52967206249580123"/>
          <c:h val="0.70074030983594049"/>
        </c:manualLayout>
      </c:layout>
      <c:barChart>
        <c:barDir val="bar"/>
        <c:grouping val="clustered"/>
        <c:ser>
          <c:idx val="0"/>
          <c:order val="0"/>
          <c:tx>
            <c:v>ústředí</c:v>
          </c:tx>
          <c:cat>
            <c:strRef>
              <c:f>List1!$A$14:$A$22</c:f>
              <c:strCache>
                <c:ptCount val="9"/>
                <c:pt idx="0">
                  <c:v>Ostatní</c:v>
                </c:pt>
                <c:pt idx="1">
                  <c:v>Učitel, škola</c:v>
                </c:pt>
                <c:pt idx="2">
                  <c:v>Média</c:v>
                </c:pt>
                <c:pt idx="3">
                  <c:v>Státní správa (ústřední orgány)</c:v>
                </c:pt>
                <c:pt idx="4">
                  <c:v>Student</c:v>
                </c:pt>
                <c:pt idx="5">
                  <c:v>Sdružení, nezisková organizace</c:v>
                </c:pt>
                <c:pt idx="6">
                  <c:v>Samospráva</c:v>
                </c:pt>
                <c:pt idx="7">
                  <c:v>Občan, neurčeno</c:v>
                </c:pt>
                <c:pt idx="8">
                  <c:v>Podnikatelský subjekt</c:v>
                </c:pt>
              </c:strCache>
            </c:strRef>
          </c:cat>
          <c:val>
            <c:numRef>
              <c:f>List1!$B$14:$B$22</c:f>
              <c:numCache>
                <c:formatCode>#,##0</c:formatCode>
                <c:ptCount val="9"/>
                <c:pt idx="0">
                  <c:v>924</c:v>
                </c:pt>
                <c:pt idx="1">
                  <c:v>250</c:v>
                </c:pt>
                <c:pt idx="2">
                  <c:v>35</c:v>
                </c:pt>
                <c:pt idx="3">
                  <c:v>397</c:v>
                </c:pt>
                <c:pt idx="4">
                  <c:v>1195</c:v>
                </c:pt>
                <c:pt idx="5">
                  <c:v>284</c:v>
                </c:pt>
                <c:pt idx="6">
                  <c:v>315</c:v>
                </c:pt>
                <c:pt idx="7">
                  <c:v>2692</c:v>
                </c:pt>
                <c:pt idx="8">
                  <c:v>3470</c:v>
                </c:pt>
              </c:numCache>
            </c:numRef>
          </c:val>
        </c:ser>
        <c:ser>
          <c:idx val="1"/>
          <c:order val="1"/>
          <c:tx>
            <c:v>kraje</c:v>
          </c:tx>
          <c:cat>
            <c:strRef>
              <c:f>List1!$A$14:$A$22</c:f>
              <c:strCache>
                <c:ptCount val="9"/>
                <c:pt idx="0">
                  <c:v>Ostatní</c:v>
                </c:pt>
                <c:pt idx="1">
                  <c:v>Učitel, škola</c:v>
                </c:pt>
                <c:pt idx="2">
                  <c:v>Média</c:v>
                </c:pt>
                <c:pt idx="3">
                  <c:v>Státní správa (ústřední orgány)</c:v>
                </c:pt>
                <c:pt idx="4">
                  <c:v>Student</c:v>
                </c:pt>
                <c:pt idx="5">
                  <c:v>Sdružení, nezisková organizace</c:v>
                </c:pt>
                <c:pt idx="6">
                  <c:v>Samospráva</c:v>
                </c:pt>
                <c:pt idx="7">
                  <c:v>Občan, neurčeno</c:v>
                </c:pt>
                <c:pt idx="8">
                  <c:v>Podnikatelský subjekt</c:v>
                </c:pt>
              </c:strCache>
            </c:strRef>
          </c:cat>
          <c:val>
            <c:numRef>
              <c:f>List1!$C$14:$C$22</c:f>
              <c:numCache>
                <c:formatCode>#,##0</c:formatCode>
                <c:ptCount val="9"/>
                <c:pt idx="0">
                  <c:v>267</c:v>
                </c:pt>
                <c:pt idx="1">
                  <c:v>203</c:v>
                </c:pt>
                <c:pt idx="2">
                  <c:v>406</c:v>
                </c:pt>
                <c:pt idx="3">
                  <c:v>576</c:v>
                </c:pt>
                <c:pt idx="4">
                  <c:v>757</c:v>
                </c:pt>
                <c:pt idx="5">
                  <c:v>872</c:v>
                </c:pt>
                <c:pt idx="6">
                  <c:v>1088</c:v>
                </c:pt>
                <c:pt idx="7">
                  <c:v>1992</c:v>
                </c:pt>
                <c:pt idx="8">
                  <c:v>2224</c:v>
                </c:pt>
              </c:numCache>
            </c:numRef>
          </c:val>
        </c:ser>
        <c:axId val="70742016"/>
        <c:axId val="70744704"/>
      </c:barChart>
      <c:catAx>
        <c:axId val="70742016"/>
        <c:scaling>
          <c:orientation val="minMax"/>
        </c:scaling>
        <c:axPos val="l"/>
        <c:majorTickMark val="none"/>
        <c:tickLblPos val="nextTo"/>
        <c:crossAx val="70744704"/>
        <c:crosses val="autoZero"/>
        <c:auto val="1"/>
        <c:lblAlgn val="ctr"/>
        <c:lblOffset val="100"/>
      </c:catAx>
      <c:valAx>
        <c:axId val="70744704"/>
        <c:scaling>
          <c:orientation val="minMax"/>
        </c:scaling>
        <c:axPos val="b"/>
        <c:majorGridlines/>
        <c:numFmt formatCode="#,##0" sourceLinked="1"/>
        <c:majorTickMark val="none"/>
        <c:tickLblPos val="nextTo"/>
        <c:crossAx val="70742016"/>
        <c:crosses val="autoZero"/>
        <c:crossBetween val="between"/>
      </c:valAx>
    </c:plotArea>
    <c:legend>
      <c:legendPos val="r"/>
    </c:legend>
    <c:plotVisOnly val="1"/>
  </c:chart>
  <c:spPr>
    <a:ln cmpd="sng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roundedCorners val="1"/>
  <c:chart>
    <c:title>
      <c:tx>
        <c:rich>
          <a:bodyPr/>
          <a:lstStyle/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Počet poskytnutých informací v roce 2014 </a:t>
            </a:r>
          </a:p>
          <a:p>
            <a:pPr>
              <a:defRPr/>
            </a:pPr>
            <a:r>
              <a:rPr lang="cs-CZ" sz="1000">
                <a:latin typeface="Arial" pitchFamily="34" charset="0"/>
                <a:cs typeface="Arial" pitchFamily="34" charset="0"/>
              </a:rPr>
              <a:t>podle typu výstupu</a:t>
            </a:r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List1!$A$9:$A$14</c:f>
              <c:strCache>
                <c:ptCount val="6"/>
                <c:pt idx="0">
                  <c:v>hotové výst. (publikace, web,databáze)</c:v>
                </c:pt>
                <c:pt idx="1">
                  <c:v>informace metodického charakteru</c:v>
                </c:pt>
                <c:pt idx="2">
                  <c:v>inf. o ost. procesech souvis. s ČSÚ</c:v>
                </c:pt>
                <c:pt idx="3">
                  <c:v>speciální výstupy na zakázku</c:v>
                </c:pt>
                <c:pt idx="4">
                  <c:v>technická podpora služeb</c:v>
                </c:pt>
                <c:pt idx="5">
                  <c:v>výstupy jiných státních úřadů</c:v>
                </c:pt>
              </c:strCache>
            </c:strRef>
          </c:cat>
          <c:val>
            <c:numRef>
              <c:f>List1!$B$9:$B$14</c:f>
              <c:numCache>
                <c:formatCode>#,##0</c:formatCode>
                <c:ptCount val="6"/>
                <c:pt idx="0">
                  <c:v>5525</c:v>
                </c:pt>
                <c:pt idx="1">
                  <c:v>558</c:v>
                </c:pt>
                <c:pt idx="2">
                  <c:v>1011</c:v>
                </c:pt>
                <c:pt idx="3">
                  <c:v>1268</c:v>
                </c:pt>
                <c:pt idx="4">
                  <c:v>10</c:v>
                </c:pt>
                <c:pt idx="5">
                  <c:v>13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 cmpd="sng"/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E825-FA93-439D-962B-47FE8D1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1568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2015-04-15T12:14:00Z</cp:lastPrinted>
  <dcterms:created xsi:type="dcterms:W3CDTF">2015-04-15T12:03:00Z</dcterms:created>
  <dcterms:modified xsi:type="dcterms:W3CDTF">2015-04-15T12:16:00Z</dcterms:modified>
</cp:coreProperties>
</file>