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3" w:rsidRDefault="00A93BA4"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Pr>
          <w:rFonts w:ascii="Arial Norm\'01\'1bln\'011" w:hAnsi="Arial Norm\'01\'1bln\'011"/>
          <w:b/>
          <w:bCs/>
          <w:noProof/>
          <w:sz w:val="54"/>
          <w:szCs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597" type="#_x0000_t75" style="position:absolute;margin-left:16.8pt;margin-top:6.9pt;width:125.55pt;height:32.2pt;z-index:1">
            <v:imagedata r:id="rId8" o:title="3"/>
          </v:shape>
        </w:pict>
      </w:r>
      <w:r w:rsidR="00552C93">
        <w:rPr>
          <w:rFonts w:ascii="Arial Norm\'01\'1bln\'011" w:hAnsi="Arial Norm\'01\'1bln\'011"/>
          <w:b/>
          <w:bCs/>
          <w:sz w:val="54"/>
          <w:szCs w:val="54"/>
        </w:rPr>
        <w:t xml:space="preserve">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r>
        <w:rPr>
          <w:rFonts w:ascii="Arial Norm\'01\'1bln\'011" w:hAnsi="Arial Norm\'01\'1bln\'011"/>
          <w:b/>
          <w:bCs/>
          <w:sz w:val="54"/>
          <w:szCs w:val="54"/>
        </w:rPr>
        <w:t>INDEXY SPOTŘEBITELSKÝCH CEN</w:t>
      </w:r>
    </w:p>
    <w:p w:rsidR="00D72573" w:rsidRDefault="00BE3655" w:rsidP="00D72573">
      <w:pPr>
        <w:pStyle w:val="Nadpis7"/>
      </w:pPr>
      <w:r>
        <w:t>REVIZE 2012</w:t>
      </w:r>
    </w:p>
    <w:p w:rsidR="00D72573" w:rsidRDefault="00D72573" w:rsidP="00D72573">
      <w:pPr>
        <w:jc w:val="center"/>
        <w:rPr>
          <w:rFonts w:ascii="Arial Narrow" w:hAnsi="Arial Narrow"/>
          <w:sz w:val="44"/>
          <w:szCs w:val="44"/>
        </w:rPr>
      </w:pPr>
      <w:r w:rsidRPr="00E72924">
        <w:rPr>
          <w:rFonts w:ascii="Arial" w:hAnsi="Arial" w:cs="Arial"/>
          <w:b/>
          <w:sz w:val="40"/>
          <w:szCs w:val="40"/>
        </w:rPr>
        <w:t xml:space="preserve">Historie a současnost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tblPr>
      <w:tblGrid>
        <w:gridCol w:w="5044"/>
        <w:gridCol w:w="5044"/>
      </w:tblGrid>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Zpracoval:</w:t>
            </w: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Odbor statistiky cen</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 xml:space="preserve">Ředitel odboru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Pr>
                <w:rFonts w:ascii="Arial" w:hAnsi="Arial" w:cs="Arial"/>
                <w:sz w:val="22"/>
                <w:szCs w:val="22"/>
              </w:rPr>
              <w:t>RNDr</w:t>
            </w:r>
            <w:r w:rsidR="00D72573" w:rsidRPr="002E0A6B">
              <w:rPr>
                <w:rFonts w:ascii="Arial" w:hAnsi="Arial" w:cs="Arial"/>
                <w:sz w:val="22"/>
                <w:szCs w:val="22"/>
              </w:rPr>
              <w:t>. Jiří Mrázek</w:t>
            </w:r>
          </w:p>
        </w:tc>
      </w:tr>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Kontaktní osoba:</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Ing. Pavla Šedivá</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Telefon:</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+420</w:t>
            </w:r>
            <w:r w:rsidR="00504129">
              <w:rPr>
                <w:rFonts w:ascii="Arial" w:hAnsi="Arial" w:cs="Arial"/>
                <w:sz w:val="22"/>
                <w:szCs w:val="22"/>
              </w:rPr>
              <w:t> </w:t>
            </w:r>
            <w:r w:rsidRPr="002E0A6B">
              <w:rPr>
                <w:rFonts w:ascii="Arial" w:hAnsi="Arial" w:cs="Arial"/>
                <w:sz w:val="22"/>
                <w:szCs w:val="22"/>
              </w:rPr>
              <w:t>274</w:t>
            </w:r>
            <w:r w:rsidR="00504129">
              <w:rPr>
                <w:rFonts w:ascii="Arial" w:hAnsi="Arial" w:cs="Arial"/>
                <w:sz w:val="22"/>
                <w:szCs w:val="22"/>
              </w:rPr>
              <w:t> </w:t>
            </w:r>
            <w:r w:rsidRPr="002E0A6B">
              <w:rPr>
                <w:rFonts w:ascii="Arial" w:hAnsi="Arial" w:cs="Arial"/>
                <w:sz w:val="22"/>
                <w:szCs w:val="22"/>
              </w:rPr>
              <w:t>052</w:t>
            </w:r>
            <w:r w:rsidR="00504129">
              <w:rPr>
                <w:rFonts w:ascii="Arial" w:hAnsi="Arial" w:cs="Arial"/>
                <w:sz w:val="22"/>
                <w:szCs w:val="22"/>
              </w:rPr>
              <w:t xml:space="preserve"> </w:t>
            </w:r>
            <w:r w:rsidRPr="002E0A6B">
              <w:rPr>
                <w:rFonts w:ascii="Arial" w:hAnsi="Arial" w:cs="Arial"/>
                <w:sz w:val="22"/>
                <w:szCs w:val="22"/>
              </w:rPr>
              <w:t>138</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E-mail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2E0A6B">
              <w:rPr>
                <w:rFonts w:ascii="Arial" w:hAnsi="Arial" w:cs="Arial"/>
                <w:sz w:val="22"/>
                <w:szCs w:val="22"/>
              </w:rPr>
              <w:t>pavla.sediva@czso.cz</w:t>
            </w:r>
          </w:p>
        </w:tc>
      </w:tr>
    </w:tbl>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A93BA4"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sidRPr="00A93BA4">
        <w:rPr>
          <w:noProof/>
        </w:rPr>
        <w:pict>
          <v:rect id="_x0000_s5596" style="position:absolute;left:0;text-align:left;margin-left:48.15pt;margin-top:0;width:504.6pt;height:.95pt;z-index:-1;mso-position-horizontal-relative:page" o:allowincell="f" fillcolor="black" stroked="f" strokeweight="0">
            <v:fill color2="black"/>
            <w10:wrap anchorx="page"/>
            <w10:anchorlock/>
          </v:rect>
        </w:pict>
      </w:r>
    </w:p>
    <w:p w:rsidR="003D3DFE" w:rsidRPr="00EA7DA9" w:rsidRDefault="003D3DFE">
      <w:pPr>
        <w:pStyle w:val="Nadpisobsahu"/>
        <w:rPr>
          <w:rFonts w:ascii="Arial" w:hAnsi="Arial" w:cs="Arial"/>
        </w:rPr>
      </w:pPr>
      <w:r w:rsidRPr="00EA7DA9">
        <w:rPr>
          <w:rFonts w:ascii="Arial" w:hAnsi="Arial" w:cs="Arial"/>
        </w:rPr>
        <w:lastRenderedPageBreak/>
        <w:t>Obsah</w:t>
      </w:r>
    </w:p>
    <w:p w:rsidR="003D3DFE" w:rsidRPr="00EA7DA9" w:rsidRDefault="00A93BA4">
      <w:pPr>
        <w:pStyle w:val="Obsah1"/>
        <w:tabs>
          <w:tab w:val="right" w:leader="dot" w:pos="9685"/>
        </w:tabs>
        <w:rPr>
          <w:rFonts w:ascii="Arial" w:hAnsi="Arial" w:cs="Arial"/>
          <w:b w:val="0"/>
          <w:bCs w:val="0"/>
          <w:caps w:val="0"/>
          <w:noProof/>
          <w:sz w:val="22"/>
          <w:szCs w:val="22"/>
        </w:rPr>
      </w:pPr>
      <w:r w:rsidRPr="00A93BA4">
        <w:rPr>
          <w:rFonts w:ascii="Arial" w:hAnsi="Arial" w:cs="Arial"/>
        </w:rPr>
        <w:fldChar w:fldCharType="begin"/>
      </w:r>
      <w:r w:rsidR="003D3DFE" w:rsidRPr="00EA7DA9">
        <w:rPr>
          <w:rFonts w:ascii="Arial" w:hAnsi="Arial" w:cs="Arial"/>
        </w:rPr>
        <w:instrText xml:space="preserve"> TOC \o "1-3" \h \z \u </w:instrText>
      </w:r>
      <w:r w:rsidRPr="00A93BA4">
        <w:rPr>
          <w:rFonts w:ascii="Arial" w:hAnsi="Arial" w:cs="Arial"/>
        </w:rPr>
        <w:fldChar w:fldCharType="separate"/>
      </w:r>
      <w:hyperlink w:anchor="_Toc340838534" w:history="1">
        <w:r w:rsidR="003D3DFE" w:rsidRPr="00EA7DA9">
          <w:rPr>
            <w:rStyle w:val="Hypertextovodkaz"/>
            <w:rFonts w:ascii="Arial" w:hAnsi="Arial" w:cs="Arial"/>
            <w:noProof/>
          </w:rPr>
          <w:t>I. Úvod</w:t>
        </w:r>
        <w:r w:rsidR="001D0214" w:rsidRPr="00EA7DA9">
          <w:rPr>
            <w:rStyle w:val="Hypertextovodkaz"/>
            <w:rFonts w:ascii="Arial" w:hAnsi="Arial" w:cs="Arial"/>
            <w:noProof/>
          </w:rPr>
          <w:t>, HISTORIE</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_Toc340838534 \h </w:instrText>
        </w:r>
        <w:r w:rsidRPr="00EA7DA9">
          <w:rPr>
            <w:rFonts w:ascii="Arial" w:hAnsi="Arial" w:cs="Arial"/>
            <w:noProof/>
            <w:webHidden/>
          </w:rPr>
        </w:r>
        <w:r w:rsidRPr="00EA7DA9">
          <w:rPr>
            <w:rFonts w:ascii="Arial" w:hAnsi="Arial" w:cs="Arial"/>
            <w:noProof/>
            <w:webHidden/>
          </w:rPr>
          <w:fldChar w:fldCharType="separate"/>
        </w:r>
        <w:r w:rsidR="00B12801">
          <w:rPr>
            <w:rFonts w:ascii="Arial" w:hAnsi="Arial" w:cs="Arial"/>
            <w:noProof/>
            <w:webHidden/>
          </w:rPr>
          <w:t>2</w:t>
        </w:r>
        <w:r w:rsidRPr="00EA7DA9">
          <w:rPr>
            <w:rFonts w:ascii="Arial" w:hAnsi="Arial" w:cs="Arial"/>
            <w:noProof/>
            <w:webHidden/>
          </w:rPr>
          <w:fldChar w:fldCharType="end"/>
        </w:r>
      </w:hyperlink>
    </w:p>
    <w:p w:rsidR="003D3DFE" w:rsidRPr="00EA7DA9" w:rsidRDefault="00A93BA4">
      <w:pPr>
        <w:pStyle w:val="Obsah1"/>
        <w:tabs>
          <w:tab w:val="right" w:leader="dot" w:pos="9685"/>
        </w:tabs>
        <w:rPr>
          <w:rFonts w:ascii="Arial" w:hAnsi="Arial" w:cs="Arial"/>
          <w:b w:val="0"/>
          <w:bCs w:val="0"/>
          <w:caps w:val="0"/>
          <w:noProof/>
          <w:sz w:val="22"/>
          <w:szCs w:val="22"/>
        </w:rPr>
      </w:pPr>
      <w:hyperlink w:anchor="_Toc340838535" w:history="1">
        <w:r w:rsidR="003D3DFE" w:rsidRPr="00EA7DA9">
          <w:rPr>
            <w:rStyle w:val="Hypertextovodkaz"/>
            <w:rFonts w:ascii="Arial" w:hAnsi="Arial" w:cs="Arial"/>
            <w:noProof/>
          </w:rPr>
          <w:t>II. Revize indexů spotřebitelských cen (životních nákladů)</w:t>
        </w:r>
        <w:r w:rsidR="00BE3655">
          <w:rPr>
            <w:rStyle w:val="Hypertextovodkaz"/>
            <w:rFonts w:ascii="Arial" w:hAnsi="Arial" w:cs="Arial"/>
            <w:noProof/>
          </w:rPr>
          <w:t xml:space="preserve"> 2012</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_Toc340838535 \h </w:instrText>
        </w:r>
        <w:r w:rsidRPr="00EA7DA9">
          <w:rPr>
            <w:rFonts w:ascii="Arial" w:hAnsi="Arial" w:cs="Arial"/>
            <w:noProof/>
            <w:webHidden/>
          </w:rPr>
        </w:r>
        <w:r w:rsidRPr="00EA7DA9">
          <w:rPr>
            <w:rFonts w:ascii="Arial" w:hAnsi="Arial" w:cs="Arial"/>
            <w:noProof/>
            <w:webHidden/>
          </w:rPr>
          <w:fldChar w:fldCharType="separate"/>
        </w:r>
        <w:r w:rsidR="00B12801">
          <w:rPr>
            <w:rFonts w:ascii="Arial" w:hAnsi="Arial" w:cs="Arial"/>
            <w:noProof/>
            <w:webHidden/>
          </w:rPr>
          <w:t>6</w:t>
        </w:r>
        <w:r w:rsidRPr="00EA7DA9">
          <w:rPr>
            <w:rFonts w:ascii="Arial" w:hAnsi="Arial" w:cs="Arial"/>
            <w:noProof/>
            <w:webHidden/>
          </w:rPr>
          <w:fldChar w:fldCharType="end"/>
        </w:r>
      </w:hyperlink>
    </w:p>
    <w:p w:rsidR="003D3DFE" w:rsidRPr="00EA7DA9" w:rsidRDefault="00A93BA4">
      <w:pPr>
        <w:pStyle w:val="Obsah2"/>
        <w:tabs>
          <w:tab w:val="right" w:leader="dot" w:pos="9685"/>
        </w:tabs>
        <w:rPr>
          <w:rFonts w:ascii="Arial" w:hAnsi="Arial" w:cs="Arial"/>
          <w:b w:val="0"/>
          <w:bCs w:val="0"/>
          <w:noProof/>
          <w:sz w:val="22"/>
          <w:szCs w:val="22"/>
        </w:rPr>
      </w:pPr>
      <w:hyperlink w:anchor="_Toc340838536" w:history="1">
        <w:r w:rsidR="003D3DFE" w:rsidRPr="00EA7DA9">
          <w:rPr>
            <w:rStyle w:val="Hypertextovodkaz"/>
            <w:rFonts w:ascii="Arial" w:hAnsi="Arial" w:cs="Arial"/>
            <w:noProof/>
          </w:rPr>
          <w:t>A) Výběr cenových reprezentantů</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_Toc340838536 \h </w:instrText>
        </w:r>
        <w:r w:rsidRPr="00EA7DA9">
          <w:rPr>
            <w:rFonts w:ascii="Arial" w:hAnsi="Arial" w:cs="Arial"/>
            <w:noProof/>
            <w:webHidden/>
          </w:rPr>
        </w:r>
        <w:r w:rsidRPr="00EA7DA9">
          <w:rPr>
            <w:rFonts w:ascii="Arial" w:hAnsi="Arial" w:cs="Arial"/>
            <w:noProof/>
            <w:webHidden/>
          </w:rPr>
          <w:fldChar w:fldCharType="separate"/>
        </w:r>
        <w:r w:rsidR="00B12801">
          <w:rPr>
            <w:rFonts w:ascii="Arial" w:hAnsi="Arial" w:cs="Arial"/>
            <w:noProof/>
            <w:webHidden/>
          </w:rPr>
          <w:t>7</w:t>
        </w:r>
        <w:r w:rsidRPr="00EA7DA9">
          <w:rPr>
            <w:rFonts w:ascii="Arial" w:hAnsi="Arial" w:cs="Arial"/>
            <w:noProof/>
            <w:webHidden/>
          </w:rPr>
          <w:fldChar w:fldCharType="end"/>
        </w:r>
      </w:hyperlink>
    </w:p>
    <w:p w:rsidR="003D3DFE" w:rsidRPr="00EA7DA9" w:rsidRDefault="00A93BA4">
      <w:pPr>
        <w:pStyle w:val="Obsah2"/>
        <w:tabs>
          <w:tab w:val="right" w:leader="dot" w:pos="9685"/>
        </w:tabs>
        <w:rPr>
          <w:rFonts w:ascii="Arial" w:hAnsi="Arial" w:cs="Arial"/>
          <w:b w:val="0"/>
          <w:bCs w:val="0"/>
          <w:noProof/>
          <w:sz w:val="22"/>
          <w:szCs w:val="22"/>
        </w:rPr>
      </w:pPr>
      <w:hyperlink w:anchor="_Toc340838537" w:history="1">
        <w:r w:rsidR="003D3DFE" w:rsidRPr="00EA7DA9">
          <w:rPr>
            <w:rStyle w:val="Hypertextovodkaz"/>
            <w:rFonts w:ascii="Arial" w:hAnsi="Arial" w:cs="Arial"/>
            <w:noProof/>
          </w:rPr>
          <w:t>B) Váhový systém</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_Toc340838537 \h </w:instrText>
        </w:r>
        <w:r w:rsidRPr="00EA7DA9">
          <w:rPr>
            <w:rFonts w:ascii="Arial" w:hAnsi="Arial" w:cs="Arial"/>
            <w:noProof/>
            <w:webHidden/>
          </w:rPr>
        </w:r>
        <w:r w:rsidRPr="00EA7DA9">
          <w:rPr>
            <w:rFonts w:ascii="Arial" w:hAnsi="Arial" w:cs="Arial"/>
            <w:noProof/>
            <w:webHidden/>
          </w:rPr>
          <w:fldChar w:fldCharType="separate"/>
        </w:r>
        <w:r w:rsidR="00B12801">
          <w:rPr>
            <w:rFonts w:ascii="Arial" w:hAnsi="Arial" w:cs="Arial"/>
            <w:noProof/>
            <w:webHidden/>
          </w:rPr>
          <w:t>7</w:t>
        </w:r>
        <w:r w:rsidRPr="00EA7DA9">
          <w:rPr>
            <w:rFonts w:ascii="Arial" w:hAnsi="Arial" w:cs="Arial"/>
            <w:noProof/>
            <w:webHidden/>
          </w:rPr>
          <w:fldChar w:fldCharType="end"/>
        </w:r>
      </w:hyperlink>
    </w:p>
    <w:p w:rsidR="003D3DFE" w:rsidRPr="00EA7DA9" w:rsidRDefault="00A93BA4">
      <w:pPr>
        <w:pStyle w:val="Obsah2"/>
        <w:tabs>
          <w:tab w:val="right" w:leader="dot" w:pos="9685"/>
        </w:tabs>
        <w:rPr>
          <w:rFonts w:ascii="Arial" w:hAnsi="Arial" w:cs="Arial"/>
          <w:b w:val="0"/>
          <w:bCs w:val="0"/>
          <w:noProof/>
          <w:sz w:val="22"/>
          <w:szCs w:val="22"/>
        </w:rPr>
      </w:pPr>
      <w:hyperlink w:anchor="_Toc340838544" w:history="1">
        <w:r w:rsidR="003D3DFE" w:rsidRPr="00EA7DA9">
          <w:rPr>
            <w:rStyle w:val="Hypertextovodkaz"/>
            <w:rFonts w:ascii="Arial" w:hAnsi="Arial" w:cs="Arial"/>
            <w:noProof/>
          </w:rPr>
          <w:t xml:space="preserve">C) Metodika </w:t>
        </w:r>
      </w:hyperlink>
      <w:r w:rsidR="00523336">
        <w:tab/>
      </w:r>
      <w:r w:rsidR="00523336" w:rsidRPr="00523336">
        <w:rPr>
          <w:rFonts w:ascii="Arial" w:hAnsi="Arial" w:cs="Arial"/>
        </w:rPr>
        <w:t>8</w:t>
      </w:r>
    </w:p>
    <w:p w:rsidR="00EA7DA9" w:rsidRDefault="00EA7DA9" w:rsidP="00EA7DA9">
      <w:pPr>
        <w:rPr>
          <w:rFonts w:ascii="Arial" w:hAnsi="Arial" w:cs="Arial"/>
        </w:rPr>
      </w:pPr>
    </w:p>
    <w:p w:rsidR="002A7910" w:rsidRPr="00EA7DA9" w:rsidRDefault="002A7910" w:rsidP="00EA7DA9">
      <w:pPr>
        <w:rPr>
          <w:rFonts w:ascii="Arial" w:hAnsi="Arial" w:cs="Arial"/>
        </w:rPr>
      </w:pPr>
    </w:p>
    <w:p w:rsidR="00EA7DA9" w:rsidRPr="00EA7DA9" w:rsidRDefault="00EA7DA9" w:rsidP="00EA7DA9">
      <w:pPr>
        <w:rPr>
          <w:rFonts w:ascii="Arial" w:hAnsi="Arial" w:cs="Arial"/>
        </w:rPr>
      </w:pPr>
      <w:r>
        <w:rPr>
          <w:rFonts w:ascii="Arial" w:hAnsi="Arial" w:cs="Arial"/>
        </w:rPr>
        <w:t>Příloha č.</w:t>
      </w:r>
      <w:r w:rsidR="00BE736B">
        <w:rPr>
          <w:rFonts w:ascii="Arial" w:hAnsi="Arial" w:cs="Arial"/>
        </w:rPr>
        <w:t xml:space="preserve"> </w:t>
      </w:r>
      <w:r>
        <w:rPr>
          <w:rFonts w:ascii="Arial" w:hAnsi="Arial" w:cs="Arial"/>
        </w:rPr>
        <w:t>1: Váhová schémata pro výpočet indexů spotřebitelských cen (životních nákladů) za jednotlivé skupiny domácností</w:t>
      </w:r>
    </w:p>
    <w:p w:rsidR="003D3DFE" w:rsidRPr="00B6675B" w:rsidRDefault="00A93BA4">
      <w:r w:rsidRPr="00EA7DA9">
        <w:rPr>
          <w:rFonts w:ascii="Arial" w:hAnsi="Arial" w:cs="Arial"/>
        </w:rPr>
        <w:fldChar w:fldCharType="end"/>
      </w:r>
    </w:p>
    <w:p w:rsidR="001674EF" w:rsidRPr="00B12AEE" w:rsidRDefault="001674EF">
      <w:pPr>
        <w:ind w:left="720" w:firstLine="360"/>
        <w:rPr>
          <w:rFonts w:ascii="Arial" w:hAnsi="Arial" w:cs="Arial"/>
          <w:sz w:val="22"/>
          <w:szCs w:val="22"/>
        </w:rPr>
      </w:pPr>
    </w:p>
    <w:p w:rsidR="001674EF" w:rsidRPr="00591365" w:rsidRDefault="001674EF">
      <w:pPr>
        <w:ind w:left="720" w:firstLine="360"/>
        <w:rPr>
          <w:rFonts w:ascii="Arial" w:hAnsi="Arial" w:cs="Arial"/>
          <w:sz w:val="22"/>
          <w:szCs w:val="22"/>
        </w:rPr>
      </w:pPr>
    </w:p>
    <w:p w:rsidR="001674EF" w:rsidRPr="00B12AEE" w:rsidRDefault="001674EF">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674EF" w:rsidRPr="00B12AEE" w:rsidRDefault="001674EF">
      <w:pPr>
        <w:ind w:left="1080"/>
        <w:rPr>
          <w:rFonts w:ascii="Arial" w:hAnsi="Arial" w:cs="Arial"/>
          <w:sz w:val="22"/>
          <w:szCs w:val="22"/>
        </w:rPr>
      </w:pPr>
    </w:p>
    <w:p w:rsidR="001674EF" w:rsidRPr="00591365" w:rsidRDefault="001674EF" w:rsidP="009E397B">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t xml:space="preserve">            </w:t>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bookmarkStart w:id="0" w:name="_Toc340758485"/>
      <w:bookmarkStart w:id="1" w:name="_Toc340758891"/>
      <w:bookmarkStart w:id="2" w:name="_Toc340824103"/>
      <w:bookmarkStart w:id="3" w:name="_Toc340824157"/>
      <w:bookmarkStart w:id="4" w:name="_Toc340827461"/>
      <w:bookmarkStart w:id="5" w:name="_Toc340838534"/>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674EF" w:rsidRPr="00177971" w:rsidRDefault="001674EF"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r w:rsidRPr="002A7910">
        <w:rPr>
          <w:rFonts w:ascii="Arial" w:hAnsi="Arial" w:cs="Arial"/>
          <w:b/>
          <w:sz w:val="24"/>
        </w:rPr>
        <w:lastRenderedPageBreak/>
        <w:t>I. Úvod</w:t>
      </w:r>
      <w:bookmarkEnd w:id="0"/>
      <w:bookmarkEnd w:id="1"/>
      <w:bookmarkEnd w:id="2"/>
      <w:bookmarkEnd w:id="3"/>
      <w:bookmarkEnd w:id="4"/>
      <w:bookmarkEnd w:id="5"/>
      <w:r w:rsidR="001D0214" w:rsidRPr="002A7910">
        <w:rPr>
          <w:rFonts w:ascii="Arial" w:hAnsi="Arial" w:cs="Arial"/>
          <w:b/>
          <w:sz w:val="24"/>
        </w:rPr>
        <w:t>, historie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Index spotřebitelských cen patří v soustavě cenových indexů vypočítávaných v České republice mezi nejdůležitější indikátory cenového vývoje. Reprezentativním způsobem měří v časovém vývoji relativní změny konečných spotřebitelských cen zboží a služeb placených obyvatelstvem. Indexy spotřebitelských cen (životních nákladů) za domácnosti celkem js</w:t>
      </w:r>
      <w:r w:rsidR="009D6B64">
        <w:rPr>
          <w:rFonts w:ascii="Arial" w:hAnsi="Arial" w:cs="Arial"/>
          <w:sz w:val="22"/>
          <w:szCs w:val="22"/>
        </w:rPr>
        <w:t>ou používány k měření inflace v </w:t>
      </w:r>
      <w:r w:rsidRPr="00B12AEE">
        <w:rPr>
          <w:rFonts w:ascii="Arial" w:hAnsi="Arial" w:cs="Arial"/>
          <w:sz w:val="22"/>
          <w:szCs w:val="22"/>
        </w:rPr>
        <w:t>České republice.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V průběhu doby prošel index spotřebitelských cen vývojovými etapami. V Československu se započalo se zjišťováním maloobchodních cen brzy po ustavení Státního úřadu statistického v roce 1919. Řady cenových indexů začínají rokem 1921. Tyto první indexy zahrnovaly celkem 41 druhů zboží, které </w:t>
      </w:r>
      <w:r w:rsidRPr="003F71E1">
        <w:rPr>
          <w:rFonts w:ascii="Arial" w:hAnsi="Arial" w:cs="Arial"/>
          <w:sz w:val="22"/>
          <w:szCs w:val="22"/>
        </w:rPr>
        <w:t>byl</w:t>
      </w:r>
      <w:r w:rsidR="003F71E1">
        <w:rPr>
          <w:rFonts w:ascii="Arial" w:hAnsi="Arial" w:cs="Arial"/>
          <w:sz w:val="22"/>
          <w:szCs w:val="22"/>
        </w:rPr>
        <w:t>o</w:t>
      </w:r>
      <w:r w:rsidRPr="003F71E1">
        <w:rPr>
          <w:rFonts w:ascii="Arial" w:hAnsi="Arial" w:cs="Arial"/>
          <w:sz w:val="22"/>
          <w:szCs w:val="22"/>
        </w:rPr>
        <w:t xml:space="preserve"> rozdělen</w:t>
      </w:r>
      <w:r w:rsidR="003F71E1">
        <w:rPr>
          <w:rFonts w:ascii="Arial" w:hAnsi="Arial" w:cs="Arial"/>
          <w:sz w:val="22"/>
          <w:szCs w:val="22"/>
        </w:rPr>
        <w:t>o</w:t>
      </w:r>
      <w:r w:rsidRPr="00B12AEE">
        <w:rPr>
          <w:rFonts w:ascii="Arial" w:hAnsi="Arial" w:cs="Arial"/>
          <w:sz w:val="22"/>
          <w:szCs w:val="22"/>
        </w:rPr>
        <w:t xml:space="preserve"> do dvou skupin (potraviny, palivo, petrolej a mýdlo;  látky, obuv, klobouky). Základním obdobím těchto indexů byl červenec 1914 (období před vznikem první světové války). Jednalo se o nevážený aritmetický průměr těchto druhů zboží. Úhrn za tyto dvě skupiny nebyl vypočítáván. Šetření cen bylo prováděno ve vybraných obcích (121 míst).</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června 1923</w:t>
      </w:r>
      <w:r w:rsidRPr="00B12AEE">
        <w:rPr>
          <w:rFonts w:ascii="Arial" w:hAnsi="Arial" w:cs="Arial"/>
          <w:sz w:val="22"/>
          <w:szCs w:val="22"/>
        </w:rPr>
        <w:t xml:space="preserve"> byly vypočítávány indexy životních nákladů za rodiny dělnické a úřednické. Šetření cen se provádělo na 72 reprezentantech rozdělen</w:t>
      </w:r>
      <w:r w:rsidR="00EF66F6">
        <w:rPr>
          <w:rFonts w:ascii="Arial" w:hAnsi="Arial" w:cs="Arial"/>
          <w:sz w:val="22"/>
          <w:szCs w:val="22"/>
        </w:rPr>
        <w:t>ých</w:t>
      </w:r>
      <w:r w:rsidRPr="00B12AEE">
        <w:rPr>
          <w:rFonts w:ascii="Arial" w:hAnsi="Arial" w:cs="Arial"/>
          <w:sz w:val="22"/>
          <w:szCs w:val="22"/>
        </w:rPr>
        <w:t xml:space="preserve"> do 5 skupin (výživa; topivo, svítivo, prostředky k čištění; nájemné z bytů; šatstvo, prádlo, obuv; ostatní potřeby). Váhy indexů byly stanoveny na </w:t>
      </w:r>
      <w:r w:rsidRPr="00EF66F6">
        <w:rPr>
          <w:rFonts w:ascii="Arial" w:hAnsi="Arial" w:cs="Arial"/>
          <w:sz w:val="22"/>
          <w:szCs w:val="22"/>
        </w:rPr>
        <w:t>základ</w:t>
      </w:r>
      <w:r w:rsidR="00EF66F6" w:rsidRPr="00EF66F6">
        <w:rPr>
          <w:rFonts w:ascii="Arial" w:hAnsi="Arial" w:cs="Arial"/>
          <w:sz w:val="22"/>
          <w:szCs w:val="22"/>
        </w:rPr>
        <w:t>ě</w:t>
      </w:r>
      <w:r w:rsidRPr="00B12AEE">
        <w:rPr>
          <w:rFonts w:ascii="Arial" w:hAnsi="Arial" w:cs="Arial"/>
          <w:sz w:val="22"/>
          <w:szCs w:val="22"/>
        </w:rPr>
        <w:t xml:space="preserve"> statistiky rodinných účtů. Indexy celkových životních nákladů byly vypočítávány pouze z</w:t>
      </w:r>
      <w:r w:rsidR="009D6B64">
        <w:rPr>
          <w:rFonts w:ascii="Arial" w:hAnsi="Arial" w:cs="Arial"/>
          <w:sz w:val="22"/>
          <w:szCs w:val="22"/>
        </w:rPr>
        <w:t>a </w:t>
      </w:r>
      <w:r w:rsidRPr="00B12AEE">
        <w:rPr>
          <w:rFonts w:ascii="Arial" w:hAnsi="Arial" w:cs="Arial"/>
          <w:sz w:val="22"/>
          <w:szCs w:val="22"/>
        </w:rPr>
        <w:t xml:space="preserve">Prahu. Za celé území republiky byly vypočítávány jen indexy za skupinu „výživa“ </w:t>
      </w:r>
      <w:r w:rsidR="00591365" w:rsidRPr="00B12AEE">
        <w:rPr>
          <w:rFonts w:ascii="Arial" w:hAnsi="Arial" w:cs="Arial"/>
          <w:sz w:val="22"/>
          <w:szCs w:val="22"/>
        </w:rPr>
        <w:t>tzv. potravinové</w:t>
      </w:r>
      <w:r w:rsidRPr="00B12AEE">
        <w:rPr>
          <w:rFonts w:ascii="Arial" w:hAnsi="Arial" w:cs="Arial"/>
          <w:sz w:val="22"/>
          <w:szCs w:val="22"/>
        </w:rPr>
        <w:t>. Šetření cen potravin bylo prováděno v 800 místech rozložených po celé republice, u ostatních druhů zboží bylo omezeno jen na Prahu.</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Revize</w:t>
      </w:r>
      <w:r w:rsidRPr="00B12AEE">
        <w:rPr>
          <w:rFonts w:ascii="Arial" w:hAnsi="Arial" w:cs="Arial"/>
          <w:sz w:val="22"/>
          <w:szCs w:val="22"/>
        </w:rPr>
        <w:t xml:space="preserve"> těchto </w:t>
      </w:r>
      <w:r w:rsidRPr="00B12AEE">
        <w:rPr>
          <w:rFonts w:ascii="Arial" w:hAnsi="Arial" w:cs="Arial"/>
          <w:b/>
          <w:bCs/>
          <w:sz w:val="22"/>
          <w:szCs w:val="22"/>
        </w:rPr>
        <w:t>indexů</w:t>
      </w:r>
      <w:r w:rsidRPr="00B12AEE">
        <w:rPr>
          <w:rFonts w:ascii="Arial" w:hAnsi="Arial" w:cs="Arial"/>
          <w:sz w:val="22"/>
          <w:szCs w:val="22"/>
        </w:rPr>
        <w:t xml:space="preserve"> z roku 1923 byla provedena </w:t>
      </w:r>
      <w:r w:rsidRPr="00B12AEE">
        <w:rPr>
          <w:rFonts w:ascii="Arial" w:hAnsi="Arial" w:cs="Arial"/>
          <w:b/>
          <w:bCs/>
          <w:sz w:val="22"/>
          <w:szCs w:val="22"/>
        </w:rPr>
        <w:t>v letech 1930 - 1931.</w:t>
      </w:r>
      <w:r w:rsidRPr="00B12AEE">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třídění spotřebního koše zůstalo (5 skupin). Zvláštností při této revizi bylo, že pivo bylo přesunuto ze skupiny „výživa“ do skupiny „různé </w:t>
      </w:r>
      <w:r w:rsidR="00591365" w:rsidRPr="00B12AEE">
        <w:rPr>
          <w:rFonts w:ascii="Arial" w:hAnsi="Arial" w:cs="Arial"/>
          <w:sz w:val="22"/>
          <w:szCs w:val="22"/>
        </w:rPr>
        <w:t>jiné potřeby</w:t>
      </w:r>
      <w:r w:rsidRPr="00B12AEE">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B12AEE">
        <w:rPr>
          <w:rFonts w:ascii="Arial" w:hAnsi="Arial" w:cs="Arial"/>
          <w:sz w:val="22"/>
          <w:szCs w:val="22"/>
        </w:rPr>
        <w:t>nadále červenec</w:t>
      </w:r>
      <w:r w:rsidRPr="00B12AEE">
        <w:rPr>
          <w:rFonts w:ascii="Arial" w:hAnsi="Arial" w:cs="Arial"/>
          <w:sz w:val="22"/>
          <w:szCs w:val="22"/>
        </w:rPr>
        <w:t xml:space="preserve"> 1914.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S další revizí indexů se počítalo asi v roce 1940. Vzhledem k obsazení Československa a vypuknutí druhé světové války k revizi již nedošlo. Po celé období války v letech 1939 - 1945 byly indexy vypočítávány na základě indexních schémat vypracovaných v roce 1931. Do výpočtu se braly jen ceny placené při prodeji na přídělové lístky. Základní období se změnilo na březen 1939. </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pStyle w:val="Zkladntextodsazen3"/>
        <w:rPr>
          <w:rFonts w:ascii="Arial" w:hAnsi="Arial" w:cs="Arial"/>
          <w:sz w:val="22"/>
          <w:szCs w:val="22"/>
        </w:rPr>
      </w:pPr>
      <w:r w:rsidRPr="00B12AEE">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Pr>
          <w:rFonts w:ascii="Arial" w:hAnsi="Arial" w:cs="Arial"/>
          <w:sz w:val="22"/>
          <w:szCs w:val="22"/>
        </w:rPr>
        <w:t>minimum by ani nebyla vhodná ke </w:t>
      </w:r>
      <w:r w:rsidRPr="00B12AEE">
        <w:rPr>
          <w:rFonts w:ascii="Arial" w:hAnsi="Arial" w:cs="Arial"/>
          <w:sz w:val="22"/>
          <w:szCs w:val="22"/>
        </w:rPr>
        <w:t xml:space="preserve">konstrukci indexů. V prvních poválečných letech až do zrušení přídělového systému (červen 1953) bylo sledování vývoje cen a výpočet indexů ještě ztíženo tím, že vedle legálního prodeje zboží na lístky existoval černý trh za ceny mnohonásobně </w:t>
      </w:r>
      <w:r w:rsidR="00591365" w:rsidRPr="00B12AEE">
        <w:rPr>
          <w:rFonts w:ascii="Arial" w:hAnsi="Arial" w:cs="Arial"/>
          <w:sz w:val="22"/>
          <w:szCs w:val="22"/>
        </w:rPr>
        <w:t>vyšší. Od</w:t>
      </w:r>
      <w:r w:rsidRPr="00B12AEE">
        <w:rPr>
          <w:rFonts w:ascii="Arial" w:hAnsi="Arial" w:cs="Arial"/>
          <w:sz w:val="22"/>
          <w:szCs w:val="22"/>
        </w:rPr>
        <w:t xml:space="preserve"> roku 1949 by</w:t>
      </w:r>
      <w:r w:rsidR="009D6B64">
        <w:rPr>
          <w:rFonts w:ascii="Arial" w:hAnsi="Arial" w:cs="Arial"/>
          <w:sz w:val="22"/>
          <w:szCs w:val="22"/>
        </w:rPr>
        <w:t>l pak ještě postupně zaváděn ve </w:t>
      </w:r>
      <w:r w:rsidRPr="00B12AEE">
        <w:rPr>
          <w:rFonts w:ascii="Arial" w:hAnsi="Arial" w:cs="Arial"/>
          <w:sz w:val="22"/>
          <w:szCs w:val="22"/>
        </w:rPr>
        <w:t>státním obchodě volný prodej přídělového zboží za zvýšené ceny.</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1952</w:t>
      </w:r>
      <w:r w:rsidRPr="00B12AEE">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B12AEE">
        <w:rPr>
          <w:rFonts w:ascii="Arial" w:hAnsi="Arial" w:cs="Arial"/>
          <w:sz w:val="22"/>
          <w:szCs w:val="22"/>
        </w:rPr>
        <w:t>se čerpaly</w:t>
      </w:r>
      <w:r w:rsidRPr="00B12AEE">
        <w:rPr>
          <w:rFonts w:ascii="Arial" w:hAnsi="Arial" w:cs="Arial"/>
          <w:sz w:val="22"/>
          <w:szCs w:val="22"/>
        </w:rPr>
        <w:t xml:space="preserve"> jen z ceníků a výměrů cenových orgánů. Později se dokonce skupinové indexy vyčíslovaly jen na pod</w:t>
      </w:r>
      <w:r w:rsidR="009D6B64">
        <w:rPr>
          <w:rFonts w:ascii="Arial" w:hAnsi="Arial" w:cs="Arial"/>
          <w:sz w:val="22"/>
          <w:szCs w:val="22"/>
        </w:rPr>
        <w:t>kladě tzv. cenových rozdílů tj. </w:t>
      </w:r>
      <w:r w:rsidRPr="00B12AEE">
        <w:rPr>
          <w:rFonts w:ascii="Arial" w:hAnsi="Arial" w:cs="Arial"/>
          <w:sz w:val="22"/>
          <w:szCs w:val="22"/>
        </w:rPr>
        <w:t xml:space="preserve">absolutních částek, které nahlásily cenové orgány při úpravě cen. Způsob výpočtu cenového indexu byl odvozen z </w:t>
      </w:r>
      <w:proofErr w:type="spellStart"/>
      <w:r w:rsidRPr="00B12AEE">
        <w:rPr>
          <w:rFonts w:ascii="Arial" w:hAnsi="Arial" w:cs="Arial"/>
          <w:sz w:val="22"/>
          <w:szCs w:val="22"/>
        </w:rPr>
        <w:t>Paascheho</w:t>
      </w:r>
      <w:proofErr w:type="spellEnd"/>
      <w:r w:rsidRPr="00B12AEE">
        <w:rPr>
          <w:rFonts w:ascii="Arial" w:hAnsi="Arial" w:cs="Arial"/>
          <w:sz w:val="22"/>
          <w:szCs w:val="22"/>
        </w:rPr>
        <w:t xml:space="preserve"> vzorce. Základním obdobím byl vždy předešlý rok. Od roku 1953 byly kromě indexů maloobchodních cen vypočítávány též indexy životních nákladů</w:t>
      </w:r>
      <w:r w:rsidR="001B7B37">
        <w:rPr>
          <w:rFonts w:ascii="Arial" w:hAnsi="Arial" w:cs="Arial"/>
          <w:sz w:val="22"/>
          <w:szCs w:val="22"/>
        </w:rPr>
        <w:t>,</w:t>
      </w:r>
      <w:r w:rsidRPr="00B12AEE">
        <w:rPr>
          <w:rFonts w:ascii="Arial" w:hAnsi="Arial" w:cs="Arial"/>
          <w:sz w:val="22"/>
          <w:szCs w:val="22"/>
        </w:rPr>
        <w:t xml:space="preserve"> a to pro domácnosti dělnické, zaměstnanecké a zemědělské. Tyto indexy měly za základ rovněž pouze předchozí rok.</w:t>
      </w: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2A7910" w:rsidRPr="00B12AEE" w:rsidRDefault="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lastRenderedPageBreak/>
        <w:t xml:space="preserve">Vzhledem k tomu, že tyto indexy nevyjadřovaly plynulé změny úrovně cen za řadu let od určitého výchozího období, byla </w:t>
      </w:r>
      <w:r w:rsidRPr="00B12AEE">
        <w:rPr>
          <w:rFonts w:ascii="Arial" w:hAnsi="Arial" w:cs="Arial"/>
          <w:b/>
          <w:bCs/>
          <w:sz w:val="22"/>
          <w:szCs w:val="22"/>
        </w:rPr>
        <w:t>v roce 1955 provedena konstrukce nových indexů životních nákladů</w:t>
      </w:r>
      <w:r w:rsidRPr="00B12AEE">
        <w:rPr>
          <w:rFonts w:ascii="Arial" w:hAnsi="Arial" w:cs="Arial"/>
          <w:sz w:val="22"/>
          <w:szCs w:val="22"/>
        </w:rPr>
        <w:t xml:space="preserve">, které by vyhovovaly těmto zásadám. Základním cenovým obdobím byl červen </w:t>
      </w:r>
      <w:r w:rsidR="00591365" w:rsidRPr="00B12AEE">
        <w:rPr>
          <w:rFonts w:ascii="Arial" w:hAnsi="Arial" w:cs="Arial"/>
          <w:sz w:val="22"/>
          <w:szCs w:val="22"/>
        </w:rPr>
        <w:t>1953. Výběr</w:t>
      </w:r>
      <w:r w:rsidRPr="00B12AEE">
        <w:rPr>
          <w:rFonts w:ascii="Arial" w:hAnsi="Arial" w:cs="Arial"/>
          <w:sz w:val="22"/>
          <w:szCs w:val="22"/>
        </w:rPr>
        <w:t xml:space="preserve"> reprezentantů byl rozšířen na 372. Váhy byly stanoveny na základě výsled</w:t>
      </w:r>
      <w:r w:rsidR="009D6B64">
        <w:rPr>
          <w:rFonts w:ascii="Arial" w:hAnsi="Arial" w:cs="Arial"/>
          <w:sz w:val="22"/>
          <w:szCs w:val="22"/>
        </w:rPr>
        <w:t>ků statistiky rodinných účtů za </w:t>
      </w:r>
      <w:r w:rsidRPr="00B12AEE">
        <w:rPr>
          <w:rFonts w:ascii="Arial" w:hAnsi="Arial" w:cs="Arial"/>
          <w:sz w:val="22"/>
          <w:szCs w:val="22"/>
        </w:rPr>
        <w:t>rok 1955</w:t>
      </w:r>
      <w:r w:rsidR="002C54CA">
        <w:rPr>
          <w:rFonts w:ascii="Arial" w:hAnsi="Arial" w:cs="Arial"/>
          <w:sz w:val="22"/>
          <w:szCs w:val="22"/>
        </w:rPr>
        <w:t>,</w:t>
      </w:r>
      <w:r w:rsidR="001B7B37">
        <w:rPr>
          <w:rFonts w:ascii="Arial" w:hAnsi="Arial" w:cs="Arial"/>
          <w:sz w:val="22"/>
          <w:szCs w:val="22"/>
        </w:rPr>
        <w:t xml:space="preserve"> a to za </w:t>
      </w:r>
      <w:r w:rsidRPr="00B12AEE">
        <w:rPr>
          <w:rFonts w:ascii="Arial" w:hAnsi="Arial" w:cs="Arial"/>
          <w:sz w:val="22"/>
          <w:szCs w:val="22"/>
        </w:rPr>
        <w:t xml:space="preserve">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zemědělské. Do 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 indexů životních nákladů</w:t>
      </w:r>
      <w:r w:rsidRPr="00B12AEE">
        <w:rPr>
          <w:rFonts w:ascii="Arial" w:hAnsi="Arial" w:cs="Arial"/>
          <w:sz w:val="22"/>
          <w:szCs w:val="22"/>
        </w:rPr>
        <w:t xml:space="preserve"> byla provedena </w:t>
      </w:r>
      <w:r w:rsidRPr="00B12AEE">
        <w:rPr>
          <w:rFonts w:ascii="Arial" w:hAnsi="Arial" w:cs="Arial"/>
          <w:b/>
          <w:bCs/>
          <w:sz w:val="22"/>
          <w:szCs w:val="22"/>
        </w:rPr>
        <w:t>v letech 1960 - 1963.</w:t>
      </w:r>
      <w:r w:rsidRPr="00B12AEE">
        <w:rPr>
          <w:rFonts w:ascii="Arial" w:hAnsi="Arial" w:cs="Arial"/>
          <w:sz w:val="22"/>
          <w:szCs w:val="22"/>
        </w:rPr>
        <w:t xml:space="preserve"> Podstatně byl rozšířen počet reprezentantů (na </w:t>
      </w:r>
      <w:r w:rsidR="00591365" w:rsidRPr="00B12AEE">
        <w:rPr>
          <w:rFonts w:ascii="Arial" w:hAnsi="Arial" w:cs="Arial"/>
          <w:sz w:val="22"/>
          <w:szCs w:val="22"/>
        </w:rPr>
        <w:t>768). Váhy</w:t>
      </w:r>
      <w:r w:rsidRPr="00B12AEE">
        <w:rPr>
          <w:rFonts w:ascii="Arial" w:hAnsi="Arial" w:cs="Arial"/>
          <w:sz w:val="22"/>
          <w:szCs w:val="22"/>
        </w:rPr>
        <w:t xml:space="preserve"> byly stanoveny na základě výsledků statistiky rodinných účtů za rok 1960. Nové spotřební koše byly vypracovány za 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B12AEE">
        <w:rPr>
          <w:rFonts w:ascii="Arial" w:hAnsi="Arial" w:cs="Arial"/>
          <w:sz w:val="22"/>
          <w:szCs w:val="22"/>
        </w:rPr>
        <w:t>započítávaly. Ceny</w:t>
      </w:r>
      <w:r w:rsidRPr="00B12AEE">
        <w:rPr>
          <w:rFonts w:ascii="Arial" w:hAnsi="Arial" w:cs="Arial"/>
          <w:sz w:val="22"/>
          <w:szCs w:val="22"/>
        </w:rPr>
        <w:t xml:space="preserve"> byly tak jako v předchozích letech čerpány z ceníků. Základním cenovým obdobím zůstal červen 1953.</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b/>
          <w:bCs/>
          <w:sz w:val="22"/>
          <w:szCs w:val="22"/>
        </w:rPr>
        <w:t>Od roku 1966</w:t>
      </w:r>
      <w:r w:rsidRPr="00B12AEE">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Pr>
          <w:rFonts w:ascii="Arial" w:hAnsi="Arial" w:cs="Arial"/>
          <w:sz w:val="22"/>
          <w:szCs w:val="22"/>
        </w:rPr>
        <w:t>,</w:t>
      </w:r>
      <w:r w:rsidRPr="00B12AEE">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Pr>
          <w:rFonts w:ascii="Arial" w:hAnsi="Arial" w:cs="Arial"/>
          <w:sz w:val="22"/>
          <w:szCs w:val="22"/>
        </w:rPr>
        <w:t>statistických výkazů z </w:t>
      </w:r>
      <w:r w:rsidRPr="00B12AEE">
        <w:rPr>
          <w:rFonts w:ascii="Arial" w:hAnsi="Arial" w:cs="Arial"/>
          <w:sz w:val="22"/>
          <w:szCs w:val="22"/>
        </w:rPr>
        <w:t xml:space="preserve">ústředních organizací obchodu. Kromě toho u určitých skupin zboží, u nichž dochází k časté obměně </w:t>
      </w:r>
      <w:r w:rsidR="00591365" w:rsidRPr="00B12AEE">
        <w:rPr>
          <w:rFonts w:ascii="Arial" w:hAnsi="Arial" w:cs="Arial"/>
          <w:sz w:val="22"/>
          <w:szCs w:val="22"/>
        </w:rPr>
        <w:t>sortimentu (textilní</w:t>
      </w:r>
      <w:r w:rsidRPr="00B12AEE">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r w:rsidRPr="00B12AEE">
        <w:rPr>
          <w:rFonts w:ascii="Arial" w:hAnsi="Arial" w:cs="Arial"/>
          <w:sz w:val="22"/>
          <w:szCs w:val="22"/>
        </w:rPr>
        <w:t xml:space="preserve">V roce 1967 byla připravována další revize indexů životních nákladů. Při této revizi byl převzat výběr reprezentantů z indexu maloobchodních cen. </w:t>
      </w:r>
      <w:r w:rsidRPr="00B12AEE">
        <w:rPr>
          <w:rFonts w:ascii="Arial" w:hAnsi="Arial" w:cs="Arial"/>
          <w:b/>
          <w:bCs/>
          <w:sz w:val="22"/>
          <w:szCs w:val="22"/>
        </w:rPr>
        <w:t>Od roku 1969</w:t>
      </w:r>
      <w:r w:rsidRPr="00B12AEE">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B12AEE">
        <w:rPr>
          <w:rFonts w:ascii="Arial" w:hAnsi="Arial" w:cs="Arial"/>
          <w:sz w:val="22"/>
          <w:szCs w:val="22"/>
        </w:rPr>
        <w:t>na skupiny</w:t>
      </w:r>
      <w:r w:rsidRPr="00B12AEE">
        <w:rPr>
          <w:rFonts w:ascii="Arial" w:hAnsi="Arial" w:cs="Arial"/>
          <w:sz w:val="22"/>
          <w:szCs w:val="22"/>
        </w:rPr>
        <w:t xml:space="preserve"> zboží (1035 reprezentantů), index cen veřejného stravování a služeb nebyl revidován. Základní období bylo stejné jako u indexu maloobchodních cen</w:t>
      </w:r>
      <w:r w:rsidR="001D08BD">
        <w:rPr>
          <w:rFonts w:ascii="Arial" w:hAnsi="Arial" w:cs="Arial"/>
          <w:sz w:val="22"/>
          <w:szCs w:val="22"/>
        </w:rPr>
        <w:t>,</w:t>
      </w:r>
      <w:r w:rsidRPr="00B12AEE">
        <w:rPr>
          <w:rFonts w:ascii="Arial" w:hAnsi="Arial" w:cs="Arial"/>
          <w:sz w:val="22"/>
          <w:szCs w:val="22"/>
        </w:rPr>
        <w:t xml:space="preserve"> tj. leden 1964.</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Začátkem roku 1969 bylo provedeno široké oponentní řízení k indexům </w:t>
      </w:r>
      <w:r w:rsidR="00591365" w:rsidRPr="00B12AEE">
        <w:rPr>
          <w:rFonts w:ascii="Arial" w:hAnsi="Arial" w:cs="Arial"/>
          <w:sz w:val="22"/>
          <w:szCs w:val="22"/>
        </w:rPr>
        <w:t>životních nákladů</w:t>
      </w:r>
      <w:r w:rsidRPr="00B12AEE">
        <w:rPr>
          <w:rFonts w:ascii="Arial" w:hAnsi="Arial" w:cs="Arial"/>
          <w:sz w:val="22"/>
          <w:szCs w:val="22"/>
        </w:rPr>
        <w:t>, ze kterého vzešly závažné připomínky, které byly řešeny</w:t>
      </w:r>
      <w:r w:rsidRPr="00B12AEE">
        <w:rPr>
          <w:rFonts w:ascii="Arial" w:hAnsi="Arial" w:cs="Arial"/>
          <w:b/>
          <w:bCs/>
          <w:sz w:val="22"/>
          <w:szCs w:val="22"/>
        </w:rPr>
        <w:t xml:space="preserve"> revizí</w:t>
      </w:r>
      <w:r w:rsidRPr="00B12AEE">
        <w:rPr>
          <w:rFonts w:ascii="Arial" w:hAnsi="Arial" w:cs="Arial"/>
          <w:sz w:val="22"/>
          <w:szCs w:val="22"/>
        </w:rPr>
        <w:t xml:space="preserve"> indexů maloobchodních cen a životních nákladů, která byla provedena</w:t>
      </w:r>
      <w:r w:rsidRPr="00B12AEE">
        <w:rPr>
          <w:rFonts w:ascii="Arial" w:hAnsi="Arial" w:cs="Arial"/>
          <w:b/>
          <w:bCs/>
          <w:sz w:val="22"/>
          <w:szCs w:val="22"/>
        </w:rPr>
        <w:t xml:space="preserve"> v letech 1970 </w:t>
      </w:r>
      <w:r w:rsidR="00591365" w:rsidRPr="00B12AEE">
        <w:rPr>
          <w:rFonts w:ascii="Arial" w:hAnsi="Arial" w:cs="Arial"/>
          <w:b/>
          <w:bCs/>
          <w:sz w:val="22"/>
          <w:szCs w:val="22"/>
        </w:rPr>
        <w:t>-1971</w:t>
      </w:r>
      <w:r w:rsidR="00591365" w:rsidRPr="00B12AEE">
        <w:rPr>
          <w:rFonts w:ascii="Arial" w:hAnsi="Arial" w:cs="Arial"/>
          <w:sz w:val="22"/>
          <w:szCs w:val="22"/>
        </w:rPr>
        <w:t>. Celkem</w:t>
      </w:r>
      <w:r w:rsidRPr="00B12AEE">
        <w:rPr>
          <w:rFonts w:ascii="Arial" w:hAnsi="Arial" w:cs="Arial"/>
          <w:sz w:val="22"/>
          <w:szCs w:val="22"/>
        </w:rPr>
        <w:t xml:space="preserve"> bylo vybráno 1480 reprezentantů. Váhy pro </w:t>
      </w:r>
      <w:r w:rsidR="00591365" w:rsidRPr="00B12AEE">
        <w:rPr>
          <w:rFonts w:ascii="Arial" w:hAnsi="Arial" w:cs="Arial"/>
          <w:sz w:val="22"/>
          <w:szCs w:val="22"/>
        </w:rPr>
        <w:t>výpočet indexu</w:t>
      </w:r>
      <w:r w:rsidRPr="00B12AEE">
        <w:rPr>
          <w:rFonts w:ascii="Arial" w:hAnsi="Arial" w:cs="Arial"/>
          <w:sz w:val="22"/>
          <w:szCs w:val="22"/>
        </w:rPr>
        <w:t xml:space="preserve"> maloobchodních cen byly stanoveny na základě maloobchodního obratu a vydání za </w:t>
      </w:r>
      <w:r w:rsidR="00591365" w:rsidRPr="00B12AEE">
        <w:rPr>
          <w:rFonts w:ascii="Arial" w:hAnsi="Arial" w:cs="Arial"/>
          <w:sz w:val="22"/>
          <w:szCs w:val="22"/>
        </w:rPr>
        <w:t>služby v roce</w:t>
      </w:r>
      <w:r w:rsidRPr="00B12AEE">
        <w:rPr>
          <w:rFonts w:ascii="Arial" w:hAnsi="Arial" w:cs="Arial"/>
          <w:sz w:val="22"/>
          <w:szCs w:val="22"/>
        </w:rPr>
        <w:t xml:space="preserve"> 1968. Spotřební koš byl členěn na 4 skupiny (potravinářské zboží, </w:t>
      </w:r>
      <w:proofErr w:type="spellStart"/>
      <w:r w:rsidRPr="00B12AEE">
        <w:rPr>
          <w:rFonts w:ascii="Arial" w:hAnsi="Arial" w:cs="Arial"/>
          <w:sz w:val="22"/>
          <w:szCs w:val="22"/>
        </w:rPr>
        <w:t>nepotravinářské</w:t>
      </w:r>
      <w:proofErr w:type="spellEnd"/>
      <w:r w:rsidRPr="00B12AEE">
        <w:rPr>
          <w:rFonts w:ascii="Arial" w:hAnsi="Arial" w:cs="Arial"/>
          <w:sz w:val="22"/>
          <w:szCs w:val="22"/>
        </w:rPr>
        <w:t xml:space="preserve"> zboží, veřejné stravování, </w:t>
      </w:r>
      <w:r w:rsidR="00591365" w:rsidRPr="00B12AEE">
        <w:rPr>
          <w:rFonts w:ascii="Arial" w:hAnsi="Arial" w:cs="Arial"/>
          <w:sz w:val="22"/>
          <w:szCs w:val="22"/>
        </w:rPr>
        <w:t>služby). Základním</w:t>
      </w:r>
      <w:r w:rsidRPr="00B12AEE">
        <w:rPr>
          <w:rFonts w:ascii="Arial" w:hAnsi="Arial" w:cs="Arial"/>
          <w:sz w:val="22"/>
          <w:szCs w:val="22"/>
        </w:rPr>
        <w:t xml:space="preserve"> obdobím byl stanoven leden 1968. Kromě indexu maloobchodních cen byly revidovány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dělnicko-zaměstnaneckou s nezaopatřenými dětmi (s jedním, dvěma a třemi dětmi). Váhy za výdajové skupiny (potraviny, nápoje, </w:t>
      </w:r>
      <w:proofErr w:type="spellStart"/>
      <w:r w:rsidRPr="00B12AEE">
        <w:rPr>
          <w:rFonts w:ascii="Arial" w:hAnsi="Arial" w:cs="Arial"/>
          <w:sz w:val="22"/>
          <w:szCs w:val="22"/>
        </w:rPr>
        <w:t>nepotravinářské</w:t>
      </w:r>
      <w:proofErr w:type="spellEnd"/>
      <w:r w:rsidRPr="00B12AEE">
        <w:rPr>
          <w:rFonts w:ascii="Arial" w:hAnsi="Arial" w:cs="Arial"/>
          <w:sz w:val="22"/>
          <w:szCs w:val="22"/>
        </w:rPr>
        <w:t xml:space="preserve"> zboží, služby) byly stanoveny na podkladů výsledků statistiky rodinných účtů za rok 1968. Výběr reprezentantů byl shodný jako pro výpočet indexu maloobchodních cen. Zjišťování cen se provádělo čtvrtletně u většiny zboží pomocí výkazů oborových ředitelství popř. oborových podniků obchodu. Celostátně platné </w:t>
      </w:r>
      <w:r w:rsidR="00591365" w:rsidRPr="00B12AEE">
        <w:rPr>
          <w:rFonts w:ascii="Arial" w:hAnsi="Arial" w:cs="Arial"/>
          <w:sz w:val="22"/>
          <w:szCs w:val="22"/>
        </w:rPr>
        <w:t>ceny (elektřina</w:t>
      </w:r>
      <w:r w:rsidRPr="00B12AEE">
        <w:rPr>
          <w:rFonts w:ascii="Arial" w:hAnsi="Arial" w:cs="Arial"/>
          <w:sz w:val="22"/>
          <w:szCs w:val="22"/>
        </w:rPr>
        <w:t xml:space="preserve">, plyn, benzin, poplatky, dopravní </w:t>
      </w:r>
      <w:r w:rsidRPr="00B12AEE">
        <w:rPr>
          <w:rFonts w:ascii="Arial" w:hAnsi="Arial" w:cs="Arial"/>
          <w:sz w:val="22"/>
          <w:szCs w:val="22"/>
        </w:rPr>
        <w:lastRenderedPageBreak/>
        <w:t xml:space="preserve">a spojové tarify, vodné a stočné, poplatky za rekreaci, učební </w:t>
      </w:r>
      <w:r w:rsidR="00591365" w:rsidRPr="00B12AEE">
        <w:rPr>
          <w:rFonts w:ascii="Arial" w:hAnsi="Arial" w:cs="Arial"/>
          <w:sz w:val="22"/>
          <w:szCs w:val="22"/>
        </w:rPr>
        <w:t>kurzy apod.) čerpal</w:t>
      </w:r>
      <w:r w:rsidRPr="00B12AEE">
        <w:rPr>
          <w:rFonts w:ascii="Arial" w:hAnsi="Arial" w:cs="Arial"/>
          <w:sz w:val="22"/>
          <w:szCs w:val="22"/>
        </w:rPr>
        <w:t xml:space="preserve"> stati</w:t>
      </w:r>
      <w:r w:rsidR="001060EC">
        <w:rPr>
          <w:rFonts w:ascii="Arial" w:hAnsi="Arial" w:cs="Arial"/>
          <w:sz w:val="22"/>
          <w:szCs w:val="22"/>
        </w:rPr>
        <w:t>sti</w:t>
      </w:r>
      <w:r w:rsidRPr="00B12AEE">
        <w:rPr>
          <w:rFonts w:ascii="Arial" w:hAnsi="Arial" w:cs="Arial"/>
          <w:sz w:val="22"/>
          <w:szCs w:val="22"/>
        </w:rPr>
        <w:t xml:space="preserve">cký úřad přímo z vyhlášek. Ceny zboží s častou obměnou sortimentu (textil, </w:t>
      </w:r>
      <w:r w:rsidR="00591365" w:rsidRPr="00B12AEE">
        <w:rPr>
          <w:rFonts w:ascii="Arial" w:hAnsi="Arial" w:cs="Arial"/>
          <w:sz w:val="22"/>
          <w:szCs w:val="22"/>
        </w:rPr>
        <w:t>obuv apod.), restauračního</w:t>
      </w:r>
      <w:r w:rsidRPr="00B12AEE">
        <w:rPr>
          <w:rFonts w:ascii="Arial" w:hAnsi="Arial" w:cs="Arial"/>
          <w:sz w:val="22"/>
          <w:szCs w:val="22"/>
        </w:rPr>
        <w:t xml:space="preserve"> stravování a služeb zjišťovali ve vybraných prodejnách a provozovnách pracovníci oblastních statistických orgánů. Indexy na těchto spotřebních koších byly vypočítávány až do konce roku 1979.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1980</w:t>
      </w:r>
      <w:r w:rsidRPr="00B12AEE">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 stejné sociální skupiny jako v letech 1972 - 1979. Celkový počet reprezentantů pro výpočet indexů činil 1649. Základním obdobím byl leden 1977. Ceny jednotlivých druhů zboží a služeb byly zjišťovány shodně jako v období od roku 1972.</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w:t>
      </w:r>
      <w:r w:rsidRPr="00B12AEE">
        <w:rPr>
          <w:rFonts w:ascii="Arial" w:hAnsi="Arial" w:cs="Arial"/>
          <w:sz w:val="22"/>
          <w:szCs w:val="22"/>
        </w:rPr>
        <w:t xml:space="preserve"> indexů maloobchodních cen a životních nákladů byla provedena </w:t>
      </w:r>
      <w:r w:rsidRPr="00B12AEE">
        <w:rPr>
          <w:rFonts w:ascii="Arial" w:hAnsi="Arial" w:cs="Arial"/>
          <w:b/>
          <w:bCs/>
          <w:sz w:val="22"/>
          <w:szCs w:val="22"/>
        </w:rPr>
        <w:t>v letech 1985 -1986.</w:t>
      </w:r>
      <w:r w:rsidRPr="00B12AEE">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rodinných účtů za rok 1984 a to za stejné sociální skupiny jako v předchozích letech. Celkový počet reprezentantů byl 1649. Základním obdobím pro výpočet indexů byl leden 1984. </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Systém statistiky spotřebitelských cen bylo nutné po roce 1989 přizpůsobit podmínkám tržní ekonomiky a liberalizace cen. </w:t>
      </w:r>
      <w:r w:rsidRPr="00B12AEE">
        <w:rPr>
          <w:rFonts w:ascii="Arial" w:hAnsi="Arial" w:cs="Arial"/>
          <w:b/>
          <w:bCs/>
          <w:sz w:val="22"/>
          <w:szCs w:val="22"/>
        </w:rPr>
        <w:t>Revize indexů spotřebitelských cen</w:t>
      </w:r>
      <w:r w:rsidRPr="00B12AEE">
        <w:rPr>
          <w:rFonts w:ascii="Arial" w:hAnsi="Arial" w:cs="Arial"/>
          <w:sz w:val="22"/>
          <w:szCs w:val="22"/>
        </w:rPr>
        <w:t xml:space="preserve">, která probíhala </w:t>
      </w:r>
      <w:r w:rsidRPr="00B12AEE">
        <w:rPr>
          <w:rFonts w:ascii="Arial" w:hAnsi="Arial" w:cs="Arial"/>
          <w:b/>
          <w:bCs/>
          <w:sz w:val="22"/>
          <w:szCs w:val="22"/>
        </w:rPr>
        <w:t>v letech 1989 - 1990</w:t>
      </w:r>
      <w:r w:rsidRPr="00B12AEE">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 údajů o maloobchodním obratu a peněžním vydání obyvatelstva za rok 1989. Počet reprezentantů ve spotřebním koši byl 1051 (od roku 1992 byl spotřební koš každoročně aktualizován - počet reprezentantů snížen na cca </w:t>
      </w:r>
      <w:r w:rsidR="00591365" w:rsidRPr="00B12AEE">
        <w:rPr>
          <w:rFonts w:ascii="Arial" w:hAnsi="Arial" w:cs="Arial"/>
          <w:sz w:val="22"/>
          <w:szCs w:val="22"/>
        </w:rPr>
        <w:t>800). Vzhledem</w:t>
      </w:r>
      <w:r w:rsidRPr="00B12AEE">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B12AEE">
        <w:rPr>
          <w:rFonts w:ascii="Arial" w:hAnsi="Arial" w:cs="Arial"/>
          <w:b/>
          <w:bCs/>
          <w:sz w:val="22"/>
          <w:szCs w:val="22"/>
        </w:rPr>
        <w:t xml:space="preserve"> komplexní revizi</w:t>
      </w:r>
      <w:r w:rsidRPr="00B12AEE">
        <w:rPr>
          <w:rFonts w:ascii="Arial" w:hAnsi="Arial" w:cs="Arial"/>
          <w:sz w:val="22"/>
          <w:szCs w:val="22"/>
        </w:rPr>
        <w:t xml:space="preserve"> cenových indexů již </w:t>
      </w:r>
      <w:r w:rsidRPr="00B12AEE">
        <w:rPr>
          <w:rFonts w:ascii="Arial" w:hAnsi="Arial" w:cs="Arial"/>
          <w:b/>
          <w:bCs/>
          <w:sz w:val="22"/>
          <w:szCs w:val="22"/>
        </w:rPr>
        <w:t>v průběhu let 1993 - 1994</w:t>
      </w:r>
      <w:r w:rsidRPr="00B12AEE">
        <w:rPr>
          <w:rFonts w:ascii="Arial" w:hAnsi="Arial" w:cs="Arial"/>
          <w:sz w:val="22"/>
          <w:szCs w:val="22"/>
        </w:rPr>
        <w:t xml:space="preserve"> a její uplatnění </w:t>
      </w:r>
      <w:r w:rsidR="00591365" w:rsidRPr="00B12AEE">
        <w:rPr>
          <w:rFonts w:ascii="Arial" w:hAnsi="Arial" w:cs="Arial"/>
          <w:sz w:val="22"/>
          <w:szCs w:val="22"/>
        </w:rPr>
        <w:t>od ledna</w:t>
      </w:r>
      <w:r w:rsidRPr="00B12AEE">
        <w:rPr>
          <w:rFonts w:ascii="Arial" w:hAnsi="Arial" w:cs="Arial"/>
          <w:sz w:val="22"/>
          <w:szCs w:val="22"/>
        </w:rPr>
        <w:t xml:space="preserve"> 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Spotřební koše byly členěny do 10 </w:t>
      </w:r>
      <w:r w:rsidR="00591365" w:rsidRPr="00B12AEE">
        <w:rPr>
          <w:rFonts w:ascii="Arial" w:hAnsi="Arial" w:cs="Arial"/>
          <w:sz w:val="22"/>
          <w:szCs w:val="22"/>
        </w:rPr>
        <w:t>oddílů (potraviny</w:t>
      </w:r>
      <w:r w:rsidRPr="00B12AEE">
        <w:rPr>
          <w:rFonts w:ascii="Arial" w:hAnsi="Arial" w:cs="Arial"/>
          <w:sz w:val="22"/>
          <w:szCs w:val="22"/>
        </w:rPr>
        <w:t>, nápoje, tabák; odívání; bydlení; zařízení a provoz domácností; zdravotnictví; doprava; volný čas; v</w:t>
      </w:r>
      <w:r w:rsidR="001060EC">
        <w:rPr>
          <w:rFonts w:ascii="Arial" w:hAnsi="Arial" w:cs="Arial"/>
          <w:sz w:val="22"/>
          <w:szCs w:val="22"/>
        </w:rPr>
        <w:t>zdělávání; veřejné stravování a </w:t>
      </w:r>
      <w:r w:rsidRPr="00B12AEE">
        <w:rPr>
          <w:rFonts w:ascii="Arial" w:hAnsi="Arial" w:cs="Arial"/>
          <w:sz w:val="22"/>
          <w:szCs w:val="22"/>
        </w:rPr>
        <w:t xml:space="preserve">ubytování; ostatní zboží a služby) podle klasifikace individuální spotřeby - </w:t>
      </w:r>
      <w:r w:rsidRPr="00B12AEE">
        <w:rPr>
          <w:rFonts w:ascii="Arial" w:hAnsi="Arial" w:cs="Arial"/>
          <w:b/>
          <w:bCs/>
          <w:sz w:val="22"/>
          <w:szCs w:val="22"/>
        </w:rPr>
        <w:t>COICOP</w:t>
      </w:r>
      <w:r w:rsidRPr="00B12AEE">
        <w:rPr>
          <w:rFonts w:ascii="Arial" w:hAnsi="Arial" w:cs="Arial"/>
          <w:sz w:val="22"/>
          <w:szCs w:val="22"/>
        </w:rPr>
        <w:t xml:space="preserve"> (</w:t>
      </w:r>
      <w:proofErr w:type="spellStart"/>
      <w:r w:rsidRPr="00B12AEE">
        <w:rPr>
          <w:rFonts w:ascii="Arial" w:hAnsi="Arial" w:cs="Arial"/>
          <w:sz w:val="22"/>
          <w:szCs w:val="22"/>
        </w:rPr>
        <w:t>Classification</w:t>
      </w:r>
      <w:proofErr w:type="spellEnd"/>
      <w:r w:rsidRPr="00B12AEE">
        <w:rPr>
          <w:rFonts w:ascii="Arial" w:hAnsi="Arial" w:cs="Arial"/>
          <w:sz w:val="22"/>
          <w:szCs w:val="22"/>
        </w:rPr>
        <w:t xml:space="preserve"> </w:t>
      </w:r>
      <w:proofErr w:type="spellStart"/>
      <w:r w:rsidRPr="00B12AEE">
        <w:rPr>
          <w:rFonts w:ascii="Arial" w:hAnsi="Arial" w:cs="Arial"/>
          <w:sz w:val="22"/>
          <w:szCs w:val="22"/>
        </w:rPr>
        <w:t>of</w:t>
      </w:r>
      <w:proofErr w:type="spellEnd"/>
      <w:r w:rsidRPr="00B12AEE">
        <w:rPr>
          <w:rFonts w:ascii="Arial" w:hAnsi="Arial" w:cs="Arial"/>
          <w:sz w:val="22"/>
          <w:szCs w:val="22"/>
        </w:rPr>
        <w:t xml:space="preserve"> </w:t>
      </w:r>
      <w:proofErr w:type="spellStart"/>
      <w:r w:rsidRPr="00B12AEE">
        <w:rPr>
          <w:rFonts w:ascii="Arial" w:hAnsi="Arial" w:cs="Arial"/>
          <w:sz w:val="22"/>
          <w:szCs w:val="22"/>
        </w:rPr>
        <w:t>Individual</w:t>
      </w:r>
      <w:proofErr w:type="spellEnd"/>
      <w:r w:rsidRPr="00B12AEE">
        <w:rPr>
          <w:rFonts w:ascii="Arial" w:hAnsi="Arial" w:cs="Arial"/>
          <w:sz w:val="22"/>
          <w:szCs w:val="22"/>
        </w:rPr>
        <w:t xml:space="preserve"> </w:t>
      </w:r>
      <w:proofErr w:type="spellStart"/>
      <w:r w:rsidRPr="00B12AEE">
        <w:rPr>
          <w:rFonts w:ascii="Arial" w:hAnsi="Arial" w:cs="Arial"/>
          <w:sz w:val="22"/>
          <w:szCs w:val="22"/>
        </w:rPr>
        <w:t>Consumption</w:t>
      </w:r>
      <w:proofErr w:type="spellEnd"/>
      <w:r w:rsidRPr="00B12AEE">
        <w:rPr>
          <w:rFonts w:ascii="Arial" w:hAnsi="Arial" w:cs="Arial"/>
          <w:sz w:val="22"/>
          <w:szCs w:val="22"/>
        </w:rPr>
        <w:t xml:space="preserve"> by </w:t>
      </w:r>
      <w:proofErr w:type="spellStart"/>
      <w:r w:rsidRPr="00B12AEE">
        <w:rPr>
          <w:rFonts w:ascii="Arial" w:hAnsi="Arial" w:cs="Arial"/>
          <w:sz w:val="22"/>
          <w:szCs w:val="22"/>
        </w:rPr>
        <w:t>Purpose</w:t>
      </w:r>
      <w:proofErr w:type="spellEnd"/>
      <w:r w:rsidRPr="00B12AEE">
        <w:rPr>
          <w:rFonts w:ascii="Arial" w:hAnsi="Arial" w:cs="Arial"/>
          <w:sz w:val="22"/>
          <w:szCs w:val="22"/>
        </w:rPr>
        <w:t>) - verze roku 1994. Počet reprezentantů ve spotřebním koši byl 737. Základním obdobím pro výpočet indexů byl prosinec 1993.</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Default="0047173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V letech 1999-2000</w:t>
      </w:r>
      <w:r w:rsidRPr="00B12AEE">
        <w:rPr>
          <w:rFonts w:ascii="Arial" w:hAnsi="Arial" w:cs="Arial"/>
          <w:sz w:val="22"/>
          <w:szCs w:val="22"/>
        </w:rPr>
        <w:t xml:space="preserve"> byla realizována d</w:t>
      </w:r>
      <w:r w:rsidR="001674EF" w:rsidRPr="00B12AEE">
        <w:rPr>
          <w:rFonts w:ascii="Arial" w:hAnsi="Arial" w:cs="Arial"/>
          <w:sz w:val="22"/>
          <w:szCs w:val="22"/>
        </w:rPr>
        <w:t xml:space="preserve">alší </w:t>
      </w:r>
      <w:r w:rsidR="001674EF" w:rsidRPr="00B12AEE">
        <w:rPr>
          <w:rFonts w:ascii="Arial" w:hAnsi="Arial" w:cs="Arial"/>
          <w:b/>
          <w:bCs/>
          <w:sz w:val="22"/>
          <w:szCs w:val="22"/>
        </w:rPr>
        <w:t>komplexní revize</w:t>
      </w:r>
      <w:r w:rsidR="001674EF" w:rsidRPr="00B12AEE">
        <w:rPr>
          <w:rFonts w:ascii="Arial" w:hAnsi="Arial" w:cs="Arial"/>
          <w:sz w:val="22"/>
          <w:szCs w:val="22"/>
        </w:rPr>
        <w:t xml:space="preserve"> cenových </w:t>
      </w:r>
      <w:r w:rsidR="00591365" w:rsidRPr="00B12AEE">
        <w:rPr>
          <w:rFonts w:ascii="Arial" w:hAnsi="Arial" w:cs="Arial"/>
          <w:sz w:val="22"/>
          <w:szCs w:val="22"/>
        </w:rPr>
        <w:t>indexů s uplatněním</w:t>
      </w:r>
      <w:r w:rsidR="001674EF" w:rsidRPr="00B12AEE">
        <w:rPr>
          <w:rFonts w:ascii="Arial" w:hAnsi="Arial" w:cs="Arial"/>
          <w:sz w:val="22"/>
          <w:szCs w:val="22"/>
        </w:rPr>
        <w:t xml:space="preserve"> </w:t>
      </w:r>
      <w:r w:rsidR="001674EF" w:rsidRPr="00B12AEE">
        <w:rPr>
          <w:rFonts w:ascii="Arial" w:hAnsi="Arial" w:cs="Arial"/>
          <w:b/>
          <w:sz w:val="22"/>
          <w:szCs w:val="22"/>
        </w:rPr>
        <w:t>od</w:t>
      </w:r>
      <w:r w:rsidRPr="00B12AEE">
        <w:rPr>
          <w:rFonts w:ascii="Arial" w:hAnsi="Arial" w:cs="Arial"/>
          <w:b/>
          <w:sz w:val="22"/>
          <w:szCs w:val="22"/>
        </w:rPr>
        <w:t> </w:t>
      </w:r>
      <w:r w:rsidR="001674EF" w:rsidRPr="00B12AEE">
        <w:rPr>
          <w:rFonts w:ascii="Arial" w:hAnsi="Arial" w:cs="Arial"/>
          <w:b/>
          <w:sz w:val="22"/>
          <w:szCs w:val="22"/>
        </w:rPr>
        <w:t>ledna 2001</w:t>
      </w:r>
      <w:r w:rsidR="001674EF" w:rsidRPr="00B12AEE">
        <w:rPr>
          <w:rFonts w:ascii="Arial" w:hAnsi="Arial" w:cs="Arial"/>
          <w:sz w:val="22"/>
          <w:szCs w:val="22"/>
        </w:rPr>
        <w:t xml:space="preserve">. Základem pro váhový systém byly údaje statistiky rodinných </w:t>
      </w:r>
      <w:r w:rsidR="00591365" w:rsidRPr="00B12AEE">
        <w:rPr>
          <w:rFonts w:ascii="Arial" w:hAnsi="Arial" w:cs="Arial"/>
          <w:sz w:val="22"/>
          <w:szCs w:val="22"/>
        </w:rPr>
        <w:t>účtů za</w:t>
      </w:r>
      <w:r w:rsidR="001674EF" w:rsidRPr="00B12AEE">
        <w:rPr>
          <w:rFonts w:ascii="Arial" w:hAnsi="Arial" w:cs="Arial"/>
          <w:sz w:val="22"/>
          <w:szCs w:val="22"/>
        </w:rPr>
        <w:t xml:space="preserve"> rok 1999, které byly </w:t>
      </w:r>
      <w:r w:rsidR="00591365" w:rsidRPr="00B12AEE">
        <w:rPr>
          <w:rFonts w:ascii="Arial" w:hAnsi="Arial" w:cs="Arial"/>
          <w:sz w:val="22"/>
          <w:szCs w:val="22"/>
        </w:rPr>
        <w:t>korigovány na</w:t>
      </w:r>
      <w:r w:rsidR="001674EF" w:rsidRPr="00B12AEE">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ve 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B12AEE">
        <w:rPr>
          <w:rFonts w:ascii="Arial" w:hAnsi="Arial" w:cs="Arial"/>
          <w:sz w:val="22"/>
          <w:szCs w:val="22"/>
        </w:rPr>
        <w:t xml:space="preserve">ní koše byly členěny do 12 </w:t>
      </w:r>
      <w:r w:rsidR="00591365" w:rsidRPr="00B12AEE">
        <w:rPr>
          <w:rFonts w:ascii="Arial" w:hAnsi="Arial" w:cs="Arial"/>
          <w:sz w:val="22"/>
          <w:szCs w:val="22"/>
        </w:rPr>
        <w:t>oddílů (potraviny</w:t>
      </w:r>
      <w:r w:rsidR="001674EF" w:rsidRPr="00B12AEE">
        <w:rPr>
          <w:rFonts w:ascii="Arial" w:hAnsi="Arial" w:cs="Arial"/>
          <w:sz w:val="22"/>
          <w:szCs w:val="22"/>
        </w:rPr>
        <w:t xml:space="preserve"> a nealkoholické nápoje; alkoholické nápoje a tabák; odívání a obuv; bydlení, voda, energie, </w:t>
      </w:r>
      <w:r w:rsidR="001674EF" w:rsidRPr="00B12AEE">
        <w:rPr>
          <w:rFonts w:ascii="Arial" w:hAnsi="Arial" w:cs="Arial"/>
          <w:sz w:val="22"/>
          <w:szCs w:val="22"/>
        </w:rPr>
        <w:lastRenderedPageBreak/>
        <w:t xml:space="preserve">paliva; bytové vybavení; zdraví; doprava; pošty a telekomunikace; rekreace a kultura; vzdělávání; stravování a ubytování; ostatní zboží a služby) podle mezinárodní klasifikace individuální spotřeby podle účelu - </w:t>
      </w:r>
      <w:r w:rsidR="001674EF" w:rsidRPr="00B12AEE">
        <w:rPr>
          <w:rFonts w:ascii="Arial" w:hAnsi="Arial" w:cs="Arial"/>
          <w:b/>
          <w:bCs/>
          <w:sz w:val="22"/>
          <w:szCs w:val="22"/>
        </w:rPr>
        <w:t>CZ–COICOP</w:t>
      </w:r>
      <w:r w:rsidR="009F46DE">
        <w:rPr>
          <w:rFonts w:ascii="Arial" w:hAnsi="Arial" w:cs="Arial"/>
          <w:b/>
          <w:bCs/>
          <w:sz w:val="22"/>
          <w:szCs w:val="22"/>
        </w:rPr>
        <w:t>-</w:t>
      </w:r>
      <w:r w:rsidR="009F46DE" w:rsidRPr="009F46DE">
        <w:rPr>
          <w:rFonts w:ascii="Arial" w:hAnsi="Arial" w:cs="Arial"/>
          <w:sz w:val="22"/>
          <w:szCs w:val="22"/>
        </w:rPr>
        <w:t xml:space="preserve"> </w:t>
      </w:r>
      <w:r w:rsidR="009F46DE" w:rsidRPr="00B12AEE">
        <w:rPr>
          <w:rFonts w:ascii="Arial" w:hAnsi="Arial" w:cs="Arial"/>
          <w:sz w:val="22"/>
          <w:szCs w:val="22"/>
        </w:rPr>
        <w:t>verze roku 199</w:t>
      </w:r>
      <w:r w:rsidR="009F46DE">
        <w:rPr>
          <w:rFonts w:ascii="Arial" w:hAnsi="Arial" w:cs="Arial"/>
          <w:sz w:val="22"/>
          <w:szCs w:val="22"/>
        </w:rPr>
        <w:t>9</w:t>
      </w:r>
      <w:r w:rsidR="001674EF" w:rsidRPr="00B12AEE">
        <w:rPr>
          <w:rFonts w:ascii="Arial" w:hAnsi="Arial" w:cs="Arial"/>
          <w:b/>
          <w:bCs/>
          <w:sz w:val="22"/>
          <w:szCs w:val="22"/>
        </w:rPr>
        <w:t xml:space="preserve">. </w:t>
      </w:r>
      <w:r w:rsidR="001674EF" w:rsidRPr="00B12AEE">
        <w:rPr>
          <w:rFonts w:ascii="Arial" w:hAnsi="Arial" w:cs="Arial"/>
          <w:sz w:val="22"/>
          <w:szCs w:val="22"/>
        </w:rPr>
        <w:t>Počet reprezentantů ve spotřebním koši byl</w:t>
      </w:r>
      <w:r w:rsidR="00914CF8">
        <w:rPr>
          <w:rFonts w:ascii="Arial" w:hAnsi="Arial" w:cs="Arial"/>
          <w:sz w:val="22"/>
          <w:szCs w:val="22"/>
        </w:rPr>
        <w:t xml:space="preserve"> cca 775. Základním obdobím pro </w:t>
      </w:r>
      <w:r w:rsidR="001674EF" w:rsidRPr="00B12AEE">
        <w:rPr>
          <w:rFonts w:ascii="Arial" w:hAnsi="Arial" w:cs="Arial"/>
          <w:sz w:val="22"/>
          <w:szCs w:val="22"/>
        </w:rPr>
        <w:t>výpočet indexů byl prosinec 1999.</w:t>
      </w:r>
    </w:p>
    <w:p w:rsidR="00E62B6E" w:rsidRPr="00B12AEE" w:rsidRDefault="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F57F1F" w:rsidRDefault="00471732"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 xml:space="preserve">K další revizi </w:t>
      </w:r>
      <w:r w:rsidRPr="00B12AEE">
        <w:rPr>
          <w:rFonts w:ascii="Arial" w:hAnsi="Arial" w:cs="Arial"/>
          <w:sz w:val="22"/>
          <w:szCs w:val="22"/>
        </w:rPr>
        <w:t xml:space="preserve">indexů spotřebitelských cen došlo </w:t>
      </w:r>
      <w:r w:rsidRPr="00B12AEE">
        <w:rPr>
          <w:rFonts w:ascii="Arial" w:hAnsi="Arial" w:cs="Arial"/>
          <w:b/>
          <w:sz w:val="22"/>
          <w:szCs w:val="22"/>
        </w:rPr>
        <w:t>v</w:t>
      </w:r>
      <w:r w:rsidR="00EE299A" w:rsidRPr="00B12AEE">
        <w:rPr>
          <w:rFonts w:ascii="Arial" w:hAnsi="Arial" w:cs="Arial"/>
          <w:b/>
          <w:sz w:val="22"/>
          <w:szCs w:val="22"/>
        </w:rPr>
        <w:t> letech 2005 -</w:t>
      </w:r>
      <w:r w:rsidRPr="00B12AEE">
        <w:rPr>
          <w:rFonts w:ascii="Arial" w:hAnsi="Arial" w:cs="Arial"/>
          <w:b/>
          <w:sz w:val="22"/>
          <w:szCs w:val="22"/>
        </w:rPr>
        <w:t xml:space="preserve"> </w:t>
      </w:r>
      <w:r w:rsidRPr="00B12AEE">
        <w:rPr>
          <w:rFonts w:ascii="Arial" w:hAnsi="Arial" w:cs="Arial"/>
          <w:b/>
          <w:bCs/>
          <w:sz w:val="22"/>
          <w:szCs w:val="22"/>
        </w:rPr>
        <w:t xml:space="preserve">2006. </w:t>
      </w:r>
      <w:r w:rsidR="00EE299A" w:rsidRPr="00B12AEE">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B12AEE">
        <w:rPr>
          <w:rFonts w:ascii="Arial" w:hAnsi="Arial" w:cs="Arial"/>
          <w:sz w:val="22"/>
          <w:szCs w:val="22"/>
        </w:rPr>
        <w:t xml:space="preserve">stanoveny </w:t>
      </w:r>
      <w:r w:rsidR="00EE299A" w:rsidRPr="00B12AEE">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B12AEE">
        <w:rPr>
          <w:rFonts w:ascii="Arial" w:hAnsi="Arial" w:cs="Arial"/>
          <w:sz w:val="22"/>
          <w:szCs w:val="22"/>
        </w:rPr>
        <w:t>vycházely</w:t>
      </w:r>
      <w:r w:rsidR="00EE299A" w:rsidRPr="00B12AEE">
        <w:rPr>
          <w:rFonts w:ascii="Arial" w:hAnsi="Arial" w:cs="Arial"/>
          <w:sz w:val="22"/>
          <w:szCs w:val="22"/>
        </w:rPr>
        <w:t xml:space="preserve"> ze struktury prů</w:t>
      </w:r>
      <w:r w:rsidR="00AE082A" w:rsidRPr="00B12AEE">
        <w:rPr>
          <w:rFonts w:ascii="Arial" w:hAnsi="Arial" w:cs="Arial"/>
          <w:sz w:val="22"/>
          <w:szCs w:val="22"/>
        </w:rPr>
        <w:t>měrných výdajů všech domácností, v</w:t>
      </w:r>
      <w:r w:rsidR="00EE299A" w:rsidRPr="00B12AEE">
        <w:rPr>
          <w:rFonts w:ascii="Arial" w:hAnsi="Arial" w:cs="Arial"/>
          <w:sz w:val="22"/>
          <w:szCs w:val="22"/>
        </w:rPr>
        <w:t>áhy ve spotřebních koších sociálních skupin ze struktury</w:t>
      </w:r>
      <w:r w:rsidR="00AE082A" w:rsidRPr="00B12AEE">
        <w:rPr>
          <w:rFonts w:ascii="Arial" w:hAnsi="Arial" w:cs="Arial"/>
          <w:sz w:val="22"/>
          <w:szCs w:val="22"/>
        </w:rPr>
        <w:t xml:space="preserve"> </w:t>
      </w:r>
      <w:r w:rsidR="00EE299A" w:rsidRPr="00B12AEE">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B12AEE">
        <w:rPr>
          <w:rFonts w:ascii="Arial" w:hAnsi="Arial" w:cs="Arial"/>
          <w:sz w:val="22"/>
          <w:szCs w:val="22"/>
        </w:rPr>
        <w:t>S</w:t>
      </w:r>
      <w:r w:rsidR="00EE299A" w:rsidRPr="00B12AEE">
        <w:rPr>
          <w:rFonts w:ascii="Arial" w:hAnsi="Arial" w:cs="Arial"/>
          <w:sz w:val="22"/>
          <w:szCs w:val="22"/>
        </w:rPr>
        <w:t>potřební</w:t>
      </w:r>
      <w:r w:rsidR="008377D8" w:rsidRPr="00B12AEE">
        <w:rPr>
          <w:rFonts w:ascii="Arial" w:hAnsi="Arial" w:cs="Arial"/>
          <w:sz w:val="22"/>
          <w:szCs w:val="22"/>
        </w:rPr>
        <w:t xml:space="preserve"> koše byly stejně jako při předcházející revizi</w:t>
      </w:r>
      <w:r w:rsidR="00EE299A" w:rsidRPr="00B12AEE">
        <w:rPr>
          <w:rFonts w:ascii="Arial" w:hAnsi="Arial" w:cs="Arial"/>
          <w:sz w:val="22"/>
          <w:szCs w:val="22"/>
        </w:rPr>
        <w:t xml:space="preserve"> </w:t>
      </w:r>
      <w:r w:rsidR="0003150B" w:rsidRPr="00B12AEE">
        <w:rPr>
          <w:rFonts w:ascii="Arial" w:hAnsi="Arial" w:cs="Arial"/>
          <w:sz w:val="22"/>
          <w:szCs w:val="22"/>
        </w:rPr>
        <w:t>č</w:t>
      </w:r>
      <w:r w:rsidR="008377D8" w:rsidRPr="00B12AEE">
        <w:rPr>
          <w:rFonts w:ascii="Arial" w:hAnsi="Arial" w:cs="Arial"/>
          <w:sz w:val="22"/>
          <w:szCs w:val="22"/>
        </w:rPr>
        <w:t xml:space="preserve">leněny </w:t>
      </w:r>
      <w:r w:rsidR="00EE299A" w:rsidRPr="00B12AEE">
        <w:rPr>
          <w:rFonts w:ascii="Arial" w:hAnsi="Arial" w:cs="Arial"/>
          <w:sz w:val="22"/>
          <w:szCs w:val="22"/>
        </w:rPr>
        <w:t xml:space="preserve">podle mezinárodní klasifikace individuální spotřeby podle účelu - </w:t>
      </w:r>
      <w:r w:rsidR="00EE299A" w:rsidRPr="00B12AEE">
        <w:rPr>
          <w:rFonts w:ascii="Arial" w:hAnsi="Arial" w:cs="Arial"/>
          <w:b/>
          <w:bCs/>
          <w:sz w:val="22"/>
          <w:szCs w:val="22"/>
        </w:rPr>
        <w:t xml:space="preserve">CZ–COICOP. </w:t>
      </w:r>
      <w:r w:rsidR="00914CF8">
        <w:rPr>
          <w:rFonts w:ascii="Arial" w:hAnsi="Arial" w:cs="Arial"/>
          <w:sz w:val="22"/>
          <w:szCs w:val="22"/>
        </w:rPr>
        <w:t>Počet reprezentantů ve </w:t>
      </w:r>
      <w:r w:rsidR="00EE299A" w:rsidRPr="00B12AEE">
        <w:rPr>
          <w:rFonts w:ascii="Arial" w:hAnsi="Arial" w:cs="Arial"/>
          <w:sz w:val="22"/>
          <w:szCs w:val="22"/>
        </w:rPr>
        <w:t>spotřebním koši byl cca 7</w:t>
      </w:r>
      <w:r w:rsidR="003F066A" w:rsidRPr="00B12AEE">
        <w:rPr>
          <w:rFonts w:ascii="Arial" w:hAnsi="Arial" w:cs="Arial"/>
          <w:sz w:val="22"/>
          <w:szCs w:val="22"/>
        </w:rPr>
        <w:t>29</w:t>
      </w:r>
      <w:r w:rsidR="00EE299A" w:rsidRPr="00B12AEE">
        <w:rPr>
          <w:rFonts w:ascii="Arial" w:hAnsi="Arial" w:cs="Arial"/>
          <w:sz w:val="22"/>
          <w:szCs w:val="22"/>
        </w:rPr>
        <w:t xml:space="preserve">. </w:t>
      </w:r>
      <w:r w:rsidR="004B61F0" w:rsidRPr="00B12AEE">
        <w:rPr>
          <w:rFonts w:ascii="Arial" w:hAnsi="Arial" w:cs="Arial"/>
          <w:sz w:val="22"/>
          <w:szCs w:val="22"/>
        </w:rPr>
        <w:t xml:space="preserve">Při revizi 2005 byly nově ve spotřebním koši zavedeny tzv. </w:t>
      </w:r>
      <w:proofErr w:type="spellStart"/>
      <w:r w:rsidR="004B61F0" w:rsidRPr="00B12AEE">
        <w:rPr>
          <w:rFonts w:ascii="Arial" w:hAnsi="Arial" w:cs="Arial"/>
          <w:sz w:val="22"/>
          <w:szCs w:val="22"/>
        </w:rPr>
        <w:t>subindexy</w:t>
      </w:r>
      <w:proofErr w:type="spellEnd"/>
      <w:r w:rsidR="004B61F0" w:rsidRPr="00B12AEE">
        <w:rPr>
          <w:rFonts w:ascii="Arial" w:hAnsi="Arial" w:cs="Arial"/>
          <w:sz w:val="22"/>
          <w:szCs w:val="22"/>
        </w:rPr>
        <w:t>.</w:t>
      </w:r>
      <w:r w:rsidR="00F57F1F" w:rsidRPr="00B12AEE">
        <w:rPr>
          <w:rFonts w:ascii="Arial" w:hAnsi="Arial" w:cs="Arial"/>
          <w:sz w:val="22"/>
          <w:szCs w:val="22"/>
        </w:rPr>
        <w:t xml:space="preserve"> Jsou to bazické indexy některých skupin COICOP</w:t>
      </w:r>
      <w:r w:rsidR="004E1E95">
        <w:rPr>
          <w:rFonts w:ascii="Arial" w:hAnsi="Arial" w:cs="Arial"/>
          <w:sz w:val="22"/>
          <w:szCs w:val="22"/>
        </w:rPr>
        <w:t xml:space="preserve"> </w:t>
      </w:r>
      <w:r w:rsidR="00F57F1F" w:rsidRPr="00B12AEE">
        <w:rPr>
          <w:rFonts w:ascii="Arial" w:hAnsi="Arial" w:cs="Arial"/>
          <w:sz w:val="22"/>
          <w:szCs w:val="22"/>
        </w:rPr>
        <w:t>4, které jsou počítány mimo spotřební koš.</w:t>
      </w:r>
      <w:r w:rsidR="00504E3A" w:rsidRPr="00B12AEE">
        <w:rPr>
          <w:rFonts w:ascii="Arial" w:hAnsi="Arial" w:cs="Arial"/>
          <w:sz w:val="22"/>
          <w:szCs w:val="22"/>
        </w:rPr>
        <w:t xml:space="preserve"> </w:t>
      </w:r>
      <w:r w:rsidR="00F57F1F" w:rsidRPr="00B12AEE">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BB0D19" w:rsidRPr="00B12AEE">
        <w:rPr>
          <w:rFonts w:ascii="Arial" w:hAnsi="Arial" w:cs="Arial"/>
          <w:sz w:val="22"/>
          <w:szCs w:val="22"/>
          <w:highlight w:val="yellow"/>
        </w:rPr>
        <w:t xml:space="preserve"> </w:t>
      </w:r>
      <w:r w:rsidR="00E62B6E">
        <w:rPr>
          <w:rFonts w:ascii="Arial" w:hAnsi="Arial" w:cs="Arial"/>
          <w:sz w:val="22"/>
          <w:szCs w:val="22"/>
        </w:rPr>
        <w:t>Základním obdobím pro výpočet indexů byl prosinec 2005</w:t>
      </w:r>
      <w:r w:rsidR="00EE299A" w:rsidRPr="00B12AEE">
        <w:rPr>
          <w:rFonts w:ascii="Arial" w:hAnsi="Arial" w:cs="Arial"/>
          <w:sz w:val="22"/>
          <w:szCs w:val="22"/>
        </w:rPr>
        <w:t>.</w:t>
      </w:r>
      <w:r w:rsidR="00E62B6E">
        <w:rPr>
          <w:rFonts w:ascii="Arial" w:hAnsi="Arial" w:cs="Arial"/>
          <w:sz w:val="22"/>
          <w:szCs w:val="22"/>
        </w:rPr>
        <w:t xml:space="preserve"> </w:t>
      </w:r>
      <w:r w:rsidR="00DE03B5" w:rsidRPr="00B12AEE">
        <w:rPr>
          <w:rFonts w:ascii="Arial" w:hAnsi="Arial" w:cs="Arial"/>
          <w:sz w:val="22"/>
          <w:szCs w:val="22"/>
        </w:rPr>
        <w:t xml:space="preserve">V souladu s požadavkem </w:t>
      </w:r>
      <w:proofErr w:type="spellStart"/>
      <w:r w:rsidR="00DE03B5" w:rsidRPr="00B12AEE">
        <w:rPr>
          <w:rFonts w:ascii="Arial" w:hAnsi="Arial" w:cs="Arial"/>
          <w:sz w:val="22"/>
          <w:szCs w:val="22"/>
        </w:rPr>
        <w:t>Eurostatu</w:t>
      </w:r>
      <w:proofErr w:type="spellEnd"/>
      <w:r w:rsidR="00DE03B5" w:rsidRPr="00B12AEE">
        <w:rPr>
          <w:rFonts w:ascii="Arial" w:hAnsi="Arial" w:cs="Arial"/>
          <w:sz w:val="22"/>
          <w:szCs w:val="22"/>
        </w:rPr>
        <w:t xml:space="preserve"> byla založena časová řada indexů se</w:t>
      </w:r>
      <w:r w:rsidR="00DE03B5">
        <w:rPr>
          <w:rFonts w:ascii="Arial" w:hAnsi="Arial" w:cs="Arial"/>
          <w:sz w:val="22"/>
          <w:szCs w:val="22"/>
        </w:rPr>
        <w:t xml:space="preserve"> základem průměr roku 2005=100.</w:t>
      </w:r>
      <w:r w:rsidR="00E62B6E">
        <w:rPr>
          <w:rFonts w:ascii="Arial" w:hAnsi="Arial" w:cs="Arial"/>
          <w:sz w:val="22"/>
          <w:szCs w:val="22"/>
        </w:rPr>
        <w:t xml:space="preserve"> </w:t>
      </w:r>
      <w:r w:rsidR="00AE082A" w:rsidRPr="00B12AEE">
        <w:rPr>
          <w:rFonts w:ascii="Arial" w:hAnsi="Arial" w:cs="Arial"/>
          <w:sz w:val="22"/>
          <w:szCs w:val="22"/>
        </w:rPr>
        <w:t>Výpočet revidovaných indexů byl zahájen od ledna 2007.</w:t>
      </w:r>
    </w:p>
    <w:p w:rsidR="002A7910" w:rsidRPr="00B12AEE" w:rsidRDefault="002A7910"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150B" w:rsidRDefault="00FC1500" w:rsidP="002A7910">
      <w:pPr>
        <w:ind w:firstLine="709"/>
        <w:jc w:val="both"/>
        <w:rPr>
          <w:rFonts w:ascii="Arial" w:hAnsi="Arial" w:cs="Arial"/>
          <w:sz w:val="22"/>
          <w:szCs w:val="22"/>
        </w:rPr>
      </w:pPr>
      <w:r w:rsidRPr="00B12AEE">
        <w:rPr>
          <w:rFonts w:ascii="Arial" w:hAnsi="Arial" w:cs="Arial"/>
          <w:b/>
          <w:sz w:val="22"/>
          <w:szCs w:val="22"/>
        </w:rPr>
        <w:t>V roce</w:t>
      </w:r>
      <w:r w:rsidR="00AE165F" w:rsidRPr="00B12AEE">
        <w:rPr>
          <w:rFonts w:ascii="Arial" w:hAnsi="Arial" w:cs="Arial"/>
          <w:b/>
          <w:sz w:val="22"/>
          <w:szCs w:val="22"/>
        </w:rPr>
        <w:t xml:space="preserve"> 20</w:t>
      </w:r>
      <w:r w:rsidRPr="00B12AEE">
        <w:rPr>
          <w:rFonts w:ascii="Arial" w:hAnsi="Arial" w:cs="Arial"/>
          <w:b/>
          <w:sz w:val="22"/>
          <w:szCs w:val="22"/>
        </w:rPr>
        <w:t>09</w:t>
      </w:r>
      <w:r w:rsidR="00AE165F" w:rsidRPr="00B12AEE">
        <w:rPr>
          <w:rFonts w:ascii="Arial" w:hAnsi="Arial" w:cs="Arial"/>
          <w:sz w:val="22"/>
          <w:szCs w:val="22"/>
        </w:rPr>
        <w:t xml:space="preserve"> </w:t>
      </w:r>
      <w:r w:rsidR="00CB1A67" w:rsidRPr="00B12AEE">
        <w:rPr>
          <w:rFonts w:ascii="Arial" w:hAnsi="Arial" w:cs="Arial"/>
          <w:sz w:val="22"/>
          <w:szCs w:val="22"/>
        </w:rPr>
        <w:t>n</w:t>
      </w:r>
      <w:r w:rsidR="00AE082A" w:rsidRPr="00B12AEE">
        <w:rPr>
          <w:rFonts w:ascii="Arial" w:hAnsi="Arial" w:cs="Arial"/>
          <w:sz w:val="22"/>
          <w:szCs w:val="22"/>
        </w:rPr>
        <w:t xml:space="preserve">a základě doporučení </w:t>
      </w:r>
      <w:proofErr w:type="spellStart"/>
      <w:r w:rsidR="00AE082A" w:rsidRPr="00B12AEE">
        <w:rPr>
          <w:rFonts w:ascii="Arial" w:hAnsi="Arial" w:cs="Arial"/>
          <w:sz w:val="22"/>
          <w:szCs w:val="22"/>
        </w:rPr>
        <w:t>Eurostatu</w:t>
      </w:r>
      <w:proofErr w:type="spellEnd"/>
      <w:r w:rsidR="00AE082A" w:rsidRPr="00B12AEE">
        <w:rPr>
          <w:rFonts w:ascii="Arial" w:hAnsi="Arial" w:cs="Arial"/>
          <w:sz w:val="22"/>
          <w:szCs w:val="22"/>
        </w:rPr>
        <w:t xml:space="preserve"> </w:t>
      </w:r>
      <w:r w:rsidR="00CB1A67" w:rsidRPr="00B12AEE">
        <w:rPr>
          <w:rFonts w:ascii="Arial" w:hAnsi="Arial" w:cs="Arial"/>
          <w:sz w:val="22"/>
          <w:szCs w:val="22"/>
        </w:rPr>
        <w:t xml:space="preserve">bylo přistoupeno k aktualizaci </w:t>
      </w:r>
      <w:r w:rsidR="00AE165F" w:rsidRPr="00B12AEE">
        <w:rPr>
          <w:rFonts w:ascii="Arial" w:hAnsi="Arial" w:cs="Arial"/>
          <w:sz w:val="22"/>
          <w:szCs w:val="22"/>
        </w:rPr>
        <w:t>v</w:t>
      </w:r>
      <w:r w:rsidR="0093403F">
        <w:rPr>
          <w:rFonts w:ascii="Arial" w:hAnsi="Arial" w:cs="Arial"/>
          <w:sz w:val="22"/>
          <w:szCs w:val="22"/>
        </w:rPr>
        <w:t>á</w:t>
      </w:r>
      <w:r w:rsidR="00AE165F" w:rsidRPr="00B12AEE">
        <w:rPr>
          <w:rFonts w:ascii="Arial" w:hAnsi="Arial" w:cs="Arial"/>
          <w:sz w:val="22"/>
          <w:szCs w:val="22"/>
        </w:rPr>
        <w:t>hových systémů</w:t>
      </w:r>
      <w:r w:rsidR="00CB1A67" w:rsidRPr="00B12AEE">
        <w:rPr>
          <w:rFonts w:ascii="Arial" w:hAnsi="Arial" w:cs="Arial"/>
          <w:sz w:val="22"/>
          <w:szCs w:val="22"/>
        </w:rPr>
        <w:t xml:space="preserve"> mezi dvěma komplexními revizemi. </w:t>
      </w:r>
      <w:r w:rsidR="00AE165F" w:rsidRPr="00B12AEE">
        <w:rPr>
          <w:rFonts w:ascii="Arial" w:hAnsi="Arial" w:cs="Arial"/>
          <w:sz w:val="22"/>
          <w:szCs w:val="22"/>
        </w:rPr>
        <w:t>Stálé váhy</w:t>
      </w:r>
      <w:r w:rsidR="00CB1A67" w:rsidRPr="00B12AEE">
        <w:rPr>
          <w:rFonts w:ascii="Arial" w:hAnsi="Arial" w:cs="Arial"/>
          <w:sz w:val="22"/>
          <w:szCs w:val="22"/>
        </w:rPr>
        <w:t xml:space="preserve"> z roku </w:t>
      </w:r>
      <w:r w:rsidR="00AE165F" w:rsidRPr="00B12AEE">
        <w:rPr>
          <w:rFonts w:ascii="Arial" w:hAnsi="Arial" w:cs="Arial"/>
          <w:sz w:val="22"/>
          <w:szCs w:val="22"/>
        </w:rPr>
        <w:t>2005 byly</w:t>
      </w:r>
      <w:r w:rsidR="00CB1A67" w:rsidRPr="00B12AEE">
        <w:rPr>
          <w:rFonts w:ascii="Arial" w:hAnsi="Arial" w:cs="Arial"/>
          <w:sz w:val="22"/>
          <w:szCs w:val="22"/>
        </w:rPr>
        <w:t xml:space="preserve"> </w:t>
      </w:r>
      <w:r w:rsidR="003F066A" w:rsidRPr="00B12AEE">
        <w:rPr>
          <w:rFonts w:ascii="Arial" w:hAnsi="Arial" w:cs="Arial"/>
          <w:sz w:val="22"/>
          <w:szCs w:val="22"/>
        </w:rPr>
        <w:t>od úrovně</w:t>
      </w:r>
      <w:r w:rsidR="00CB1A67" w:rsidRPr="00B12AEE">
        <w:rPr>
          <w:rFonts w:ascii="Arial" w:hAnsi="Arial" w:cs="Arial"/>
          <w:sz w:val="22"/>
          <w:szCs w:val="22"/>
        </w:rPr>
        <w:t xml:space="preserve"> </w:t>
      </w:r>
      <w:r w:rsidR="003F066A" w:rsidRPr="00B12AEE">
        <w:rPr>
          <w:rFonts w:ascii="Arial" w:hAnsi="Arial" w:cs="Arial"/>
          <w:sz w:val="22"/>
          <w:szCs w:val="22"/>
        </w:rPr>
        <w:t>COICOP</w:t>
      </w:r>
      <w:r w:rsidR="004E1E95">
        <w:rPr>
          <w:rFonts w:ascii="Arial" w:hAnsi="Arial" w:cs="Arial"/>
          <w:sz w:val="22"/>
          <w:szCs w:val="22"/>
        </w:rPr>
        <w:t xml:space="preserve"> </w:t>
      </w:r>
      <w:r w:rsidR="003F066A" w:rsidRPr="00B12AEE">
        <w:rPr>
          <w:rFonts w:ascii="Arial" w:hAnsi="Arial" w:cs="Arial"/>
          <w:sz w:val="22"/>
          <w:szCs w:val="22"/>
        </w:rPr>
        <w:t>1 až do úrovně COICOP</w:t>
      </w:r>
      <w:r w:rsidR="004E1E95">
        <w:rPr>
          <w:rFonts w:ascii="Arial" w:hAnsi="Arial" w:cs="Arial"/>
          <w:sz w:val="22"/>
          <w:szCs w:val="22"/>
        </w:rPr>
        <w:t xml:space="preserve"> </w:t>
      </w:r>
      <w:r w:rsidR="003F066A" w:rsidRPr="00B12AEE">
        <w:rPr>
          <w:rFonts w:ascii="Arial" w:hAnsi="Arial" w:cs="Arial"/>
          <w:sz w:val="22"/>
          <w:szCs w:val="22"/>
        </w:rPr>
        <w:t xml:space="preserve">4 </w:t>
      </w:r>
      <w:r w:rsidR="00CB1A67" w:rsidRPr="00B12AEE">
        <w:rPr>
          <w:rFonts w:ascii="Arial" w:hAnsi="Arial" w:cs="Arial"/>
          <w:sz w:val="22"/>
          <w:szCs w:val="22"/>
        </w:rPr>
        <w:t xml:space="preserve">klasifikace CZ-COICOP </w:t>
      </w:r>
      <w:r w:rsidR="00AE165F" w:rsidRPr="00B12AEE">
        <w:rPr>
          <w:rFonts w:ascii="Arial" w:hAnsi="Arial" w:cs="Arial"/>
          <w:sz w:val="22"/>
          <w:szCs w:val="22"/>
        </w:rPr>
        <w:t xml:space="preserve">aktualizovány dle výdajů domácností statistiky národních </w:t>
      </w:r>
      <w:r w:rsidR="005B3F6C">
        <w:rPr>
          <w:rFonts w:ascii="Arial" w:hAnsi="Arial" w:cs="Arial"/>
          <w:sz w:val="22"/>
          <w:szCs w:val="22"/>
        </w:rPr>
        <w:t xml:space="preserve">účtů </w:t>
      </w:r>
      <w:r w:rsidR="00AE165F" w:rsidRPr="00B12AEE">
        <w:rPr>
          <w:rFonts w:ascii="Arial" w:hAnsi="Arial" w:cs="Arial"/>
          <w:sz w:val="22"/>
          <w:szCs w:val="22"/>
        </w:rPr>
        <w:t>v roce 2008.</w:t>
      </w:r>
      <w:r w:rsidR="00C05AF9">
        <w:rPr>
          <w:rFonts w:ascii="Arial" w:hAnsi="Arial" w:cs="Arial"/>
          <w:sz w:val="22"/>
          <w:szCs w:val="22"/>
        </w:rPr>
        <w:t xml:space="preserve"> Váhy byly vypočteny za následující skupiny domácností: domácnosti celkem, domácnosti důchodců a domácnosti žijící v hl. m. Praze.</w:t>
      </w:r>
      <w:r w:rsidR="00DE5A28">
        <w:rPr>
          <w:rFonts w:ascii="Arial" w:hAnsi="Arial" w:cs="Arial"/>
          <w:sz w:val="22"/>
          <w:szCs w:val="22"/>
        </w:rPr>
        <w:t xml:space="preserve"> </w:t>
      </w:r>
      <w:r w:rsidR="0005429E" w:rsidRPr="00B12AEE">
        <w:rPr>
          <w:rFonts w:ascii="Arial" w:hAnsi="Arial" w:cs="Arial"/>
          <w:sz w:val="22"/>
          <w:szCs w:val="22"/>
        </w:rPr>
        <w:t xml:space="preserve">Výpočet indexů na takto aktualizovaných váhách byl zahájen od ledna 2010. </w:t>
      </w:r>
      <w:r w:rsidR="00DE5A28">
        <w:rPr>
          <w:rFonts w:ascii="Arial" w:hAnsi="Arial" w:cs="Arial"/>
          <w:sz w:val="22"/>
          <w:szCs w:val="22"/>
        </w:rPr>
        <w:t>U cenových indexů došlo ke změně</w:t>
      </w:r>
      <w:r w:rsidR="00DE5A28" w:rsidRPr="00B12AEE">
        <w:rPr>
          <w:rFonts w:ascii="Arial" w:hAnsi="Arial" w:cs="Arial"/>
          <w:sz w:val="22"/>
          <w:szCs w:val="22"/>
        </w:rPr>
        <w:t xml:space="preserve"> </w:t>
      </w:r>
      <w:r w:rsidR="00DE5A28">
        <w:rPr>
          <w:rFonts w:ascii="Arial" w:hAnsi="Arial" w:cs="Arial"/>
          <w:sz w:val="22"/>
          <w:szCs w:val="22"/>
        </w:rPr>
        <w:t xml:space="preserve">ceny základního období z prosince </w:t>
      </w:r>
      <w:r w:rsidR="001268A0">
        <w:rPr>
          <w:rFonts w:ascii="Arial" w:hAnsi="Arial" w:cs="Arial"/>
          <w:sz w:val="22"/>
          <w:szCs w:val="22"/>
        </w:rPr>
        <w:t>2005 na </w:t>
      </w:r>
      <w:r w:rsidR="00DE5A28">
        <w:rPr>
          <w:rFonts w:ascii="Arial" w:hAnsi="Arial" w:cs="Arial"/>
          <w:sz w:val="22"/>
          <w:szCs w:val="22"/>
        </w:rPr>
        <w:t xml:space="preserve">prosinec 2009. </w:t>
      </w:r>
      <w:r w:rsidR="00C3698D" w:rsidRPr="00B12AEE">
        <w:rPr>
          <w:rFonts w:ascii="Arial" w:hAnsi="Arial" w:cs="Arial"/>
          <w:sz w:val="22"/>
          <w:szCs w:val="22"/>
        </w:rPr>
        <w:t>K navázání na stávající časov</w:t>
      </w:r>
      <w:r w:rsidR="0071491B">
        <w:rPr>
          <w:rFonts w:ascii="Arial" w:hAnsi="Arial" w:cs="Arial"/>
          <w:sz w:val="22"/>
          <w:szCs w:val="22"/>
        </w:rPr>
        <w:t>ou</w:t>
      </w:r>
      <w:r w:rsidR="00C3698D" w:rsidRPr="00B12AEE">
        <w:rPr>
          <w:rFonts w:ascii="Arial" w:hAnsi="Arial" w:cs="Arial"/>
          <w:sz w:val="22"/>
          <w:szCs w:val="22"/>
        </w:rPr>
        <w:t xml:space="preserve"> řad</w:t>
      </w:r>
      <w:r w:rsidR="0071491B">
        <w:rPr>
          <w:rFonts w:ascii="Arial" w:hAnsi="Arial" w:cs="Arial"/>
          <w:sz w:val="22"/>
          <w:szCs w:val="22"/>
        </w:rPr>
        <w:t>u</w:t>
      </w:r>
      <w:r w:rsidR="00C3698D" w:rsidRPr="00B12AEE">
        <w:rPr>
          <w:rFonts w:ascii="Arial" w:hAnsi="Arial" w:cs="Arial"/>
          <w:sz w:val="22"/>
          <w:szCs w:val="22"/>
        </w:rPr>
        <w:t xml:space="preserve"> průměr roku 2005=100 byla nově </w:t>
      </w:r>
      <w:r w:rsidR="00262253">
        <w:rPr>
          <w:rFonts w:ascii="Arial" w:hAnsi="Arial" w:cs="Arial"/>
          <w:sz w:val="22"/>
          <w:szCs w:val="22"/>
        </w:rPr>
        <w:t>zvolena</w:t>
      </w:r>
      <w:r w:rsidR="00C3698D" w:rsidRPr="00B12AEE">
        <w:rPr>
          <w:rFonts w:ascii="Arial" w:hAnsi="Arial" w:cs="Arial"/>
          <w:sz w:val="22"/>
          <w:szCs w:val="22"/>
        </w:rPr>
        <w:t xml:space="preserve"> metoda řetězení indexů (bez potřeby př</w:t>
      </w:r>
      <w:r w:rsidR="001268A0">
        <w:rPr>
          <w:rFonts w:ascii="Arial" w:hAnsi="Arial" w:cs="Arial"/>
          <w:sz w:val="22"/>
          <w:szCs w:val="22"/>
        </w:rPr>
        <w:t xml:space="preserve">epočtových </w:t>
      </w:r>
      <w:r w:rsidR="00DE5A28">
        <w:rPr>
          <w:rFonts w:ascii="Arial" w:hAnsi="Arial" w:cs="Arial"/>
          <w:sz w:val="22"/>
          <w:szCs w:val="22"/>
        </w:rPr>
        <w:t>můstků)</w:t>
      </w:r>
      <w:r w:rsidR="00262253">
        <w:rPr>
          <w:rFonts w:ascii="Arial" w:hAnsi="Arial" w:cs="Arial"/>
          <w:sz w:val="22"/>
          <w:szCs w:val="22"/>
        </w:rPr>
        <w:t>. Zároveň se tato časová řada začala používat k výpočtu</w:t>
      </w:r>
      <w:r w:rsidR="00DE5A28" w:rsidRPr="00B12AEE">
        <w:rPr>
          <w:rFonts w:ascii="Arial" w:hAnsi="Arial" w:cs="Arial"/>
          <w:sz w:val="22"/>
          <w:szCs w:val="22"/>
        </w:rPr>
        <w:t xml:space="preserve"> další</w:t>
      </w:r>
      <w:r w:rsidR="00262253">
        <w:rPr>
          <w:rFonts w:ascii="Arial" w:hAnsi="Arial" w:cs="Arial"/>
          <w:sz w:val="22"/>
          <w:szCs w:val="22"/>
        </w:rPr>
        <w:t>ch</w:t>
      </w:r>
      <w:r w:rsidR="00DE5A28" w:rsidRPr="00B12AEE">
        <w:rPr>
          <w:rFonts w:ascii="Arial" w:hAnsi="Arial" w:cs="Arial"/>
          <w:sz w:val="22"/>
          <w:szCs w:val="22"/>
        </w:rPr>
        <w:t xml:space="preserve"> index</w:t>
      </w:r>
      <w:r w:rsidR="00262253">
        <w:rPr>
          <w:rFonts w:ascii="Arial" w:hAnsi="Arial" w:cs="Arial"/>
          <w:sz w:val="22"/>
          <w:szCs w:val="22"/>
        </w:rPr>
        <w:t>ů</w:t>
      </w:r>
      <w:r w:rsidR="00DE5A28" w:rsidRPr="00B12AEE">
        <w:rPr>
          <w:rFonts w:ascii="Arial" w:hAnsi="Arial" w:cs="Arial"/>
          <w:sz w:val="22"/>
          <w:szCs w:val="22"/>
        </w:rPr>
        <w:t xml:space="preserve">: předchozí měsíc=100, stejné období předchozího roku=100, průměr posledních 12 měsíců proti průměru předchozích </w:t>
      </w:r>
      <w:r w:rsidR="00DE5A28">
        <w:rPr>
          <w:rFonts w:ascii="Arial" w:hAnsi="Arial" w:cs="Arial"/>
          <w:sz w:val="22"/>
          <w:szCs w:val="22"/>
        </w:rPr>
        <w:t xml:space="preserve">12 </w:t>
      </w:r>
      <w:r w:rsidR="00DE5A28" w:rsidRPr="00B12AEE">
        <w:rPr>
          <w:rFonts w:ascii="Arial" w:hAnsi="Arial" w:cs="Arial"/>
          <w:sz w:val="22"/>
          <w:szCs w:val="22"/>
        </w:rPr>
        <w:t>měsíců.</w:t>
      </w:r>
    </w:p>
    <w:p w:rsidR="002A7910" w:rsidRDefault="002A7910" w:rsidP="002A7910">
      <w:pPr>
        <w:ind w:firstLine="709"/>
        <w:jc w:val="both"/>
        <w:rPr>
          <w:rFonts w:ascii="Arial" w:hAnsi="Arial" w:cs="Arial"/>
          <w:sz w:val="22"/>
          <w:szCs w:val="22"/>
        </w:rPr>
      </w:pPr>
    </w:p>
    <w:p w:rsidR="00A654BB" w:rsidRPr="00B12AEE" w:rsidRDefault="00BE3655"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Pr>
          <w:rFonts w:ascii="Arial" w:hAnsi="Arial" w:cs="Arial"/>
          <w:sz w:val="22"/>
          <w:szCs w:val="22"/>
        </w:rPr>
        <w:t xml:space="preserve">Další komplexní revize spotřebního koše pro výpočet indexů spotřebitelských cen proběhla v letech </w:t>
      </w:r>
      <w:r w:rsidRPr="00A654BB">
        <w:rPr>
          <w:rFonts w:ascii="Arial" w:hAnsi="Arial" w:cs="Arial"/>
          <w:b/>
          <w:sz w:val="22"/>
          <w:szCs w:val="22"/>
        </w:rPr>
        <w:t>2010 a 2011</w:t>
      </w:r>
      <w:r>
        <w:rPr>
          <w:rFonts w:ascii="Arial" w:hAnsi="Arial" w:cs="Arial"/>
          <w:sz w:val="22"/>
          <w:szCs w:val="22"/>
        </w:rPr>
        <w:t xml:space="preserve">. </w:t>
      </w:r>
      <w:r w:rsidRPr="00B12AEE">
        <w:rPr>
          <w:rFonts w:ascii="Arial" w:hAnsi="Arial" w:cs="Arial"/>
          <w:sz w:val="22"/>
          <w:szCs w:val="22"/>
        </w:rPr>
        <w:t xml:space="preserve">Výpočet revidovaných </w:t>
      </w:r>
      <w:r w:rsidR="00A654BB">
        <w:rPr>
          <w:rFonts w:ascii="Arial" w:hAnsi="Arial" w:cs="Arial"/>
          <w:sz w:val="22"/>
          <w:szCs w:val="22"/>
        </w:rPr>
        <w:t xml:space="preserve">indexů byl zahájen </w:t>
      </w:r>
      <w:r w:rsidR="00A654BB" w:rsidRPr="00742360">
        <w:rPr>
          <w:rFonts w:ascii="Arial" w:hAnsi="Arial" w:cs="Arial"/>
          <w:b/>
          <w:sz w:val="22"/>
          <w:szCs w:val="22"/>
        </w:rPr>
        <w:t>od ledna 2012</w:t>
      </w:r>
      <w:r w:rsidRPr="00B12AEE">
        <w:rPr>
          <w:rFonts w:ascii="Arial" w:hAnsi="Arial" w:cs="Arial"/>
          <w:sz w:val="22"/>
          <w:szCs w:val="22"/>
        </w:rPr>
        <w:t>.</w:t>
      </w:r>
      <w:r w:rsidR="00A654BB" w:rsidRPr="00A654BB">
        <w:rPr>
          <w:rFonts w:ascii="Arial" w:hAnsi="Arial" w:cs="Arial"/>
          <w:sz w:val="22"/>
          <w:szCs w:val="22"/>
        </w:rPr>
        <w:t xml:space="preserve"> </w:t>
      </w:r>
      <w:r w:rsidR="00A654BB" w:rsidRPr="00B12AEE">
        <w:rPr>
          <w:rFonts w:ascii="Arial" w:hAnsi="Arial" w:cs="Arial"/>
          <w:sz w:val="22"/>
          <w:szCs w:val="22"/>
        </w:rPr>
        <w:t xml:space="preserve">Základem pro váhový systém </w:t>
      </w:r>
      <w:r w:rsidR="00A654BB">
        <w:rPr>
          <w:rFonts w:ascii="Arial" w:hAnsi="Arial" w:cs="Arial"/>
          <w:sz w:val="22"/>
          <w:szCs w:val="22"/>
        </w:rPr>
        <w:t>agregovaných indexů (</w:t>
      </w:r>
      <w:r w:rsidR="00A654BB" w:rsidRPr="00B12AEE">
        <w:rPr>
          <w:rFonts w:ascii="Arial" w:hAnsi="Arial" w:cs="Arial"/>
          <w:sz w:val="22"/>
          <w:szCs w:val="22"/>
        </w:rPr>
        <w:t>od úrovně COICOP</w:t>
      </w:r>
      <w:r w:rsidR="00A654BB">
        <w:rPr>
          <w:rFonts w:ascii="Arial" w:hAnsi="Arial" w:cs="Arial"/>
          <w:sz w:val="22"/>
          <w:szCs w:val="22"/>
        </w:rPr>
        <w:t xml:space="preserve"> 4</w:t>
      </w:r>
      <w:r w:rsidR="00A654BB" w:rsidRPr="00B12AEE">
        <w:rPr>
          <w:rFonts w:ascii="Arial" w:hAnsi="Arial" w:cs="Arial"/>
          <w:sz w:val="22"/>
          <w:szCs w:val="22"/>
        </w:rPr>
        <w:t xml:space="preserve"> až do úrovně COICOP</w:t>
      </w:r>
      <w:r w:rsidR="00A654BB">
        <w:rPr>
          <w:rFonts w:ascii="Arial" w:hAnsi="Arial" w:cs="Arial"/>
          <w:sz w:val="22"/>
          <w:szCs w:val="22"/>
        </w:rPr>
        <w:t xml:space="preserve"> 1 a úhrnu)</w:t>
      </w:r>
      <w:r w:rsidR="00A654BB" w:rsidRPr="00B12AEE">
        <w:rPr>
          <w:rFonts w:ascii="Arial" w:hAnsi="Arial" w:cs="Arial"/>
          <w:sz w:val="22"/>
          <w:szCs w:val="22"/>
        </w:rPr>
        <w:t xml:space="preserve"> klasifikace CZ-COICOP byly údaje statistiky </w:t>
      </w:r>
      <w:r w:rsidR="00A654BB">
        <w:rPr>
          <w:rFonts w:ascii="Arial" w:hAnsi="Arial" w:cs="Arial"/>
          <w:sz w:val="22"/>
          <w:szCs w:val="22"/>
        </w:rPr>
        <w:t>národních účtů za rok 2010. Pro výběr a stanovení váhy konkrétních cenových reprezentantů</w:t>
      </w:r>
      <w:r w:rsidR="00A654BB" w:rsidRPr="00B12AEE">
        <w:rPr>
          <w:rFonts w:ascii="Arial" w:hAnsi="Arial" w:cs="Arial"/>
          <w:sz w:val="22"/>
          <w:szCs w:val="22"/>
        </w:rPr>
        <w:t xml:space="preserve"> </w:t>
      </w:r>
      <w:r w:rsidR="00A654BB">
        <w:rPr>
          <w:rFonts w:ascii="Arial" w:hAnsi="Arial" w:cs="Arial"/>
          <w:sz w:val="22"/>
          <w:szCs w:val="22"/>
        </w:rPr>
        <w:t xml:space="preserve">byly použity </w:t>
      </w:r>
      <w:r w:rsidR="00B024AB">
        <w:rPr>
          <w:rFonts w:ascii="Arial" w:hAnsi="Arial" w:cs="Arial"/>
          <w:sz w:val="22"/>
          <w:szCs w:val="22"/>
        </w:rPr>
        <w:t xml:space="preserve">údaje z </w:t>
      </w:r>
      <w:r w:rsidR="00B024AB" w:rsidRPr="00B12AEE">
        <w:rPr>
          <w:rFonts w:ascii="Arial" w:hAnsi="Arial" w:cs="Arial"/>
          <w:sz w:val="22"/>
          <w:szCs w:val="22"/>
        </w:rPr>
        <w:t>mimořádné</w:t>
      </w:r>
      <w:r w:rsidR="00B024AB">
        <w:rPr>
          <w:rFonts w:ascii="Arial" w:hAnsi="Arial" w:cs="Arial"/>
          <w:sz w:val="22"/>
          <w:szCs w:val="22"/>
        </w:rPr>
        <w:t>ho</w:t>
      </w:r>
      <w:r w:rsidR="00B024AB" w:rsidRPr="00B12AEE">
        <w:rPr>
          <w:rFonts w:ascii="Arial" w:hAnsi="Arial" w:cs="Arial"/>
          <w:sz w:val="22"/>
          <w:szCs w:val="22"/>
        </w:rPr>
        <w:t xml:space="preserve"> šetření </w:t>
      </w:r>
      <w:r w:rsidR="00B024AB">
        <w:rPr>
          <w:rFonts w:ascii="Arial" w:hAnsi="Arial" w:cs="Arial"/>
          <w:sz w:val="22"/>
          <w:szCs w:val="22"/>
        </w:rPr>
        <w:t xml:space="preserve">detailní struktury </w:t>
      </w:r>
      <w:r w:rsidR="00B024AB" w:rsidRPr="00B12AEE">
        <w:rPr>
          <w:rFonts w:ascii="Arial" w:hAnsi="Arial" w:cs="Arial"/>
          <w:sz w:val="22"/>
          <w:szCs w:val="22"/>
        </w:rPr>
        <w:t>peněžních výdajů domácností v jednotlivých skupinách COICOP</w:t>
      </w:r>
      <w:r w:rsidR="00B024AB">
        <w:rPr>
          <w:rFonts w:ascii="Arial" w:hAnsi="Arial" w:cs="Arial"/>
          <w:sz w:val="22"/>
          <w:szCs w:val="22"/>
        </w:rPr>
        <w:t xml:space="preserve"> </w:t>
      </w:r>
      <w:r w:rsidR="00B024AB" w:rsidRPr="00B12AEE">
        <w:rPr>
          <w:rFonts w:ascii="Arial" w:hAnsi="Arial" w:cs="Arial"/>
          <w:sz w:val="22"/>
          <w:szCs w:val="22"/>
        </w:rPr>
        <w:t xml:space="preserve">4 v roce 2010. </w:t>
      </w:r>
      <w:r w:rsidR="007B436A">
        <w:rPr>
          <w:rFonts w:ascii="Arial" w:hAnsi="Arial" w:cs="Arial"/>
          <w:sz w:val="22"/>
          <w:szCs w:val="22"/>
        </w:rPr>
        <w:t xml:space="preserve"> </w:t>
      </w:r>
      <w:r w:rsidR="005E3EE7">
        <w:rPr>
          <w:rFonts w:ascii="Arial" w:hAnsi="Arial" w:cs="Arial"/>
          <w:sz w:val="22"/>
          <w:szCs w:val="22"/>
        </w:rPr>
        <w:t>Kromě stanovení vah za domácnosti celkem byly zkonstruovány spotřební koše pro</w:t>
      </w:r>
      <w:r w:rsidR="00A654BB" w:rsidRPr="00B12AEE">
        <w:rPr>
          <w:rFonts w:ascii="Arial" w:hAnsi="Arial" w:cs="Arial"/>
          <w:sz w:val="22"/>
          <w:szCs w:val="22"/>
        </w:rPr>
        <w:t xml:space="preserve"> </w:t>
      </w:r>
      <w:r w:rsidR="00B024AB">
        <w:rPr>
          <w:rFonts w:ascii="Arial" w:hAnsi="Arial" w:cs="Arial"/>
          <w:sz w:val="22"/>
          <w:szCs w:val="22"/>
        </w:rPr>
        <w:t>d</w:t>
      </w:r>
      <w:r w:rsidR="005E3EE7">
        <w:rPr>
          <w:rFonts w:ascii="Arial" w:hAnsi="Arial" w:cs="Arial"/>
          <w:sz w:val="22"/>
          <w:szCs w:val="22"/>
        </w:rPr>
        <w:t xml:space="preserve">omácnosti důchodců a </w:t>
      </w:r>
      <w:r w:rsidR="00A654BB" w:rsidRPr="00B12AEE">
        <w:rPr>
          <w:rFonts w:ascii="Arial" w:hAnsi="Arial" w:cs="Arial"/>
          <w:sz w:val="22"/>
          <w:szCs w:val="22"/>
        </w:rPr>
        <w:t>domácnosti žijící v hl. m. Praze. Váhy ve spotřebním koši domácností celkem vycházely ze struktury průměrných výdajů všech domácností</w:t>
      </w:r>
      <w:r w:rsidR="005E3EE7">
        <w:rPr>
          <w:rFonts w:ascii="Arial" w:hAnsi="Arial" w:cs="Arial"/>
          <w:sz w:val="22"/>
          <w:szCs w:val="22"/>
        </w:rPr>
        <w:t xml:space="preserve"> dle statistiky národních a rodinných účtů.</w:t>
      </w:r>
      <w:r w:rsidR="00A654BB" w:rsidRPr="00B12AEE">
        <w:rPr>
          <w:rFonts w:ascii="Arial" w:hAnsi="Arial" w:cs="Arial"/>
          <w:sz w:val="22"/>
          <w:szCs w:val="22"/>
        </w:rPr>
        <w:t xml:space="preserve"> </w:t>
      </w:r>
      <w:r w:rsidR="005E3EE7">
        <w:rPr>
          <w:rFonts w:ascii="Arial" w:hAnsi="Arial" w:cs="Arial"/>
          <w:sz w:val="22"/>
          <w:szCs w:val="22"/>
        </w:rPr>
        <w:t>V</w:t>
      </w:r>
      <w:r w:rsidR="00B024AB">
        <w:rPr>
          <w:rFonts w:ascii="Arial" w:hAnsi="Arial" w:cs="Arial"/>
          <w:sz w:val="22"/>
          <w:szCs w:val="22"/>
        </w:rPr>
        <w:t>áhy ve spotřebním koši</w:t>
      </w:r>
      <w:r w:rsidR="00A654BB" w:rsidRPr="00B12AEE">
        <w:rPr>
          <w:rFonts w:ascii="Arial" w:hAnsi="Arial" w:cs="Arial"/>
          <w:sz w:val="22"/>
          <w:szCs w:val="22"/>
        </w:rPr>
        <w:t xml:space="preserve"> </w:t>
      </w:r>
      <w:r w:rsidR="001D5E3F">
        <w:rPr>
          <w:rFonts w:ascii="Arial" w:hAnsi="Arial" w:cs="Arial"/>
          <w:sz w:val="22"/>
          <w:szCs w:val="22"/>
        </w:rPr>
        <w:t>domácností důchodců a </w:t>
      </w:r>
      <w:r w:rsidR="00B024AB" w:rsidRPr="00B12AEE">
        <w:rPr>
          <w:rFonts w:ascii="Arial" w:hAnsi="Arial" w:cs="Arial"/>
          <w:sz w:val="22"/>
          <w:szCs w:val="22"/>
        </w:rPr>
        <w:t xml:space="preserve">váhy domácností žijících v hl. m. Praze </w:t>
      </w:r>
      <w:r w:rsidR="005E3EE7">
        <w:rPr>
          <w:rFonts w:ascii="Arial" w:hAnsi="Arial" w:cs="Arial"/>
          <w:sz w:val="22"/>
          <w:szCs w:val="22"/>
        </w:rPr>
        <w:t xml:space="preserve">vycházely </w:t>
      </w:r>
      <w:r w:rsidR="00A654BB" w:rsidRPr="00B12AEE">
        <w:rPr>
          <w:rFonts w:ascii="Arial" w:hAnsi="Arial" w:cs="Arial"/>
          <w:sz w:val="22"/>
          <w:szCs w:val="22"/>
        </w:rPr>
        <w:t>ze struktury výdajů příslušné skupiny domácností</w:t>
      </w:r>
      <w:r w:rsidR="005E3EE7">
        <w:rPr>
          <w:rFonts w:ascii="Arial" w:hAnsi="Arial" w:cs="Arial"/>
          <w:sz w:val="22"/>
          <w:szCs w:val="22"/>
        </w:rPr>
        <w:t xml:space="preserve"> dle statistiky rodinných účtů a byly korigovány údaji statistiky národních účtů.</w:t>
      </w:r>
      <w:r w:rsidR="00A654BB" w:rsidRPr="00B12AEE">
        <w:rPr>
          <w:rFonts w:ascii="Arial" w:hAnsi="Arial" w:cs="Arial"/>
          <w:sz w:val="22"/>
          <w:szCs w:val="22"/>
        </w:rPr>
        <w:t xml:space="preserve"> </w:t>
      </w:r>
      <w:r w:rsidR="00742360" w:rsidRPr="00B12AEE">
        <w:rPr>
          <w:rFonts w:ascii="Arial" w:hAnsi="Arial" w:cs="Arial"/>
          <w:noProof/>
          <w:sz w:val="22"/>
          <w:szCs w:val="22"/>
        </w:rPr>
        <w:t>Pro sestavení váhových schémat se používají</w:t>
      </w:r>
      <w:r w:rsidR="00742360">
        <w:rPr>
          <w:rFonts w:ascii="Arial" w:hAnsi="Arial" w:cs="Arial"/>
          <w:noProof/>
          <w:sz w:val="22"/>
          <w:szCs w:val="22"/>
        </w:rPr>
        <w:t xml:space="preserve"> i dodatečné informace např. od </w:t>
      </w:r>
      <w:r w:rsidR="00742360" w:rsidRPr="00B12AEE">
        <w:rPr>
          <w:rFonts w:ascii="Arial" w:hAnsi="Arial" w:cs="Arial"/>
          <w:noProof/>
          <w:sz w:val="22"/>
          <w:szCs w:val="22"/>
        </w:rPr>
        <w:t>poskytovatelů služeb s tarifními cenami (služby telekomunikační, finanční,…).</w:t>
      </w:r>
      <w:r w:rsidR="00742360" w:rsidRPr="00B12AEE">
        <w:rPr>
          <w:rFonts w:ascii="Arial" w:hAnsi="Arial" w:cs="Arial"/>
          <w:sz w:val="22"/>
          <w:szCs w:val="22"/>
        </w:rPr>
        <w:t xml:space="preserve"> </w:t>
      </w:r>
      <w:r w:rsidR="00A654BB" w:rsidRPr="00B12AEE">
        <w:rPr>
          <w:rFonts w:ascii="Arial" w:hAnsi="Arial" w:cs="Arial"/>
          <w:sz w:val="22"/>
          <w:szCs w:val="22"/>
        </w:rPr>
        <w:t xml:space="preserve">Spotřební koše byly stejně jako při předcházející revizi členěny podle mezinárodní klasifikace individuální spotřeby podle účelu - </w:t>
      </w:r>
      <w:r w:rsidR="00A654BB" w:rsidRPr="00891EFF">
        <w:rPr>
          <w:rFonts w:ascii="Arial" w:hAnsi="Arial" w:cs="Arial"/>
          <w:b/>
          <w:bCs/>
          <w:sz w:val="22"/>
          <w:szCs w:val="22"/>
        </w:rPr>
        <w:t>CZ–COICOP</w:t>
      </w:r>
      <w:r w:rsidR="00A654BB" w:rsidRPr="00B12AEE">
        <w:rPr>
          <w:rFonts w:ascii="Arial" w:hAnsi="Arial" w:cs="Arial"/>
          <w:b/>
          <w:bCs/>
          <w:sz w:val="22"/>
          <w:szCs w:val="22"/>
        </w:rPr>
        <w:t xml:space="preserve">. </w:t>
      </w:r>
      <w:r w:rsidR="00A654BB">
        <w:rPr>
          <w:rFonts w:ascii="Arial" w:hAnsi="Arial" w:cs="Arial"/>
          <w:sz w:val="22"/>
          <w:szCs w:val="22"/>
        </w:rPr>
        <w:t>Počet reprezentantů ve </w:t>
      </w:r>
      <w:r w:rsidR="00A654BB" w:rsidRPr="00B12AEE">
        <w:rPr>
          <w:rFonts w:ascii="Arial" w:hAnsi="Arial" w:cs="Arial"/>
          <w:sz w:val="22"/>
          <w:szCs w:val="22"/>
        </w:rPr>
        <w:t xml:space="preserve">spotřebním koši byl </w:t>
      </w:r>
      <w:r w:rsidR="00742360">
        <w:rPr>
          <w:rFonts w:ascii="Arial" w:hAnsi="Arial" w:cs="Arial"/>
          <w:sz w:val="22"/>
          <w:szCs w:val="22"/>
        </w:rPr>
        <w:t>692</w:t>
      </w:r>
      <w:r w:rsidR="00891EFF">
        <w:rPr>
          <w:rFonts w:ascii="Arial" w:hAnsi="Arial" w:cs="Arial"/>
          <w:sz w:val="22"/>
          <w:szCs w:val="22"/>
        </w:rPr>
        <w:t xml:space="preserve"> (včetně deseti </w:t>
      </w:r>
      <w:proofErr w:type="spellStart"/>
      <w:r w:rsidR="00891EFF">
        <w:rPr>
          <w:rFonts w:ascii="Arial" w:hAnsi="Arial" w:cs="Arial"/>
          <w:sz w:val="22"/>
          <w:szCs w:val="22"/>
        </w:rPr>
        <w:t>subindexů</w:t>
      </w:r>
      <w:proofErr w:type="spellEnd"/>
      <w:r w:rsidR="00891EFF">
        <w:rPr>
          <w:rFonts w:ascii="Arial" w:hAnsi="Arial" w:cs="Arial"/>
          <w:sz w:val="22"/>
          <w:szCs w:val="22"/>
        </w:rPr>
        <w:t xml:space="preserve">). </w:t>
      </w:r>
      <w:r w:rsidR="00A654BB">
        <w:rPr>
          <w:rFonts w:ascii="Arial" w:hAnsi="Arial" w:cs="Arial"/>
          <w:sz w:val="22"/>
          <w:szCs w:val="22"/>
        </w:rPr>
        <w:t>Základním obdobím pro </w:t>
      </w:r>
      <w:r w:rsidR="00F01DC2">
        <w:rPr>
          <w:rFonts w:ascii="Arial" w:hAnsi="Arial" w:cs="Arial"/>
          <w:sz w:val="22"/>
          <w:szCs w:val="22"/>
        </w:rPr>
        <w:t>výpočet indexů byl prosinec 2011</w:t>
      </w:r>
      <w:r w:rsidR="00A654BB" w:rsidRPr="00B12AEE">
        <w:rPr>
          <w:rFonts w:ascii="Arial" w:hAnsi="Arial" w:cs="Arial"/>
          <w:sz w:val="22"/>
          <w:szCs w:val="22"/>
        </w:rPr>
        <w:t>.</w:t>
      </w:r>
      <w:r w:rsidR="00A654BB">
        <w:rPr>
          <w:rFonts w:ascii="Arial" w:hAnsi="Arial" w:cs="Arial"/>
          <w:sz w:val="22"/>
          <w:szCs w:val="22"/>
        </w:rPr>
        <w:t xml:space="preserve"> </w:t>
      </w:r>
      <w:r w:rsidR="00F01DC2" w:rsidRPr="00B12AEE">
        <w:rPr>
          <w:rFonts w:ascii="Arial" w:hAnsi="Arial" w:cs="Arial"/>
          <w:sz w:val="22"/>
          <w:szCs w:val="22"/>
        </w:rPr>
        <w:t>K navázání na stávající časov</w:t>
      </w:r>
      <w:r w:rsidR="00F01DC2">
        <w:rPr>
          <w:rFonts w:ascii="Arial" w:hAnsi="Arial" w:cs="Arial"/>
          <w:sz w:val="22"/>
          <w:szCs w:val="22"/>
        </w:rPr>
        <w:t>ou</w:t>
      </w:r>
      <w:r w:rsidR="00F01DC2" w:rsidRPr="00B12AEE">
        <w:rPr>
          <w:rFonts w:ascii="Arial" w:hAnsi="Arial" w:cs="Arial"/>
          <w:sz w:val="22"/>
          <w:szCs w:val="22"/>
        </w:rPr>
        <w:t xml:space="preserve"> řad</w:t>
      </w:r>
      <w:r w:rsidR="00F01DC2">
        <w:rPr>
          <w:rFonts w:ascii="Arial" w:hAnsi="Arial" w:cs="Arial"/>
          <w:sz w:val="22"/>
          <w:szCs w:val="22"/>
        </w:rPr>
        <w:t>u</w:t>
      </w:r>
      <w:r w:rsidR="00F01DC2" w:rsidRPr="00B12AEE">
        <w:rPr>
          <w:rFonts w:ascii="Arial" w:hAnsi="Arial" w:cs="Arial"/>
          <w:sz w:val="22"/>
          <w:szCs w:val="22"/>
        </w:rPr>
        <w:t xml:space="preserve"> průměr roku 2005=100 byla </w:t>
      </w:r>
      <w:r w:rsidR="00F01DC2">
        <w:rPr>
          <w:rFonts w:ascii="Arial" w:hAnsi="Arial" w:cs="Arial"/>
          <w:sz w:val="22"/>
          <w:szCs w:val="22"/>
        </w:rPr>
        <w:t>zvolena</w:t>
      </w:r>
      <w:r w:rsidR="00F01DC2" w:rsidRPr="00B12AEE">
        <w:rPr>
          <w:rFonts w:ascii="Arial" w:hAnsi="Arial" w:cs="Arial"/>
          <w:sz w:val="22"/>
          <w:szCs w:val="22"/>
        </w:rPr>
        <w:t xml:space="preserve"> metoda řetězení indexů</w:t>
      </w:r>
      <w:r w:rsidR="00F01DC2">
        <w:rPr>
          <w:rFonts w:ascii="Arial" w:hAnsi="Arial" w:cs="Arial"/>
          <w:sz w:val="22"/>
          <w:szCs w:val="22"/>
        </w:rPr>
        <w:t xml:space="preserve">, která byla použita již při dílčí revizi realizované v roce 2009. </w:t>
      </w:r>
    </w:p>
    <w:p w:rsidR="00BE3655" w:rsidRPr="00B12AEE" w:rsidRDefault="00BE3655" w:rsidP="00BE365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BE3655" w:rsidRPr="00B12AEE" w:rsidRDefault="00BE3655" w:rsidP="00C3698D">
      <w:pPr>
        <w:spacing w:before="120"/>
        <w:ind w:firstLine="708"/>
        <w:jc w:val="both"/>
        <w:rPr>
          <w:rFonts w:ascii="Arial" w:hAnsi="Arial" w:cs="Arial"/>
          <w:sz w:val="22"/>
          <w:szCs w:val="22"/>
        </w:rPr>
      </w:pPr>
    </w:p>
    <w:p w:rsidR="0003150B" w:rsidRDefault="0003150B" w:rsidP="00EE299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93403F" w:rsidRPr="00B12AEE" w:rsidRDefault="0093403F" w:rsidP="00EE299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A2690" w:rsidRDefault="000A2690" w:rsidP="005E365F">
      <w:pPr>
        <w:pStyle w:val="Nadpis1"/>
        <w:rPr>
          <w:rFonts w:ascii="Arial" w:hAnsi="Arial" w:cs="Arial"/>
          <w:b/>
        </w:rPr>
      </w:pPr>
      <w:bookmarkStart w:id="6" w:name="_Toc340758486"/>
      <w:bookmarkStart w:id="7" w:name="_Toc340758892"/>
      <w:bookmarkStart w:id="8" w:name="_Toc340824104"/>
      <w:bookmarkStart w:id="9" w:name="_Toc340824158"/>
      <w:bookmarkStart w:id="10" w:name="_Toc340827462"/>
      <w:bookmarkStart w:id="11" w:name="_Toc340838535"/>
    </w:p>
    <w:p w:rsidR="00851C1E" w:rsidRPr="00991836" w:rsidRDefault="00851C1E" w:rsidP="005E365F">
      <w:pPr>
        <w:pStyle w:val="Nadpis1"/>
        <w:rPr>
          <w:rFonts w:ascii="Arial" w:hAnsi="Arial" w:cs="Arial"/>
          <w:b/>
        </w:rPr>
      </w:pPr>
      <w:r w:rsidRPr="00AC275E">
        <w:rPr>
          <w:rFonts w:ascii="Arial" w:hAnsi="Arial" w:cs="Arial"/>
          <w:b/>
        </w:rPr>
        <w:t>II. Revize indexů spotřebitelských cen (životních nákladů)</w:t>
      </w:r>
      <w:bookmarkEnd w:id="6"/>
      <w:bookmarkEnd w:id="7"/>
      <w:bookmarkEnd w:id="8"/>
      <w:bookmarkEnd w:id="9"/>
      <w:bookmarkEnd w:id="10"/>
      <w:bookmarkEnd w:id="11"/>
      <w:r w:rsidR="00F01DC2" w:rsidRPr="00AC275E">
        <w:rPr>
          <w:rFonts w:ascii="Arial" w:hAnsi="Arial" w:cs="Arial"/>
          <w:b/>
        </w:rPr>
        <w:t xml:space="preserve"> 2012</w:t>
      </w:r>
    </w:p>
    <w:p w:rsidR="00152211" w:rsidRPr="00B12AEE" w:rsidRDefault="00152211" w:rsidP="00851C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u w:val="single"/>
        </w:rPr>
      </w:pPr>
    </w:p>
    <w:p w:rsidR="007D2B40" w:rsidRDefault="00152211" w:rsidP="004C7A8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sz w:val="22"/>
          <w:szCs w:val="22"/>
        </w:rPr>
        <w:tab/>
      </w:r>
    </w:p>
    <w:p w:rsidR="000852D9" w:rsidRPr="000852D9" w:rsidRDefault="004C7A80"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0852D9">
        <w:rPr>
          <w:rFonts w:ascii="Arial" w:hAnsi="Arial" w:cs="Arial"/>
          <w:b/>
          <w:sz w:val="22"/>
          <w:szCs w:val="22"/>
        </w:rPr>
        <w:t>Od ledna 2014</w:t>
      </w:r>
      <w:r w:rsidR="007D2B40" w:rsidRPr="000852D9">
        <w:rPr>
          <w:rFonts w:ascii="Arial" w:hAnsi="Arial" w:cs="Arial"/>
          <w:b/>
          <w:sz w:val="22"/>
          <w:szCs w:val="22"/>
        </w:rPr>
        <w:t xml:space="preserve"> </w:t>
      </w:r>
      <w:r w:rsidR="007D2B40" w:rsidRPr="000852D9">
        <w:rPr>
          <w:rFonts w:ascii="Arial" w:hAnsi="Arial" w:cs="Arial"/>
          <w:sz w:val="22"/>
          <w:szCs w:val="22"/>
        </w:rPr>
        <w:t>se</w:t>
      </w:r>
      <w:r w:rsidR="007D2B40" w:rsidRPr="000852D9">
        <w:rPr>
          <w:rFonts w:ascii="Arial" w:hAnsi="Arial" w:cs="Arial"/>
          <w:b/>
          <w:sz w:val="22"/>
          <w:szCs w:val="22"/>
        </w:rPr>
        <w:t xml:space="preserve"> </w:t>
      </w:r>
      <w:r w:rsidR="007D2B40" w:rsidRPr="000852D9">
        <w:rPr>
          <w:rFonts w:ascii="Arial" w:hAnsi="Arial" w:cs="Arial"/>
          <w:sz w:val="22"/>
          <w:szCs w:val="22"/>
        </w:rPr>
        <w:t xml:space="preserve">provádí výpočet indexů spotřebitelských cen na </w:t>
      </w:r>
      <w:r w:rsidR="00957B12" w:rsidRPr="000852D9">
        <w:rPr>
          <w:rFonts w:ascii="Arial" w:hAnsi="Arial" w:cs="Arial"/>
          <w:sz w:val="22"/>
          <w:szCs w:val="22"/>
        </w:rPr>
        <w:t>novém spotřebním koši založeném</w:t>
      </w:r>
      <w:r w:rsidR="007D2B40" w:rsidRPr="000852D9">
        <w:rPr>
          <w:rFonts w:ascii="Arial" w:hAnsi="Arial" w:cs="Arial"/>
          <w:sz w:val="22"/>
          <w:szCs w:val="22"/>
        </w:rPr>
        <w:t xml:space="preserve"> na v</w:t>
      </w:r>
      <w:r w:rsidR="00BA68B7" w:rsidRPr="000852D9">
        <w:rPr>
          <w:rFonts w:ascii="Arial" w:hAnsi="Arial" w:cs="Arial"/>
          <w:sz w:val="22"/>
          <w:szCs w:val="22"/>
        </w:rPr>
        <w:t>á</w:t>
      </w:r>
      <w:r w:rsidRPr="000852D9">
        <w:rPr>
          <w:rFonts w:ascii="Arial" w:hAnsi="Arial" w:cs="Arial"/>
          <w:sz w:val="22"/>
          <w:szCs w:val="22"/>
        </w:rPr>
        <w:t>hách roku 2012</w:t>
      </w:r>
      <w:r w:rsidR="007D2B40" w:rsidRPr="000852D9">
        <w:rPr>
          <w:rFonts w:ascii="Arial" w:hAnsi="Arial" w:cs="Arial"/>
          <w:sz w:val="22"/>
          <w:szCs w:val="22"/>
        </w:rPr>
        <w:t xml:space="preserve">. Současně došlo </w:t>
      </w:r>
      <w:r w:rsidR="00A964D2" w:rsidRPr="000852D9">
        <w:rPr>
          <w:rFonts w:ascii="Arial" w:hAnsi="Arial" w:cs="Arial"/>
          <w:sz w:val="22"/>
          <w:szCs w:val="22"/>
        </w:rPr>
        <w:t>u cenových indexů ke změně ceny z</w:t>
      </w:r>
      <w:r w:rsidRPr="000852D9">
        <w:rPr>
          <w:rFonts w:ascii="Arial" w:hAnsi="Arial" w:cs="Arial"/>
          <w:sz w:val="22"/>
          <w:szCs w:val="22"/>
        </w:rPr>
        <w:t>ákladního období z prosince 2011 na prosinec 2013</w:t>
      </w:r>
      <w:r w:rsidR="00A964D2" w:rsidRPr="000852D9">
        <w:rPr>
          <w:rFonts w:ascii="Arial" w:hAnsi="Arial" w:cs="Arial"/>
          <w:sz w:val="22"/>
          <w:szCs w:val="22"/>
        </w:rPr>
        <w:t>. K navázání na stávající časov</w:t>
      </w:r>
      <w:r w:rsidR="003A1439" w:rsidRPr="000852D9">
        <w:rPr>
          <w:rFonts w:ascii="Arial" w:hAnsi="Arial" w:cs="Arial"/>
          <w:sz w:val="22"/>
          <w:szCs w:val="22"/>
        </w:rPr>
        <w:t>ou</w:t>
      </w:r>
      <w:r w:rsidR="00A964D2" w:rsidRPr="000852D9">
        <w:rPr>
          <w:rFonts w:ascii="Arial" w:hAnsi="Arial" w:cs="Arial"/>
          <w:sz w:val="22"/>
          <w:szCs w:val="22"/>
        </w:rPr>
        <w:t xml:space="preserve"> ř</w:t>
      </w:r>
      <w:r w:rsidR="00957B12" w:rsidRPr="000852D9">
        <w:rPr>
          <w:rFonts w:ascii="Arial" w:hAnsi="Arial" w:cs="Arial"/>
          <w:sz w:val="22"/>
          <w:szCs w:val="22"/>
        </w:rPr>
        <w:t>ad</w:t>
      </w:r>
      <w:r w:rsidR="003A1439" w:rsidRPr="000852D9">
        <w:rPr>
          <w:rFonts w:ascii="Arial" w:hAnsi="Arial" w:cs="Arial"/>
          <w:sz w:val="22"/>
          <w:szCs w:val="22"/>
        </w:rPr>
        <w:t>u</w:t>
      </w:r>
      <w:r w:rsidR="00957B12" w:rsidRPr="000852D9">
        <w:rPr>
          <w:rFonts w:ascii="Arial" w:hAnsi="Arial" w:cs="Arial"/>
          <w:sz w:val="22"/>
          <w:szCs w:val="22"/>
        </w:rPr>
        <w:t xml:space="preserve"> průměr roku 2005=100</w:t>
      </w:r>
      <w:r w:rsidR="00A47540" w:rsidRPr="000852D9">
        <w:rPr>
          <w:rFonts w:ascii="Arial" w:hAnsi="Arial" w:cs="Arial"/>
          <w:sz w:val="22"/>
          <w:szCs w:val="22"/>
        </w:rPr>
        <w:t>,</w:t>
      </w:r>
      <w:r w:rsidR="000852D9" w:rsidRPr="000852D9">
        <w:rPr>
          <w:rFonts w:ascii="Arial" w:hAnsi="Arial" w:cs="Arial"/>
          <w:sz w:val="22"/>
          <w:szCs w:val="22"/>
        </w:rPr>
        <w:t xml:space="preserve"> ze které jsou počítány indexy k dalším základům (předchozí měsíc = 100, stejné období minulého roku = 100 a index klouzavých průměrů za po</w:t>
      </w:r>
      <w:r w:rsidR="00827DE4">
        <w:rPr>
          <w:rFonts w:ascii="Arial" w:hAnsi="Arial" w:cs="Arial"/>
          <w:sz w:val="22"/>
          <w:szCs w:val="22"/>
        </w:rPr>
        <w:t>sledních 12 měsíců k průměru 12 </w:t>
      </w:r>
      <w:r w:rsidR="000852D9" w:rsidRPr="000852D9">
        <w:rPr>
          <w:rFonts w:ascii="Arial" w:hAnsi="Arial" w:cs="Arial"/>
          <w:sz w:val="22"/>
          <w:szCs w:val="22"/>
        </w:rPr>
        <w:t>předcházejících měsíců), byla použita metoda řetězení indexů.</w:t>
      </w:r>
    </w:p>
    <w:p w:rsidR="000852D9" w:rsidRDefault="000852D9"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DE1826"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DE1826">
        <w:rPr>
          <w:rFonts w:ascii="Arial" w:hAnsi="Arial" w:cs="Arial"/>
          <w:sz w:val="22"/>
          <w:szCs w:val="22"/>
        </w:rPr>
        <w:t>Členění spotřebního koše vychází stejně jako v předcházejících obdobích (od roku 2001) z klasifikace individuální spotřeby podle účelu CZ-COICOP (</w:t>
      </w:r>
      <w:proofErr w:type="spellStart"/>
      <w:r w:rsidRPr="00DE1826">
        <w:rPr>
          <w:rFonts w:ascii="Arial" w:hAnsi="Arial" w:cs="Arial"/>
          <w:sz w:val="22"/>
          <w:szCs w:val="22"/>
        </w:rPr>
        <w:t>Classification</w:t>
      </w:r>
      <w:proofErr w:type="spellEnd"/>
      <w:r w:rsidRPr="00DE1826">
        <w:rPr>
          <w:rFonts w:ascii="Arial" w:hAnsi="Arial" w:cs="Arial"/>
          <w:sz w:val="22"/>
          <w:szCs w:val="22"/>
        </w:rPr>
        <w:t xml:space="preserve"> </w:t>
      </w:r>
      <w:proofErr w:type="spellStart"/>
      <w:r w:rsidRPr="00DE1826">
        <w:rPr>
          <w:rFonts w:ascii="Arial" w:hAnsi="Arial" w:cs="Arial"/>
          <w:sz w:val="22"/>
          <w:szCs w:val="22"/>
        </w:rPr>
        <w:t>of</w:t>
      </w:r>
      <w:proofErr w:type="spellEnd"/>
      <w:r w:rsidRPr="00DE1826">
        <w:rPr>
          <w:rFonts w:ascii="Arial" w:hAnsi="Arial" w:cs="Arial"/>
          <w:sz w:val="22"/>
          <w:szCs w:val="22"/>
        </w:rPr>
        <w:t xml:space="preserve"> </w:t>
      </w:r>
      <w:proofErr w:type="spellStart"/>
      <w:r w:rsidRPr="00DE1826">
        <w:rPr>
          <w:rFonts w:ascii="Arial" w:hAnsi="Arial" w:cs="Arial"/>
          <w:sz w:val="22"/>
          <w:szCs w:val="22"/>
        </w:rPr>
        <w:t>Individual</w:t>
      </w:r>
      <w:proofErr w:type="spellEnd"/>
      <w:r w:rsidRPr="00DE1826">
        <w:rPr>
          <w:rFonts w:ascii="Arial" w:hAnsi="Arial" w:cs="Arial"/>
          <w:sz w:val="22"/>
          <w:szCs w:val="22"/>
        </w:rPr>
        <w:t xml:space="preserve"> </w:t>
      </w:r>
      <w:proofErr w:type="spellStart"/>
      <w:r w:rsidRPr="00DE1826">
        <w:rPr>
          <w:rFonts w:ascii="Arial" w:hAnsi="Arial" w:cs="Arial"/>
          <w:sz w:val="22"/>
          <w:szCs w:val="22"/>
        </w:rPr>
        <w:t>Consumption</w:t>
      </w:r>
      <w:proofErr w:type="spellEnd"/>
      <w:r w:rsidRPr="00DE1826">
        <w:rPr>
          <w:rFonts w:ascii="Arial" w:hAnsi="Arial" w:cs="Arial"/>
          <w:sz w:val="22"/>
          <w:szCs w:val="22"/>
        </w:rPr>
        <w:t xml:space="preserve"> by </w:t>
      </w:r>
      <w:proofErr w:type="spellStart"/>
      <w:r w:rsidRPr="00DE1826">
        <w:rPr>
          <w:rFonts w:ascii="Arial" w:hAnsi="Arial" w:cs="Arial"/>
          <w:sz w:val="22"/>
          <w:szCs w:val="22"/>
        </w:rPr>
        <w:t>Purpose</w:t>
      </w:r>
      <w:proofErr w:type="spellEnd"/>
      <w:r w:rsidRPr="00DE1826">
        <w:rPr>
          <w:rFonts w:ascii="Arial" w:hAnsi="Arial" w:cs="Arial"/>
          <w:sz w:val="22"/>
          <w:szCs w:val="22"/>
        </w:rPr>
        <w:t>), která dělí spotřební koš na 12</w:t>
      </w:r>
      <w:r w:rsidR="0034167A" w:rsidRPr="00DE1826">
        <w:rPr>
          <w:rFonts w:ascii="Arial" w:hAnsi="Arial" w:cs="Arial"/>
          <w:noProof/>
        </w:rPr>
        <w:t xml:space="preserve"> </w:t>
      </w:r>
      <w:r w:rsidR="0034167A" w:rsidRPr="00DE1826">
        <w:rPr>
          <w:rFonts w:ascii="Arial" w:hAnsi="Arial" w:cs="Arial"/>
          <w:noProof/>
          <w:sz w:val="22"/>
          <w:szCs w:val="22"/>
        </w:rPr>
        <w:t>hlavních</w:t>
      </w:r>
      <w:r w:rsidR="00DE1826">
        <w:rPr>
          <w:rFonts w:ascii="Arial" w:hAnsi="Arial" w:cs="Arial"/>
          <w:sz w:val="22"/>
          <w:szCs w:val="22"/>
        </w:rPr>
        <w:t xml:space="preserve"> </w:t>
      </w:r>
      <w:r w:rsidRPr="00DE1826">
        <w:rPr>
          <w:rFonts w:ascii="Arial" w:hAnsi="Arial" w:cs="Arial"/>
          <w:sz w:val="22"/>
          <w:szCs w:val="22"/>
        </w:rPr>
        <w:t>dílů: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 Potraviny a nealkoholické nápoje</w:t>
      </w:r>
      <w:r w:rsidRPr="00B12AEE">
        <w:rPr>
          <w:rFonts w:ascii="Arial" w:hAnsi="Arial" w:cs="Arial"/>
          <w:sz w:val="22"/>
          <w:szCs w:val="22"/>
        </w:rPr>
        <w:t xml:space="preserve"> - veškeré potraviny včetně nealkoholických nápojů.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2. Alkoholické nápoje a tabák</w:t>
      </w:r>
      <w:r w:rsidRPr="00B12AEE">
        <w:rPr>
          <w:rFonts w:ascii="Arial" w:hAnsi="Arial" w:cs="Arial"/>
          <w:sz w:val="22"/>
          <w:szCs w:val="22"/>
        </w:rPr>
        <w:t xml:space="preserve"> - alkoholické nápoje a tabákové výrobky.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12AEE">
        <w:rPr>
          <w:rFonts w:ascii="Arial" w:hAnsi="Arial" w:cs="Arial"/>
          <w:b/>
          <w:bCs/>
          <w:sz w:val="22"/>
          <w:szCs w:val="22"/>
        </w:rPr>
        <w:t>3. Odívání a obuv</w:t>
      </w:r>
      <w:r w:rsidRPr="00B12AEE">
        <w:rPr>
          <w:rFonts w:ascii="Arial" w:hAnsi="Arial" w:cs="Arial"/>
          <w:sz w:val="22"/>
          <w:szCs w:val="22"/>
        </w:rPr>
        <w:t xml:space="preserve"> - oděvní materiály, oděvy, oděvní doplňky, textilní galanterie, obuv; včetně půjčování a oprav.</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2B8F"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4. Bydlení, voda, energie, paliva</w:t>
      </w:r>
      <w:r w:rsidRPr="00B12AEE">
        <w:rPr>
          <w:rFonts w:ascii="Arial" w:hAnsi="Arial" w:cs="Arial"/>
          <w:sz w:val="22"/>
          <w:szCs w:val="22"/>
        </w:rPr>
        <w:t xml:space="preserve"> - nájemné vč</w:t>
      </w:r>
      <w:r w:rsidRPr="0011725B">
        <w:rPr>
          <w:rFonts w:ascii="Arial" w:hAnsi="Arial" w:cs="Arial"/>
          <w:sz w:val="22"/>
          <w:szCs w:val="22"/>
        </w:rPr>
        <w:t>.</w:t>
      </w:r>
      <w:r w:rsidR="0011725B">
        <w:rPr>
          <w:rFonts w:ascii="Arial" w:hAnsi="Arial" w:cs="Arial"/>
          <w:sz w:val="22"/>
          <w:szCs w:val="22"/>
        </w:rPr>
        <w:t xml:space="preserve"> </w:t>
      </w:r>
      <w:r w:rsidR="00755A1C" w:rsidRPr="0011725B">
        <w:rPr>
          <w:rFonts w:ascii="Arial" w:hAnsi="Arial" w:cs="Arial"/>
          <w:sz w:val="22"/>
          <w:szCs w:val="22"/>
        </w:rPr>
        <w:t>imputovaného</w:t>
      </w:r>
      <w:r w:rsidRPr="00B12AEE">
        <w:rPr>
          <w:rFonts w:ascii="Arial" w:hAnsi="Arial" w:cs="Arial"/>
          <w:sz w:val="22"/>
          <w:szCs w:val="22"/>
        </w:rPr>
        <w:t>, úhrady za užívání družstevních bytů, služby spojené s užíváním bytu, výrobky a služby pro běžnou údržbu bytu, vodné a stočné, odvoz popela a odpadků, všechny druhy energií (plyn</w:t>
      </w:r>
      <w:r>
        <w:rPr>
          <w:rFonts w:ascii="Arial" w:hAnsi="Arial" w:cs="Arial"/>
          <w:sz w:val="22"/>
          <w:szCs w:val="22"/>
        </w:rPr>
        <w:t>,</w:t>
      </w:r>
      <w:r w:rsidRPr="00B12AEE">
        <w:rPr>
          <w:rFonts w:ascii="Arial" w:hAnsi="Arial" w:cs="Arial"/>
          <w:sz w:val="22"/>
          <w:szCs w:val="22"/>
        </w:rPr>
        <w:t xml:space="preserve"> elektřina</w:t>
      </w:r>
      <w:r>
        <w:rPr>
          <w:rFonts w:ascii="Arial" w:hAnsi="Arial" w:cs="Arial"/>
          <w:sz w:val="22"/>
          <w:szCs w:val="22"/>
        </w:rPr>
        <w:t>,</w:t>
      </w:r>
      <w:r w:rsidRPr="00B12AEE">
        <w:rPr>
          <w:rFonts w:ascii="Arial" w:hAnsi="Arial" w:cs="Arial"/>
          <w:sz w:val="22"/>
          <w:szCs w:val="22"/>
        </w:rPr>
        <w:t xml:space="preserve"> teplo), tuhá paliva</w:t>
      </w:r>
      <w:r>
        <w:rPr>
          <w:rFonts w:ascii="Arial" w:hAnsi="Arial" w:cs="Arial"/>
          <w:sz w:val="22"/>
          <w:szCs w:val="22"/>
        </w:rPr>
        <w:t>.</w:t>
      </w:r>
      <w:r w:rsidRPr="00B12AEE">
        <w:rPr>
          <w:rFonts w:ascii="Arial" w:hAnsi="Arial" w:cs="Arial"/>
          <w:sz w:val="22"/>
          <w:szCs w:val="22"/>
        </w:rPr>
        <w:t xml:space="preserve"> </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5. Bytové vybavení, zařízení domácnosti, opravy</w:t>
      </w:r>
      <w:r w:rsidRPr="00B12AEE">
        <w:rPr>
          <w:rFonts w:ascii="Arial" w:hAnsi="Arial" w:cs="Arial"/>
          <w:sz w:val="22"/>
          <w:szCs w:val="22"/>
        </w:rPr>
        <w:t xml:space="preserve"> - nábytek a bytové vybavení, koberce a ostatní podlahové krytiny, bytový textil vč. ložního prádla, domácí spotřebiče, skleněné</w:t>
      </w:r>
      <w:r w:rsidR="0011725B">
        <w:rPr>
          <w:rFonts w:ascii="Arial" w:hAnsi="Arial" w:cs="Arial"/>
          <w:sz w:val="22"/>
          <w:szCs w:val="22"/>
        </w:rPr>
        <w:t>,</w:t>
      </w:r>
      <w:r w:rsidRPr="00B12AEE">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6. Zdraví</w:t>
      </w:r>
      <w:r w:rsidRPr="00B12AEE">
        <w:rPr>
          <w:rFonts w:ascii="Arial" w:hAnsi="Arial" w:cs="Arial"/>
          <w:sz w:val="22"/>
          <w:szCs w:val="22"/>
        </w:rPr>
        <w:t xml:space="preserve"> - léčiva a zdravotnické výrobky, stomatologické výrobky, služby očních optiků, služby lékařů, lázeňsk</w:t>
      </w:r>
      <w:r>
        <w:rPr>
          <w:rFonts w:ascii="Arial" w:hAnsi="Arial" w:cs="Arial"/>
          <w:sz w:val="22"/>
          <w:szCs w:val="22"/>
        </w:rPr>
        <w:t>á</w:t>
      </w:r>
      <w:r w:rsidRPr="00B12AEE">
        <w:rPr>
          <w:rFonts w:ascii="Arial" w:hAnsi="Arial" w:cs="Arial"/>
          <w:sz w:val="22"/>
          <w:szCs w:val="22"/>
        </w:rPr>
        <w:t xml:space="preserve"> péč</w:t>
      </w:r>
      <w:r>
        <w:rPr>
          <w:rFonts w:ascii="Arial" w:hAnsi="Arial" w:cs="Arial"/>
          <w:sz w:val="22"/>
          <w:szCs w:val="22"/>
        </w:rPr>
        <w:t>e</w:t>
      </w:r>
      <w:r w:rsidR="00755A1C">
        <w:rPr>
          <w:rFonts w:ascii="Arial" w:hAnsi="Arial" w:cs="Arial"/>
          <w:sz w:val="22"/>
          <w:szCs w:val="22"/>
        </w:rPr>
        <w:t xml:space="preserve">, </w:t>
      </w:r>
      <w:r w:rsidR="00755A1C" w:rsidRPr="0011725B">
        <w:rPr>
          <w:rFonts w:ascii="Arial" w:hAnsi="Arial" w:cs="Arial"/>
          <w:sz w:val="22"/>
          <w:szCs w:val="22"/>
        </w:rPr>
        <w:t>regulační poplatky</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7. Doprava</w:t>
      </w:r>
      <w:r w:rsidRPr="00B12AEE">
        <w:rPr>
          <w:rFonts w:ascii="Arial" w:hAnsi="Arial" w:cs="Arial"/>
          <w:sz w:val="22"/>
          <w:szCs w:val="22"/>
        </w:rPr>
        <w:t xml:space="preserve"> - osobní dopravní prostředky vč. oprav a náhradních dílů, pohonné hmoty, veřejná doprava (železniční, autobusová, </w:t>
      </w:r>
      <w:r w:rsidR="00755A1C" w:rsidRPr="0011725B">
        <w:rPr>
          <w:rFonts w:ascii="Arial" w:hAnsi="Arial" w:cs="Arial"/>
          <w:sz w:val="22"/>
          <w:szCs w:val="22"/>
        </w:rPr>
        <w:t>místní</w:t>
      </w:r>
      <w:r w:rsidRPr="00B12AEE">
        <w:rPr>
          <w:rFonts w:ascii="Arial" w:hAnsi="Arial" w:cs="Arial"/>
          <w:sz w:val="22"/>
          <w:szCs w:val="22"/>
        </w:rPr>
        <w:t>, letecká), doprava žáků a studentů.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8. Pošty a telekomunikace</w:t>
      </w:r>
      <w:r w:rsidRPr="00B12AEE">
        <w:rPr>
          <w:rFonts w:ascii="Arial" w:hAnsi="Arial" w:cs="Arial"/>
          <w:sz w:val="22"/>
          <w:szCs w:val="22"/>
        </w:rPr>
        <w:t xml:space="preserve"> - poštovní služby, telefonní přístroje (mobilní telefony), telefonní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9. Rekreace a kultura</w:t>
      </w:r>
      <w:r w:rsidRPr="00B12AEE">
        <w:rPr>
          <w:rFonts w:ascii="Arial" w:hAnsi="Arial" w:cs="Arial"/>
          <w:sz w:val="22"/>
          <w:szCs w:val="22"/>
        </w:rPr>
        <w:t xml:space="preserve"> - rozhlasové a televizní přijímače, přehrávače a rekordéry,</w:t>
      </w:r>
      <w:r w:rsidR="00755A1C">
        <w:rPr>
          <w:rFonts w:ascii="Arial" w:hAnsi="Arial" w:cs="Arial"/>
          <w:sz w:val="22"/>
          <w:szCs w:val="22"/>
        </w:rPr>
        <w:t xml:space="preserve"> </w:t>
      </w:r>
      <w:r w:rsidR="00755A1C" w:rsidRPr="00827DE4">
        <w:rPr>
          <w:rFonts w:ascii="Arial" w:hAnsi="Arial" w:cs="Arial"/>
          <w:sz w:val="22"/>
          <w:szCs w:val="22"/>
        </w:rPr>
        <w:t>výpočetní technika</w:t>
      </w:r>
      <w:r w:rsidRPr="00B12AEE">
        <w:rPr>
          <w:rFonts w:ascii="Arial" w:hAnsi="Arial" w:cs="Arial"/>
          <w:sz w:val="22"/>
          <w:szCs w:val="22"/>
        </w:rPr>
        <w:t>, hudební nástroje, sportovní potřeby</w:t>
      </w:r>
      <w:r w:rsidR="00114F79">
        <w:rPr>
          <w:rFonts w:ascii="Arial" w:hAnsi="Arial" w:cs="Arial"/>
          <w:sz w:val="22"/>
          <w:szCs w:val="22"/>
        </w:rPr>
        <w:t xml:space="preserve"> </w:t>
      </w:r>
      <w:r w:rsidRPr="00B12AEE">
        <w:rPr>
          <w:rFonts w:ascii="Arial" w:hAnsi="Arial" w:cs="Arial"/>
          <w:sz w:val="22"/>
          <w:szCs w:val="22"/>
        </w:rPr>
        <w:t>vč. oprav, knihy, noviny a časopisy, hračky, papírenské zboží, kulturní služby, sportovní aktivity, tuzemsk</w:t>
      </w:r>
      <w:r>
        <w:rPr>
          <w:rFonts w:ascii="Arial" w:hAnsi="Arial" w:cs="Arial"/>
          <w:sz w:val="22"/>
          <w:szCs w:val="22"/>
        </w:rPr>
        <w:t>á</w:t>
      </w:r>
      <w:r w:rsidRPr="00B12AEE">
        <w:rPr>
          <w:rFonts w:ascii="Arial" w:hAnsi="Arial" w:cs="Arial"/>
          <w:sz w:val="22"/>
          <w:szCs w:val="22"/>
        </w:rPr>
        <w:t xml:space="preserve"> a zahraniční rekreac</w:t>
      </w:r>
      <w:r>
        <w:rPr>
          <w:rFonts w:ascii="Arial" w:hAnsi="Arial" w:cs="Arial"/>
          <w:sz w:val="22"/>
          <w:szCs w:val="22"/>
        </w:rPr>
        <w:t>e</w:t>
      </w:r>
      <w:r w:rsidRPr="00B12AEE">
        <w:rPr>
          <w:rFonts w:ascii="Arial" w:hAnsi="Arial" w:cs="Arial"/>
          <w:sz w:val="22"/>
          <w:szCs w:val="22"/>
        </w:rPr>
        <w:t>, květiny a potřeby pro jejich pěstování, domácí zvířata a potřeby pro jejich chov vč. veterinární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10. Vzdělávání</w:t>
      </w:r>
      <w:r w:rsidRPr="00B12AEE">
        <w:rPr>
          <w:rFonts w:ascii="Arial" w:hAnsi="Arial" w:cs="Arial"/>
          <w:sz w:val="22"/>
          <w:szCs w:val="22"/>
        </w:rPr>
        <w:t xml:space="preserve"> - všechny stupně vzdělávání vč. výuky jazyků a umělecké výchovy.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11. Stravování a ubytování</w:t>
      </w:r>
      <w:r w:rsidRPr="00B12AEE">
        <w:rPr>
          <w:rFonts w:ascii="Arial" w:hAnsi="Arial" w:cs="Arial"/>
          <w:sz w:val="22"/>
          <w:szCs w:val="22"/>
        </w:rPr>
        <w:t xml:space="preserve"> - jídl</w:t>
      </w:r>
      <w:r>
        <w:rPr>
          <w:rFonts w:ascii="Arial" w:hAnsi="Arial" w:cs="Arial"/>
          <w:sz w:val="22"/>
          <w:szCs w:val="22"/>
        </w:rPr>
        <w:t>o</w:t>
      </w:r>
      <w:r w:rsidRPr="00B12AEE">
        <w:rPr>
          <w:rFonts w:ascii="Arial" w:hAnsi="Arial" w:cs="Arial"/>
          <w:sz w:val="22"/>
          <w:szCs w:val="22"/>
        </w:rPr>
        <w:t xml:space="preserve"> a nápoje v restauracích, kavárnách a podobných zařízeních, závodní stravování, školní stravování, ubytování v hote</w:t>
      </w:r>
      <w:r>
        <w:rPr>
          <w:rFonts w:ascii="Arial" w:hAnsi="Arial" w:cs="Arial"/>
          <w:sz w:val="22"/>
          <w:szCs w:val="22"/>
        </w:rPr>
        <w:t>lích, v penzionech, chatách, na </w:t>
      </w:r>
      <w:r w:rsidRPr="00B12AEE">
        <w:rPr>
          <w:rFonts w:ascii="Arial" w:hAnsi="Arial" w:cs="Arial"/>
          <w:sz w:val="22"/>
          <w:szCs w:val="22"/>
        </w:rPr>
        <w:t>internát</w:t>
      </w:r>
      <w:r>
        <w:rPr>
          <w:rFonts w:ascii="Arial" w:hAnsi="Arial" w:cs="Arial"/>
          <w:sz w:val="22"/>
          <w:szCs w:val="22"/>
        </w:rPr>
        <w:t>ech</w:t>
      </w:r>
      <w:r w:rsidRPr="00B12AEE">
        <w:rPr>
          <w:rFonts w:ascii="Arial" w:hAnsi="Arial" w:cs="Arial"/>
          <w:sz w:val="22"/>
          <w:szCs w:val="22"/>
        </w:rPr>
        <w:t xml:space="preserve"> a vysokoškolsk</w:t>
      </w:r>
      <w:r>
        <w:rPr>
          <w:rFonts w:ascii="Arial" w:hAnsi="Arial" w:cs="Arial"/>
          <w:sz w:val="22"/>
          <w:szCs w:val="22"/>
        </w:rPr>
        <w:t>ých</w:t>
      </w:r>
      <w:r w:rsidRPr="00B12AEE">
        <w:rPr>
          <w:rFonts w:ascii="Arial" w:hAnsi="Arial" w:cs="Arial"/>
          <w:sz w:val="22"/>
          <w:szCs w:val="22"/>
        </w:rPr>
        <w:t xml:space="preserve"> kolej</w:t>
      </w:r>
      <w:r>
        <w:rPr>
          <w:rFonts w:ascii="Arial" w:hAnsi="Arial" w:cs="Arial"/>
          <w:sz w:val="22"/>
          <w:szCs w:val="22"/>
        </w:rPr>
        <w:t>ích</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12. Ostatní zboží a služby</w:t>
      </w:r>
      <w:r w:rsidRPr="00B12AEE">
        <w:rPr>
          <w:rFonts w:ascii="Arial" w:hAnsi="Arial" w:cs="Arial"/>
          <w:sz w:val="22"/>
          <w:szCs w:val="22"/>
        </w:rPr>
        <w:t xml:space="preserve"> - služby osobní péče, elektrické spotřebiče pro osobní péči, kosmetické výrobky, klenoty, hodinky, kožen</w:t>
      </w:r>
      <w:r>
        <w:rPr>
          <w:rFonts w:ascii="Arial" w:hAnsi="Arial" w:cs="Arial"/>
          <w:sz w:val="22"/>
          <w:szCs w:val="22"/>
        </w:rPr>
        <w:t>á</w:t>
      </w:r>
      <w:r w:rsidRPr="00B12AEE">
        <w:rPr>
          <w:rFonts w:ascii="Arial" w:hAnsi="Arial" w:cs="Arial"/>
          <w:sz w:val="22"/>
          <w:szCs w:val="22"/>
        </w:rPr>
        <w:t xml:space="preserve"> galanteri</w:t>
      </w:r>
      <w:r>
        <w:rPr>
          <w:rFonts w:ascii="Arial" w:hAnsi="Arial" w:cs="Arial"/>
          <w:sz w:val="22"/>
          <w:szCs w:val="22"/>
        </w:rPr>
        <w:t>e</w:t>
      </w:r>
      <w:r w:rsidRPr="00B12AEE">
        <w:rPr>
          <w:rFonts w:ascii="Arial" w:hAnsi="Arial" w:cs="Arial"/>
          <w:sz w:val="22"/>
          <w:szCs w:val="22"/>
        </w:rPr>
        <w:t>, pojištění (osob, bytů, domů</w:t>
      </w:r>
      <w:r w:rsidR="00316524">
        <w:rPr>
          <w:rFonts w:ascii="Arial" w:hAnsi="Arial" w:cs="Arial"/>
          <w:sz w:val="22"/>
          <w:szCs w:val="22"/>
        </w:rPr>
        <w:t>,</w:t>
      </w:r>
      <w:r w:rsidRPr="00B12AEE">
        <w:rPr>
          <w:rFonts w:ascii="Arial" w:hAnsi="Arial" w:cs="Arial"/>
          <w:sz w:val="22"/>
          <w:szCs w:val="22"/>
        </w:rPr>
        <w:t xml:space="preserve"> automobilů), sociální a finanční služby, správní a administrativní poplatky.</w:t>
      </w:r>
    </w:p>
    <w:p w:rsidR="005B2B8F" w:rsidRPr="000852D9" w:rsidRDefault="005B2B8F"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1674EF" w:rsidRPr="000852D9"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AC275E" w:rsidRDefault="001674EF" w:rsidP="005E365F">
      <w:pPr>
        <w:pStyle w:val="Nadpis2"/>
        <w:rPr>
          <w:rFonts w:ascii="Arial" w:hAnsi="Arial" w:cs="Arial"/>
          <w:sz w:val="22"/>
          <w:szCs w:val="22"/>
          <w:u w:val="none"/>
        </w:rPr>
      </w:pPr>
      <w:bookmarkStart w:id="12" w:name="_Toc340758487"/>
      <w:bookmarkStart w:id="13" w:name="_Toc340758893"/>
      <w:bookmarkStart w:id="14" w:name="_Toc340824105"/>
      <w:bookmarkStart w:id="15" w:name="_Toc340824159"/>
      <w:bookmarkStart w:id="16" w:name="_Toc340827463"/>
      <w:bookmarkStart w:id="17" w:name="_Toc340838536"/>
      <w:r w:rsidRPr="00AC275E">
        <w:rPr>
          <w:rFonts w:ascii="Arial" w:hAnsi="Arial" w:cs="Arial"/>
          <w:sz w:val="22"/>
          <w:szCs w:val="22"/>
          <w:u w:val="none"/>
        </w:rPr>
        <w:lastRenderedPageBreak/>
        <w:t>A) Výběr cenových reprezentantů</w:t>
      </w:r>
      <w:bookmarkEnd w:id="12"/>
      <w:bookmarkEnd w:id="13"/>
      <w:bookmarkEnd w:id="14"/>
      <w:bookmarkEnd w:id="15"/>
      <w:bookmarkEnd w:id="16"/>
      <w:bookmarkEnd w:id="17"/>
    </w:p>
    <w:p w:rsidR="00605A26" w:rsidRPr="000852D9" w:rsidRDefault="00605A2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E0F5B" w:rsidRPr="000852D9" w:rsidRDefault="00343D3F" w:rsidP="001E0F5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852D9">
        <w:rPr>
          <w:rFonts w:ascii="Arial" w:hAnsi="Arial" w:cs="Arial"/>
          <w:sz w:val="22"/>
          <w:szCs w:val="22"/>
        </w:rPr>
        <w:t>Záměrem revize spotřebního koše v letech 2012 a 2013 byla zejména aktualizace v</w:t>
      </w:r>
      <w:r w:rsidR="00891EFF">
        <w:rPr>
          <w:rFonts w:ascii="Arial" w:hAnsi="Arial" w:cs="Arial"/>
          <w:sz w:val="22"/>
          <w:szCs w:val="22"/>
        </w:rPr>
        <w:t>á</w:t>
      </w:r>
      <w:r w:rsidRPr="000852D9">
        <w:rPr>
          <w:rFonts w:ascii="Arial" w:hAnsi="Arial" w:cs="Arial"/>
          <w:sz w:val="22"/>
          <w:szCs w:val="22"/>
        </w:rPr>
        <w:t xml:space="preserve">hového systému </w:t>
      </w:r>
      <w:r w:rsidR="00932F8A" w:rsidRPr="000852D9">
        <w:rPr>
          <w:rFonts w:ascii="Arial" w:hAnsi="Arial" w:cs="Arial"/>
          <w:sz w:val="22"/>
          <w:szCs w:val="22"/>
        </w:rPr>
        <w:t>pro výpočet indexů spotřebitelských cen. Proto změny v s</w:t>
      </w:r>
      <w:r w:rsidRPr="000852D9">
        <w:rPr>
          <w:rFonts w:ascii="Arial" w:hAnsi="Arial" w:cs="Arial"/>
          <w:sz w:val="22"/>
          <w:szCs w:val="22"/>
        </w:rPr>
        <w:t>oubor</w:t>
      </w:r>
      <w:r w:rsidR="00932F8A" w:rsidRPr="000852D9">
        <w:rPr>
          <w:rFonts w:ascii="Arial" w:hAnsi="Arial" w:cs="Arial"/>
          <w:sz w:val="22"/>
          <w:szCs w:val="22"/>
        </w:rPr>
        <w:t xml:space="preserve">u </w:t>
      </w:r>
      <w:r w:rsidRPr="000852D9">
        <w:rPr>
          <w:rFonts w:ascii="Arial" w:hAnsi="Arial" w:cs="Arial"/>
          <w:sz w:val="22"/>
          <w:szCs w:val="22"/>
        </w:rPr>
        <w:t>cenových reprezentantů</w:t>
      </w:r>
      <w:r w:rsidR="00932F8A" w:rsidRPr="000852D9">
        <w:rPr>
          <w:rFonts w:ascii="Arial" w:hAnsi="Arial" w:cs="Arial"/>
          <w:sz w:val="22"/>
          <w:szCs w:val="22"/>
        </w:rPr>
        <w:t xml:space="preserve"> odpovídaly rozsahu každoroční aktualizace vycházející</w:t>
      </w:r>
      <w:r w:rsidR="001E0F5B" w:rsidRPr="000852D9">
        <w:rPr>
          <w:rFonts w:ascii="Arial" w:hAnsi="Arial" w:cs="Arial"/>
          <w:sz w:val="22"/>
          <w:szCs w:val="22"/>
        </w:rPr>
        <w:t xml:space="preserve"> </w:t>
      </w:r>
      <w:r w:rsidR="00932F8A" w:rsidRPr="000852D9">
        <w:rPr>
          <w:rFonts w:ascii="Arial" w:hAnsi="Arial" w:cs="Arial"/>
          <w:sz w:val="22"/>
          <w:szCs w:val="22"/>
        </w:rPr>
        <w:t xml:space="preserve">z požadavků </w:t>
      </w:r>
      <w:proofErr w:type="spellStart"/>
      <w:r w:rsidR="00932F8A" w:rsidRPr="000852D9">
        <w:rPr>
          <w:rFonts w:ascii="Arial" w:hAnsi="Arial" w:cs="Arial"/>
          <w:sz w:val="22"/>
          <w:szCs w:val="22"/>
        </w:rPr>
        <w:t>Eurostatu</w:t>
      </w:r>
      <w:proofErr w:type="spellEnd"/>
      <w:r w:rsidR="00932F8A" w:rsidRPr="000852D9">
        <w:rPr>
          <w:rFonts w:ascii="Arial" w:hAnsi="Arial" w:cs="Arial"/>
          <w:sz w:val="22"/>
          <w:szCs w:val="22"/>
        </w:rPr>
        <w:t xml:space="preserve"> a z </w:t>
      </w:r>
      <w:r w:rsidR="001E0F5B" w:rsidRPr="000852D9">
        <w:rPr>
          <w:rFonts w:ascii="Arial" w:hAnsi="Arial" w:cs="Arial"/>
          <w:sz w:val="22"/>
          <w:szCs w:val="22"/>
        </w:rPr>
        <w:t>podnětů tazatelek</w:t>
      </w:r>
      <w:r w:rsidR="00932F8A" w:rsidRPr="000852D9">
        <w:rPr>
          <w:rFonts w:ascii="Arial" w:hAnsi="Arial" w:cs="Arial"/>
          <w:sz w:val="22"/>
          <w:szCs w:val="22"/>
        </w:rPr>
        <w:t>.</w:t>
      </w:r>
      <w:r w:rsidR="00BB2A15" w:rsidRPr="000852D9">
        <w:rPr>
          <w:rFonts w:ascii="Arial" w:hAnsi="Arial" w:cs="Arial"/>
          <w:sz w:val="22"/>
          <w:szCs w:val="22"/>
        </w:rPr>
        <w:t xml:space="preserve"> </w:t>
      </w:r>
    </w:p>
    <w:p w:rsidR="00A964D2" w:rsidRPr="000852D9" w:rsidRDefault="00A964D2" w:rsidP="001E0F5B">
      <w:pPr>
        <w:pStyle w:val="Zkladntextodsazen3"/>
        <w:rPr>
          <w:rFonts w:ascii="Arial" w:hAnsi="Arial" w:cs="Arial"/>
          <w:sz w:val="22"/>
          <w:szCs w:val="22"/>
        </w:rPr>
      </w:pPr>
    </w:p>
    <w:p w:rsidR="001E0F5B" w:rsidRDefault="001E0F5B" w:rsidP="00407A00">
      <w:pPr>
        <w:pStyle w:val="Zkladntextodsazen3"/>
        <w:rPr>
          <w:rFonts w:ascii="Arial" w:hAnsi="Arial" w:cs="Arial"/>
          <w:sz w:val="22"/>
          <w:szCs w:val="22"/>
        </w:rPr>
      </w:pPr>
      <w:r w:rsidRPr="000852D9">
        <w:rPr>
          <w:rFonts w:ascii="Arial" w:hAnsi="Arial" w:cs="Arial"/>
          <w:sz w:val="22"/>
          <w:szCs w:val="22"/>
        </w:rPr>
        <w:t>Počet cenových reprezentantů v novém spotřebním koši pro výpočet indexů spotřebitelských cen (životních nákladů) je následující:</w:t>
      </w:r>
    </w:p>
    <w:p w:rsidR="008F39C8" w:rsidRPr="000852D9" w:rsidRDefault="008F39C8" w:rsidP="00407A00">
      <w:pPr>
        <w:pStyle w:val="Zkladntextodsazen3"/>
        <w:rPr>
          <w:rFonts w:ascii="Arial" w:hAnsi="Arial" w:cs="Arial"/>
          <w:sz w:val="22"/>
          <w:szCs w:val="22"/>
        </w:rPr>
      </w:pPr>
    </w:p>
    <w:tbl>
      <w:tblPr>
        <w:tblW w:w="8522" w:type="dxa"/>
        <w:tblInd w:w="620" w:type="dxa"/>
        <w:tblLayout w:type="fixed"/>
        <w:tblCellMar>
          <w:left w:w="0" w:type="dxa"/>
          <w:right w:w="0" w:type="dxa"/>
        </w:tblCellMar>
        <w:tblLook w:val="0000"/>
      </w:tblPr>
      <w:tblGrid>
        <w:gridCol w:w="4508"/>
        <w:gridCol w:w="1093"/>
        <w:gridCol w:w="1366"/>
        <w:gridCol w:w="136"/>
        <w:gridCol w:w="1230"/>
        <w:gridCol w:w="136"/>
        <w:gridCol w:w="53"/>
      </w:tblGrid>
      <w:tr w:rsidR="00932F8A" w:rsidRPr="00781658" w:rsidTr="00A15279">
        <w:trPr>
          <w:trHeight w:val="74"/>
        </w:trPr>
        <w:tc>
          <w:tcPr>
            <w:tcW w:w="4508" w:type="dxa"/>
            <w:tcBorders>
              <w:top w:val="nil"/>
              <w:left w:val="nil"/>
              <w:bottom w:val="nil"/>
              <w:right w:val="nil"/>
            </w:tcBorders>
            <w:noWrap/>
            <w:tcMar>
              <w:top w:w="17" w:type="dxa"/>
              <w:left w:w="17" w:type="dxa"/>
              <w:bottom w:w="0" w:type="dxa"/>
              <w:right w:w="17" w:type="dxa"/>
            </w:tcMar>
            <w:vAlign w:val="bottom"/>
          </w:tcPr>
          <w:p w:rsidR="00932F8A" w:rsidRPr="00B12AEE" w:rsidRDefault="00932F8A" w:rsidP="00124F4E">
            <w:pPr>
              <w:jc w:val="center"/>
              <w:rPr>
                <w:rFonts w:ascii="Arial" w:hAnsi="Arial" w:cs="Arial"/>
                <w:sz w:val="22"/>
                <w:szCs w:val="22"/>
              </w:rPr>
            </w:pPr>
          </w:p>
        </w:tc>
        <w:tc>
          <w:tcPr>
            <w:tcW w:w="1093" w:type="dxa"/>
            <w:tcBorders>
              <w:top w:val="nil"/>
              <w:left w:val="nil"/>
              <w:bottom w:val="nil"/>
              <w:right w:val="nil"/>
            </w:tcBorders>
            <w:noWrap/>
            <w:tcMar>
              <w:top w:w="17" w:type="dxa"/>
              <w:left w:w="17" w:type="dxa"/>
              <w:bottom w:w="0" w:type="dxa"/>
              <w:right w:w="17" w:type="dxa"/>
            </w:tcMar>
            <w:vAlign w:val="bottom"/>
          </w:tcPr>
          <w:p w:rsidR="00932F8A" w:rsidRPr="00B12AEE" w:rsidRDefault="00932F8A" w:rsidP="00124F4E">
            <w:pPr>
              <w:jc w:val="center"/>
              <w:rPr>
                <w:rFonts w:ascii="Arial" w:hAnsi="Arial" w:cs="Arial"/>
                <w:sz w:val="22"/>
                <w:szCs w:val="22"/>
              </w:rPr>
            </w:pPr>
          </w:p>
        </w:tc>
        <w:tc>
          <w:tcPr>
            <w:tcW w:w="1366" w:type="dxa"/>
            <w:tcBorders>
              <w:top w:val="nil"/>
              <w:left w:val="nil"/>
              <w:bottom w:val="nil"/>
              <w:right w:val="nil"/>
            </w:tcBorders>
            <w:noWrap/>
            <w:tcMar>
              <w:top w:w="17" w:type="dxa"/>
              <w:left w:w="17" w:type="dxa"/>
              <w:bottom w:w="0" w:type="dxa"/>
              <w:right w:w="17" w:type="dxa"/>
            </w:tcMar>
            <w:vAlign w:val="bottom"/>
          </w:tcPr>
          <w:p w:rsidR="00932F8A" w:rsidRPr="00891EFF" w:rsidRDefault="00932F8A" w:rsidP="00124F4E">
            <w:pPr>
              <w:jc w:val="center"/>
              <w:rPr>
                <w:rFonts w:ascii="Arial" w:hAnsi="Arial" w:cs="Arial"/>
                <w:color w:val="FF0000"/>
                <w:sz w:val="22"/>
                <w:szCs w:val="22"/>
              </w:rPr>
            </w:pPr>
          </w:p>
        </w:tc>
        <w:tc>
          <w:tcPr>
            <w:tcW w:w="1502" w:type="dxa"/>
            <w:gridSpan w:val="3"/>
            <w:tcBorders>
              <w:top w:val="nil"/>
              <w:left w:val="nil"/>
              <w:bottom w:val="nil"/>
              <w:right w:val="nil"/>
            </w:tcBorders>
            <w:noWrap/>
            <w:tcMar>
              <w:top w:w="17" w:type="dxa"/>
              <w:left w:w="17" w:type="dxa"/>
              <w:bottom w:w="0" w:type="dxa"/>
              <w:right w:w="17" w:type="dxa"/>
            </w:tcMar>
            <w:vAlign w:val="bottom"/>
          </w:tcPr>
          <w:p w:rsidR="00932F8A" w:rsidRPr="00B12AEE" w:rsidRDefault="00932F8A" w:rsidP="00124F4E">
            <w:pPr>
              <w:jc w:val="center"/>
              <w:rPr>
                <w:rFonts w:ascii="Arial" w:hAnsi="Arial" w:cs="Arial"/>
                <w:sz w:val="22"/>
                <w:szCs w:val="22"/>
              </w:rPr>
            </w:pPr>
          </w:p>
        </w:tc>
        <w:tc>
          <w:tcPr>
            <w:tcW w:w="53" w:type="dxa"/>
            <w:tcBorders>
              <w:top w:val="nil"/>
              <w:left w:val="nil"/>
              <w:bottom w:val="nil"/>
              <w:right w:val="nil"/>
            </w:tcBorders>
          </w:tcPr>
          <w:p w:rsidR="00932F8A" w:rsidRPr="00B12AEE" w:rsidRDefault="00932F8A" w:rsidP="00124F4E">
            <w:pPr>
              <w:jc w:val="center"/>
              <w:rPr>
                <w:rFonts w:ascii="Arial" w:hAnsi="Arial" w:cs="Arial"/>
                <w:sz w:val="22"/>
                <w:szCs w:val="22"/>
              </w:rPr>
            </w:pPr>
          </w:p>
        </w:tc>
      </w:tr>
      <w:tr w:rsidR="00316524" w:rsidRPr="00781658" w:rsidTr="00A15279">
        <w:trPr>
          <w:gridAfter w:val="2"/>
          <w:wAfter w:w="189" w:type="dxa"/>
          <w:trHeight w:val="616"/>
        </w:trPr>
        <w:tc>
          <w:tcPr>
            <w:tcW w:w="45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316524" w:rsidRPr="00932F8A" w:rsidRDefault="00316524" w:rsidP="00316524">
            <w:pPr>
              <w:jc w:val="center"/>
              <w:rPr>
                <w:rFonts w:ascii="Arial" w:hAnsi="Arial" w:cs="Arial"/>
                <w:b/>
                <w:bCs/>
                <w:sz w:val="18"/>
                <w:szCs w:val="18"/>
              </w:rPr>
            </w:pPr>
            <w:r w:rsidRPr="00932F8A">
              <w:rPr>
                <w:rFonts w:ascii="Arial" w:hAnsi="Arial" w:cs="Arial"/>
                <w:b/>
                <w:bCs/>
                <w:sz w:val="18"/>
                <w:szCs w:val="18"/>
              </w:rPr>
              <w:t>Oddíly COICOP</w:t>
            </w:r>
          </w:p>
        </w:tc>
        <w:tc>
          <w:tcPr>
            <w:tcW w:w="109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316524" w:rsidRPr="00932F8A" w:rsidRDefault="00316524" w:rsidP="00316524">
            <w:pPr>
              <w:ind w:right="-17"/>
              <w:jc w:val="center"/>
              <w:rPr>
                <w:rFonts w:ascii="Arial" w:hAnsi="Arial" w:cs="Arial"/>
                <w:b/>
                <w:bCs/>
                <w:sz w:val="18"/>
                <w:szCs w:val="18"/>
              </w:rPr>
            </w:pPr>
            <w:r w:rsidRPr="00932F8A">
              <w:rPr>
                <w:rFonts w:ascii="Arial" w:hAnsi="Arial" w:cs="Arial"/>
                <w:b/>
                <w:bCs/>
                <w:sz w:val="18"/>
                <w:szCs w:val="18"/>
              </w:rPr>
              <w:t>leden 2007</w:t>
            </w:r>
          </w:p>
        </w:tc>
        <w:tc>
          <w:tcPr>
            <w:tcW w:w="150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316524" w:rsidRPr="00932F8A" w:rsidRDefault="00316524" w:rsidP="00316524">
            <w:pPr>
              <w:jc w:val="center"/>
              <w:rPr>
                <w:rFonts w:ascii="Arial" w:hAnsi="Arial" w:cs="Arial"/>
                <w:b/>
                <w:bCs/>
                <w:sz w:val="18"/>
                <w:szCs w:val="18"/>
              </w:rPr>
            </w:pPr>
            <w:r w:rsidRPr="00932F8A">
              <w:rPr>
                <w:rFonts w:ascii="Arial" w:hAnsi="Arial" w:cs="Arial"/>
                <w:b/>
                <w:bCs/>
                <w:sz w:val="18"/>
                <w:szCs w:val="18"/>
              </w:rPr>
              <w:t>leden 2012</w:t>
            </w:r>
          </w:p>
        </w:tc>
        <w:tc>
          <w:tcPr>
            <w:tcW w:w="1230" w:type="dxa"/>
            <w:tcBorders>
              <w:top w:val="single" w:sz="4" w:space="0" w:color="auto"/>
              <w:left w:val="nil"/>
              <w:bottom w:val="single" w:sz="4" w:space="0" w:color="auto"/>
              <w:right w:val="single" w:sz="4" w:space="0" w:color="auto"/>
            </w:tcBorders>
            <w:vAlign w:val="center"/>
          </w:tcPr>
          <w:p w:rsidR="00316524" w:rsidRPr="00827DE4" w:rsidRDefault="00316524" w:rsidP="00316524">
            <w:pPr>
              <w:jc w:val="center"/>
              <w:rPr>
                <w:rFonts w:ascii="Arial" w:hAnsi="Arial" w:cs="Arial"/>
                <w:b/>
                <w:bCs/>
                <w:sz w:val="18"/>
                <w:szCs w:val="18"/>
              </w:rPr>
            </w:pPr>
            <w:r w:rsidRPr="00827DE4">
              <w:rPr>
                <w:rFonts w:ascii="Arial" w:hAnsi="Arial" w:cs="Arial"/>
                <w:b/>
                <w:bCs/>
                <w:sz w:val="18"/>
                <w:szCs w:val="18"/>
              </w:rPr>
              <w:t>leden 2014</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Potraviny a nealkoholické nápoje</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164</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161</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lang w:val="de-DE"/>
              </w:rPr>
            </w:pPr>
            <w:r w:rsidRPr="00827DE4">
              <w:rPr>
                <w:rFonts w:ascii="Arial" w:hAnsi="Arial" w:cs="Arial"/>
                <w:sz w:val="18"/>
                <w:szCs w:val="18"/>
                <w:lang w:val="de-DE"/>
              </w:rPr>
              <w:t>161</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pStyle w:val="Zpat"/>
              <w:tabs>
                <w:tab w:val="clear" w:pos="4536"/>
                <w:tab w:val="clear" w:pos="9072"/>
              </w:tabs>
              <w:jc w:val="center"/>
              <w:rPr>
                <w:rFonts w:ascii="Arial" w:hAnsi="Arial" w:cs="Arial"/>
                <w:sz w:val="18"/>
                <w:szCs w:val="18"/>
                <w:lang w:val="de-DE"/>
              </w:rPr>
            </w:pPr>
            <w:r w:rsidRPr="00932F8A">
              <w:rPr>
                <w:rFonts w:ascii="Arial" w:hAnsi="Arial" w:cs="Arial"/>
                <w:sz w:val="18"/>
                <w:szCs w:val="18"/>
              </w:rPr>
              <w:t>Alkoholické nápoje</w:t>
            </w:r>
            <w:r w:rsidRPr="00932F8A">
              <w:rPr>
                <w:rFonts w:ascii="Arial" w:hAnsi="Arial" w:cs="Arial"/>
                <w:sz w:val="18"/>
                <w:szCs w:val="18"/>
                <w:lang w:val="de-DE"/>
              </w:rPr>
              <w:t>,</w:t>
            </w:r>
            <w:r w:rsidRPr="00932F8A">
              <w:rPr>
                <w:rFonts w:ascii="Arial" w:hAnsi="Arial" w:cs="Arial"/>
                <w:sz w:val="18"/>
                <w:szCs w:val="18"/>
              </w:rPr>
              <w:t xml:space="preserve"> tabák</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20</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21</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23</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Odívání a obuv</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71</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65</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lang w:val="de-DE"/>
              </w:rPr>
            </w:pPr>
            <w:r w:rsidRPr="00827DE4">
              <w:rPr>
                <w:rFonts w:ascii="Arial" w:hAnsi="Arial" w:cs="Arial"/>
                <w:sz w:val="18"/>
                <w:szCs w:val="18"/>
                <w:lang w:val="de-DE"/>
              </w:rPr>
              <w:t>65</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rPr>
              <w:t>Bydlení</w:t>
            </w:r>
            <w:r w:rsidRPr="00932F8A">
              <w:rPr>
                <w:rFonts w:ascii="Arial" w:hAnsi="Arial" w:cs="Arial"/>
                <w:sz w:val="18"/>
                <w:szCs w:val="18"/>
                <w:lang w:val="de-DE"/>
              </w:rPr>
              <w:t>,</w:t>
            </w:r>
            <w:r w:rsidRPr="00932F8A">
              <w:rPr>
                <w:rFonts w:ascii="Arial" w:hAnsi="Arial" w:cs="Arial"/>
                <w:sz w:val="18"/>
                <w:szCs w:val="18"/>
              </w:rPr>
              <w:t xml:space="preserve"> voda</w:t>
            </w:r>
            <w:r w:rsidRPr="00932F8A">
              <w:rPr>
                <w:rFonts w:ascii="Arial" w:hAnsi="Arial" w:cs="Arial"/>
                <w:sz w:val="18"/>
                <w:szCs w:val="18"/>
                <w:lang w:val="de-DE"/>
              </w:rPr>
              <w:t>,</w:t>
            </w:r>
            <w:r w:rsidRPr="00932F8A">
              <w:rPr>
                <w:rFonts w:ascii="Arial" w:hAnsi="Arial" w:cs="Arial"/>
                <w:sz w:val="18"/>
                <w:szCs w:val="18"/>
              </w:rPr>
              <w:t xml:space="preserve"> energie</w:t>
            </w:r>
            <w:r w:rsidRPr="00932F8A">
              <w:rPr>
                <w:rFonts w:ascii="Arial" w:hAnsi="Arial" w:cs="Arial"/>
                <w:sz w:val="18"/>
                <w:szCs w:val="18"/>
                <w:lang w:val="de-DE"/>
              </w:rPr>
              <w:t>,</w:t>
            </w:r>
            <w:r w:rsidRPr="00932F8A">
              <w:rPr>
                <w:rFonts w:ascii="Arial" w:hAnsi="Arial" w:cs="Arial"/>
                <w:sz w:val="18"/>
                <w:szCs w:val="18"/>
              </w:rPr>
              <w:t xml:space="preserve"> paliva</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41</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lang w:val="de-DE"/>
              </w:rPr>
              <w:t>45</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lang w:val="de-DE"/>
              </w:rPr>
            </w:pPr>
            <w:r w:rsidRPr="00827DE4">
              <w:rPr>
                <w:rFonts w:ascii="Arial" w:hAnsi="Arial" w:cs="Arial"/>
                <w:sz w:val="18"/>
                <w:szCs w:val="18"/>
                <w:lang w:val="de-DE"/>
              </w:rPr>
              <w:t>45</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lang w:val="de-DE"/>
              </w:rPr>
            </w:pPr>
            <w:r w:rsidRPr="00932F8A">
              <w:rPr>
                <w:rFonts w:ascii="Arial" w:hAnsi="Arial" w:cs="Arial"/>
                <w:sz w:val="18"/>
                <w:szCs w:val="18"/>
              </w:rPr>
              <w:t>Bytové vybavení</w:t>
            </w:r>
            <w:r w:rsidRPr="00932F8A">
              <w:rPr>
                <w:rFonts w:ascii="Arial" w:hAnsi="Arial" w:cs="Arial"/>
                <w:sz w:val="18"/>
                <w:szCs w:val="18"/>
                <w:lang w:val="de-DE"/>
              </w:rPr>
              <w:t>,</w:t>
            </w:r>
            <w:r w:rsidRPr="00932F8A">
              <w:rPr>
                <w:rFonts w:ascii="Arial" w:hAnsi="Arial" w:cs="Arial"/>
                <w:sz w:val="18"/>
                <w:szCs w:val="18"/>
              </w:rPr>
              <w:t xml:space="preserve"> zařízení domácnosti</w:t>
            </w:r>
            <w:r w:rsidRPr="00932F8A">
              <w:rPr>
                <w:rFonts w:ascii="Arial" w:hAnsi="Arial" w:cs="Arial"/>
                <w:sz w:val="18"/>
                <w:szCs w:val="18"/>
                <w:lang w:val="de-DE"/>
              </w:rPr>
              <w:t>;</w:t>
            </w:r>
            <w:r w:rsidRPr="00932F8A">
              <w:rPr>
                <w:rFonts w:ascii="Arial" w:hAnsi="Arial" w:cs="Arial"/>
                <w:sz w:val="18"/>
                <w:szCs w:val="18"/>
              </w:rPr>
              <w:t xml:space="preserve"> opravy</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82</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79</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80</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Zdraví</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47</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18</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21</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Doprava</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83</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80</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82</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Pošty a telekomunikace</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3</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4</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4</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Rekreace a kultura</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113</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110</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108</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Vzdělávání</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12</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12</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12</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Stravování a ubytování</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43</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42</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43</w:t>
            </w:r>
          </w:p>
        </w:tc>
      </w:tr>
      <w:tr w:rsidR="00316524" w:rsidRPr="00781658"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Ostatní zboží a služby</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50</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sz w:val="18"/>
                <w:szCs w:val="18"/>
              </w:rPr>
            </w:pPr>
            <w:r w:rsidRPr="00932F8A">
              <w:rPr>
                <w:rFonts w:ascii="Arial" w:hAnsi="Arial" w:cs="Arial"/>
                <w:sz w:val="18"/>
                <w:szCs w:val="18"/>
              </w:rPr>
              <w:t>55</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sz w:val="18"/>
                <w:szCs w:val="18"/>
              </w:rPr>
            </w:pPr>
            <w:r w:rsidRPr="00827DE4">
              <w:rPr>
                <w:rFonts w:ascii="Arial" w:hAnsi="Arial" w:cs="Arial"/>
                <w:sz w:val="18"/>
                <w:szCs w:val="18"/>
              </w:rPr>
              <w:t>56</w:t>
            </w:r>
          </w:p>
        </w:tc>
      </w:tr>
      <w:tr w:rsidR="00316524" w:rsidRPr="00B12AEE" w:rsidTr="00A15279">
        <w:trPr>
          <w:gridAfter w:val="2"/>
          <w:wAfter w:w="189" w:type="dxa"/>
          <w:trHeight w:val="270"/>
        </w:trPr>
        <w:tc>
          <w:tcPr>
            <w:tcW w:w="450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b/>
                <w:bCs/>
                <w:sz w:val="18"/>
                <w:szCs w:val="18"/>
              </w:rPr>
            </w:pPr>
            <w:r w:rsidRPr="00932F8A">
              <w:rPr>
                <w:rFonts w:ascii="Arial" w:hAnsi="Arial" w:cs="Arial"/>
                <w:b/>
                <w:bCs/>
                <w:sz w:val="18"/>
                <w:szCs w:val="18"/>
              </w:rPr>
              <w:t>Úhrn</w:t>
            </w:r>
          </w:p>
        </w:tc>
        <w:tc>
          <w:tcPr>
            <w:tcW w:w="109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b/>
                <w:bCs/>
                <w:sz w:val="18"/>
                <w:szCs w:val="18"/>
              </w:rPr>
            </w:pPr>
            <w:r w:rsidRPr="00932F8A">
              <w:rPr>
                <w:rFonts w:ascii="Arial" w:hAnsi="Arial" w:cs="Arial"/>
                <w:b/>
                <w:bCs/>
                <w:sz w:val="18"/>
                <w:szCs w:val="18"/>
              </w:rPr>
              <w:t>729</w:t>
            </w:r>
          </w:p>
        </w:tc>
        <w:tc>
          <w:tcPr>
            <w:tcW w:w="1502" w:type="dxa"/>
            <w:gridSpan w:val="2"/>
            <w:tcBorders>
              <w:top w:val="nil"/>
              <w:left w:val="nil"/>
              <w:bottom w:val="single" w:sz="4" w:space="0" w:color="auto"/>
              <w:right w:val="single" w:sz="4" w:space="0" w:color="auto"/>
            </w:tcBorders>
            <w:noWrap/>
            <w:tcMar>
              <w:top w:w="17" w:type="dxa"/>
              <w:left w:w="17" w:type="dxa"/>
              <w:bottom w:w="0" w:type="dxa"/>
              <w:right w:w="17" w:type="dxa"/>
            </w:tcMar>
            <w:vAlign w:val="bottom"/>
          </w:tcPr>
          <w:p w:rsidR="00316524" w:rsidRPr="00932F8A" w:rsidRDefault="00316524" w:rsidP="00316524">
            <w:pPr>
              <w:jc w:val="center"/>
              <w:rPr>
                <w:rFonts w:ascii="Arial" w:hAnsi="Arial" w:cs="Arial"/>
                <w:b/>
                <w:bCs/>
                <w:sz w:val="18"/>
                <w:szCs w:val="18"/>
              </w:rPr>
            </w:pPr>
            <w:r w:rsidRPr="00932F8A">
              <w:rPr>
                <w:rFonts w:ascii="Arial" w:hAnsi="Arial" w:cs="Arial"/>
                <w:b/>
                <w:bCs/>
                <w:sz w:val="18"/>
                <w:szCs w:val="18"/>
              </w:rPr>
              <w:t>692</w:t>
            </w:r>
          </w:p>
        </w:tc>
        <w:tc>
          <w:tcPr>
            <w:tcW w:w="1230" w:type="dxa"/>
            <w:tcBorders>
              <w:top w:val="nil"/>
              <w:left w:val="nil"/>
              <w:bottom w:val="single" w:sz="4" w:space="0" w:color="auto"/>
              <w:right w:val="single" w:sz="4" w:space="0" w:color="auto"/>
            </w:tcBorders>
            <w:vAlign w:val="bottom"/>
          </w:tcPr>
          <w:p w:rsidR="00316524" w:rsidRPr="00827DE4" w:rsidRDefault="00316524" w:rsidP="00A15279">
            <w:pPr>
              <w:jc w:val="center"/>
              <w:rPr>
                <w:rFonts w:ascii="Arial" w:hAnsi="Arial" w:cs="Arial"/>
                <w:b/>
                <w:bCs/>
                <w:sz w:val="18"/>
                <w:szCs w:val="18"/>
              </w:rPr>
            </w:pPr>
            <w:r w:rsidRPr="00827DE4">
              <w:rPr>
                <w:rFonts w:ascii="Arial" w:hAnsi="Arial" w:cs="Arial"/>
                <w:b/>
                <w:bCs/>
                <w:sz w:val="18"/>
                <w:szCs w:val="18"/>
              </w:rPr>
              <w:t>700</w:t>
            </w:r>
          </w:p>
        </w:tc>
      </w:tr>
    </w:tbl>
    <w:p w:rsidR="001E0F5B" w:rsidRPr="00781658" w:rsidRDefault="001E0F5B" w:rsidP="001E0F5B">
      <w:pPr>
        <w:pStyle w:val="Zkladntextodsazen3"/>
        <w:rPr>
          <w:rFonts w:ascii="Arial" w:hAnsi="Arial" w:cs="Arial"/>
          <w:sz w:val="22"/>
          <w:szCs w:val="22"/>
        </w:rPr>
      </w:pPr>
    </w:p>
    <w:p w:rsidR="008F39C8" w:rsidRDefault="008F39C8" w:rsidP="005E365F">
      <w:pPr>
        <w:pStyle w:val="Nadpis2"/>
        <w:rPr>
          <w:rFonts w:ascii="Arial" w:hAnsi="Arial" w:cs="Arial"/>
          <w:sz w:val="22"/>
          <w:szCs w:val="22"/>
        </w:rPr>
      </w:pPr>
      <w:bookmarkStart w:id="18" w:name="_Toc340758488"/>
      <w:bookmarkStart w:id="19" w:name="_Toc340758894"/>
      <w:bookmarkStart w:id="20" w:name="_Toc340824106"/>
      <w:bookmarkStart w:id="21" w:name="_Toc340824160"/>
      <w:bookmarkStart w:id="22" w:name="_Toc340827464"/>
      <w:bookmarkStart w:id="23" w:name="_Toc340838537"/>
    </w:p>
    <w:p w:rsidR="008F39C8" w:rsidRDefault="008F39C8" w:rsidP="005E365F">
      <w:pPr>
        <w:pStyle w:val="Nadpis2"/>
        <w:rPr>
          <w:rFonts w:ascii="Arial" w:hAnsi="Arial" w:cs="Arial"/>
          <w:sz w:val="22"/>
          <w:szCs w:val="22"/>
        </w:rPr>
      </w:pPr>
    </w:p>
    <w:p w:rsidR="001674EF" w:rsidRPr="00AC275E" w:rsidRDefault="001674EF" w:rsidP="005E365F">
      <w:pPr>
        <w:pStyle w:val="Nadpis2"/>
        <w:rPr>
          <w:rFonts w:ascii="Arial" w:hAnsi="Arial" w:cs="Arial"/>
          <w:sz w:val="22"/>
          <w:szCs w:val="22"/>
        </w:rPr>
      </w:pPr>
      <w:r w:rsidRPr="00AC275E">
        <w:rPr>
          <w:rFonts w:ascii="Arial" w:hAnsi="Arial" w:cs="Arial"/>
          <w:sz w:val="22"/>
          <w:szCs w:val="22"/>
        </w:rPr>
        <w:t>B) Váhový systém</w:t>
      </w:r>
      <w:bookmarkEnd w:id="18"/>
      <w:bookmarkEnd w:id="19"/>
      <w:bookmarkEnd w:id="20"/>
      <w:bookmarkEnd w:id="21"/>
      <w:bookmarkEnd w:id="22"/>
      <w:bookmarkEnd w:id="23"/>
    </w:p>
    <w:p w:rsidR="00A47540" w:rsidRDefault="00A47540" w:rsidP="00A47540"/>
    <w:p w:rsidR="00A47540" w:rsidRPr="000852D9" w:rsidRDefault="00A47540" w:rsidP="00A47540">
      <w:pPr>
        <w:ind w:firstLine="709"/>
        <w:jc w:val="both"/>
        <w:rPr>
          <w:rFonts w:ascii="Arial" w:hAnsi="Arial" w:cs="Arial"/>
          <w:sz w:val="22"/>
          <w:szCs w:val="22"/>
        </w:rPr>
      </w:pPr>
      <w:r w:rsidRPr="000852D9">
        <w:rPr>
          <w:rFonts w:ascii="Arial" w:hAnsi="Arial" w:cs="Arial"/>
          <w:sz w:val="22"/>
          <w:szCs w:val="22"/>
        </w:rPr>
        <w:t xml:space="preserve">Od ledna 2014 jsou indexy spotřebitelských cen počítány na aktualizovaných vahách, které vycházejí z národního konceptu konečné peněžní spotřeby domácností, tj. zejména zde není zahrnuta spotřeba v zahraničí a naturální spotřeba. Nejsou pokryty drogy, prostituce, hazardní hry, životní pojištění a FISIM. Koncept imputovaného nájemného je odlišný od národních účtů. Zdrojem vah jsou údaje národních účtů, referenční rok 2012, předběžné, někde již </w:t>
      </w:r>
      <w:proofErr w:type="spellStart"/>
      <w:r w:rsidRPr="000852D9">
        <w:rPr>
          <w:rFonts w:ascii="Arial" w:hAnsi="Arial" w:cs="Arial"/>
          <w:sz w:val="22"/>
          <w:szCs w:val="22"/>
        </w:rPr>
        <w:t>semi</w:t>
      </w:r>
      <w:proofErr w:type="spellEnd"/>
      <w:r w:rsidRPr="000852D9">
        <w:rPr>
          <w:rFonts w:ascii="Arial" w:hAnsi="Arial" w:cs="Arial"/>
          <w:sz w:val="22"/>
          <w:szCs w:val="22"/>
        </w:rPr>
        <w:t>-definitivní údaje od agregací COICOP4.</w:t>
      </w:r>
      <w:r w:rsidR="000852D9">
        <w:rPr>
          <w:rFonts w:ascii="Arial" w:hAnsi="Arial" w:cs="Arial"/>
          <w:sz w:val="22"/>
          <w:szCs w:val="22"/>
        </w:rPr>
        <w:t xml:space="preserve"> </w:t>
      </w:r>
      <w:r w:rsidRPr="000852D9">
        <w:rPr>
          <w:rFonts w:ascii="Arial" w:hAnsi="Arial" w:cs="Arial"/>
          <w:sz w:val="22"/>
          <w:szCs w:val="22"/>
        </w:rPr>
        <w:t xml:space="preserve">Detailní struktura vah jednotlivých cenových reprezentantů nadále vychází z mimořádného podrobného šetření vydání a spotřeby domácností statistiky rodinných účtů, které proběhlo v roce 2010. </w:t>
      </w:r>
    </w:p>
    <w:p w:rsidR="00F55A6A" w:rsidRDefault="000852D9" w:rsidP="00F55A6A">
      <w:r w:rsidRPr="00B12AEE">
        <w:rPr>
          <w:rFonts w:ascii="Arial" w:hAnsi="Arial" w:cs="Arial"/>
          <w:noProof/>
          <w:sz w:val="22"/>
          <w:szCs w:val="22"/>
        </w:rPr>
        <w:t>Pro sestavení váhových schémat se používají</w:t>
      </w:r>
      <w:r>
        <w:rPr>
          <w:rFonts w:ascii="Arial" w:hAnsi="Arial" w:cs="Arial"/>
          <w:noProof/>
          <w:sz w:val="22"/>
          <w:szCs w:val="22"/>
        </w:rPr>
        <w:t xml:space="preserve"> i dodatečné informace např. od </w:t>
      </w:r>
      <w:r w:rsidRPr="00B12AEE">
        <w:rPr>
          <w:rFonts w:ascii="Arial" w:hAnsi="Arial" w:cs="Arial"/>
          <w:noProof/>
          <w:sz w:val="22"/>
          <w:szCs w:val="22"/>
        </w:rPr>
        <w:t>poskytovatelů služeb s tarifními cenami (služby telekomunikační, finanční,…).</w:t>
      </w:r>
    </w:p>
    <w:p w:rsidR="00504E3A" w:rsidRDefault="00F55A6A" w:rsidP="000852D9">
      <w:pPr>
        <w:jc w:val="both"/>
        <w:rPr>
          <w:rFonts w:ascii="Arial" w:hAnsi="Arial" w:cs="Arial"/>
          <w:szCs w:val="20"/>
        </w:rPr>
      </w:pPr>
      <w:r w:rsidRPr="00536810">
        <w:rPr>
          <w:rFonts w:ascii="Arial" w:hAnsi="Arial" w:cs="Arial"/>
          <w:szCs w:val="20"/>
        </w:rPr>
        <w:t xml:space="preserve"> </w:t>
      </w:r>
    </w:p>
    <w:p w:rsidR="000852D9" w:rsidRDefault="000852D9"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185FB9" w:rsidRPr="00B12AEE" w:rsidRDefault="00C0713F"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r w:rsidRPr="00B12AEE">
        <w:rPr>
          <w:rFonts w:ascii="Arial" w:hAnsi="Arial" w:cs="Arial"/>
          <w:b/>
          <w:bCs/>
          <w:sz w:val="22"/>
          <w:szCs w:val="22"/>
        </w:rPr>
        <w:lastRenderedPageBreak/>
        <w:t xml:space="preserve">       Váhy jednotlivých oddílů spotřebního koše v roce </w:t>
      </w:r>
      <w:r w:rsidR="00AF1489">
        <w:rPr>
          <w:rFonts w:ascii="Arial" w:hAnsi="Arial" w:cs="Arial"/>
          <w:b/>
          <w:bCs/>
          <w:sz w:val="22"/>
          <w:szCs w:val="22"/>
        </w:rPr>
        <w:t>2005, 2008</w:t>
      </w:r>
      <w:r w:rsidR="000852D9">
        <w:rPr>
          <w:rFonts w:ascii="Arial" w:hAnsi="Arial" w:cs="Arial"/>
          <w:b/>
          <w:bCs/>
          <w:sz w:val="22"/>
          <w:szCs w:val="22"/>
        </w:rPr>
        <w:t>,</w:t>
      </w:r>
      <w:r w:rsidRPr="00B12AEE">
        <w:rPr>
          <w:rFonts w:ascii="Arial" w:hAnsi="Arial" w:cs="Arial"/>
          <w:b/>
          <w:bCs/>
          <w:sz w:val="22"/>
          <w:szCs w:val="22"/>
        </w:rPr>
        <w:t xml:space="preserve"> 2010</w:t>
      </w:r>
      <w:r w:rsidR="000852D9">
        <w:rPr>
          <w:rFonts w:ascii="Arial" w:hAnsi="Arial" w:cs="Arial"/>
          <w:b/>
          <w:bCs/>
          <w:sz w:val="22"/>
          <w:szCs w:val="22"/>
        </w:rPr>
        <w:t xml:space="preserve"> a 2012</w:t>
      </w:r>
    </w:p>
    <w:p w:rsidR="001674EF" w:rsidRPr="00781658"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bl>
      <w:tblPr>
        <w:tblW w:w="9781" w:type="dxa"/>
        <w:tblInd w:w="17" w:type="dxa"/>
        <w:tblLayout w:type="fixed"/>
        <w:tblCellMar>
          <w:left w:w="0" w:type="dxa"/>
          <w:right w:w="0" w:type="dxa"/>
        </w:tblCellMar>
        <w:tblLook w:val="0100"/>
      </w:tblPr>
      <w:tblGrid>
        <w:gridCol w:w="3686"/>
        <w:gridCol w:w="1559"/>
        <w:gridCol w:w="1418"/>
        <w:gridCol w:w="1701"/>
        <w:gridCol w:w="1417"/>
      </w:tblGrid>
      <w:tr w:rsidR="000852D9" w:rsidRPr="00B12AEE" w:rsidTr="000852D9">
        <w:trPr>
          <w:trHeight w:val="482"/>
        </w:trPr>
        <w:tc>
          <w:tcPr>
            <w:tcW w:w="368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852D9" w:rsidRPr="000852D9" w:rsidRDefault="000852D9">
            <w:pPr>
              <w:rPr>
                <w:rFonts w:ascii="Arial" w:hAnsi="Arial" w:cs="Arial"/>
                <w:b/>
                <w:bCs/>
                <w:szCs w:val="20"/>
              </w:rPr>
            </w:pPr>
            <w:r w:rsidRPr="000852D9">
              <w:rPr>
                <w:rFonts w:ascii="Arial" w:hAnsi="Arial" w:cs="Arial"/>
                <w:b/>
                <w:bCs/>
                <w:szCs w:val="20"/>
              </w:rPr>
              <w:t>Oddíly COICOP</w:t>
            </w: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852D9" w:rsidRPr="000852D9" w:rsidRDefault="000852D9" w:rsidP="00185FB9">
            <w:pPr>
              <w:jc w:val="center"/>
              <w:rPr>
                <w:rFonts w:ascii="Arial" w:hAnsi="Arial" w:cs="Arial"/>
                <w:b/>
                <w:bCs/>
                <w:szCs w:val="20"/>
              </w:rPr>
            </w:pPr>
            <w:r>
              <w:rPr>
                <w:rFonts w:ascii="Arial" w:hAnsi="Arial" w:cs="Arial"/>
                <w:b/>
                <w:bCs/>
                <w:szCs w:val="20"/>
              </w:rPr>
              <w:t>r</w:t>
            </w:r>
            <w:r w:rsidRPr="000852D9">
              <w:rPr>
                <w:rFonts w:ascii="Arial" w:hAnsi="Arial" w:cs="Arial"/>
                <w:b/>
                <w:bCs/>
                <w:szCs w:val="20"/>
              </w:rPr>
              <w:t>ok 2005</w:t>
            </w:r>
          </w:p>
        </w:tc>
        <w:tc>
          <w:tcPr>
            <w:tcW w:w="141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852D9" w:rsidRPr="000852D9" w:rsidRDefault="000852D9">
            <w:pPr>
              <w:jc w:val="center"/>
              <w:rPr>
                <w:rFonts w:ascii="Arial" w:hAnsi="Arial" w:cs="Arial"/>
                <w:b/>
                <w:bCs/>
                <w:szCs w:val="20"/>
              </w:rPr>
            </w:pPr>
            <w:r>
              <w:rPr>
                <w:rFonts w:ascii="Arial" w:hAnsi="Arial" w:cs="Arial"/>
                <w:b/>
                <w:bCs/>
                <w:szCs w:val="20"/>
              </w:rPr>
              <w:t>r</w:t>
            </w:r>
            <w:r w:rsidRPr="000852D9">
              <w:rPr>
                <w:rFonts w:ascii="Arial" w:hAnsi="Arial" w:cs="Arial"/>
                <w:b/>
                <w:bCs/>
                <w:szCs w:val="20"/>
              </w:rPr>
              <w:t>ok 2008</w:t>
            </w:r>
          </w:p>
        </w:tc>
        <w:tc>
          <w:tcPr>
            <w:tcW w:w="1701" w:type="dxa"/>
            <w:tcBorders>
              <w:top w:val="single" w:sz="4" w:space="0" w:color="auto"/>
              <w:left w:val="nil"/>
              <w:bottom w:val="single" w:sz="4" w:space="0" w:color="auto"/>
              <w:right w:val="single" w:sz="4" w:space="0" w:color="auto"/>
            </w:tcBorders>
            <w:vAlign w:val="center"/>
          </w:tcPr>
          <w:p w:rsidR="000852D9" w:rsidRPr="000852D9" w:rsidRDefault="000852D9" w:rsidP="006A7217">
            <w:pPr>
              <w:jc w:val="center"/>
              <w:rPr>
                <w:rFonts w:ascii="Arial" w:hAnsi="Arial" w:cs="Arial"/>
                <w:b/>
                <w:bCs/>
                <w:szCs w:val="20"/>
              </w:rPr>
            </w:pPr>
            <w:r>
              <w:rPr>
                <w:rFonts w:ascii="Arial" w:hAnsi="Arial" w:cs="Arial"/>
                <w:b/>
                <w:bCs/>
                <w:szCs w:val="20"/>
              </w:rPr>
              <w:t>r</w:t>
            </w:r>
            <w:r w:rsidRPr="000852D9">
              <w:rPr>
                <w:rFonts w:ascii="Arial" w:hAnsi="Arial" w:cs="Arial"/>
                <w:b/>
                <w:bCs/>
                <w:szCs w:val="20"/>
              </w:rPr>
              <w:t>ok 2010</w:t>
            </w:r>
          </w:p>
        </w:tc>
        <w:tc>
          <w:tcPr>
            <w:tcW w:w="1417" w:type="dxa"/>
            <w:tcBorders>
              <w:top w:val="single" w:sz="4" w:space="0" w:color="auto"/>
              <w:left w:val="nil"/>
              <w:bottom w:val="single" w:sz="4" w:space="0" w:color="auto"/>
              <w:right w:val="single" w:sz="4" w:space="0" w:color="auto"/>
            </w:tcBorders>
            <w:vAlign w:val="center"/>
          </w:tcPr>
          <w:p w:rsidR="000852D9" w:rsidRPr="000852D9" w:rsidRDefault="000852D9" w:rsidP="000852D9">
            <w:pPr>
              <w:jc w:val="center"/>
              <w:rPr>
                <w:rFonts w:ascii="Arial" w:hAnsi="Arial" w:cs="Arial"/>
                <w:b/>
                <w:bCs/>
                <w:szCs w:val="20"/>
              </w:rPr>
            </w:pPr>
            <w:r>
              <w:rPr>
                <w:rFonts w:ascii="Arial" w:hAnsi="Arial" w:cs="Arial"/>
                <w:b/>
                <w:bCs/>
                <w:szCs w:val="20"/>
              </w:rPr>
              <w:t>rok 2012</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1. Potraviny a nealkoholické nápoje</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162,6</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170,3</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149,8</w:t>
            </w:r>
          </w:p>
        </w:tc>
        <w:tc>
          <w:tcPr>
            <w:tcW w:w="1417" w:type="dxa"/>
            <w:tcBorders>
              <w:top w:val="nil"/>
              <w:left w:val="nil"/>
              <w:bottom w:val="single" w:sz="4" w:space="0" w:color="auto"/>
              <w:right w:val="single" w:sz="4" w:space="0" w:color="auto"/>
            </w:tcBorders>
            <w:vAlign w:val="center"/>
          </w:tcPr>
          <w:p w:rsidR="00AC275E" w:rsidRPr="000852D9" w:rsidRDefault="00AC275E" w:rsidP="00AC275E">
            <w:pPr>
              <w:jc w:val="center"/>
              <w:rPr>
                <w:rFonts w:ascii="Arial" w:hAnsi="Arial" w:cs="Arial"/>
                <w:szCs w:val="20"/>
                <w:lang w:val="de-DE"/>
              </w:rPr>
            </w:pPr>
            <w:r>
              <w:rPr>
                <w:rFonts w:ascii="Arial" w:hAnsi="Arial" w:cs="Arial"/>
                <w:szCs w:val="20"/>
                <w:lang w:val="de-DE"/>
              </w:rPr>
              <w:t>170</w:t>
            </w:r>
            <w:r w:rsidRPr="000852D9">
              <w:rPr>
                <w:rFonts w:ascii="Arial" w:hAnsi="Arial" w:cs="Arial"/>
                <w:szCs w:val="20"/>
                <w:lang w:val="de-DE"/>
              </w:rPr>
              <w:t>,8</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lang w:val="de-DE"/>
              </w:rPr>
            </w:pPr>
            <w:r w:rsidRPr="000852D9">
              <w:rPr>
                <w:rFonts w:ascii="Arial" w:hAnsi="Arial" w:cs="Arial"/>
                <w:szCs w:val="20"/>
                <w:lang w:val="de-DE"/>
              </w:rPr>
              <w:t>2.</w:t>
            </w:r>
            <w:r w:rsidRPr="000852D9">
              <w:rPr>
                <w:rFonts w:ascii="Arial" w:hAnsi="Arial" w:cs="Arial"/>
                <w:szCs w:val="20"/>
              </w:rPr>
              <w:t xml:space="preserve"> Alkoholické nápoje</w:t>
            </w:r>
            <w:r w:rsidRPr="000852D9">
              <w:rPr>
                <w:rFonts w:ascii="Arial" w:hAnsi="Arial" w:cs="Arial"/>
                <w:szCs w:val="20"/>
                <w:lang w:val="de-DE"/>
              </w:rPr>
              <w:t>,</w:t>
            </w:r>
            <w:r w:rsidRPr="000852D9">
              <w:rPr>
                <w:rFonts w:ascii="Arial" w:hAnsi="Arial" w:cs="Arial"/>
                <w:szCs w:val="20"/>
              </w:rPr>
              <w:t xml:space="preserve"> tabák</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81,7</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86,0</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96,0</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rPr>
            </w:pPr>
            <w:r>
              <w:rPr>
                <w:rFonts w:ascii="Arial" w:hAnsi="Arial" w:cs="Arial"/>
                <w:szCs w:val="20"/>
              </w:rPr>
              <w:t>95</w:t>
            </w:r>
            <w:r w:rsidRPr="000852D9">
              <w:rPr>
                <w:rFonts w:ascii="Arial" w:hAnsi="Arial" w:cs="Arial"/>
                <w:szCs w:val="20"/>
              </w:rPr>
              <w:t>,0</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3. Odívání a obuv</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52,4</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47,2</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35,9</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lang w:val="de-DE"/>
              </w:rPr>
            </w:pPr>
            <w:r>
              <w:rPr>
                <w:rFonts w:ascii="Arial" w:hAnsi="Arial" w:cs="Arial"/>
                <w:szCs w:val="20"/>
                <w:lang w:val="de-DE"/>
              </w:rPr>
              <w:t>32</w:t>
            </w:r>
            <w:r w:rsidRPr="000852D9">
              <w:rPr>
                <w:rFonts w:ascii="Arial" w:hAnsi="Arial" w:cs="Arial"/>
                <w:szCs w:val="20"/>
                <w:lang w:val="de-DE"/>
              </w:rPr>
              <w:t>,9</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lang w:val="de-DE"/>
              </w:rPr>
            </w:pPr>
            <w:r w:rsidRPr="000852D9">
              <w:rPr>
                <w:rFonts w:ascii="Arial" w:hAnsi="Arial" w:cs="Arial"/>
                <w:szCs w:val="20"/>
                <w:lang w:val="de-DE"/>
              </w:rPr>
              <w:t>4.</w:t>
            </w:r>
            <w:r w:rsidRPr="000852D9">
              <w:rPr>
                <w:rFonts w:ascii="Arial" w:hAnsi="Arial" w:cs="Arial"/>
                <w:szCs w:val="20"/>
              </w:rPr>
              <w:t xml:space="preserve"> Bydlení</w:t>
            </w:r>
            <w:r w:rsidRPr="000852D9">
              <w:rPr>
                <w:rFonts w:ascii="Arial" w:hAnsi="Arial" w:cs="Arial"/>
                <w:szCs w:val="20"/>
                <w:lang w:val="de-DE"/>
              </w:rPr>
              <w:t>,</w:t>
            </w:r>
            <w:r w:rsidRPr="000852D9">
              <w:rPr>
                <w:rFonts w:ascii="Arial" w:hAnsi="Arial" w:cs="Arial"/>
                <w:szCs w:val="20"/>
              </w:rPr>
              <w:t xml:space="preserve"> voda</w:t>
            </w:r>
            <w:r w:rsidRPr="000852D9">
              <w:rPr>
                <w:rFonts w:ascii="Arial" w:hAnsi="Arial" w:cs="Arial"/>
                <w:szCs w:val="20"/>
                <w:lang w:val="de-DE"/>
              </w:rPr>
              <w:t>,</w:t>
            </w:r>
            <w:r w:rsidRPr="000852D9">
              <w:rPr>
                <w:rFonts w:ascii="Arial" w:hAnsi="Arial" w:cs="Arial"/>
                <w:szCs w:val="20"/>
              </w:rPr>
              <w:t xml:space="preserve"> energie</w:t>
            </w:r>
            <w:r w:rsidRPr="000852D9">
              <w:rPr>
                <w:rFonts w:ascii="Arial" w:hAnsi="Arial" w:cs="Arial"/>
                <w:szCs w:val="20"/>
                <w:lang w:val="de-DE"/>
              </w:rPr>
              <w:t>,</w:t>
            </w:r>
            <w:r w:rsidRPr="000852D9">
              <w:rPr>
                <w:rFonts w:ascii="Arial" w:hAnsi="Arial" w:cs="Arial"/>
                <w:szCs w:val="20"/>
              </w:rPr>
              <w:t xml:space="preserve"> paliva</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248,3</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253,4</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lang w:val="de-DE"/>
              </w:rPr>
            </w:pPr>
            <w:r w:rsidRPr="000852D9">
              <w:rPr>
                <w:rFonts w:ascii="Arial" w:hAnsi="Arial" w:cs="Arial"/>
                <w:szCs w:val="20"/>
                <w:lang w:val="de-DE"/>
              </w:rPr>
              <w:t>280,3</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lang w:val="de-DE"/>
              </w:rPr>
            </w:pPr>
            <w:r>
              <w:rPr>
                <w:rFonts w:ascii="Arial" w:hAnsi="Arial" w:cs="Arial"/>
                <w:szCs w:val="20"/>
                <w:lang w:val="de-DE"/>
              </w:rPr>
              <w:t>265,6</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lang w:val="de-DE"/>
              </w:rPr>
            </w:pPr>
            <w:r w:rsidRPr="000852D9">
              <w:rPr>
                <w:rFonts w:ascii="Arial" w:hAnsi="Arial" w:cs="Arial"/>
                <w:szCs w:val="20"/>
                <w:lang w:val="de-DE"/>
              </w:rPr>
              <w:t>5.</w:t>
            </w:r>
            <w:r w:rsidRPr="000852D9">
              <w:rPr>
                <w:rFonts w:ascii="Arial" w:hAnsi="Arial" w:cs="Arial"/>
                <w:szCs w:val="20"/>
              </w:rPr>
              <w:t xml:space="preserve"> Bytové vybavení</w:t>
            </w:r>
            <w:r w:rsidRPr="000852D9">
              <w:rPr>
                <w:rFonts w:ascii="Arial" w:hAnsi="Arial" w:cs="Arial"/>
                <w:szCs w:val="20"/>
                <w:lang w:val="de-DE"/>
              </w:rPr>
              <w:t>,</w:t>
            </w:r>
            <w:r w:rsidRPr="000852D9">
              <w:rPr>
                <w:rFonts w:ascii="Arial" w:hAnsi="Arial" w:cs="Arial"/>
                <w:szCs w:val="20"/>
              </w:rPr>
              <w:t xml:space="preserve"> zařízení domácnosti</w:t>
            </w:r>
            <w:r w:rsidRPr="000852D9">
              <w:rPr>
                <w:rFonts w:ascii="Arial" w:hAnsi="Arial" w:cs="Arial"/>
                <w:szCs w:val="20"/>
                <w:lang w:val="de-DE"/>
              </w:rPr>
              <w:t>;</w:t>
            </w:r>
            <w:r w:rsidRPr="000852D9">
              <w:rPr>
                <w:rFonts w:ascii="Arial" w:hAnsi="Arial" w:cs="Arial"/>
                <w:szCs w:val="20"/>
              </w:rPr>
              <w:t xml:space="preserve"> opravy</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58,1</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55,2</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58,0</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rPr>
            </w:pPr>
            <w:r>
              <w:rPr>
                <w:rFonts w:ascii="Arial" w:hAnsi="Arial" w:cs="Arial"/>
                <w:szCs w:val="20"/>
              </w:rPr>
              <w:t>61,1</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6. Zdraví</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17,9</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25,0</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23,1</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rPr>
            </w:pPr>
            <w:r>
              <w:rPr>
                <w:rFonts w:ascii="Arial" w:hAnsi="Arial" w:cs="Arial"/>
                <w:szCs w:val="20"/>
              </w:rPr>
              <w:t>23,8</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7. Doprava</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114,1</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114,9</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105,0</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rPr>
            </w:pPr>
            <w:r>
              <w:rPr>
                <w:rFonts w:ascii="Arial" w:hAnsi="Arial" w:cs="Arial"/>
                <w:szCs w:val="20"/>
              </w:rPr>
              <w:t>101,3</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8. Pošty a telekomunikace</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38,7</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39,9</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36,1</w:t>
            </w:r>
          </w:p>
        </w:tc>
        <w:tc>
          <w:tcPr>
            <w:tcW w:w="1417" w:type="dxa"/>
            <w:tcBorders>
              <w:top w:val="nil"/>
              <w:left w:val="nil"/>
              <w:bottom w:val="single" w:sz="4" w:space="0" w:color="auto"/>
              <w:right w:val="single" w:sz="4" w:space="0" w:color="auto"/>
            </w:tcBorders>
            <w:vAlign w:val="center"/>
          </w:tcPr>
          <w:p w:rsidR="00AC275E" w:rsidRPr="000852D9" w:rsidRDefault="00AC275E" w:rsidP="00D4716F">
            <w:pPr>
              <w:jc w:val="center"/>
              <w:rPr>
                <w:rFonts w:ascii="Arial" w:hAnsi="Arial" w:cs="Arial"/>
                <w:szCs w:val="20"/>
              </w:rPr>
            </w:pPr>
            <w:r>
              <w:rPr>
                <w:rFonts w:ascii="Arial" w:hAnsi="Arial" w:cs="Arial"/>
                <w:szCs w:val="20"/>
              </w:rPr>
              <w:t>30,6</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9. Rekreace a kultura</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98,6</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93,7</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90,4</w:t>
            </w:r>
          </w:p>
        </w:tc>
        <w:tc>
          <w:tcPr>
            <w:tcW w:w="1417" w:type="dxa"/>
            <w:tcBorders>
              <w:top w:val="nil"/>
              <w:left w:val="nil"/>
              <w:bottom w:val="single" w:sz="4" w:space="0" w:color="auto"/>
              <w:right w:val="single" w:sz="4" w:space="0" w:color="auto"/>
            </w:tcBorders>
            <w:vAlign w:val="center"/>
          </w:tcPr>
          <w:p w:rsidR="00AC275E" w:rsidRPr="000852D9" w:rsidRDefault="00870987" w:rsidP="00D4716F">
            <w:pPr>
              <w:jc w:val="center"/>
              <w:rPr>
                <w:rFonts w:ascii="Arial" w:hAnsi="Arial" w:cs="Arial"/>
                <w:szCs w:val="20"/>
              </w:rPr>
            </w:pPr>
            <w:r>
              <w:rPr>
                <w:rFonts w:ascii="Arial" w:hAnsi="Arial" w:cs="Arial"/>
                <w:szCs w:val="20"/>
              </w:rPr>
              <w:t>87,6</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10. Vzdělávání</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6,2</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7,8</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7,8</w:t>
            </w:r>
          </w:p>
        </w:tc>
        <w:tc>
          <w:tcPr>
            <w:tcW w:w="1417" w:type="dxa"/>
            <w:tcBorders>
              <w:top w:val="nil"/>
              <w:left w:val="nil"/>
              <w:bottom w:val="single" w:sz="4" w:space="0" w:color="auto"/>
              <w:right w:val="single" w:sz="4" w:space="0" w:color="auto"/>
            </w:tcBorders>
            <w:vAlign w:val="center"/>
          </w:tcPr>
          <w:p w:rsidR="00AC275E" w:rsidRPr="000852D9" w:rsidRDefault="00870987" w:rsidP="00D4716F">
            <w:pPr>
              <w:jc w:val="center"/>
              <w:rPr>
                <w:rFonts w:ascii="Arial" w:hAnsi="Arial" w:cs="Arial"/>
                <w:szCs w:val="20"/>
              </w:rPr>
            </w:pPr>
            <w:r>
              <w:rPr>
                <w:rFonts w:ascii="Arial" w:hAnsi="Arial" w:cs="Arial"/>
                <w:szCs w:val="20"/>
              </w:rPr>
              <w:t>7,4</w:t>
            </w:r>
          </w:p>
        </w:tc>
      </w:tr>
      <w:tr w:rsidR="00AC275E" w:rsidRPr="00B12AEE"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11. Stravování a ubytování</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58,4</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44,2</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48,6</w:t>
            </w:r>
          </w:p>
        </w:tc>
        <w:tc>
          <w:tcPr>
            <w:tcW w:w="1417" w:type="dxa"/>
            <w:tcBorders>
              <w:top w:val="nil"/>
              <w:left w:val="nil"/>
              <w:bottom w:val="single" w:sz="4" w:space="0" w:color="auto"/>
              <w:right w:val="single" w:sz="4" w:space="0" w:color="auto"/>
            </w:tcBorders>
            <w:vAlign w:val="center"/>
          </w:tcPr>
          <w:p w:rsidR="00AC275E" w:rsidRPr="000852D9" w:rsidRDefault="00870987" w:rsidP="00D4716F">
            <w:pPr>
              <w:jc w:val="center"/>
              <w:rPr>
                <w:rFonts w:ascii="Arial" w:hAnsi="Arial" w:cs="Arial"/>
                <w:szCs w:val="20"/>
              </w:rPr>
            </w:pPr>
            <w:r>
              <w:rPr>
                <w:rFonts w:ascii="Arial" w:hAnsi="Arial" w:cs="Arial"/>
                <w:szCs w:val="20"/>
              </w:rPr>
              <w:t>55</w:t>
            </w:r>
            <w:r w:rsidR="00AC275E" w:rsidRPr="000852D9">
              <w:rPr>
                <w:rFonts w:ascii="Arial" w:hAnsi="Arial" w:cs="Arial"/>
                <w:szCs w:val="20"/>
              </w:rPr>
              <w:t>,6</w:t>
            </w:r>
          </w:p>
        </w:tc>
      </w:tr>
      <w:tr w:rsidR="00AC275E" w:rsidRPr="00781658" w:rsidTr="00D4716F">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szCs w:val="20"/>
              </w:rPr>
            </w:pPr>
            <w:r w:rsidRPr="000852D9">
              <w:rPr>
                <w:rFonts w:ascii="Arial" w:hAnsi="Arial" w:cs="Arial"/>
                <w:szCs w:val="20"/>
              </w:rPr>
              <w:t xml:space="preserve">12. Ostatní zboží a služby </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63,0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szCs w:val="20"/>
              </w:rPr>
            </w:pPr>
            <w:r w:rsidRPr="000852D9">
              <w:rPr>
                <w:rFonts w:ascii="Arial" w:hAnsi="Arial" w:cs="Arial"/>
                <w:szCs w:val="20"/>
              </w:rPr>
              <w:t>62,4</w:t>
            </w:r>
          </w:p>
        </w:tc>
        <w:tc>
          <w:tcPr>
            <w:tcW w:w="1701" w:type="dxa"/>
            <w:tcBorders>
              <w:top w:val="nil"/>
              <w:left w:val="nil"/>
              <w:bottom w:val="single" w:sz="4" w:space="0" w:color="auto"/>
              <w:right w:val="single" w:sz="4" w:space="0" w:color="auto"/>
            </w:tcBorders>
            <w:vAlign w:val="center"/>
          </w:tcPr>
          <w:p w:rsidR="00AC275E" w:rsidRPr="000852D9" w:rsidRDefault="00AC275E" w:rsidP="00213E07">
            <w:pPr>
              <w:jc w:val="center"/>
              <w:rPr>
                <w:rFonts w:ascii="Arial" w:hAnsi="Arial" w:cs="Arial"/>
                <w:szCs w:val="20"/>
              </w:rPr>
            </w:pPr>
            <w:r w:rsidRPr="000852D9">
              <w:rPr>
                <w:rFonts w:ascii="Arial" w:hAnsi="Arial" w:cs="Arial"/>
                <w:szCs w:val="20"/>
              </w:rPr>
              <w:t>69,0</w:t>
            </w:r>
          </w:p>
        </w:tc>
        <w:tc>
          <w:tcPr>
            <w:tcW w:w="1417" w:type="dxa"/>
            <w:tcBorders>
              <w:top w:val="nil"/>
              <w:left w:val="nil"/>
              <w:bottom w:val="single" w:sz="4" w:space="0" w:color="auto"/>
              <w:right w:val="single" w:sz="4" w:space="0" w:color="auto"/>
            </w:tcBorders>
            <w:vAlign w:val="center"/>
          </w:tcPr>
          <w:p w:rsidR="00AC275E" w:rsidRPr="000852D9" w:rsidRDefault="00870987" w:rsidP="00D4716F">
            <w:pPr>
              <w:jc w:val="center"/>
              <w:rPr>
                <w:rFonts w:ascii="Arial" w:hAnsi="Arial" w:cs="Arial"/>
                <w:szCs w:val="20"/>
              </w:rPr>
            </w:pPr>
            <w:r>
              <w:rPr>
                <w:rFonts w:ascii="Arial" w:hAnsi="Arial" w:cs="Arial"/>
                <w:szCs w:val="20"/>
              </w:rPr>
              <w:t>68,3</w:t>
            </w:r>
          </w:p>
        </w:tc>
      </w:tr>
      <w:tr w:rsidR="00AC275E" w:rsidRPr="00B12AEE" w:rsidTr="00D4716F">
        <w:trPr>
          <w:trHeight w:val="255"/>
        </w:trPr>
        <w:tc>
          <w:tcPr>
            <w:tcW w:w="36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AC275E" w:rsidRPr="000852D9" w:rsidRDefault="00AC275E">
            <w:pPr>
              <w:rPr>
                <w:rFonts w:ascii="Arial" w:hAnsi="Arial" w:cs="Arial"/>
                <w:b/>
                <w:bCs/>
                <w:szCs w:val="20"/>
              </w:rPr>
            </w:pPr>
            <w:r w:rsidRPr="000852D9">
              <w:rPr>
                <w:rFonts w:ascii="Arial" w:hAnsi="Arial" w:cs="Arial"/>
                <w:b/>
                <w:bCs/>
                <w:szCs w:val="20"/>
              </w:rPr>
              <w:t>Celkem</w:t>
            </w:r>
          </w:p>
        </w:tc>
        <w:tc>
          <w:tcPr>
            <w:tcW w:w="1559" w:type="dxa"/>
            <w:tcBorders>
              <w:top w:val="nil"/>
              <w:left w:val="nil"/>
              <w:bottom w:val="nil"/>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b/>
                <w:bCs/>
                <w:szCs w:val="20"/>
              </w:rPr>
            </w:pPr>
            <w:r w:rsidRPr="000852D9">
              <w:rPr>
                <w:rFonts w:ascii="Arial" w:hAnsi="Arial" w:cs="Arial"/>
                <w:b/>
                <w:bCs/>
                <w:szCs w:val="20"/>
              </w:rPr>
              <w:t>1 000,0</w:t>
            </w:r>
          </w:p>
        </w:tc>
        <w:tc>
          <w:tcPr>
            <w:tcW w:w="1418" w:type="dxa"/>
            <w:tcBorders>
              <w:top w:val="nil"/>
              <w:left w:val="nil"/>
              <w:bottom w:val="nil"/>
              <w:right w:val="single" w:sz="4" w:space="0" w:color="auto"/>
            </w:tcBorders>
            <w:noWrap/>
            <w:tcMar>
              <w:top w:w="17" w:type="dxa"/>
              <w:left w:w="17" w:type="dxa"/>
              <w:bottom w:w="0" w:type="dxa"/>
              <w:right w:w="17" w:type="dxa"/>
            </w:tcMar>
            <w:vAlign w:val="center"/>
          </w:tcPr>
          <w:p w:rsidR="00AC275E" w:rsidRPr="000852D9" w:rsidRDefault="00AC275E" w:rsidP="00213E07">
            <w:pPr>
              <w:jc w:val="center"/>
              <w:rPr>
                <w:rFonts w:ascii="Arial" w:hAnsi="Arial" w:cs="Arial"/>
                <w:b/>
                <w:bCs/>
                <w:szCs w:val="20"/>
              </w:rPr>
            </w:pPr>
            <w:r w:rsidRPr="000852D9">
              <w:rPr>
                <w:rFonts w:ascii="Arial" w:hAnsi="Arial" w:cs="Arial"/>
                <w:b/>
                <w:bCs/>
                <w:szCs w:val="20"/>
              </w:rPr>
              <w:t>1 000,0</w:t>
            </w:r>
          </w:p>
        </w:tc>
        <w:tc>
          <w:tcPr>
            <w:tcW w:w="1701" w:type="dxa"/>
            <w:tcBorders>
              <w:top w:val="nil"/>
              <w:left w:val="nil"/>
              <w:bottom w:val="nil"/>
              <w:right w:val="single" w:sz="4" w:space="0" w:color="auto"/>
            </w:tcBorders>
            <w:vAlign w:val="center"/>
          </w:tcPr>
          <w:p w:rsidR="00AC275E" w:rsidRPr="000852D9" w:rsidRDefault="00AC275E" w:rsidP="00213E07">
            <w:pPr>
              <w:jc w:val="center"/>
              <w:rPr>
                <w:rFonts w:ascii="Arial" w:hAnsi="Arial" w:cs="Arial"/>
                <w:b/>
                <w:bCs/>
                <w:szCs w:val="20"/>
              </w:rPr>
            </w:pPr>
            <w:r w:rsidRPr="000852D9">
              <w:rPr>
                <w:rFonts w:ascii="Arial" w:hAnsi="Arial" w:cs="Arial"/>
                <w:b/>
                <w:bCs/>
                <w:szCs w:val="20"/>
              </w:rPr>
              <w:t>1 000,0</w:t>
            </w:r>
          </w:p>
        </w:tc>
        <w:tc>
          <w:tcPr>
            <w:tcW w:w="1417" w:type="dxa"/>
            <w:tcBorders>
              <w:top w:val="nil"/>
              <w:left w:val="nil"/>
              <w:bottom w:val="nil"/>
              <w:right w:val="single" w:sz="4" w:space="0" w:color="auto"/>
            </w:tcBorders>
            <w:vAlign w:val="center"/>
          </w:tcPr>
          <w:p w:rsidR="00AC275E" w:rsidRPr="000852D9" w:rsidRDefault="00AC275E" w:rsidP="00D4716F">
            <w:pPr>
              <w:jc w:val="center"/>
              <w:rPr>
                <w:rFonts w:ascii="Arial" w:hAnsi="Arial" w:cs="Arial"/>
                <w:b/>
                <w:bCs/>
                <w:szCs w:val="20"/>
              </w:rPr>
            </w:pPr>
            <w:r w:rsidRPr="000852D9">
              <w:rPr>
                <w:rFonts w:ascii="Arial" w:hAnsi="Arial" w:cs="Arial"/>
                <w:b/>
                <w:bCs/>
                <w:szCs w:val="20"/>
              </w:rPr>
              <w:t>1 000,0</w:t>
            </w:r>
          </w:p>
        </w:tc>
      </w:tr>
      <w:tr w:rsidR="00AC275E" w:rsidRPr="00B12AEE" w:rsidTr="000852D9">
        <w:trPr>
          <w:trHeight w:val="255"/>
        </w:trPr>
        <w:tc>
          <w:tcPr>
            <w:tcW w:w="36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C275E" w:rsidRPr="00B12AEE" w:rsidRDefault="00AC275E">
            <w:pPr>
              <w:rPr>
                <w:rFonts w:ascii="Arial" w:hAnsi="Arial" w:cs="Arial"/>
                <w:b/>
                <w:bCs/>
                <w:sz w:val="22"/>
                <w:szCs w:val="22"/>
              </w:rPr>
            </w:pP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AC275E" w:rsidRPr="00B12AEE" w:rsidRDefault="00AC275E" w:rsidP="006A7217">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AC275E" w:rsidRPr="00B12AEE" w:rsidRDefault="00AC275E" w:rsidP="006A7217">
            <w:pPr>
              <w:jc w:val="center"/>
              <w:rPr>
                <w:rFonts w:ascii="Arial" w:hAnsi="Arial" w:cs="Arial"/>
                <w:b/>
                <w:bCs/>
                <w:sz w:val="22"/>
                <w:szCs w:val="22"/>
              </w:rPr>
            </w:pPr>
          </w:p>
        </w:tc>
        <w:tc>
          <w:tcPr>
            <w:tcW w:w="1701" w:type="dxa"/>
            <w:tcBorders>
              <w:top w:val="nil"/>
              <w:left w:val="nil"/>
              <w:bottom w:val="single" w:sz="4" w:space="0" w:color="auto"/>
              <w:right w:val="single" w:sz="4" w:space="0" w:color="auto"/>
            </w:tcBorders>
          </w:tcPr>
          <w:p w:rsidR="00AC275E" w:rsidRPr="00B12AEE" w:rsidRDefault="00AC275E" w:rsidP="006A7217">
            <w:pPr>
              <w:jc w:val="center"/>
              <w:rPr>
                <w:rFonts w:ascii="Arial" w:hAnsi="Arial" w:cs="Arial"/>
                <w:b/>
                <w:bCs/>
                <w:sz w:val="22"/>
                <w:szCs w:val="22"/>
              </w:rPr>
            </w:pPr>
          </w:p>
        </w:tc>
        <w:tc>
          <w:tcPr>
            <w:tcW w:w="1417" w:type="dxa"/>
            <w:tcBorders>
              <w:top w:val="nil"/>
              <w:left w:val="nil"/>
              <w:bottom w:val="single" w:sz="4" w:space="0" w:color="auto"/>
              <w:right w:val="single" w:sz="4" w:space="0" w:color="auto"/>
            </w:tcBorders>
          </w:tcPr>
          <w:p w:rsidR="00AC275E" w:rsidRPr="00B12AEE" w:rsidRDefault="00AC275E" w:rsidP="006A7217">
            <w:pPr>
              <w:jc w:val="center"/>
              <w:rPr>
                <w:rFonts w:ascii="Arial" w:hAnsi="Arial" w:cs="Arial"/>
                <w:b/>
                <w:bCs/>
                <w:sz w:val="22"/>
                <w:szCs w:val="22"/>
              </w:rPr>
            </w:pPr>
          </w:p>
        </w:tc>
      </w:tr>
    </w:tbl>
    <w:p w:rsidR="008F39C8" w:rsidRDefault="008F39C8"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4A75CC" w:rsidRDefault="004A75CC"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42B6" w:rsidRPr="004A75CC" w:rsidRDefault="00C0713F"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noProof/>
          <w:sz w:val="22"/>
          <w:szCs w:val="22"/>
        </w:rPr>
      </w:pPr>
      <w:r w:rsidRPr="004A75CC">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A75CC">
        <w:rPr>
          <w:rFonts w:ascii="Arial" w:hAnsi="Arial" w:cs="Arial"/>
          <w:sz w:val="22"/>
          <w:szCs w:val="22"/>
        </w:rPr>
        <w:t>hl. m.</w:t>
      </w:r>
      <w:r w:rsidRPr="004A75CC">
        <w:rPr>
          <w:rFonts w:ascii="Arial" w:hAnsi="Arial" w:cs="Arial"/>
          <w:sz w:val="22"/>
          <w:szCs w:val="22"/>
        </w:rPr>
        <w:t xml:space="preserve"> Praze. U těchto indexů byly </w:t>
      </w:r>
      <w:r w:rsidR="00531902" w:rsidRPr="004A75CC">
        <w:rPr>
          <w:rFonts w:ascii="Arial" w:hAnsi="Arial" w:cs="Arial"/>
          <w:sz w:val="22"/>
          <w:szCs w:val="22"/>
        </w:rPr>
        <w:t xml:space="preserve">jejich </w:t>
      </w:r>
      <w:r w:rsidRPr="004A75CC">
        <w:rPr>
          <w:rFonts w:ascii="Arial" w:hAnsi="Arial" w:cs="Arial"/>
          <w:sz w:val="22"/>
          <w:szCs w:val="22"/>
        </w:rPr>
        <w:t xml:space="preserve">váhy </w:t>
      </w:r>
      <w:r w:rsidR="00531902" w:rsidRPr="004A75CC">
        <w:rPr>
          <w:rFonts w:ascii="Arial" w:hAnsi="Arial" w:cs="Arial"/>
          <w:sz w:val="22"/>
          <w:szCs w:val="22"/>
        </w:rPr>
        <w:t xml:space="preserve">roku 2010 </w:t>
      </w:r>
      <w:r w:rsidR="0018129B" w:rsidRPr="004A75CC">
        <w:rPr>
          <w:rFonts w:ascii="Arial" w:hAnsi="Arial" w:cs="Arial"/>
          <w:sz w:val="22"/>
          <w:szCs w:val="22"/>
        </w:rPr>
        <w:t>upraveny poměrem výdajů za domácnosti celkem za roky 2012 a 2010 dle sta</w:t>
      </w:r>
      <w:r w:rsidRPr="004A75CC">
        <w:rPr>
          <w:rFonts w:ascii="Arial" w:hAnsi="Arial" w:cs="Arial"/>
          <w:sz w:val="22"/>
          <w:szCs w:val="22"/>
        </w:rPr>
        <w:t>tistiky národních účtů</w:t>
      </w:r>
      <w:r w:rsidR="005B2B8F" w:rsidRPr="00827DE4">
        <w:rPr>
          <w:rFonts w:ascii="Arial" w:hAnsi="Arial" w:cs="Arial"/>
          <w:sz w:val="22"/>
          <w:szCs w:val="22"/>
        </w:rPr>
        <w:t>.</w:t>
      </w:r>
      <w:r w:rsidR="000342B6" w:rsidRPr="00827DE4">
        <w:rPr>
          <w:rFonts w:ascii="Arial" w:hAnsi="Arial" w:cs="Arial"/>
          <w:sz w:val="22"/>
          <w:szCs w:val="22"/>
        </w:rPr>
        <w:t xml:space="preserve"> </w:t>
      </w:r>
      <w:r w:rsidR="000342B6" w:rsidRPr="00827DE4">
        <w:rPr>
          <w:rFonts w:ascii="Arial" w:hAnsi="Arial" w:cs="Arial"/>
          <w:noProof/>
          <w:sz w:val="22"/>
          <w:szCs w:val="22"/>
        </w:rPr>
        <w:t>Ve váhovém schématu domácností důchodců není zahrnuto imputované nájemné.</w:t>
      </w:r>
    </w:p>
    <w:p w:rsidR="00C0713F" w:rsidRPr="000342B6" w:rsidRDefault="005B2B8F" w:rsidP="0093403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color w:val="FF0000"/>
          <w:sz w:val="22"/>
          <w:szCs w:val="22"/>
        </w:rPr>
      </w:pPr>
      <w:r w:rsidRPr="000342B6">
        <w:rPr>
          <w:rFonts w:ascii="Arial" w:hAnsi="Arial" w:cs="Arial"/>
          <w:b/>
          <w:color w:val="FF0000"/>
          <w:sz w:val="22"/>
          <w:szCs w:val="22"/>
        </w:rPr>
        <w:t xml:space="preserve"> </w:t>
      </w:r>
    </w:p>
    <w:p w:rsidR="00C529D2" w:rsidRPr="00B12AEE" w:rsidRDefault="00C529D2" w:rsidP="00C529D2">
      <w:pPr>
        <w:pStyle w:val="Zkladntextodsazen3"/>
        <w:rPr>
          <w:rFonts w:ascii="Arial" w:hAnsi="Arial" w:cs="Arial"/>
          <w:sz w:val="22"/>
          <w:szCs w:val="22"/>
        </w:rPr>
      </w:pPr>
      <w:r w:rsidRPr="00C529D2">
        <w:rPr>
          <w:rFonts w:ascii="Arial" w:hAnsi="Arial" w:cs="Arial"/>
          <w:sz w:val="22"/>
          <w:szCs w:val="22"/>
        </w:rPr>
        <w:t>Revidovaná váhová schémata pro výpočet indexů spotřebitelských cen (životních nákladů) za jednotlivé skupiny domácností jsou uvedena v příloze č.</w:t>
      </w:r>
      <w:r w:rsidR="00C7374D">
        <w:rPr>
          <w:rFonts w:ascii="Arial" w:hAnsi="Arial" w:cs="Arial"/>
          <w:sz w:val="22"/>
          <w:szCs w:val="22"/>
        </w:rPr>
        <w:t xml:space="preserve"> </w:t>
      </w:r>
      <w:r w:rsidRPr="00C529D2">
        <w:rPr>
          <w:rFonts w:ascii="Arial" w:hAnsi="Arial" w:cs="Arial"/>
          <w:sz w:val="22"/>
          <w:szCs w:val="22"/>
        </w:rPr>
        <w:t>1</w:t>
      </w:r>
      <w:r>
        <w:rPr>
          <w:rFonts w:ascii="Arial" w:hAnsi="Arial" w:cs="Arial"/>
          <w:sz w:val="22"/>
          <w:szCs w:val="22"/>
        </w:rPr>
        <w:t>.</w:t>
      </w:r>
      <w:r w:rsidRPr="00C529D2">
        <w:rPr>
          <w:rFonts w:ascii="Arial" w:hAnsi="Arial" w:cs="Arial"/>
          <w:sz w:val="22"/>
          <w:szCs w:val="22"/>
        </w:rPr>
        <w:t xml:space="preserve"> </w:t>
      </w:r>
      <w:r>
        <w:rPr>
          <w:rFonts w:ascii="Arial" w:hAnsi="Arial" w:cs="Arial"/>
          <w:sz w:val="22"/>
          <w:szCs w:val="22"/>
        </w:rPr>
        <w:t xml:space="preserve"> </w:t>
      </w:r>
    </w:p>
    <w:p w:rsidR="00C529D2" w:rsidRPr="00B12AEE" w:rsidRDefault="00C529D2" w:rsidP="005B5D3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rámci revize indexů spotřebitelských cen byla provedena v souladu s legislativními nařízeními Evropské unie konstrukce váhového schéma</w:t>
      </w:r>
      <w:r w:rsidR="00991836">
        <w:rPr>
          <w:rFonts w:ascii="Arial" w:hAnsi="Arial" w:cs="Arial"/>
          <w:sz w:val="22"/>
          <w:szCs w:val="22"/>
        </w:rPr>
        <w:t>tu</w:t>
      </w:r>
      <w:r w:rsidRPr="00B12AEE">
        <w:rPr>
          <w:rFonts w:ascii="Arial" w:hAnsi="Arial" w:cs="Arial"/>
          <w:sz w:val="22"/>
          <w:szCs w:val="22"/>
        </w:rPr>
        <w:t xml:space="preserve"> pro výpočet</w:t>
      </w:r>
      <w:r w:rsidRPr="00B12AEE">
        <w:rPr>
          <w:rFonts w:ascii="Arial" w:hAnsi="Arial" w:cs="Arial"/>
          <w:b/>
          <w:bCs/>
          <w:sz w:val="22"/>
          <w:szCs w:val="22"/>
        </w:rPr>
        <w:t xml:space="preserve"> harmonizovaného indexu spotřebitelských cen (dále HICP).</w:t>
      </w: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781658"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Mezi strukturou spotřebního koše národního indexu spotřebitelských cen ČR a strukturou spotřebního koše HICP jsou určité rozdíly. Ve váhách HICP jsou zahr</w:t>
      </w:r>
      <w:r w:rsidR="00914CF8">
        <w:rPr>
          <w:rFonts w:ascii="Arial" w:hAnsi="Arial" w:cs="Arial"/>
          <w:sz w:val="22"/>
          <w:szCs w:val="22"/>
        </w:rPr>
        <w:t>nuty tržby za nákupy cizinců na </w:t>
      </w:r>
      <w:r w:rsidRPr="00B12AEE">
        <w:rPr>
          <w:rFonts w:ascii="Arial" w:hAnsi="Arial" w:cs="Arial"/>
          <w:sz w:val="22"/>
          <w:szCs w:val="22"/>
        </w:rPr>
        <w:t xml:space="preserve">území České republiky, ale není v něm zahrnuto hypotetické nájemné na rozdíl od národního indexu spotřebitelských cen, kde tržby za nákupy cizinců zahrnuty nejsou, ale je zde zahrnuto hypotetické nájemné. </w:t>
      </w:r>
    </w:p>
    <w:p w:rsidR="003C6709" w:rsidRDefault="003C6709" w:rsidP="00BE0822">
      <w:pPr>
        <w:pStyle w:val="Zkladntextodsazen2"/>
        <w:ind w:left="0" w:firstLine="708"/>
        <w:jc w:val="both"/>
        <w:rPr>
          <w:rFonts w:ascii="Arial" w:hAnsi="Arial" w:cs="Arial"/>
          <w:sz w:val="22"/>
          <w:szCs w:val="22"/>
        </w:rPr>
      </w:pPr>
    </w:p>
    <w:p w:rsidR="00BE0822" w:rsidRPr="00B12AEE" w:rsidRDefault="00BE0822" w:rsidP="00BE0822">
      <w:pPr>
        <w:pStyle w:val="Zkladntextodsazen2"/>
        <w:ind w:left="0" w:firstLine="708"/>
        <w:jc w:val="both"/>
        <w:rPr>
          <w:rFonts w:ascii="Arial" w:hAnsi="Arial" w:cs="Arial"/>
          <w:sz w:val="22"/>
          <w:szCs w:val="22"/>
        </w:rPr>
      </w:pPr>
      <w:r w:rsidRPr="00781658">
        <w:rPr>
          <w:rFonts w:ascii="Arial" w:hAnsi="Arial" w:cs="Arial"/>
          <w:sz w:val="22"/>
          <w:szCs w:val="22"/>
        </w:rPr>
        <w:t>Harmonizovaný</w:t>
      </w:r>
      <w:r w:rsidRPr="00B12AEE">
        <w:rPr>
          <w:rFonts w:ascii="Arial" w:hAnsi="Arial" w:cs="Arial"/>
          <w:sz w:val="22"/>
          <w:szCs w:val="22"/>
        </w:rPr>
        <w:t xml:space="preserve"> index</w:t>
      </w:r>
      <w:r w:rsidRPr="00781658">
        <w:rPr>
          <w:rFonts w:ascii="Arial" w:hAnsi="Arial" w:cs="Arial"/>
          <w:sz w:val="22"/>
          <w:szCs w:val="22"/>
        </w:rPr>
        <w:t xml:space="preserve"> spotřebitelských cen užívá řetězových vah</w:t>
      </w:r>
      <w:r w:rsidRPr="00B12AEE">
        <w:rPr>
          <w:rFonts w:ascii="Arial" w:hAnsi="Arial" w:cs="Arial"/>
          <w:sz w:val="22"/>
          <w:szCs w:val="22"/>
        </w:rPr>
        <w:t>,</w:t>
      </w:r>
      <w:r w:rsidRPr="00781658">
        <w:rPr>
          <w:rFonts w:ascii="Arial" w:hAnsi="Arial" w:cs="Arial"/>
          <w:sz w:val="22"/>
          <w:szCs w:val="22"/>
        </w:rPr>
        <w:t xml:space="preserve"> které jsou obměňovány každoročně</w:t>
      </w:r>
      <w:r w:rsidRPr="00B12AEE">
        <w:rPr>
          <w:rFonts w:ascii="Arial" w:hAnsi="Arial" w:cs="Arial"/>
          <w:sz w:val="22"/>
          <w:szCs w:val="22"/>
        </w:rPr>
        <w:t xml:space="preserve"> v</w:t>
      </w:r>
      <w:r w:rsidRPr="00781658">
        <w:rPr>
          <w:rFonts w:ascii="Arial" w:hAnsi="Arial" w:cs="Arial"/>
          <w:sz w:val="22"/>
          <w:szCs w:val="22"/>
        </w:rPr>
        <w:t> prosinci</w:t>
      </w:r>
      <w:r w:rsidRPr="00B12AEE">
        <w:rPr>
          <w:rFonts w:ascii="Arial" w:hAnsi="Arial" w:cs="Arial"/>
          <w:sz w:val="22"/>
          <w:szCs w:val="22"/>
        </w:rPr>
        <w:t>.</w:t>
      </w:r>
      <w:r w:rsidRPr="00781658">
        <w:rPr>
          <w:rFonts w:ascii="Arial" w:hAnsi="Arial" w:cs="Arial"/>
          <w:sz w:val="22"/>
          <w:szCs w:val="22"/>
        </w:rPr>
        <w:t xml:space="preserve"> Zdrojem aktualizace jsou</w:t>
      </w:r>
      <w:r w:rsidRPr="00B12AEE">
        <w:rPr>
          <w:rFonts w:ascii="Arial" w:hAnsi="Arial" w:cs="Arial"/>
          <w:sz w:val="22"/>
          <w:szCs w:val="22"/>
        </w:rPr>
        <w:t xml:space="preserve"> data</w:t>
      </w:r>
      <w:r w:rsidRPr="00781658">
        <w:rPr>
          <w:rFonts w:ascii="Arial" w:hAnsi="Arial" w:cs="Arial"/>
          <w:sz w:val="22"/>
          <w:szCs w:val="22"/>
        </w:rPr>
        <w:t xml:space="preserve"> národních účtů</w:t>
      </w:r>
      <w:r w:rsidRPr="00B12AEE">
        <w:rPr>
          <w:rFonts w:ascii="Arial" w:hAnsi="Arial" w:cs="Arial"/>
          <w:sz w:val="22"/>
          <w:szCs w:val="22"/>
        </w:rPr>
        <w:t xml:space="preserve"> </w:t>
      </w:r>
      <w:r w:rsidRPr="00781658">
        <w:rPr>
          <w:rFonts w:ascii="Arial" w:hAnsi="Arial" w:cs="Arial"/>
          <w:sz w:val="22"/>
          <w:szCs w:val="22"/>
        </w:rPr>
        <w:t>(konečná peněžní spotřeba domácností</w:t>
      </w:r>
      <w:r w:rsidRPr="00B12AEE">
        <w:rPr>
          <w:rFonts w:ascii="Arial" w:hAnsi="Arial" w:cs="Arial"/>
          <w:sz w:val="22"/>
          <w:szCs w:val="22"/>
        </w:rPr>
        <w:t>,</w:t>
      </w:r>
      <w:r w:rsidRPr="00781658">
        <w:rPr>
          <w:rFonts w:ascii="Arial" w:hAnsi="Arial" w:cs="Arial"/>
          <w:sz w:val="22"/>
          <w:szCs w:val="22"/>
        </w:rPr>
        <w:t xml:space="preserve"> domácí koncept</w:t>
      </w:r>
      <w:r w:rsidRPr="00B12AEE">
        <w:rPr>
          <w:rFonts w:ascii="Arial" w:hAnsi="Arial" w:cs="Arial"/>
          <w:sz w:val="22"/>
          <w:szCs w:val="22"/>
        </w:rPr>
        <w:t>)</w:t>
      </w:r>
      <w:r w:rsidRPr="00781658">
        <w:rPr>
          <w:rFonts w:ascii="Arial" w:hAnsi="Arial" w:cs="Arial"/>
          <w:sz w:val="22"/>
          <w:szCs w:val="22"/>
        </w:rPr>
        <w:t xml:space="preserve"> předchozího roku</w:t>
      </w:r>
      <w:r w:rsidRPr="00B12AEE">
        <w:rPr>
          <w:rFonts w:ascii="Arial" w:hAnsi="Arial" w:cs="Arial"/>
          <w:sz w:val="22"/>
          <w:szCs w:val="22"/>
        </w:rPr>
        <w:t>.</w:t>
      </w:r>
      <w:r w:rsidRPr="00781658">
        <w:rPr>
          <w:rFonts w:ascii="Arial" w:hAnsi="Arial" w:cs="Arial"/>
          <w:sz w:val="22"/>
          <w:szCs w:val="22"/>
        </w:rPr>
        <w:t xml:space="preserve"> Základním cenovým obdobím</w:t>
      </w:r>
      <w:r w:rsidRPr="00B12AEE">
        <w:rPr>
          <w:rFonts w:ascii="Arial" w:hAnsi="Arial" w:cs="Arial"/>
          <w:sz w:val="22"/>
          <w:szCs w:val="22"/>
        </w:rPr>
        <w:t xml:space="preserve"> je</w:t>
      </w:r>
      <w:r w:rsidRPr="00781658">
        <w:rPr>
          <w:rFonts w:ascii="Arial" w:hAnsi="Arial" w:cs="Arial"/>
          <w:sz w:val="22"/>
          <w:szCs w:val="22"/>
        </w:rPr>
        <w:t xml:space="preserve"> průměr roku</w:t>
      </w:r>
      <w:r w:rsidRPr="00B12AEE">
        <w:rPr>
          <w:rFonts w:ascii="Arial" w:hAnsi="Arial" w:cs="Arial"/>
          <w:sz w:val="22"/>
          <w:szCs w:val="22"/>
        </w:rPr>
        <w:t xml:space="preserve"> 2005.</w:t>
      </w: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4A75CC" w:rsidRPr="00B12AEE" w:rsidRDefault="004A75C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D0214" w:rsidRPr="00991836" w:rsidRDefault="005E365F" w:rsidP="00F56FE9">
      <w:pPr>
        <w:pStyle w:val="Nadpis2"/>
        <w:rPr>
          <w:rFonts w:ascii="Arial" w:hAnsi="Arial" w:cs="Arial"/>
          <w:u w:val="none"/>
        </w:rPr>
      </w:pPr>
      <w:bookmarkStart w:id="24" w:name="_Toc340758489"/>
      <w:bookmarkStart w:id="25" w:name="_Toc340758895"/>
      <w:bookmarkStart w:id="26" w:name="_Toc340824107"/>
      <w:bookmarkStart w:id="27" w:name="_Toc340824161"/>
      <w:bookmarkStart w:id="28" w:name="_Toc340827471"/>
      <w:bookmarkStart w:id="29" w:name="_Toc340838544"/>
      <w:r w:rsidRPr="00991836">
        <w:rPr>
          <w:rFonts w:ascii="Arial" w:hAnsi="Arial" w:cs="Arial"/>
          <w:u w:val="none"/>
        </w:rPr>
        <w:t>C</w:t>
      </w:r>
      <w:r w:rsidR="001674EF" w:rsidRPr="00991836">
        <w:rPr>
          <w:rFonts w:ascii="Arial" w:hAnsi="Arial" w:cs="Arial"/>
          <w:u w:val="none"/>
        </w:rPr>
        <w:t xml:space="preserve">) Metodika </w:t>
      </w:r>
    </w:p>
    <w:p w:rsidR="001D0214" w:rsidRPr="001D0214" w:rsidRDefault="001D0214" w:rsidP="001D0214"/>
    <w:p w:rsidR="001674EF" w:rsidRPr="001D0214" w:rsidRDefault="001D0214" w:rsidP="00F56FE9">
      <w:pPr>
        <w:pStyle w:val="Nadpis2"/>
        <w:rPr>
          <w:rFonts w:ascii="Arial" w:hAnsi="Arial" w:cs="Arial"/>
          <w:b w:val="0"/>
          <w:sz w:val="22"/>
          <w:szCs w:val="22"/>
          <w:u w:val="none"/>
        </w:rPr>
      </w:pPr>
      <w:r w:rsidRPr="001D0214">
        <w:rPr>
          <w:rFonts w:ascii="Arial" w:hAnsi="Arial" w:cs="Arial"/>
          <w:b w:val="0"/>
          <w:sz w:val="22"/>
          <w:szCs w:val="22"/>
          <w:u w:val="none"/>
        </w:rPr>
        <w:t xml:space="preserve">Metodika </w:t>
      </w:r>
      <w:r w:rsidR="001674EF" w:rsidRPr="001D0214">
        <w:rPr>
          <w:rFonts w:ascii="Arial" w:hAnsi="Arial" w:cs="Arial"/>
          <w:b w:val="0"/>
          <w:sz w:val="22"/>
          <w:szCs w:val="22"/>
          <w:u w:val="none"/>
        </w:rPr>
        <w:t>zjišťování spotřebitelských cen</w:t>
      </w:r>
      <w:r w:rsidR="00187C68" w:rsidRPr="001D0214">
        <w:rPr>
          <w:rFonts w:ascii="Arial" w:hAnsi="Arial" w:cs="Arial"/>
          <w:b w:val="0"/>
          <w:sz w:val="22"/>
          <w:szCs w:val="22"/>
          <w:u w:val="none"/>
        </w:rPr>
        <w:t xml:space="preserve"> </w:t>
      </w:r>
      <w:r w:rsidR="00E73AF7" w:rsidRPr="001D0214">
        <w:rPr>
          <w:rFonts w:ascii="Arial" w:hAnsi="Arial" w:cs="Arial"/>
          <w:b w:val="0"/>
          <w:sz w:val="22"/>
          <w:szCs w:val="22"/>
          <w:u w:val="none"/>
        </w:rPr>
        <w:t xml:space="preserve">je podrobně popsána v metodické příručce pro uživatele „Indexy spotřebitelských cen“ </w:t>
      </w:r>
      <w:bookmarkEnd w:id="24"/>
      <w:bookmarkEnd w:id="25"/>
      <w:bookmarkEnd w:id="26"/>
      <w:bookmarkEnd w:id="27"/>
      <w:bookmarkEnd w:id="28"/>
      <w:bookmarkEnd w:id="29"/>
      <w:r w:rsidR="00A93BA4" w:rsidRPr="001D0214">
        <w:rPr>
          <w:rFonts w:ascii="Arial" w:hAnsi="Arial" w:cs="Arial"/>
          <w:b w:val="0"/>
          <w:sz w:val="22"/>
          <w:szCs w:val="22"/>
          <w:u w:val="none"/>
        </w:rPr>
        <w:fldChar w:fldCharType="begin"/>
      </w:r>
      <w:r w:rsidR="00F56FE9" w:rsidRPr="001D0214">
        <w:rPr>
          <w:rFonts w:ascii="Arial" w:hAnsi="Arial" w:cs="Arial"/>
          <w:b w:val="0"/>
          <w:sz w:val="22"/>
          <w:szCs w:val="22"/>
          <w:u w:val="none"/>
        </w:rPr>
        <w:instrText xml:space="preserve"> HYPERLINK "http://www.czso.cz/csu/redakce.nsf/i/inflace" </w:instrText>
      </w:r>
      <w:r w:rsidR="00A93BA4" w:rsidRPr="001D0214">
        <w:rPr>
          <w:rFonts w:ascii="Arial" w:hAnsi="Arial" w:cs="Arial"/>
          <w:b w:val="0"/>
          <w:sz w:val="22"/>
          <w:szCs w:val="22"/>
          <w:u w:val="none"/>
        </w:rPr>
        <w:fldChar w:fldCharType="separate"/>
      </w:r>
      <w:r w:rsidR="00F56FE9" w:rsidRPr="001D0214">
        <w:rPr>
          <w:rStyle w:val="Hypertextovodkaz"/>
          <w:rFonts w:ascii="Arial" w:hAnsi="Arial" w:cs="Arial"/>
          <w:b w:val="0"/>
          <w:sz w:val="22"/>
          <w:szCs w:val="22"/>
          <w:u w:val="none"/>
        </w:rPr>
        <w:t>http://www.czso.cz/csu/re</w:t>
      </w:r>
      <w:r w:rsidR="00F56FE9" w:rsidRPr="001D0214">
        <w:rPr>
          <w:rStyle w:val="Hypertextovodkaz"/>
          <w:rFonts w:ascii="Arial" w:hAnsi="Arial" w:cs="Arial"/>
          <w:b w:val="0"/>
          <w:sz w:val="22"/>
          <w:szCs w:val="22"/>
          <w:u w:val="none"/>
        </w:rPr>
        <w:t>d</w:t>
      </w:r>
      <w:r w:rsidR="00F56FE9" w:rsidRPr="001D0214">
        <w:rPr>
          <w:rStyle w:val="Hypertextovodkaz"/>
          <w:rFonts w:ascii="Arial" w:hAnsi="Arial" w:cs="Arial"/>
          <w:b w:val="0"/>
          <w:sz w:val="22"/>
          <w:szCs w:val="22"/>
          <w:u w:val="none"/>
        </w:rPr>
        <w:t>akce.nsf/i/inflace</w:t>
      </w:r>
      <w:r w:rsidR="00A93BA4" w:rsidRPr="001D0214">
        <w:rPr>
          <w:rFonts w:ascii="Arial" w:hAnsi="Arial" w:cs="Arial"/>
          <w:b w:val="0"/>
          <w:sz w:val="22"/>
          <w:szCs w:val="22"/>
          <w:u w:val="none"/>
        </w:rPr>
        <w:fldChar w:fldCharType="end"/>
      </w:r>
    </w:p>
    <w:p w:rsidR="00F56FE9" w:rsidRDefault="00F56FE9" w:rsidP="00F56FE9"/>
    <w:p w:rsidR="0093403F" w:rsidRPr="00F56FE9" w:rsidRDefault="0093403F" w:rsidP="00F56FE9"/>
    <w:p w:rsidR="00E54869" w:rsidRDefault="00E54869" w:rsidP="00DB3735"/>
    <w:p w:rsidR="00DB3735" w:rsidRDefault="00DB3735" w:rsidP="00DB3735"/>
    <w:p w:rsidR="00DB3735" w:rsidRDefault="00DB3735" w:rsidP="00DB3735"/>
    <w:p w:rsidR="00DB3735" w:rsidRDefault="00DB3735" w:rsidP="00DB3735"/>
    <w:p w:rsidR="00DB3735" w:rsidRDefault="00DB3735" w:rsidP="00DB3735"/>
    <w:p w:rsidR="00B12801" w:rsidRDefault="00A93BA4" w:rsidP="00DB3735">
      <w:r>
        <w:lastRenderedPageBreak/>
        <w:pict>
          <v:shape id="_x0000_i1025" type="#_x0000_t75" style="width:476.25pt;height:708pt">
            <v:imagedata r:id="rId9" o:title=""/>
          </v:shape>
        </w:pict>
      </w:r>
    </w:p>
    <w:sectPr w:rsidR="00B12801" w:rsidSect="00D7257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0F" w:rsidRDefault="0036430F">
      <w:r>
        <w:separator/>
      </w:r>
    </w:p>
  </w:endnote>
  <w:endnote w:type="continuationSeparator" w:id="0">
    <w:p w:rsidR="0036430F" w:rsidRDefault="00364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5E6B4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A93BA4">
    <w:pPr>
      <w:pStyle w:val="Zpat"/>
      <w:jc w:val="center"/>
    </w:pPr>
    <w:fldSimple w:instr=" PAGE   \* MERGEFORMAT ">
      <w:r w:rsidR="00D146FE">
        <w:rPr>
          <w:noProof/>
        </w:rPr>
        <w:t>1</w:t>
      </w:r>
    </w:fldSimple>
  </w:p>
  <w:p w:rsidR="00BD7410" w:rsidRPr="00AE055C" w:rsidRDefault="00BD7410" w:rsidP="00AE055C">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pat"/>
      <w:jc w:val="center"/>
    </w:pPr>
  </w:p>
  <w:p w:rsidR="00BD7410" w:rsidRDefault="00BD7410">
    <w:pPr>
      <w:pStyle w:val="Zpat"/>
      <w:rPr>
        <w:rStyle w:val="slostrnky"/>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0F" w:rsidRDefault="0036430F">
      <w:r>
        <w:separator/>
      </w:r>
    </w:p>
  </w:footnote>
  <w:footnote w:type="continuationSeparator" w:id="0">
    <w:p w:rsidR="0036430F" w:rsidRDefault="00364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5E6B4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5E6B4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883"/>
    <w:rsid w:val="00000C4E"/>
    <w:rsid w:val="00007566"/>
    <w:rsid w:val="00011BA7"/>
    <w:rsid w:val="00013666"/>
    <w:rsid w:val="00015483"/>
    <w:rsid w:val="0001635E"/>
    <w:rsid w:val="0003150B"/>
    <w:rsid w:val="000342B6"/>
    <w:rsid w:val="00047A54"/>
    <w:rsid w:val="0005429E"/>
    <w:rsid w:val="000852D9"/>
    <w:rsid w:val="000A2690"/>
    <w:rsid w:val="000A3808"/>
    <w:rsid w:val="000B1636"/>
    <w:rsid w:val="000B7CBB"/>
    <w:rsid w:val="000D56FF"/>
    <w:rsid w:val="001060EC"/>
    <w:rsid w:val="00114F79"/>
    <w:rsid w:val="0011567E"/>
    <w:rsid w:val="0011725B"/>
    <w:rsid w:val="00124F4E"/>
    <w:rsid w:val="001268A0"/>
    <w:rsid w:val="0013595F"/>
    <w:rsid w:val="00152211"/>
    <w:rsid w:val="001653C0"/>
    <w:rsid w:val="001674EF"/>
    <w:rsid w:val="00177971"/>
    <w:rsid w:val="0018129B"/>
    <w:rsid w:val="00185FB9"/>
    <w:rsid w:val="00187C68"/>
    <w:rsid w:val="0019656F"/>
    <w:rsid w:val="001B7B37"/>
    <w:rsid w:val="001D0214"/>
    <w:rsid w:val="001D08BD"/>
    <w:rsid w:val="001D5E3F"/>
    <w:rsid w:val="001E0F5B"/>
    <w:rsid w:val="001E19DD"/>
    <w:rsid w:val="0020051B"/>
    <w:rsid w:val="00207E19"/>
    <w:rsid w:val="00213E07"/>
    <w:rsid w:val="00221FC6"/>
    <w:rsid w:val="002355B5"/>
    <w:rsid w:val="00262253"/>
    <w:rsid w:val="00264347"/>
    <w:rsid w:val="0027288C"/>
    <w:rsid w:val="002851E7"/>
    <w:rsid w:val="002A7910"/>
    <w:rsid w:val="002B0AD9"/>
    <w:rsid w:val="002C3508"/>
    <w:rsid w:val="002C54CA"/>
    <w:rsid w:val="002E0A6B"/>
    <w:rsid w:val="002E7636"/>
    <w:rsid w:val="002F62F7"/>
    <w:rsid w:val="00316524"/>
    <w:rsid w:val="0034167A"/>
    <w:rsid w:val="00343D3F"/>
    <w:rsid w:val="0036430F"/>
    <w:rsid w:val="003711B7"/>
    <w:rsid w:val="00385E8B"/>
    <w:rsid w:val="003A1439"/>
    <w:rsid w:val="003A7174"/>
    <w:rsid w:val="003C1B37"/>
    <w:rsid w:val="003C6709"/>
    <w:rsid w:val="003D0E5C"/>
    <w:rsid w:val="003D3DFE"/>
    <w:rsid w:val="003F066A"/>
    <w:rsid w:val="003F4DCE"/>
    <w:rsid w:val="003F71E1"/>
    <w:rsid w:val="00406855"/>
    <w:rsid w:val="00407A00"/>
    <w:rsid w:val="0044053D"/>
    <w:rsid w:val="0044336F"/>
    <w:rsid w:val="00471732"/>
    <w:rsid w:val="00490F5A"/>
    <w:rsid w:val="004A75CC"/>
    <w:rsid w:val="004B159A"/>
    <w:rsid w:val="004B5F3A"/>
    <w:rsid w:val="004B61F0"/>
    <w:rsid w:val="004C7A80"/>
    <w:rsid w:val="004E1E95"/>
    <w:rsid w:val="004F3971"/>
    <w:rsid w:val="00504129"/>
    <w:rsid w:val="00504E3A"/>
    <w:rsid w:val="00523336"/>
    <w:rsid w:val="00531902"/>
    <w:rsid w:val="00540D1E"/>
    <w:rsid w:val="00543F76"/>
    <w:rsid w:val="00552C93"/>
    <w:rsid w:val="0055756C"/>
    <w:rsid w:val="00591365"/>
    <w:rsid w:val="00594E36"/>
    <w:rsid w:val="005B110F"/>
    <w:rsid w:val="005B2B8F"/>
    <w:rsid w:val="005B3F6C"/>
    <w:rsid w:val="005B5D3D"/>
    <w:rsid w:val="005C2E21"/>
    <w:rsid w:val="005E365F"/>
    <w:rsid w:val="005E3EE7"/>
    <w:rsid w:val="005E6B48"/>
    <w:rsid w:val="00605A26"/>
    <w:rsid w:val="00661B4D"/>
    <w:rsid w:val="0067626C"/>
    <w:rsid w:val="006A7217"/>
    <w:rsid w:val="006F2CB4"/>
    <w:rsid w:val="0070598D"/>
    <w:rsid w:val="0071491B"/>
    <w:rsid w:val="00742360"/>
    <w:rsid w:val="00745A64"/>
    <w:rsid w:val="00751674"/>
    <w:rsid w:val="00751ED8"/>
    <w:rsid w:val="00755A1C"/>
    <w:rsid w:val="00777BEE"/>
    <w:rsid w:val="00781658"/>
    <w:rsid w:val="0078567B"/>
    <w:rsid w:val="007B436A"/>
    <w:rsid w:val="007C4DDC"/>
    <w:rsid w:val="007D0B53"/>
    <w:rsid w:val="007D2B40"/>
    <w:rsid w:val="007E4808"/>
    <w:rsid w:val="007E6414"/>
    <w:rsid w:val="007E7B70"/>
    <w:rsid w:val="007F4B43"/>
    <w:rsid w:val="007F7883"/>
    <w:rsid w:val="00827DE4"/>
    <w:rsid w:val="008377D8"/>
    <w:rsid w:val="00851C1E"/>
    <w:rsid w:val="00855373"/>
    <w:rsid w:val="00870987"/>
    <w:rsid w:val="008744E5"/>
    <w:rsid w:val="00891EFF"/>
    <w:rsid w:val="008A47EF"/>
    <w:rsid w:val="008C45C9"/>
    <w:rsid w:val="008E0081"/>
    <w:rsid w:val="008E2A3B"/>
    <w:rsid w:val="008E5050"/>
    <w:rsid w:val="008F00D5"/>
    <w:rsid w:val="008F39C8"/>
    <w:rsid w:val="008F6245"/>
    <w:rsid w:val="00914CF8"/>
    <w:rsid w:val="00915024"/>
    <w:rsid w:val="00932F8A"/>
    <w:rsid w:val="0093403F"/>
    <w:rsid w:val="00943C94"/>
    <w:rsid w:val="0095241F"/>
    <w:rsid w:val="00957B12"/>
    <w:rsid w:val="00961E7C"/>
    <w:rsid w:val="00975766"/>
    <w:rsid w:val="00980830"/>
    <w:rsid w:val="009864CC"/>
    <w:rsid w:val="00987E0D"/>
    <w:rsid w:val="00991836"/>
    <w:rsid w:val="00995AC0"/>
    <w:rsid w:val="009A51B8"/>
    <w:rsid w:val="009D6B64"/>
    <w:rsid w:val="009E397B"/>
    <w:rsid w:val="009F29D7"/>
    <w:rsid w:val="009F46DE"/>
    <w:rsid w:val="00A0425E"/>
    <w:rsid w:val="00A06C69"/>
    <w:rsid w:val="00A15279"/>
    <w:rsid w:val="00A41A1B"/>
    <w:rsid w:val="00A47540"/>
    <w:rsid w:val="00A63F07"/>
    <w:rsid w:val="00A654BB"/>
    <w:rsid w:val="00A90523"/>
    <w:rsid w:val="00A93BA4"/>
    <w:rsid w:val="00A964D2"/>
    <w:rsid w:val="00AB4ACD"/>
    <w:rsid w:val="00AB5BFB"/>
    <w:rsid w:val="00AC275E"/>
    <w:rsid w:val="00AE055C"/>
    <w:rsid w:val="00AE082A"/>
    <w:rsid w:val="00AE165F"/>
    <w:rsid w:val="00AE20B2"/>
    <w:rsid w:val="00AE558B"/>
    <w:rsid w:val="00AF1489"/>
    <w:rsid w:val="00B00E54"/>
    <w:rsid w:val="00B024AB"/>
    <w:rsid w:val="00B12801"/>
    <w:rsid w:val="00B12AEE"/>
    <w:rsid w:val="00B15939"/>
    <w:rsid w:val="00B17FD0"/>
    <w:rsid w:val="00B35099"/>
    <w:rsid w:val="00B45305"/>
    <w:rsid w:val="00B559B8"/>
    <w:rsid w:val="00B6675B"/>
    <w:rsid w:val="00B92866"/>
    <w:rsid w:val="00BA0614"/>
    <w:rsid w:val="00BA129F"/>
    <w:rsid w:val="00BA68B7"/>
    <w:rsid w:val="00BB0D19"/>
    <w:rsid w:val="00BB25E2"/>
    <w:rsid w:val="00BB2A15"/>
    <w:rsid w:val="00BB4788"/>
    <w:rsid w:val="00BD7410"/>
    <w:rsid w:val="00BE0822"/>
    <w:rsid w:val="00BE3655"/>
    <w:rsid w:val="00BE736B"/>
    <w:rsid w:val="00BF4485"/>
    <w:rsid w:val="00C005A9"/>
    <w:rsid w:val="00C054A6"/>
    <w:rsid w:val="00C05AF9"/>
    <w:rsid w:val="00C0624B"/>
    <w:rsid w:val="00C0713F"/>
    <w:rsid w:val="00C17EF8"/>
    <w:rsid w:val="00C2406E"/>
    <w:rsid w:val="00C3698D"/>
    <w:rsid w:val="00C400F4"/>
    <w:rsid w:val="00C529D2"/>
    <w:rsid w:val="00C640A0"/>
    <w:rsid w:val="00C7258F"/>
    <w:rsid w:val="00C7374D"/>
    <w:rsid w:val="00CA35A5"/>
    <w:rsid w:val="00CB1A67"/>
    <w:rsid w:val="00CB2D77"/>
    <w:rsid w:val="00CC40E4"/>
    <w:rsid w:val="00CD2993"/>
    <w:rsid w:val="00D146FE"/>
    <w:rsid w:val="00D16DE9"/>
    <w:rsid w:val="00D4716F"/>
    <w:rsid w:val="00D57A58"/>
    <w:rsid w:val="00D632AC"/>
    <w:rsid w:val="00D72573"/>
    <w:rsid w:val="00D74049"/>
    <w:rsid w:val="00D74234"/>
    <w:rsid w:val="00D8393D"/>
    <w:rsid w:val="00D85E07"/>
    <w:rsid w:val="00DB3735"/>
    <w:rsid w:val="00DC54FE"/>
    <w:rsid w:val="00DD1BAC"/>
    <w:rsid w:val="00DE03B5"/>
    <w:rsid w:val="00DE1826"/>
    <w:rsid w:val="00DE27BF"/>
    <w:rsid w:val="00DE27D1"/>
    <w:rsid w:val="00DE4F7F"/>
    <w:rsid w:val="00DE5A28"/>
    <w:rsid w:val="00DF5E00"/>
    <w:rsid w:val="00E36568"/>
    <w:rsid w:val="00E46028"/>
    <w:rsid w:val="00E54869"/>
    <w:rsid w:val="00E62B6E"/>
    <w:rsid w:val="00E72924"/>
    <w:rsid w:val="00E73AF7"/>
    <w:rsid w:val="00E74039"/>
    <w:rsid w:val="00E85601"/>
    <w:rsid w:val="00E8733A"/>
    <w:rsid w:val="00EA7DA9"/>
    <w:rsid w:val="00EB2621"/>
    <w:rsid w:val="00EC43DC"/>
    <w:rsid w:val="00EE299A"/>
    <w:rsid w:val="00EF66F6"/>
    <w:rsid w:val="00F01DC2"/>
    <w:rsid w:val="00F1763E"/>
    <w:rsid w:val="00F33950"/>
    <w:rsid w:val="00F34FBB"/>
    <w:rsid w:val="00F3544C"/>
    <w:rsid w:val="00F36D1A"/>
    <w:rsid w:val="00F55A6A"/>
    <w:rsid w:val="00F56FE9"/>
    <w:rsid w:val="00F57F1F"/>
    <w:rsid w:val="00F727D5"/>
    <w:rsid w:val="00F91153"/>
    <w:rsid w:val="00FB5F9E"/>
    <w:rsid w:val="00FC1500"/>
    <w:rsid w:val="00FD1AC4"/>
    <w:rsid w:val="00FD42BB"/>
    <w:rsid w:val="00FE2F55"/>
    <w:rsid w:val="00FE5B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sz w:val="24"/>
    </w:rPr>
  </w:style>
  <w:style w:type="paragraph" w:styleId="Nadpis2">
    <w:name w:val="heading 2"/>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b/>
      <w:bCs/>
      <w:sz w:val="24"/>
      <w:u w:val="single"/>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style>
  <w:style w:type="character" w:styleId="slostrnky">
    <w:name w:val="page number"/>
    <w:basedOn w:val="Standardnpsmoodstavce"/>
    <w:semiHidden/>
    <w:rsid w:val="009F29D7"/>
  </w:style>
  <w:style w:type="character" w:styleId="Hypertextovodkaz">
    <w:name w:val="Hyperlink"/>
    <w:basedOn w:val="Standardnpsmoodstavce"/>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basedOn w:val="Standardnpsmoodstavce"/>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semiHidden/>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before="480" w:line="276" w:lineRule="auto"/>
      <w:jc w:val="left"/>
      <w:outlineLvl w:val="9"/>
    </w:pPr>
    <w:rPr>
      <w:rFonts w:ascii="Cambria" w:hAnsi="Cambria"/>
      <w:b/>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cs="Tahoma"/>
      <w:sz w:val="16"/>
      <w:szCs w:val="16"/>
    </w:rPr>
  </w:style>
  <w:style w:type="character" w:customStyle="1" w:styleId="TextbublinyChar">
    <w:name w:val="Text bubliny Char"/>
    <w:basedOn w:val="Standardnpsmoodstavce"/>
    <w:link w:val="Textbubliny"/>
    <w:uiPriority w:val="99"/>
    <w:semiHidden/>
    <w:rsid w:val="005E365F"/>
    <w:rPr>
      <w:rFonts w:ascii="Tahoma" w:hAnsi="Tahoma" w:cs="Tahoma"/>
      <w:sz w:val="16"/>
      <w:szCs w:val="16"/>
      <w:lang w:val="en-US"/>
    </w:rPr>
  </w:style>
  <w:style w:type="character" w:customStyle="1" w:styleId="ZpatChar">
    <w:name w:val="Zápatí Char"/>
    <w:basedOn w:val="Standardnpsmoodstavce"/>
    <w:link w:val="Zpat"/>
    <w:uiPriority w:val="99"/>
    <w:rsid w:val="00FE5BC4"/>
    <w:rPr>
      <w:rFonts w:ascii="Times New Roman oby_ejné" w:hAnsi="Times New Roman oby_ejné"/>
      <w:szCs w:val="24"/>
      <w:lang w:val="en-US"/>
    </w:rPr>
  </w:style>
  <w:style w:type="character" w:customStyle="1" w:styleId="ZhlavChar">
    <w:name w:val="Záhlaví Char"/>
    <w:basedOn w:val="Standardnpsmoodstavce"/>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basedOn w:val="Standardnpsmoodstavce"/>
    <w:link w:val="Bezmezer"/>
    <w:uiPriority w:val="1"/>
    <w:rsid w:val="00855373"/>
    <w:rPr>
      <w:rFonts w:ascii="Calibri" w:hAnsi="Calibri"/>
      <w:sz w:val="22"/>
      <w:szCs w:val="22"/>
      <w:lang w:val="cs-CZ" w:eastAsia="en-US" w:bidi="ar-SA"/>
    </w:rPr>
  </w:style>
  <w:style w:type="paragraph" w:styleId="Rozvrendokumentu">
    <w:name w:val="Document Map"/>
    <w:basedOn w:val="Normln"/>
    <w:link w:val="RozvrendokumentuChar"/>
    <w:uiPriority w:val="99"/>
    <w:semiHidden/>
    <w:unhideWhenUsed/>
    <w:rsid w:val="00BD741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D741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64E10-0AE6-4B88-B165-02626566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3808</Words>
  <Characters>22471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26227</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operator</cp:lastModifiedBy>
  <cp:revision>3</cp:revision>
  <cp:lastPrinted>2014-03-24T14:25:00Z</cp:lastPrinted>
  <dcterms:created xsi:type="dcterms:W3CDTF">2014-04-01T12:25:00Z</dcterms:created>
  <dcterms:modified xsi:type="dcterms:W3CDTF">2014-04-01T12:49:00Z</dcterms:modified>
</cp:coreProperties>
</file>