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1DF1" w14:textId="4CEC0D7B" w:rsidR="00F00E0C" w:rsidRPr="00CC3BEA" w:rsidRDefault="00EE13A7" w:rsidP="00CC3BEA">
      <w:pPr>
        <w:widowControl/>
        <w:autoSpaceDE/>
        <w:autoSpaceDN/>
        <w:adjustRightInd/>
        <w:rPr>
          <w:rFonts w:ascii="Arial" w:hAnsi="Arial" w:cs="Arial"/>
          <w:b/>
          <w:bCs/>
          <w:color w:val="0071BC"/>
          <w:sz w:val="24"/>
          <w:szCs w:val="24"/>
        </w:rPr>
      </w:pPr>
      <w:bookmarkStart w:id="0" w:name="_GoBack"/>
      <w:proofErr w:type="gramStart"/>
      <w:r w:rsidRPr="00CC3BEA">
        <w:rPr>
          <w:rFonts w:ascii="Arial" w:hAnsi="Arial" w:cs="Arial"/>
          <w:b/>
          <w:bCs/>
          <w:color w:val="0071BC"/>
          <w:sz w:val="24"/>
          <w:szCs w:val="24"/>
        </w:rPr>
        <w:t>30</w:t>
      </w:r>
      <w:r w:rsidR="00EA3E0B" w:rsidRPr="00CC3BEA">
        <w:rPr>
          <w:rFonts w:ascii="Arial" w:hAnsi="Arial" w:cs="Arial"/>
          <w:b/>
          <w:bCs/>
          <w:color w:val="0071BC"/>
          <w:sz w:val="24"/>
          <w:szCs w:val="24"/>
        </w:rPr>
        <w:t xml:space="preserve"> </w:t>
      </w:r>
      <w:r w:rsidR="00CC3BEA">
        <w:rPr>
          <w:rFonts w:ascii="Arial" w:hAnsi="Arial" w:cs="Arial"/>
          <w:b/>
          <w:bCs/>
          <w:color w:val="0071BC"/>
          <w:sz w:val="24"/>
          <w:szCs w:val="24"/>
        </w:rPr>
        <w:t xml:space="preserve"> </w:t>
      </w:r>
      <w:r w:rsidR="00EA3E0B" w:rsidRPr="00CC3BEA">
        <w:rPr>
          <w:rFonts w:ascii="Arial" w:hAnsi="Arial" w:cs="Arial"/>
          <w:b/>
          <w:bCs/>
          <w:color w:val="0071BC"/>
          <w:sz w:val="24"/>
          <w:szCs w:val="24"/>
        </w:rPr>
        <w:t>MEZINÁRODNÍ</w:t>
      </w:r>
      <w:proofErr w:type="gramEnd"/>
      <w:r w:rsidR="00EA3E0B" w:rsidRPr="00CC3BEA">
        <w:rPr>
          <w:rFonts w:ascii="Arial" w:hAnsi="Arial" w:cs="Arial"/>
          <w:b/>
          <w:bCs/>
          <w:color w:val="0071BC"/>
          <w:sz w:val="24"/>
          <w:szCs w:val="24"/>
        </w:rPr>
        <w:t xml:space="preserve"> SROVNÁNÍ</w:t>
      </w:r>
      <w:r w:rsidR="00CC3BEA">
        <w:rPr>
          <w:rFonts w:ascii="Arial" w:hAnsi="Arial" w:cs="Arial"/>
          <w:b/>
          <w:bCs/>
          <w:color w:val="0071BC"/>
          <w:sz w:val="24"/>
          <w:szCs w:val="24"/>
        </w:rPr>
        <w:t xml:space="preserve"> </w:t>
      </w:r>
    </w:p>
    <w:bookmarkEnd w:id="0"/>
    <w:p w14:paraId="647495E4" w14:textId="433AF555" w:rsidR="00F00E0C" w:rsidRDefault="00F00E0C" w:rsidP="00E85948">
      <w:pPr>
        <w:rPr>
          <w:rFonts w:ascii="Arial" w:hAnsi="Arial" w:cs="Arial"/>
          <w:sz w:val="18"/>
          <w:szCs w:val="18"/>
        </w:rPr>
      </w:pPr>
    </w:p>
    <w:p w14:paraId="1E88FCE9" w14:textId="77777777" w:rsidR="001B3D0B" w:rsidRPr="00E812AC" w:rsidRDefault="001B3D0B" w:rsidP="001B3D0B">
      <w:pPr>
        <w:rPr>
          <w:rFonts w:ascii="Arial" w:hAnsi="Arial" w:cs="Arial"/>
          <w:b/>
          <w:color w:val="0071BC"/>
        </w:rPr>
      </w:pPr>
      <w:r w:rsidRPr="001B3D0B">
        <w:rPr>
          <w:rFonts w:ascii="Arial" w:hAnsi="Arial" w:cs="Arial"/>
          <w:b/>
          <w:color w:val="0071BC"/>
        </w:rPr>
        <w:t>Metodické</w:t>
      </w:r>
      <w:r w:rsidRPr="00E812AC">
        <w:rPr>
          <w:rFonts w:ascii="Arial" w:hAnsi="Arial" w:cs="Arial"/>
          <w:b/>
          <w:color w:val="0071BC"/>
        </w:rPr>
        <w:t xml:space="preserve"> vysvětlivky</w:t>
      </w:r>
    </w:p>
    <w:p w14:paraId="085B44E0" w14:textId="77777777" w:rsidR="001B3D0B" w:rsidRDefault="001B3D0B" w:rsidP="001B3D0B">
      <w:pPr>
        <w:rPr>
          <w:rFonts w:ascii="Arial" w:hAnsi="Arial" w:cs="Arial"/>
          <w:sz w:val="18"/>
          <w:szCs w:val="18"/>
        </w:rPr>
      </w:pPr>
    </w:p>
    <w:p w14:paraId="67A748E2" w14:textId="77777777" w:rsidR="00F00E0C" w:rsidRPr="00CC3BEA" w:rsidRDefault="00EA3E0B" w:rsidP="00CC3B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V této kapitole jsou uvedeny vybrané statistické</w:t>
      </w:r>
      <w:r w:rsidRPr="00CC3BEA">
        <w:rPr>
          <w:rFonts w:ascii="Arial" w:hAnsi="Arial" w:cs="Arial"/>
          <w:b/>
          <w:bCs/>
          <w:sz w:val="18"/>
          <w:szCs w:val="18"/>
        </w:rPr>
        <w:t xml:space="preserve"> </w:t>
      </w:r>
      <w:r w:rsidRPr="00CC3BEA">
        <w:rPr>
          <w:rFonts w:ascii="Arial" w:hAnsi="Arial" w:cs="Arial"/>
          <w:bCs/>
          <w:sz w:val="18"/>
          <w:szCs w:val="18"/>
        </w:rPr>
        <w:t>ukazatele</w:t>
      </w:r>
      <w:r w:rsidRPr="00CC3BEA">
        <w:rPr>
          <w:rFonts w:ascii="Arial" w:hAnsi="Arial" w:cs="Arial"/>
          <w:sz w:val="18"/>
          <w:szCs w:val="18"/>
        </w:rPr>
        <w:t>, které slouží ke srovnání mezi ekonomikami zemí Evropské unie a některých dalších zemí. Tyto ukazatele jsou sestavovány v </w:t>
      </w:r>
      <w:proofErr w:type="spellStart"/>
      <w:r w:rsidRPr="00CC3BEA">
        <w:rPr>
          <w:rFonts w:ascii="Arial" w:hAnsi="Arial" w:cs="Arial"/>
          <w:sz w:val="18"/>
          <w:szCs w:val="18"/>
        </w:rPr>
        <w:t>Eurostatu</w:t>
      </w:r>
      <w:proofErr w:type="spellEnd"/>
      <w:r w:rsidRPr="00CC3BEA">
        <w:rPr>
          <w:rFonts w:ascii="Arial" w:hAnsi="Arial" w:cs="Arial"/>
          <w:sz w:val="18"/>
          <w:szCs w:val="18"/>
        </w:rPr>
        <w:t xml:space="preserve"> na základě pravidelně zasílaných údajů z národních statistických úřadů, některá data se přebírají od mezinárodních organizací (např. OECD, Evropská centrální banka).</w:t>
      </w:r>
    </w:p>
    <w:p w14:paraId="17A3E603" w14:textId="77777777" w:rsidR="00F00E0C" w:rsidRPr="00BF6C96" w:rsidRDefault="00EA3E0B" w:rsidP="00BF6C9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>Jednotlivé země, jejichž hodnoty ukazatelů se v tabulkách srovnávají, jsou řazeny abecedně podle názvů zemí v češtině. Česko-anglický přehled názvů zemí najdete v metodickém úvodu této kapitoly v anglické verzi. Údaje za Evropskou unii a Eurozónu jsou, pokud byly k dispozici, v tabulkách předřazeny jednotlivým zemím.</w:t>
      </w:r>
    </w:p>
    <w:p w14:paraId="05BBC7C0" w14:textId="7C2E5363" w:rsidR="002D6EDE" w:rsidRPr="00CC3BEA" w:rsidRDefault="00EA3E0B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b/>
          <w:bCs/>
          <w:sz w:val="18"/>
          <w:szCs w:val="18"/>
        </w:rPr>
        <w:t>Evropská unie (EU </w:t>
      </w:r>
      <w:r w:rsidR="001C6545" w:rsidRPr="00CC3BEA">
        <w:rPr>
          <w:rFonts w:ascii="Arial" w:hAnsi="Arial" w:cs="Arial"/>
          <w:b/>
          <w:bCs/>
          <w:sz w:val="18"/>
          <w:szCs w:val="18"/>
        </w:rPr>
        <w:t>27</w:t>
      </w:r>
      <w:r w:rsidRPr="00CC3BEA">
        <w:rPr>
          <w:rFonts w:ascii="Arial" w:hAnsi="Arial" w:cs="Arial"/>
          <w:b/>
          <w:bCs/>
          <w:sz w:val="18"/>
          <w:szCs w:val="18"/>
        </w:rPr>
        <w:t>)</w:t>
      </w:r>
      <w:r w:rsidRPr="00CC3BEA">
        <w:rPr>
          <w:rFonts w:ascii="Arial" w:hAnsi="Arial" w:cs="Arial"/>
          <w:bCs/>
          <w:sz w:val="18"/>
          <w:szCs w:val="18"/>
        </w:rPr>
        <w:t xml:space="preserve"> je ekonomické a politické uskupení </w:t>
      </w:r>
      <w:r w:rsidR="001C6545" w:rsidRPr="00CC3BEA">
        <w:rPr>
          <w:rFonts w:ascii="Arial" w:hAnsi="Arial" w:cs="Arial"/>
          <w:bCs/>
          <w:sz w:val="18"/>
          <w:szCs w:val="18"/>
        </w:rPr>
        <w:t>27 </w:t>
      </w:r>
      <w:r w:rsidRPr="00CC3BEA">
        <w:rPr>
          <w:rFonts w:ascii="Arial" w:hAnsi="Arial" w:cs="Arial"/>
          <w:bCs/>
          <w:sz w:val="18"/>
          <w:szCs w:val="18"/>
        </w:rPr>
        <w:t xml:space="preserve">států Evropy. </w:t>
      </w:r>
      <w:r w:rsidRPr="00CC3BEA">
        <w:rPr>
          <w:rFonts w:ascii="Arial" w:hAnsi="Arial" w:cs="Arial"/>
          <w:sz w:val="18"/>
          <w:szCs w:val="18"/>
        </w:rPr>
        <w:t>V následující tabulce je stručně shrnut vývoj EU od roku 1993, kdy vstoupila v platnost Maastrichtská smlouva.</w:t>
      </w:r>
    </w:p>
    <w:p w14:paraId="0FEACF3E" w14:textId="77777777" w:rsidR="0034344A" w:rsidRPr="00CC3BEA" w:rsidRDefault="0034344A" w:rsidP="0034344A">
      <w:pPr>
        <w:rPr>
          <w:rFonts w:ascii="Arial" w:hAnsi="Arial" w:cs="Arial"/>
          <w:bCs/>
          <w:sz w:val="18"/>
          <w:szCs w:val="18"/>
        </w:rPr>
      </w:pPr>
    </w:p>
    <w:tbl>
      <w:tblPr>
        <w:tblW w:w="98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60"/>
        <w:gridCol w:w="827"/>
        <w:gridCol w:w="851"/>
        <w:gridCol w:w="850"/>
        <w:gridCol w:w="993"/>
        <w:gridCol w:w="992"/>
      </w:tblGrid>
      <w:tr w:rsidR="000E4B29" w:rsidRPr="00CC3BEA" w14:paraId="768D834A" w14:textId="77777777" w:rsidTr="00472AFB">
        <w:trPr>
          <w:trHeight w:val="285"/>
        </w:trPr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3BB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Země EU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3E58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Datum vstupu</w:t>
            </w:r>
          </w:p>
        </w:tc>
        <w:tc>
          <w:tcPr>
            <w:tcW w:w="4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B06E8A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Zkratky seskupení</w:t>
            </w:r>
          </w:p>
        </w:tc>
      </w:tr>
      <w:tr w:rsidR="000E4B29" w:rsidRPr="00CC3BEA" w14:paraId="14BF7BD4" w14:textId="77777777" w:rsidTr="00472AFB">
        <w:trPr>
          <w:trHeight w:val="118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A1F3" w14:textId="6D28FD41" w:rsidR="001C6545" w:rsidRPr="00CC3BEA" w:rsidRDefault="00EA3E0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Belgie, Dánsko, Francie, Irsko, Itálie, Lucembursko, Německo, Nizozemsko, Portugalsko, Řecko, Španělsko</w:t>
            </w:r>
            <w:r w:rsidR="00D34DF2" w:rsidRPr="00CC3BE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503BA8B0" w14:textId="511CF4E1" w:rsidR="00867E98" w:rsidRPr="00CC3BEA" w:rsidRDefault="00EA3E0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Velká Británie</w:t>
            </w:r>
            <w:r w:rsidR="00181327">
              <w:rPr>
                <w:rFonts w:ascii="Arial" w:hAnsi="Arial" w:cs="Arial"/>
                <w:color w:val="000000"/>
                <w:sz w:val="18"/>
                <w:szCs w:val="18"/>
              </w:rPr>
              <w:t xml:space="preserve"> a Severní Irsko</w:t>
            </w:r>
            <w:r w:rsidR="001C6545" w:rsidRPr="00CC3B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7BC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11. 1993 (Smlouva o Evropské unii)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7B13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4F15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 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7E6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 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925B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 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BD71B2" w14:textId="77777777" w:rsidR="000E4B29" w:rsidRPr="00CC3BEA" w:rsidRDefault="00EA3E0B" w:rsidP="000E4B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EU 28</w:t>
            </w:r>
          </w:p>
        </w:tc>
      </w:tr>
      <w:tr w:rsidR="000E4B29" w:rsidRPr="00CC3BEA" w14:paraId="5C990C2D" w14:textId="77777777" w:rsidTr="00472AFB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3668" w14:textId="77777777" w:rsidR="000E4B29" w:rsidRPr="00CC3BEA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Finsko, Rakousko, Švédsko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E4B7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1. 1. 1995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50B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C969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7DA911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ACBEEE7" w14:textId="77777777" w:rsidR="000E4B29" w:rsidRPr="00CC3BEA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4B29" w:rsidRPr="00CC3BEA" w14:paraId="4F616766" w14:textId="77777777" w:rsidTr="00472AFB">
        <w:trPr>
          <w:trHeight w:val="930"/>
        </w:trPr>
        <w:tc>
          <w:tcPr>
            <w:tcW w:w="38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8A4" w14:textId="77777777" w:rsidR="000E4B29" w:rsidRPr="00CC3BEA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Česká republika, Estonsko, Kypr, Litva, Lotyšsko, Maďarsko, Malta, Polsko, Slovensko, Slovinsko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63CF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1. 5. 2004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A2C9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FE7C5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DB2685" w14:textId="77777777" w:rsidR="000E4B29" w:rsidRPr="00CC3BEA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4B29" w:rsidRPr="00CC3BEA" w14:paraId="376A70AB" w14:textId="77777777" w:rsidTr="00472AFB">
        <w:trPr>
          <w:trHeight w:val="255"/>
        </w:trPr>
        <w:tc>
          <w:tcPr>
            <w:tcW w:w="38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9EE7" w14:textId="77777777" w:rsidR="000E4B29" w:rsidRPr="00CC3BEA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Bulharsko, Rumunsko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F583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B6427" w14:textId="77777777" w:rsidR="000E4B29" w:rsidRPr="00CC3BEA" w:rsidRDefault="000E4B29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1CE0388" w14:textId="77777777" w:rsidR="000E4B29" w:rsidRPr="00CC3BEA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4B29" w:rsidRPr="00CC3BEA" w14:paraId="77AE5CF1" w14:textId="77777777" w:rsidTr="00472AFB">
        <w:trPr>
          <w:trHeight w:val="270"/>
        </w:trPr>
        <w:tc>
          <w:tcPr>
            <w:tcW w:w="3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80E" w14:textId="77777777" w:rsidR="000E4B29" w:rsidRPr="00CC3BEA" w:rsidRDefault="00EA3E0B" w:rsidP="00D5293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Chorvatsko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92F2" w14:textId="77777777" w:rsidR="000E4B29" w:rsidRPr="00CC3BEA" w:rsidRDefault="00EA3E0B" w:rsidP="00D529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1. 7. 2013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764127" w14:textId="77777777" w:rsidR="000E4B29" w:rsidRPr="00CC3BEA" w:rsidRDefault="000E4B29" w:rsidP="000E4B2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730796A" w14:textId="6BA91F08" w:rsidR="000E4B29" w:rsidRPr="00CC3BEA" w:rsidRDefault="001C6545" w:rsidP="0034344A">
      <w:pPr>
        <w:rPr>
          <w:rFonts w:ascii="Arial" w:hAnsi="Arial" w:cs="Arial"/>
          <w:bCs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  <w:vertAlign w:val="superscript"/>
        </w:rPr>
        <w:t>1)</w:t>
      </w:r>
      <w:r w:rsidRPr="00CC3BEA">
        <w:rPr>
          <w:rFonts w:ascii="Arial" w:hAnsi="Arial" w:cs="Arial"/>
          <w:bCs/>
          <w:sz w:val="18"/>
          <w:szCs w:val="18"/>
        </w:rPr>
        <w:t xml:space="preserve"> Velká Británie</w:t>
      </w:r>
      <w:r w:rsidR="00181327">
        <w:rPr>
          <w:rFonts w:ascii="Arial" w:hAnsi="Arial" w:cs="Arial"/>
          <w:bCs/>
          <w:sz w:val="18"/>
          <w:szCs w:val="18"/>
        </w:rPr>
        <w:t xml:space="preserve"> a Severní Irsko</w:t>
      </w:r>
      <w:r w:rsidRPr="00CC3BEA">
        <w:rPr>
          <w:rFonts w:ascii="Arial" w:hAnsi="Arial" w:cs="Arial"/>
          <w:bCs/>
          <w:sz w:val="18"/>
          <w:szCs w:val="18"/>
        </w:rPr>
        <w:t xml:space="preserve"> opustil</w:t>
      </w:r>
      <w:r w:rsidR="00E948C4">
        <w:rPr>
          <w:rFonts w:ascii="Arial" w:hAnsi="Arial" w:cs="Arial"/>
          <w:bCs/>
          <w:sz w:val="18"/>
          <w:szCs w:val="18"/>
        </w:rPr>
        <w:t>y</w:t>
      </w:r>
      <w:r w:rsidRPr="00CC3BEA">
        <w:rPr>
          <w:rFonts w:ascii="Arial" w:hAnsi="Arial" w:cs="Arial"/>
          <w:bCs/>
          <w:sz w:val="18"/>
          <w:szCs w:val="18"/>
        </w:rPr>
        <w:t xml:space="preserve"> Evropskou unii 31. 1. 2020</w:t>
      </w:r>
    </w:p>
    <w:p w14:paraId="19AEDF0E" w14:textId="653660E8" w:rsidR="007475B3" w:rsidRPr="00CC3BEA" w:rsidRDefault="007475B3" w:rsidP="00CC3BEA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</w:rPr>
        <w:t xml:space="preserve">V tabulkách jsou uvedena data za EU 27, tj. Evropskou unii </w:t>
      </w:r>
      <w:r w:rsidR="000C659B" w:rsidRPr="00CC3BEA">
        <w:rPr>
          <w:rFonts w:ascii="Arial" w:hAnsi="Arial" w:cs="Arial"/>
          <w:bCs/>
          <w:sz w:val="18"/>
          <w:szCs w:val="18"/>
        </w:rPr>
        <w:t xml:space="preserve">– 27 zemí (od </w:t>
      </w:r>
      <w:r w:rsidRPr="00CC3BEA">
        <w:rPr>
          <w:rFonts w:ascii="Arial" w:hAnsi="Arial" w:cs="Arial"/>
          <w:bCs/>
          <w:sz w:val="18"/>
          <w:szCs w:val="18"/>
        </w:rPr>
        <w:t>roku</w:t>
      </w:r>
      <w:r w:rsidR="000C659B" w:rsidRPr="00CC3BEA">
        <w:rPr>
          <w:rFonts w:ascii="Arial" w:hAnsi="Arial" w:cs="Arial"/>
          <w:bCs/>
          <w:sz w:val="18"/>
          <w:szCs w:val="18"/>
        </w:rPr>
        <w:t xml:space="preserve"> 2020)</w:t>
      </w:r>
      <w:r w:rsidR="005C5FED" w:rsidRPr="00CC3BEA">
        <w:rPr>
          <w:rFonts w:ascii="Arial" w:hAnsi="Arial" w:cs="Arial"/>
          <w:bCs/>
          <w:sz w:val="18"/>
          <w:szCs w:val="18"/>
        </w:rPr>
        <w:t>.</w:t>
      </w:r>
      <w:r w:rsidRPr="00CC3BEA" w:rsidDel="007475B3">
        <w:rPr>
          <w:rFonts w:ascii="Arial" w:hAnsi="Arial" w:cs="Arial"/>
          <w:bCs/>
          <w:sz w:val="18"/>
          <w:szCs w:val="18"/>
        </w:rPr>
        <w:t xml:space="preserve"> </w:t>
      </w:r>
    </w:p>
    <w:p w14:paraId="4B1EB1ED" w14:textId="77777777" w:rsidR="00695E07" w:rsidRPr="00D87E53" w:rsidRDefault="00EA3E0B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b/>
          <w:bCs/>
          <w:sz w:val="18"/>
          <w:szCs w:val="18"/>
        </w:rPr>
        <w:t>Eurozóna 19 (EA 19)</w:t>
      </w:r>
      <w:r w:rsidRPr="00CC3BEA">
        <w:rPr>
          <w:rFonts w:ascii="Arial" w:hAnsi="Arial" w:cs="Arial"/>
          <w:bCs/>
          <w:sz w:val="18"/>
          <w:szCs w:val="18"/>
        </w:rPr>
        <w:t xml:space="preserve"> je území těch členských států Evropské unie, které přijaly euro jako společnou měnu v souladu se „Smlouvou o založení Evropského společenství“. K 1. 1. 2015 má </w:t>
      </w:r>
      <w:r w:rsidR="00AC2E4B" w:rsidRPr="00CC3BEA">
        <w:rPr>
          <w:rFonts w:ascii="Arial" w:hAnsi="Arial" w:cs="Arial"/>
          <w:bCs/>
          <w:sz w:val="18"/>
          <w:szCs w:val="18"/>
        </w:rPr>
        <w:t xml:space="preserve">eurozóna 19 členů. </w:t>
      </w:r>
      <w:r w:rsidR="00AC2E4B" w:rsidRPr="00CC3BEA">
        <w:rPr>
          <w:rFonts w:ascii="Arial" w:hAnsi="Arial" w:cs="Arial"/>
          <w:sz w:val="18"/>
          <w:szCs w:val="18"/>
        </w:rPr>
        <w:t>Následující tabulka poskytuje přehled o </w:t>
      </w:r>
      <w:r w:rsidR="00AC2E4B" w:rsidRPr="00D87E53">
        <w:rPr>
          <w:rFonts w:ascii="Arial" w:hAnsi="Arial" w:cs="Arial"/>
          <w:sz w:val="18"/>
          <w:szCs w:val="18"/>
        </w:rPr>
        <w:t>termínech, kdy země začaly používat</w:t>
      </w:r>
      <w:r w:rsidRPr="00D87E53">
        <w:rPr>
          <w:rFonts w:ascii="Arial" w:hAnsi="Arial" w:cs="Arial"/>
          <w:sz w:val="18"/>
          <w:szCs w:val="18"/>
        </w:rPr>
        <w:t xml:space="preserve"> euro.</w:t>
      </w:r>
    </w:p>
    <w:p w14:paraId="739CBFEA" w14:textId="77777777" w:rsidR="00695E07" w:rsidRPr="00D87E53" w:rsidRDefault="00695E07" w:rsidP="00EB0942">
      <w:pPr>
        <w:rPr>
          <w:rFonts w:ascii="Arial" w:hAnsi="Arial" w:cs="Arial"/>
          <w:sz w:val="18"/>
          <w:szCs w:val="18"/>
        </w:rPr>
      </w:pPr>
    </w:p>
    <w:tbl>
      <w:tblPr>
        <w:tblW w:w="98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34"/>
        <w:gridCol w:w="709"/>
        <w:gridCol w:w="765"/>
        <w:gridCol w:w="851"/>
        <w:gridCol w:w="850"/>
        <w:gridCol w:w="709"/>
        <w:gridCol w:w="851"/>
        <w:gridCol w:w="992"/>
      </w:tblGrid>
      <w:tr w:rsidR="004C06D8" w:rsidRPr="00CC3BEA" w14:paraId="7E7ACFBB" w14:textId="77777777" w:rsidTr="00472AFB">
        <w:trPr>
          <w:trHeight w:val="315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66A6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Země Eurozóny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4D9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72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158ACE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Zkratky seskupení</w:t>
            </w:r>
          </w:p>
        </w:tc>
      </w:tr>
      <w:tr w:rsidR="004C06D8" w:rsidRPr="00CC3BEA" w14:paraId="76065909" w14:textId="77777777" w:rsidTr="00472AFB">
        <w:trPr>
          <w:trHeight w:val="88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4367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Belgie, Finsko, Francie, Irsko, Itálie, Lucembursko, Německo, Nizozemsko, Portugalsko, Rakousko, Řecko, Španělsko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93AA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B60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12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D36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A90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084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20B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736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74A5B7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EA 19</w:t>
            </w:r>
          </w:p>
        </w:tc>
      </w:tr>
      <w:tr w:rsidR="004C06D8" w:rsidRPr="00CC3BEA" w14:paraId="237835CE" w14:textId="77777777" w:rsidTr="00472AFB">
        <w:trPr>
          <w:trHeight w:val="264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C43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Slovinsko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90E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1. 1. 2007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5B86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EA8F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9B5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24F7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D3E6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D4F2ED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474D977D" w14:textId="77777777" w:rsidTr="00472AFB">
        <w:trPr>
          <w:trHeight w:val="264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F328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Kypr, Malta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EC6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5237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0257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8EE8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A492D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2761698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78B4A166" w14:textId="77777777" w:rsidTr="00472AFB">
        <w:trPr>
          <w:trHeight w:val="264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8130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Slovensko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BBB2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1. 1. 2009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6A6A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AAD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D457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3EF11C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7AB00972" w14:textId="77777777" w:rsidTr="00472AFB">
        <w:trPr>
          <w:trHeight w:val="264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B47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Estonsko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3B22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671B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7C43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4BB6C9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02B28CDB" w14:textId="77777777" w:rsidTr="00472AFB">
        <w:trPr>
          <w:trHeight w:val="264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5BF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Lotyšsko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59A0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35C6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63E770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06D8" w:rsidRPr="00CC3BEA" w14:paraId="0F3610E4" w14:textId="77777777" w:rsidTr="00472AFB">
        <w:trPr>
          <w:trHeight w:val="3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6E2" w14:textId="77777777" w:rsidR="004C06D8" w:rsidRPr="00CC3BEA" w:rsidRDefault="00EA3E0B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Litva</w:t>
            </w:r>
          </w:p>
        </w:tc>
        <w:tc>
          <w:tcPr>
            <w:tcW w:w="5869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9DDC" w14:textId="77777777" w:rsidR="004C06D8" w:rsidRPr="00CC3BEA" w:rsidRDefault="00EA3E0B" w:rsidP="004C06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3BEA">
              <w:rPr>
                <w:rFonts w:ascii="Arial" w:hAnsi="Arial" w:cs="Arial"/>
                <w:color w:val="000000"/>
                <w:sz w:val="18"/>
                <w:szCs w:val="18"/>
              </w:rPr>
              <w:t>1. 1. 2015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1BC6A" w14:textId="77777777" w:rsidR="004C06D8" w:rsidRPr="00CC3BEA" w:rsidRDefault="004C06D8" w:rsidP="004C06D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832C143" w14:textId="77777777" w:rsidR="0093673C" w:rsidRPr="00CC3BEA" w:rsidRDefault="0093673C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3E2CF74A" w14:textId="2A7628C8" w:rsidR="00F00E0C" w:rsidRPr="00CC3BEA" w:rsidRDefault="00EA3E0B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</w:rPr>
        <w:t>Pod souhrnným názvem „</w:t>
      </w:r>
      <w:r w:rsidRPr="00CC3BEA">
        <w:rPr>
          <w:rFonts w:ascii="Arial" w:hAnsi="Arial" w:cs="Arial"/>
          <w:b/>
          <w:bCs/>
          <w:sz w:val="18"/>
          <w:szCs w:val="18"/>
        </w:rPr>
        <w:t>Ostatní</w:t>
      </w:r>
      <w:r w:rsidRPr="00CC3BEA">
        <w:rPr>
          <w:rFonts w:ascii="Arial" w:hAnsi="Arial" w:cs="Arial"/>
          <w:bCs/>
          <w:sz w:val="18"/>
          <w:szCs w:val="18"/>
        </w:rPr>
        <w:t>“ jsou tabulky rozšířeny o </w:t>
      </w:r>
      <w:r w:rsidR="00084A30" w:rsidRPr="00CC3BEA">
        <w:rPr>
          <w:rFonts w:ascii="Arial" w:hAnsi="Arial" w:cs="Arial"/>
          <w:bCs/>
          <w:sz w:val="18"/>
          <w:szCs w:val="18"/>
        </w:rPr>
        <w:t>vybrané evropské země</w:t>
      </w:r>
      <w:r w:rsidRPr="00CC3BEA">
        <w:rPr>
          <w:rFonts w:ascii="Arial" w:hAnsi="Arial" w:cs="Arial"/>
          <w:bCs/>
          <w:sz w:val="18"/>
          <w:szCs w:val="18"/>
        </w:rPr>
        <w:t xml:space="preserve"> a </w:t>
      </w:r>
      <w:r w:rsidRPr="00CC3BEA">
        <w:rPr>
          <w:rFonts w:ascii="Arial" w:hAnsi="Arial" w:cs="Arial"/>
          <w:sz w:val="18"/>
          <w:szCs w:val="18"/>
        </w:rPr>
        <w:t>země s vyspělou ekonomikou z jiných kontinentů (Japonsko, Spojené státy), za něž jsou k dispozici srovnatelné údaje</w:t>
      </w:r>
      <w:r w:rsidRPr="00CC3BEA">
        <w:rPr>
          <w:rFonts w:ascii="Arial" w:hAnsi="Arial" w:cs="Arial"/>
          <w:bCs/>
          <w:sz w:val="18"/>
          <w:szCs w:val="18"/>
        </w:rPr>
        <w:t>.</w:t>
      </w:r>
    </w:p>
    <w:p w14:paraId="5E17A474" w14:textId="77777777" w:rsidR="00F00E0C" w:rsidRPr="00D87E53" w:rsidRDefault="00F00E0C" w:rsidP="00D87E53">
      <w:pPr>
        <w:jc w:val="both"/>
        <w:rPr>
          <w:rFonts w:ascii="Arial" w:hAnsi="Arial" w:cs="Arial"/>
          <w:sz w:val="18"/>
          <w:szCs w:val="18"/>
        </w:rPr>
      </w:pPr>
    </w:p>
    <w:p w14:paraId="238AD6BC" w14:textId="77777777" w:rsidR="00F00E0C" w:rsidRPr="00D87E53" w:rsidRDefault="00F00E0C" w:rsidP="00D87E53">
      <w:pPr>
        <w:jc w:val="both"/>
        <w:rPr>
          <w:rFonts w:ascii="Arial" w:hAnsi="Arial" w:cs="Arial"/>
          <w:sz w:val="18"/>
          <w:szCs w:val="18"/>
        </w:rPr>
      </w:pPr>
    </w:p>
    <w:p w14:paraId="4DF9A621" w14:textId="77777777" w:rsidR="00D87E53" w:rsidRPr="008263FD" w:rsidRDefault="00D87E53" w:rsidP="00D87E53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outlineLvl w:val="0"/>
        <w:rPr>
          <w:rFonts w:ascii="Arial" w:hAnsi="Arial" w:cs="Arial"/>
          <w:color w:val="0071BC"/>
        </w:rPr>
      </w:pPr>
      <w:r w:rsidRPr="008263FD">
        <w:rPr>
          <w:rFonts w:ascii="Arial" w:hAnsi="Arial" w:cs="Arial"/>
          <w:b/>
          <w:bCs/>
          <w:color w:val="0071BC"/>
        </w:rPr>
        <w:t>Poznámky k tabulkám</w:t>
      </w:r>
    </w:p>
    <w:p w14:paraId="1D60715A" w14:textId="77777777" w:rsidR="00F00E0C" w:rsidRPr="00D87E53" w:rsidRDefault="00F00E0C" w:rsidP="00D87E53">
      <w:pPr>
        <w:jc w:val="both"/>
        <w:rPr>
          <w:rFonts w:ascii="Arial" w:hAnsi="Arial" w:cs="Arial"/>
          <w:sz w:val="18"/>
          <w:szCs w:val="18"/>
        </w:rPr>
      </w:pPr>
    </w:p>
    <w:p w14:paraId="17E94E55" w14:textId="52186CE4" w:rsidR="004C06D8" w:rsidRPr="00D87E53" w:rsidRDefault="00EA3E0B" w:rsidP="00D87E53">
      <w:pPr>
        <w:jc w:val="both"/>
        <w:rPr>
          <w:rFonts w:ascii="Arial" w:hAnsi="Arial" w:cs="Arial"/>
          <w:b/>
          <w:color w:val="0071BC"/>
        </w:rPr>
      </w:pPr>
      <w:r w:rsidRPr="00D87E53">
        <w:rPr>
          <w:rFonts w:ascii="Arial" w:hAnsi="Arial" w:cs="Arial"/>
          <w:b/>
          <w:color w:val="0071BC"/>
        </w:rPr>
        <w:t xml:space="preserve">Tab. </w:t>
      </w:r>
      <w:r w:rsidR="00EE13A7" w:rsidRPr="00D87E53">
        <w:rPr>
          <w:rFonts w:ascii="Arial" w:hAnsi="Arial" w:cs="Arial"/>
          <w:b/>
          <w:color w:val="0071BC"/>
        </w:rPr>
        <w:t>30</w:t>
      </w:r>
      <w:r w:rsidRPr="00D87E53">
        <w:rPr>
          <w:rFonts w:ascii="Arial" w:hAnsi="Arial" w:cs="Arial"/>
          <w:b/>
          <w:color w:val="0071BC"/>
        </w:rPr>
        <w:t>-1</w:t>
      </w:r>
      <w:r w:rsidR="00D87E53">
        <w:rPr>
          <w:rFonts w:ascii="Arial" w:hAnsi="Arial" w:cs="Arial"/>
          <w:b/>
          <w:color w:val="0071BC"/>
        </w:rPr>
        <w:t xml:space="preserve"> </w:t>
      </w:r>
      <w:r w:rsidRPr="00D87E53">
        <w:rPr>
          <w:rFonts w:ascii="Arial" w:hAnsi="Arial" w:cs="Arial"/>
          <w:b/>
          <w:color w:val="0071BC"/>
        </w:rPr>
        <w:t xml:space="preserve"> Rozloha území, počet obyvatel a přírůstek/úbytek obyvatel v roce </w:t>
      </w:r>
      <w:r w:rsidR="00A70348" w:rsidRPr="00D87E53">
        <w:rPr>
          <w:rFonts w:ascii="Arial" w:hAnsi="Arial" w:cs="Arial"/>
          <w:b/>
          <w:color w:val="0071BC"/>
        </w:rPr>
        <w:t>202</w:t>
      </w:r>
      <w:r w:rsidR="00A70348">
        <w:rPr>
          <w:rFonts w:ascii="Arial" w:hAnsi="Arial" w:cs="Arial"/>
          <w:b/>
          <w:color w:val="0071BC"/>
        </w:rPr>
        <w:t>1</w:t>
      </w:r>
    </w:p>
    <w:p w14:paraId="6C6ED50A" w14:textId="77777777" w:rsidR="00535FE5" w:rsidRPr="00D87E53" w:rsidRDefault="00EA3E0B" w:rsidP="00D87E53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  <w:r w:rsidRPr="00D87E53">
        <w:rPr>
          <w:rFonts w:ascii="Arial" w:hAnsi="Arial" w:cs="Arial"/>
          <w:iCs/>
          <w:sz w:val="18"/>
          <w:szCs w:val="18"/>
        </w:rPr>
        <w:t>Celková rozloha je uvedena včetně vnitrozemských vod a vyjádřena v km</w:t>
      </w:r>
      <w:r w:rsidRPr="00D87E53">
        <w:rPr>
          <w:rFonts w:ascii="Arial" w:hAnsi="Arial" w:cs="Arial"/>
          <w:iCs/>
          <w:sz w:val="18"/>
          <w:szCs w:val="18"/>
          <w:vertAlign w:val="superscript"/>
        </w:rPr>
        <w:t>2</w:t>
      </w:r>
      <w:r w:rsidRPr="00D87E53">
        <w:rPr>
          <w:rFonts w:ascii="Arial" w:hAnsi="Arial" w:cs="Arial"/>
          <w:iCs/>
          <w:sz w:val="18"/>
          <w:szCs w:val="18"/>
        </w:rPr>
        <w:t xml:space="preserve">. Průměrný počet obyvatel je vypočítán jako aritmetický průměr počtu obyvatel k 1. lednu dvou po sobě následujících let. </w:t>
      </w:r>
    </w:p>
    <w:p w14:paraId="72EFC961" w14:textId="77777777" w:rsidR="00184D69" w:rsidRPr="00BF6C96" w:rsidRDefault="00EA3E0B" w:rsidP="00DD7E38">
      <w:pPr>
        <w:widowControl/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>Přirozený přírůstek/úbytek na 1 000 obyvatel je poměr přirozeného přírůstku/úbytku během roku (živě narození minus zemřelí) k průměrnému počtu obyvatel v daném roce. Přirozený přírůstek nastane, když je počet živě narozených vyšší než počet zemřelých. K</w:t>
      </w:r>
      <w:r w:rsidR="00397A12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 xml:space="preserve">přirozenému úbytku dochází, když je živě narozených méně než zemřelých. Celkový přírůstek/úbytek na 1 000 </w:t>
      </w:r>
      <w:r w:rsidRPr="00BF6C96">
        <w:rPr>
          <w:rFonts w:ascii="Arial" w:hAnsi="Arial" w:cs="Arial"/>
          <w:sz w:val="18"/>
          <w:szCs w:val="18"/>
        </w:rPr>
        <w:lastRenderedPageBreak/>
        <w:t>obyvatel je poměr přírůstku/úbytku</w:t>
      </w:r>
      <w:r w:rsidR="00102C21" w:rsidRPr="00BF6C96">
        <w:rPr>
          <w:rFonts w:ascii="Arial" w:hAnsi="Arial" w:cs="Arial"/>
          <w:sz w:val="18"/>
          <w:szCs w:val="18"/>
        </w:rPr>
        <w:t xml:space="preserve"> obyvatel</w:t>
      </w:r>
      <w:r w:rsidRPr="00BF6C96">
        <w:rPr>
          <w:rFonts w:ascii="Arial" w:hAnsi="Arial" w:cs="Arial"/>
          <w:sz w:val="18"/>
          <w:szCs w:val="18"/>
        </w:rPr>
        <w:t xml:space="preserve"> během roku k průměrnému počtu obyvatel v daném roce. Přírůstek/úbytek obyvatel se skládá z přirozeného přírůstku/úbytku a</w:t>
      </w:r>
      <w:r w:rsidR="00397A12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 xml:space="preserve">přírůstku/úbytku stěhováním. </w:t>
      </w:r>
    </w:p>
    <w:p w14:paraId="740D8C0A" w14:textId="77777777" w:rsidR="00184D69" w:rsidRPr="00BF6C96" w:rsidRDefault="00184D69" w:rsidP="00D5789D">
      <w:pPr>
        <w:jc w:val="both"/>
        <w:rPr>
          <w:rFonts w:ascii="Arial" w:hAnsi="Arial" w:cs="Arial"/>
          <w:iCs/>
          <w:sz w:val="18"/>
          <w:szCs w:val="18"/>
        </w:rPr>
      </w:pPr>
    </w:p>
    <w:p w14:paraId="46C25AF0" w14:textId="77777777" w:rsidR="00184D69" w:rsidRPr="00BF6C96" w:rsidRDefault="00184D69" w:rsidP="00D5789D">
      <w:pPr>
        <w:jc w:val="both"/>
        <w:rPr>
          <w:rFonts w:ascii="Arial" w:hAnsi="Arial" w:cs="Arial"/>
          <w:iCs/>
          <w:sz w:val="18"/>
          <w:szCs w:val="18"/>
        </w:rPr>
      </w:pPr>
    </w:p>
    <w:p w14:paraId="2927740B" w14:textId="0951104D" w:rsidR="00184D69" w:rsidRPr="00E85948" w:rsidRDefault="00ED75AF" w:rsidP="00D87E53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-2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HDP na 1 obyvatele ve standardech kupní síly (PPS)</w:t>
      </w:r>
    </w:p>
    <w:p w14:paraId="699B8F14" w14:textId="3DBCDD43" w:rsidR="00241138" w:rsidRPr="00D87E53" w:rsidRDefault="00ED75AF" w:rsidP="004467C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87E53">
        <w:rPr>
          <w:rFonts w:ascii="Arial" w:hAnsi="Arial" w:cs="Arial"/>
          <w:sz w:val="18"/>
          <w:szCs w:val="18"/>
        </w:rPr>
        <w:t>Hrubý domácí produkt (HDP) je měřítkem ekonomické výkonnosti. Je definován jako hodnota veškerého vyrobeného zboží a služeb minus hodnota jakéhokoliv zboží a služeb použitých při jejich tvorbě. Objemový index HDP na obyvatele vyjádřený ve standardech kupní síly je vyjádřen ve vztahu k</w:t>
      </w:r>
      <w:r w:rsidR="002013B3" w:rsidRPr="00D87E53">
        <w:rPr>
          <w:rFonts w:ascii="Arial" w:hAnsi="Arial" w:cs="Arial"/>
          <w:sz w:val="18"/>
          <w:szCs w:val="18"/>
        </w:rPr>
        <w:t> </w:t>
      </w:r>
      <w:r w:rsidRPr="00D87E53">
        <w:rPr>
          <w:rFonts w:ascii="Arial" w:hAnsi="Arial" w:cs="Arial"/>
          <w:sz w:val="18"/>
          <w:szCs w:val="18"/>
        </w:rPr>
        <w:t>průměru</w:t>
      </w:r>
      <w:r w:rsidR="002013B3" w:rsidRPr="00D87E53">
        <w:rPr>
          <w:rFonts w:ascii="Arial" w:hAnsi="Arial" w:cs="Arial"/>
          <w:sz w:val="18"/>
          <w:szCs w:val="18"/>
        </w:rPr>
        <w:t xml:space="preserve"> Evropské Unie</w:t>
      </w:r>
      <w:r w:rsidRPr="00D87E53">
        <w:rPr>
          <w:rFonts w:ascii="Arial" w:hAnsi="Arial" w:cs="Arial"/>
          <w:sz w:val="18"/>
          <w:szCs w:val="18"/>
        </w:rPr>
        <w:t xml:space="preserve">, který je roven 100. Pokud je index za určitou zemi vyšší než 100, znamená to, že HDP na obyvatele této země je vyšší než průměr EU a naopak. </w:t>
      </w:r>
      <w:r w:rsidR="00A4294D" w:rsidRPr="00D87E53">
        <w:rPr>
          <w:rFonts w:ascii="Arial" w:hAnsi="Arial" w:cs="Arial"/>
          <w:sz w:val="18"/>
          <w:szCs w:val="18"/>
        </w:rPr>
        <w:t>Základní ú</w:t>
      </w:r>
      <w:r w:rsidRPr="00D87E53">
        <w:rPr>
          <w:rFonts w:ascii="Arial" w:hAnsi="Arial" w:cs="Arial"/>
          <w:sz w:val="18"/>
          <w:szCs w:val="18"/>
        </w:rPr>
        <w:t>daje se uvádějí ve standardu kupní síly – společné měně, která stírá rozdíly v cenových hladinách mezi zeměmi a umožňuje tak</w:t>
      </w:r>
      <w:r w:rsidR="00B75248" w:rsidRPr="00D87E53">
        <w:rPr>
          <w:rFonts w:ascii="Arial" w:hAnsi="Arial" w:cs="Arial"/>
          <w:sz w:val="18"/>
          <w:szCs w:val="18"/>
        </w:rPr>
        <w:t xml:space="preserve"> smysluplná</w:t>
      </w:r>
      <w:r w:rsidRPr="00D87E53">
        <w:rPr>
          <w:rFonts w:ascii="Arial" w:hAnsi="Arial" w:cs="Arial"/>
          <w:sz w:val="18"/>
          <w:szCs w:val="18"/>
        </w:rPr>
        <w:t xml:space="preserve"> objemová srovnání HDP mezi jednotlivými zeměmi. Upozornění: index </w:t>
      </w:r>
      <w:r w:rsidR="00321C20" w:rsidRPr="00D87E53">
        <w:rPr>
          <w:rFonts w:ascii="Arial" w:hAnsi="Arial" w:cs="Arial"/>
          <w:sz w:val="18"/>
          <w:szCs w:val="18"/>
        </w:rPr>
        <w:t>vypočítaný z hodnot ve standardech kupní síly a</w:t>
      </w:r>
      <w:r w:rsidR="004467CB">
        <w:rPr>
          <w:rFonts w:ascii="Arial" w:hAnsi="Arial" w:cs="Arial"/>
          <w:sz w:val="18"/>
          <w:szCs w:val="18"/>
        </w:rPr>
        <w:t> </w:t>
      </w:r>
      <w:r w:rsidR="00321C20" w:rsidRPr="00D87E53">
        <w:rPr>
          <w:rFonts w:ascii="Arial" w:hAnsi="Arial" w:cs="Arial"/>
          <w:sz w:val="18"/>
          <w:szCs w:val="18"/>
        </w:rPr>
        <w:t xml:space="preserve">vyjádřený </w:t>
      </w:r>
      <w:r w:rsidR="00C4108F" w:rsidRPr="00D87E53">
        <w:rPr>
          <w:rFonts w:ascii="Arial" w:hAnsi="Arial" w:cs="Arial"/>
          <w:sz w:val="18"/>
          <w:szCs w:val="18"/>
        </w:rPr>
        <w:t xml:space="preserve">ve vztahu k EU 27_2020 = 100 </w:t>
      </w:r>
      <w:r w:rsidRPr="00D87E53">
        <w:rPr>
          <w:rFonts w:ascii="Arial" w:hAnsi="Arial" w:cs="Arial"/>
          <w:sz w:val="18"/>
          <w:szCs w:val="18"/>
        </w:rPr>
        <w:t>se hodí pro srovnání zemí, nikoliv pro porovnávání v čase.</w:t>
      </w:r>
    </w:p>
    <w:p w14:paraId="0FCCDE3E" w14:textId="282EB7EB" w:rsidR="00241138" w:rsidRDefault="00241138" w:rsidP="00D87E53">
      <w:pPr>
        <w:jc w:val="both"/>
        <w:rPr>
          <w:rFonts w:ascii="Arial" w:hAnsi="Arial" w:cs="Arial"/>
          <w:sz w:val="18"/>
          <w:szCs w:val="18"/>
        </w:rPr>
      </w:pPr>
    </w:p>
    <w:p w14:paraId="235273C9" w14:textId="77777777" w:rsidR="00BF6C96" w:rsidRPr="00D87E53" w:rsidRDefault="00BF6C96" w:rsidP="00D87E53">
      <w:pPr>
        <w:jc w:val="both"/>
        <w:rPr>
          <w:rFonts w:ascii="Arial" w:hAnsi="Arial" w:cs="Arial"/>
          <w:sz w:val="18"/>
          <w:szCs w:val="18"/>
        </w:rPr>
      </w:pPr>
    </w:p>
    <w:p w14:paraId="7E05D69C" w14:textId="264FFC5D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-3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růstu reálného HDP</w:t>
      </w:r>
    </w:p>
    <w:p w14:paraId="41072132" w14:textId="77777777" w:rsidR="00241138" w:rsidRPr="00BF6C96" w:rsidRDefault="00ED75AF" w:rsidP="00BF6C9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 xml:space="preserve">Výpočet roční míry růstu objemu HDP dovoluje srovnání dynamiky hospodářského vývoje jak v čase, tak i mezi různě velkými zeměmi. Pro měření míry růstu objemu HDP je HDP v běžných cenách vyjádřen v cenách předchozího roku a takto vypočítané </w:t>
      </w:r>
      <w:r w:rsidR="004B42BC" w:rsidRPr="00BF6C96">
        <w:rPr>
          <w:rFonts w:ascii="Arial" w:hAnsi="Arial" w:cs="Arial"/>
          <w:sz w:val="18"/>
          <w:szCs w:val="18"/>
        </w:rPr>
        <w:t xml:space="preserve">změny </w:t>
      </w:r>
      <w:r w:rsidRPr="00BF6C96">
        <w:rPr>
          <w:rFonts w:ascii="Arial" w:hAnsi="Arial" w:cs="Arial"/>
          <w:sz w:val="18"/>
          <w:szCs w:val="18"/>
        </w:rPr>
        <w:t>objemu jsou vztaženy k úrovni referenčního roku, což se nazývá zřetězená řada. To znamená, že pohyby cen nebudou zvyšovat míru růstu.</w:t>
      </w:r>
    </w:p>
    <w:p w14:paraId="49916530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69E3BD19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60DA600A" w14:textId="114FC6AA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-4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Reálná produktivita práce na 1 zaměstnanou osobu</w:t>
      </w:r>
    </w:p>
    <w:p w14:paraId="34A3586B" w14:textId="0E1651C1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Produktivita práce se měří jako podíl HDP (hrubý domácí produkt, zřetězené objemy, referenční rok </w:t>
      </w:r>
      <w:r w:rsidR="00701DCB" w:rsidRPr="00CC3BEA">
        <w:rPr>
          <w:rFonts w:ascii="Arial" w:hAnsi="Arial" w:cs="Arial"/>
          <w:sz w:val="18"/>
          <w:szCs w:val="18"/>
        </w:rPr>
        <w:t>201</w:t>
      </w:r>
      <w:r w:rsidR="00701DCB">
        <w:rPr>
          <w:rFonts w:ascii="Arial" w:hAnsi="Arial" w:cs="Arial"/>
          <w:sz w:val="18"/>
          <w:szCs w:val="18"/>
        </w:rPr>
        <w:t>5</w:t>
      </w:r>
      <w:r w:rsidRPr="00CC3BEA">
        <w:rPr>
          <w:rFonts w:ascii="Arial" w:hAnsi="Arial" w:cs="Arial"/>
          <w:sz w:val="18"/>
          <w:szCs w:val="18"/>
        </w:rPr>
        <w:t xml:space="preserve">, ve standardech kupní síly) na zaměstnanou osobu (celková zaměstnanost, všechna odvětví, </w:t>
      </w:r>
      <w:r w:rsidR="00466C19" w:rsidRPr="00CC3BEA">
        <w:rPr>
          <w:rFonts w:ascii="Arial" w:hAnsi="Arial" w:cs="Arial"/>
          <w:sz w:val="18"/>
          <w:szCs w:val="18"/>
        </w:rPr>
        <w:t>v osobách</w:t>
      </w:r>
      <w:r w:rsidRPr="00CC3BEA">
        <w:rPr>
          <w:rFonts w:ascii="Arial" w:hAnsi="Arial" w:cs="Arial"/>
          <w:sz w:val="18"/>
          <w:szCs w:val="18"/>
        </w:rPr>
        <w:t xml:space="preserve">). Zaměstnaná osoba na plný nebo částečný úvazek se zde nerozlišuje. </w:t>
      </w:r>
    </w:p>
    <w:p w14:paraId="7983D337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514AD6B9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3F1C46DB" w14:textId="77777777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-5. Hrubý dluh vládních institucí</w:t>
      </w:r>
    </w:p>
    <w:p w14:paraId="3AD71C9F" w14:textId="07569BB8" w:rsidR="00241138" w:rsidRPr="00BF6C96" w:rsidRDefault="00ED75AF" w:rsidP="00BF6C9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 xml:space="preserve">Hrubý dluh vládních institucí je definován v Maastrichtské smlouvě jako konsolidovaný hrubý dluh vládních institucí v nominální </w:t>
      </w:r>
      <w:r w:rsidR="00AA2886" w:rsidRPr="00BF6C96">
        <w:rPr>
          <w:rFonts w:ascii="Arial" w:hAnsi="Arial" w:cs="Arial"/>
          <w:sz w:val="18"/>
          <w:szCs w:val="18"/>
        </w:rPr>
        <w:t xml:space="preserve">(jmenovité) </w:t>
      </w:r>
      <w:r w:rsidRPr="00BF6C96">
        <w:rPr>
          <w:rFonts w:ascii="Arial" w:hAnsi="Arial" w:cs="Arial"/>
          <w:sz w:val="18"/>
          <w:szCs w:val="18"/>
        </w:rPr>
        <w:t>hodnotě, nesplacený na konci roku v následujících kategoriích vládních závazků (dle definice v</w:t>
      </w:r>
      <w:r w:rsidR="00A1584B" w:rsidRPr="00BF6C96">
        <w:rPr>
          <w:rFonts w:ascii="Arial" w:hAnsi="Arial" w:cs="Arial"/>
          <w:sz w:val="18"/>
          <w:szCs w:val="18"/>
        </w:rPr>
        <w:t> </w:t>
      </w:r>
      <w:r w:rsidR="00146745" w:rsidRPr="00BF6C96">
        <w:rPr>
          <w:rFonts w:ascii="Arial" w:hAnsi="Arial" w:cs="Arial"/>
          <w:sz w:val="18"/>
          <w:szCs w:val="18"/>
        </w:rPr>
        <w:t>klasifikaci</w:t>
      </w:r>
      <w:r w:rsidRPr="00BF6C96">
        <w:rPr>
          <w:rFonts w:ascii="Arial" w:hAnsi="Arial" w:cs="Arial"/>
          <w:sz w:val="18"/>
          <w:szCs w:val="18"/>
        </w:rPr>
        <w:t xml:space="preserve"> ESA 2010): oběživo a vklady, </w:t>
      </w:r>
      <w:r w:rsidR="004D3B39" w:rsidRPr="00BF6C96">
        <w:rPr>
          <w:rFonts w:ascii="Arial" w:hAnsi="Arial" w:cs="Arial"/>
          <w:sz w:val="18"/>
          <w:szCs w:val="18"/>
        </w:rPr>
        <w:t xml:space="preserve">dluhové </w:t>
      </w:r>
      <w:r w:rsidRPr="00BF6C96">
        <w:rPr>
          <w:rFonts w:ascii="Arial" w:hAnsi="Arial" w:cs="Arial"/>
          <w:sz w:val="18"/>
          <w:szCs w:val="18"/>
        </w:rPr>
        <w:t xml:space="preserve">cenné papíry a půjčky. Sektor vládních institucí </w:t>
      </w:r>
      <w:r w:rsidR="0002687F" w:rsidRPr="00BF6C96">
        <w:rPr>
          <w:rFonts w:ascii="Arial" w:hAnsi="Arial" w:cs="Arial"/>
          <w:sz w:val="18"/>
          <w:szCs w:val="18"/>
        </w:rPr>
        <w:t xml:space="preserve">se skládá z následujících </w:t>
      </w:r>
      <w:proofErr w:type="spellStart"/>
      <w:r w:rsidR="0002687F" w:rsidRPr="00BF6C96">
        <w:rPr>
          <w:rFonts w:ascii="Arial" w:hAnsi="Arial" w:cs="Arial"/>
          <w:sz w:val="18"/>
          <w:szCs w:val="18"/>
        </w:rPr>
        <w:t>subsektorů</w:t>
      </w:r>
      <w:proofErr w:type="spellEnd"/>
      <w:r w:rsidR="0002687F" w:rsidRPr="00BF6C96">
        <w:rPr>
          <w:rFonts w:ascii="Arial" w:hAnsi="Arial" w:cs="Arial"/>
          <w:sz w:val="18"/>
          <w:szCs w:val="18"/>
        </w:rPr>
        <w:t>:</w:t>
      </w:r>
      <w:r w:rsidRPr="00BF6C96">
        <w:rPr>
          <w:rFonts w:ascii="Arial" w:hAnsi="Arial" w:cs="Arial"/>
          <w:sz w:val="18"/>
          <w:szCs w:val="18"/>
        </w:rPr>
        <w:t xml:space="preserve"> ústředních vládních institucí, národních vládních institucí, místních vládních institucí a fond</w:t>
      </w:r>
      <w:r w:rsidR="0002687F" w:rsidRPr="00BF6C96">
        <w:rPr>
          <w:rFonts w:ascii="Arial" w:hAnsi="Arial" w:cs="Arial"/>
          <w:sz w:val="18"/>
          <w:szCs w:val="18"/>
        </w:rPr>
        <w:t>ů</w:t>
      </w:r>
      <w:r w:rsidRPr="00BF6C96">
        <w:rPr>
          <w:rFonts w:ascii="Arial" w:hAnsi="Arial" w:cs="Arial"/>
          <w:sz w:val="18"/>
          <w:szCs w:val="18"/>
        </w:rPr>
        <w:t xml:space="preserve"> sociálního zabezpečení. </w:t>
      </w:r>
    </w:p>
    <w:p w14:paraId="6971CA2A" w14:textId="77777777" w:rsidR="00241138" w:rsidRPr="00BF6C96" w:rsidRDefault="00241138" w:rsidP="00BF6C96">
      <w:pPr>
        <w:jc w:val="both"/>
        <w:rPr>
          <w:rFonts w:ascii="Arial" w:hAnsi="Arial" w:cs="Arial"/>
          <w:bCs/>
          <w:sz w:val="18"/>
          <w:szCs w:val="18"/>
        </w:rPr>
      </w:pPr>
    </w:p>
    <w:p w14:paraId="4D659542" w14:textId="77777777" w:rsidR="00241138" w:rsidRPr="00BF6C96" w:rsidRDefault="00241138" w:rsidP="00BF6C96">
      <w:pPr>
        <w:jc w:val="both"/>
        <w:rPr>
          <w:rFonts w:ascii="Arial" w:hAnsi="Arial" w:cs="Arial"/>
          <w:bCs/>
          <w:sz w:val="18"/>
          <w:szCs w:val="18"/>
        </w:rPr>
      </w:pPr>
    </w:p>
    <w:p w14:paraId="4D1BE350" w14:textId="5C2A3F2C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-6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Hrubé domácí výdaje na výzkum a vývoj (GERD)</w:t>
      </w:r>
    </w:p>
    <w:p w14:paraId="1FA69D6A" w14:textId="5EAF299F" w:rsidR="003D1516" w:rsidRPr="00CC3BEA" w:rsidRDefault="004521EB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521EB">
        <w:rPr>
          <w:rFonts w:ascii="Arial" w:hAnsi="Arial" w:cs="Arial"/>
          <w:sz w:val="18"/>
          <w:szCs w:val="18"/>
        </w:rPr>
        <w:t>Výzkum a vývoj (</w:t>
      </w:r>
      <w:proofErr w:type="spellStart"/>
      <w:r w:rsidRPr="004521EB">
        <w:rPr>
          <w:rFonts w:ascii="Arial" w:hAnsi="Arial" w:cs="Arial"/>
          <w:sz w:val="18"/>
          <w:szCs w:val="18"/>
        </w:rPr>
        <w:t>VaV</w:t>
      </w:r>
      <w:proofErr w:type="spellEnd"/>
      <w:r w:rsidRPr="004521EB">
        <w:rPr>
          <w:rFonts w:ascii="Arial" w:hAnsi="Arial" w:cs="Arial"/>
          <w:sz w:val="18"/>
          <w:szCs w:val="18"/>
        </w:rPr>
        <w:t>) je systematická tvůrčí práce konaná za účelem rozšíření stávajícího poznání, včetně poznání člověka, kultury a společnosti, získání nových znalostí nebo jejich využití v praxi, a to metodami, které umožňují potvrzení, doplnění či vyvrácení získaných poznatků</w:t>
      </w:r>
      <w:r w:rsidR="0006717C" w:rsidRPr="0006717C">
        <w:rPr>
          <w:rFonts w:ascii="Arial" w:hAnsi="Arial" w:cs="Arial"/>
          <w:sz w:val="18"/>
          <w:szCs w:val="18"/>
        </w:rPr>
        <w:t>. Výdaje na výzkum a vývoj zahrnují veškeré výdaje na výzkum a vývoj prováděný v rámci podnikatelského sektoru (BERD) na území státu v daném období bez ohledu na zdroj finančních prostředků. Výdaje na výzkum a vývoj v BERD jsou uvedeny jako procento HDP (intenzita výzkumu a vývoje).</w:t>
      </w:r>
      <w:r w:rsidR="00ED75AF" w:rsidRPr="00CC3BEA">
        <w:rPr>
          <w:rFonts w:ascii="Arial" w:hAnsi="Arial" w:cs="Arial"/>
          <w:sz w:val="18"/>
          <w:szCs w:val="18"/>
        </w:rPr>
        <w:t xml:space="preserve"> </w:t>
      </w:r>
    </w:p>
    <w:p w14:paraId="55F1A9D9" w14:textId="77777777" w:rsidR="00241138" w:rsidRPr="00CC3BEA" w:rsidRDefault="00241138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330DC878" w14:textId="77777777" w:rsidR="00D30D88" w:rsidRPr="00CC3BEA" w:rsidRDefault="00D30D88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32D066E1" w14:textId="62A574D7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-7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inflace</w:t>
      </w:r>
    </w:p>
    <w:p w14:paraId="0007A3ED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Průměrná roční míra změny Harmonizovan</w:t>
      </w:r>
      <w:r w:rsidR="00E66782" w:rsidRPr="00CC3BEA">
        <w:rPr>
          <w:rFonts w:ascii="Arial" w:hAnsi="Arial" w:cs="Arial"/>
          <w:sz w:val="18"/>
          <w:szCs w:val="18"/>
        </w:rPr>
        <w:t>ých</w:t>
      </w:r>
      <w:r w:rsidRPr="00CC3BEA">
        <w:rPr>
          <w:rFonts w:ascii="Arial" w:hAnsi="Arial" w:cs="Arial"/>
          <w:sz w:val="18"/>
          <w:szCs w:val="18"/>
        </w:rPr>
        <w:t xml:space="preserve"> index</w:t>
      </w:r>
      <w:r w:rsidR="00E66782" w:rsidRPr="00CC3BEA">
        <w:rPr>
          <w:rFonts w:ascii="Arial" w:hAnsi="Arial" w:cs="Arial"/>
          <w:sz w:val="18"/>
          <w:szCs w:val="18"/>
        </w:rPr>
        <w:t>ů</w:t>
      </w:r>
      <w:r w:rsidRPr="00CC3BEA">
        <w:rPr>
          <w:rFonts w:ascii="Arial" w:hAnsi="Arial" w:cs="Arial"/>
          <w:sz w:val="18"/>
          <w:szCs w:val="18"/>
        </w:rPr>
        <w:t xml:space="preserve"> spotřebitelských cen (HICP). Harmonizované indexy spotřebitelských cen jsou vytvořeny pro mezinárodní srovnání inflace spotřebitelských cen. HICP využívá např. Evropská centrální banka ke sledování inflace v Hospodářské a měnové unii a k odhadu sbližování inflace, jak je vyžadováno Článkem 121 Amsterodamské smlouvy. Pro Spojené státy a Japonsko jsou v tabulce využity národní indexy spotřebitelských cen.</w:t>
      </w:r>
    </w:p>
    <w:p w14:paraId="40287AF0" w14:textId="77777777" w:rsidR="00241138" w:rsidRPr="00CC3BEA" w:rsidRDefault="00241138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6C0119BC" w14:textId="77777777" w:rsidR="00241138" w:rsidRPr="00CC3BEA" w:rsidRDefault="00241138" w:rsidP="00CC3BEA">
      <w:pPr>
        <w:jc w:val="both"/>
        <w:rPr>
          <w:rFonts w:ascii="Arial" w:hAnsi="Arial" w:cs="Arial"/>
          <w:bCs/>
          <w:sz w:val="18"/>
          <w:szCs w:val="18"/>
        </w:rPr>
      </w:pPr>
    </w:p>
    <w:p w14:paraId="014532E4" w14:textId="54097AE9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-8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Komparativní cenové hladiny</w:t>
      </w:r>
    </w:p>
    <w:p w14:paraId="56BE1664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Komparativní cenové hladiny konečné spotřeby soukromých domácností včetně nepřímých daní. </w:t>
      </w:r>
      <w:r w:rsidR="003062FA" w:rsidRPr="00CC3BEA">
        <w:rPr>
          <w:rFonts w:ascii="Arial" w:hAnsi="Arial" w:cs="Arial"/>
          <w:sz w:val="18"/>
          <w:szCs w:val="18"/>
        </w:rPr>
        <w:t>Upozorňujeme, že v tomto ukaz</w:t>
      </w:r>
      <w:r w:rsidR="00A40BB2" w:rsidRPr="00CC3BEA">
        <w:rPr>
          <w:rFonts w:ascii="Arial" w:hAnsi="Arial" w:cs="Arial"/>
          <w:sz w:val="18"/>
          <w:szCs w:val="18"/>
        </w:rPr>
        <w:t>ateli došlo ke změně</w:t>
      </w:r>
      <w:r w:rsidR="00E623C6" w:rsidRPr="00CC3BEA">
        <w:rPr>
          <w:rFonts w:ascii="Arial" w:hAnsi="Arial" w:cs="Arial"/>
          <w:sz w:val="18"/>
          <w:szCs w:val="18"/>
        </w:rPr>
        <w:t xml:space="preserve"> - </w:t>
      </w:r>
      <w:r w:rsidR="00A40BB2" w:rsidRPr="00CC3BEA">
        <w:rPr>
          <w:rFonts w:ascii="Arial" w:hAnsi="Arial" w:cs="Arial"/>
          <w:sz w:val="18"/>
          <w:szCs w:val="18"/>
        </w:rPr>
        <w:t xml:space="preserve">údaje jsou vyjádřeny ve vztahu k EU 27_2020 = 100. Nejsou tedy srovnatelné s dříve publikovanými údaji. </w:t>
      </w:r>
      <w:r w:rsidRPr="00CC3BEA">
        <w:rPr>
          <w:rFonts w:ascii="Arial" w:hAnsi="Arial" w:cs="Arial"/>
          <w:sz w:val="18"/>
          <w:szCs w:val="18"/>
        </w:rPr>
        <w:t>Komparativní cenové hladiny jsou poměry mezi paritami kupní síly a devizovými kurzy každé země. Paritou kupní síly je poměr měnové konverze, který přepočítává hodnoty ekonomických ukazatelů, vyjádřené v domácí měně, na měnu společnou, která se nazývá standard kupní síly (PPS). Vyrovnáním kupní síly různých národních měn umožňuje tento standard</w:t>
      </w:r>
      <w:r w:rsidR="00F14519" w:rsidRPr="00CC3BEA">
        <w:rPr>
          <w:rFonts w:ascii="Arial" w:hAnsi="Arial" w:cs="Arial"/>
          <w:sz w:val="18"/>
          <w:szCs w:val="18"/>
        </w:rPr>
        <w:t xml:space="preserve"> smysluplné</w:t>
      </w:r>
      <w:r w:rsidRPr="00CC3BEA">
        <w:rPr>
          <w:rFonts w:ascii="Arial" w:hAnsi="Arial" w:cs="Arial"/>
          <w:sz w:val="18"/>
          <w:szCs w:val="18"/>
        </w:rPr>
        <w:t xml:space="preserve"> srovnání ukazatelů mezi jednotlivými státy. Poměr je koncipován vzhledem k průměru EU (EU 2</w:t>
      </w:r>
      <w:r w:rsidR="00C201B5" w:rsidRPr="00CC3BEA">
        <w:rPr>
          <w:rFonts w:ascii="Arial" w:hAnsi="Arial" w:cs="Arial"/>
          <w:sz w:val="18"/>
          <w:szCs w:val="18"/>
        </w:rPr>
        <w:t>7_2020</w:t>
      </w:r>
      <w:r w:rsidRPr="00CC3BEA">
        <w:rPr>
          <w:rFonts w:ascii="Arial" w:hAnsi="Arial" w:cs="Arial"/>
          <w:sz w:val="18"/>
          <w:szCs w:val="18"/>
        </w:rPr>
        <w:t> = 100). Pokud je tento poměr za určitou zemi vyšší/nižší než 100, znamená to, že daná země je relativně dražší/levnější než průměr EU.</w:t>
      </w:r>
    </w:p>
    <w:p w14:paraId="556DD1B2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71127706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6C6D0774" w14:textId="13147030" w:rsidR="00241138" w:rsidRPr="00E85948" w:rsidRDefault="00ED75AF" w:rsidP="00DD7E38">
      <w:pPr>
        <w:keepNext/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-9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zaměstnanosti</w:t>
      </w:r>
    </w:p>
    <w:p w14:paraId="2DC3EB19" w14:textId="77777777" w:rsidR="00A9582A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Míra zaměstnanosti je vypočítána vydělením počtu zaměstnaných osob ve věku 15 a více let počtem všech osob v této věkové skupině. Ukazatel je založen na Výběrov</w:t>
      </w:r>
      <w:r w:rsidR="008C2B25" w:rsidRPr="00CC3BEA">
        <w:rPr>
          <w:rFonts w:ascii="Arial" w:hAnsi="Arial" w:cs="Arial"/>
          <w:sz w:val="18"/>
          <w:szCs w:val="18"/>
        </w:rPr>
        <w:t>ém</w:t>
      </w:r>
      <w:r w:rsidRPr="00CC3BEA">
        <w:rPr>
          <w:rFonts w:ascii="Arial" w:hAnsi="Arial" w:cs="Arial"/>
          <w:sz w:val="18"/>
          <w:szCs w:val="18"/>
        </w:rPr>
        <w:t xml:space="preserve"> šetření pracovních sil EU. </w:t>
      </w:r>
    </w:p>
    <w:p w14:paraId="501EDE98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4B4E561E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174AA221" w14:textId="05B8D54C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-10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nezaměstnanosti</w:t>
      </w:r>
    </w:p>
    <w:p w14:paraId="253A8EAD" w14:textId="5AFFB070" w:rsidR="0076245B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Mír</w:t>
      </w:r>
      <w:r w:rsidR="00AF187A" w:rsidRPr="00CC3BEA">
        <w:rPr>
          <w:rFonts w:ascii="Arial" w:hAnsi="Arial" w:cs="Arial"/>
          <w:sz w:val="18"/>
          <w:szCs w:val="18"/>
        </w:rPr>
        <w:t>y</w:t>
      </w:r>
      <w:r w:rsidRPr="00CC3BEA">
        <w:rPr>
          <w:rFonts w:ascii="Arial" w:hAnsi="Arial" w:cs="Arial"/>
          <w:sz w:val="18"/>
          <w:szCs w:val="18"/>
        </w:rPr>
        <w:t xml:space="preserve"> nezaměstnanosti představuj</w:t>
      </w:r>
      <w:r w:rsidR="00AF187A" w:rsidRPr="00CC3BEA">
        <w:rPr>
          <w:rFonts w:ascii="Arial" w:hAnsi="Arial" w:cs="Arial"/>
          <w:sz w:val="18"/>
          <w:szCs w:val="18"/>
        </w:rPr>
        <w:t>í</w:t>
      </w:r>
      <w:r w:rsidRPr="00CC3BEA">
        <w:rPr>
          <w:rFonts w:ascii="Arial" w:hAnsi="Arial" w:cs="Arial"/>
          <w:sz w:val="18"/>
          <w:szCs w:val="18"/>
        </w:rPr>
        <w:t xml:space="preserve"> nezaměstnané osoby jako procentní podíl z pracovní síly. Pracovní síla je celkový počet zaměstnaných a nezaměstnaných osob. </w:t>
      </w:r>
      <w:proofErr w:type="gramStart"/>
      <w:r w:rsidRPr="00CC3BEA">
        <w:rPr>
          <w:rFonts w:ascii="Arial" w:hAnsi="Arial" w:cs="Arial"/>
          <w:sz w:val="18"/>
          <w:szCs w:val="18"/>
        </w:rPr>
        <w:t>Do</w:t>
      </w:r>
      <w:proofErr w:type="gramEnd"/>
      <w:r w:rsidRPr="00CC3BEA">
        <w:rPr>
          <w:rFonts w:ascii="Arial" w:hAnsi="Arial" w:cs="Arial"/>
          <w:sz w:val="18"/>
          <w:szCs w:val="18"/>
        </w:rPr>
        <w:t xml:space="preserve"> nezaměstnaných osob patří osoby ve věku 15 až 74 let, </w:t>
      </w:r>
      <w:proofErr w:type="gramStart"/>
      <w:r w:rsidRPr="00CC3BEA">
        <w:rPr>
          <w:rFonts w:ascii="Arial" w:hAnsi="Arial" w:cs="Arial"/>
          <w:sz w:val="18"/>
          <w:szCs w:val="18"/>
        </w:rPr>
        <w:t>které:</w:t>
      </w:r>
      <w:proofErr w:type="gramEnd"/>
    </w:p>
    <w:p w14:paraId="52804FA6" w14:textId="77777777" w:rsidR="0076245B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a) </w:t>
      </w:r>
      <w:r w:rsidR="004334F5" w:rsidRPr="00CC3BEA">
        <w:rPr>
          <w:rFonts w:ascii="Arial" w:hAnsi="Arial" w:cs="Arial"/>
          <w:sz w:val="18"/>
          <w:szCs w:val="18"/>
        </w:rPr>
        <w:t xml:space="preserve">byly </w:t>
      </w:r>
      <w:r w:rsidR="00931836" w:rsidRPr="00CC3BEA">
        <w:rPr>
          <w:rFonts w:ascii="Arial" w:hAnsi="Arial" w:cs="Arial"/>
          <w:sz w:val="18"/>
          <w:szCs w:val="18"/>
        </w:rPr>
        <w:t xml:space="preserve">během referenčního týdne </w:t>
      </w:r>
      <w:r w:rsidRPr="00CC3BEA">
        <w:rPr>
          <w:rFonts w:ascii="Arial" w:hAnsi="Arial" w:cs="Arial"/>
          <w:sz w:val="18"/>
          <w:szCs w:val="18"/>
        </w:rPr>
        <w:t>bez práce</w:t>
      </w:r>
      <w:r w:rsidR="00931836" w:rsidRPr="00CC3BEA">
        <w:rPr>
          <w:rFonts w:ascii="Arial" w:hAnsi="Arial" w:cs="Arial"/>
          <w:sz w:val="18"/>
          <w:szCs w:val="18"/>
        </w:rPr>
        <w:t xml:space="preserve"> </w:t>
      </w:r>
      <w:r w:rsidR="003A62EB" w:rsidRPr="00CC3BEA">
        <w:rPr>
          <w:rFonts w:ascii="Arial" w:hAnsi="Arial" w:cs="Arial"/>
          <w:sz w:val="18"/>
          <w:szCs w:val="18"/>
        </w:rPr>
        <w:t>(</w:t>
      </w:r>
      <w:r w:rsidR="00931836" w:rsidRPr="00CC3BEA">
        <w:rPr>
          <w:rFonts w:ascii="Arial" w:hAnsi="Arial" w:cs="Arial"/>
          <w:sz w:val="18"/>
          <w:szCs w:val="18"/>
        </w:rPr>
        <w:t xml:space="preserve">to znamená, že nebyly ani v placeném zaměstnání ani nebyly </w:t>
      </w:r>
      <w:proofErr w:type="spellStart"/>
      <w:r w:rsidR="00931836" w:rsidRPr="00CC3BEA">
        <w:rPr>
          <w:rFonts w:ascii="Arial" w:hAnsi="Arial" w:cs="Arial"/>
          <w:sz w:val="18"/>
          <w:szCs w:val="18"/>
        </w:rPr>
        <w:t>sebezaměstnané</w:t>
      </w:r>
      <w:proofErr w:type="spellEnd"/>
      <w:r w:rsidR="003A62EB" w:rsidRPr="00CC3BEA">
        <w:rPr>
          <w:rFonts w:ascii="Arial" w:hAnsi="Arial" w:cs="Arial"/>
          <w:sz w:val="18"/>
          <w:szCs w:val="18"/>
        </w:rPr>
        <w:t>)</w:t>
      </w:r>
      <w:r w:rsidRPr="00CC3BEA">
        <w:rPr>
          <w:rFonts w:ascii="Arial" w:hAnsi="Arial" w:cs="Arial"/>
          <w:sz w:val="18"/>
          <w:szCs w:val="18"/>
        </w:rPr>
        <w:t>;</w:t>
      </w:r>
    </w:p>
    <w:p w14:paraId="1F7C741D" w14:textId="77777777" w:rsidR="00DF09EF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b) </w:t>
      </w:r>
      <w:r w:rsidR="004334F5" w:rsidRPr="00CC3BEA">
        <w:rPr>
          <w:rFonts w:ascii="Arial" w:hAnsi="Arial" w:cs="Arial"/>
          <w:sz w:val="18"/>
          <w:szCs w:val="18"/>
        </w:rPr>
        <w:t>byly připraveny k</w:t>
      </w:r>
      <w:r w:rsidR="00BB2C7F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nástup</w:t>
      </w:r>
      <w:r w:rsidR="004334F5" w:rsidRPr="00CC3BEA">
        <w:rPr>
          <w:rFonts w:ascii="Arial" w:hAnsi="Arial" w:cs="Arial"/>
          <w:sz w:val="18"/>
          <w:szCs w:val="18"/>
        </w:rPr>
        <w:t>u</w:t>
      </w:r>
      <w:r w:rsidRPr="00CC3BEA">
        <w:rPr>
          <w:rFonts w:ascii="Arial" w:hAnsi="Arial" w:cs="Arial"/>
          <w:sz w:val="18"/>
          <w:szCs w:val="18"/>
        </w:rPr>
        <w:t xml:space="preserve"> do práce, tzn., že byly připraveny pro výkon placeného zaměstnání nebo zaměstnání ve vlastním podniku </w:t>
      </w:r>
      <w:r w:rsidR="000924DD" w:rsidRPr="00CC3BEA">
        <w:rPr>
          <w:rFonts w:ascii="Arial" w:hAnsi="Arial" w:cs="Arial"/>
          <w:sz w:val="18"/>
          <w:szCs w:val="18"/>
        </w:rPr>
        <w:t>nejpozději do 14 dnů</w:t>
      </w:r>
      <w:r w:rsidRPr="00CC3BEA">
        <w:rPr>
          <w:rFonts w:ascii="Arial" w:hAnsi="Arial" w:cs="Arial"/>
          <w:sz w:val="18"/>
          <w:szCs w:val="18"/>
        </w:rPr>
        <w:t xml:space="preserve"> po referenčním týdnu;</w:t>
      </w:r>
    </w:p>
    <w:p w14:paraId="047F4A17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c) </w:t>
      </w:r>
      <w:r w:rsidR="004334F5" w:rsidRPr="00CC3BEA">
        <w:rPr>
          <w:rFonts w:ascii="Arial" w:hAnsi="Arial" w:cs="Arial"/>
          <w:sz w:val="18"/>
          <w:szCs w:val="18"/>
        </w:rPr>
        <w:t>hledaly aktivně</w:t>
      </w:r>
      <w:r w:rsidRPr="00CC3BEA">
        <w:rPr>
          <w:rFonts w:ascii="Arial" w:hAnsi="Arial" w:cs="Arial"/>
          <w:sz w:val="18"/>
          <w:szCs w:val="18"/>
        </w:rPr>
        <w:t xml:space="preserve"> práci, tzn., že podnikaly aktivní kroky pro hledání placeného zaměstnání nebo zaměstnání</w:t>
      </w:r>
      <w:r w:rsidR="00640502" w:rsidRPr="00CC3BEA">
        <w:rPr>
          <w:rFonts w:ascii="Arial" w:hAnsi="Arial" w:cs="Arial"/>
          <w:sz w:val="18"/>
          <w:szCs w:val="18"/>
        </w:rPr>
        <w:t xml:space="preserve"> ve vlastním podniku</w:t>
      </w:r>
      <w:r w:rsidRPr="00CC3BEA">
        <w:rPr>
          <w:rFonts w:ascii="Arial" w:hAnsi="Arial" w:cs="Arial"/>
          <w:sz w:val="18"/>
          <w:szCs w:val="18"/>
        </w:rPr>
        <w:t xml:space="preserve"> ve čtyřtýdenním období končícím referenčním týdnem, nebo které našly práci s pozdějším začátkem, tj. </w:t>
      </w:r>
      <w:r w:rsidR="00910AA5" w:rsidRPr="00CC3BEA">
        <w:rPr>
          <w:rFonts w:ascii="Arial" w:hAnsi="Arial" w:cs="Arial"/>
          <w:sz w:val="18"/>
          <w:szCs w:val="18"/>
        </w:rPr>
        <w:t>nejpozději do tří měsíců</w:t>
      </w:r>
      <w:r w:rsidRPr="00CC3BEA">
        <w:rPr>
          <w:rFonts w:ascii="Arial" w:hAnsi="Arial" w:cs="Arial"/>
          <w:sz w:val="18"/>
          <w:szCs w:val="18"/>
        </w:rPr>
        <w:t>.</w:t>
      </w:r>
    </w:p>
    <w:p w14:paraId="224A07C2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0D18682F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7C618A38" w14:textId="65558D42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-11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Míra dlouhodobé nezaměstnanosti</w:t>
      </w:r>
    </w:p>
    <w:p w14:paraId="45007A8F" w14:textId="77777777" w:rsidR="006D6199" w:rsidRPr="00CC3BEA" w:rsidRDefault="009D33C6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Ukazatel měří</w:t>
      </w:r>
      <w:r w:rsidR="00340696" w:rsidRPr="00CC3BEA">
        <w:rPr>
          <w:rFonts w:ascii="Arial" w:hAnsi="Arial" w:cs="Arial"/>
          <w:sz w:val="18"/>
          <w:szCs w:val="18"/>
        </w:rPr>
        <w:t xml:space="preserve"> podíl ekonomicky aktivní populace ve věku 15 až 74 let, která byla nezaměstnaná po dobu 12 či více měsíců. Nezaměstnané osoby jsou definovány jako všechny osoby, které byly během referenčního</w:t>
      </w:r>
      <w:r w:rsidRPr="00CC3BEA">
        <w:rPr>
          <w:rFonts w:ascii="Arial" w:hAnsi="Arial" w:cs="Arial"/>
          <w:sz w:val="18"/>
          <w:szCs w:val="18"/>
        </w:rPr>
        <w:t xml:space="preserve"> </w:t>
      </w:r>
      <w:r w:rsidR="00340696" w:rsidRPr="00CC3BEA">
        <w:rPr>
          <w:rFonts w:ascii="Arial" w:hAnsi="Arial" w:cs="Arial"/>
          <w:sz w:val="18"/>
          <w:szCs w:val="18"/>
        </w:rPr>
        <w:t>týdne</w:t>
      </w:r>
      <w:r w:rsidR="001A0DC8" w:rsidRPr="00CC3BEA">
        <w:rPr>
          <w:rFonts w:ascii="Arial" w:hAnsi="Arial" w:cs="Arial"/>
          <w:sz w:val="18"/>
          <w:szCs w:val="18"/>
        </w:rPr>
        <w:t xml:space="preserve"> bez práce</w:t>
      </w:r>
      <w:r w:rsidR="00340696" w:rsidRPr="00CC3BEA">
        <w:rPr>
          <w:rFonts w:ascii="Arial" w:hAnsi="Arial" w:cs="Arial"/>
          <w:sz w:val="18"/>
          <w:szCs w:val="18"/>
        </w:rPr>
        <w:t xml:space="preserve">, </w:t>
      </w:r>
      <w:r w:rsidRPr="00CC3BEA">
        <w:rPr>
          <w:rFonts w:ascii="Arial" w:hAnsi="Arial" w:cs="Arial"/>
          <w:sz w:val="18"/>
          <w:szCs w:val="18"/>
        </w:rPr>
        <w:t>byly připrave</w:t>
      </w:r>
      <w:r w:rsidR="00F248D6" w:rsidRPr="00CC3BEA">
        <w:rPr>
          <w:rFonts w:ascii="Arial" w:hAnsi="Arial" w:cs="Arial"/>
          <w:sz w:val="18"/>
          <w:szCs w:val="18"/>
        </w:rPr>
        <w:t>ny</w:t>
      </w:r>
      <w:r w:rsidRPr="00CC3BEA">
        <w:rPr>
          <w:rFonts w:ascii="Arial" w:hAnsi="Arial" w:cs="Arial"/>
          <w:sz w:val="18"/>
          <w:szCs w:val="18"/>
        </w:rPr>
        <w:t xml:space="preserve"> k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F248D6" w:rsidRPr="00CC3BEA">
        <w:rPr>
          <w:rFonts w:ascii="Arial" w:hAnsi="Arial" w:cs="Arial"/>
          <w:sz w:val="18"/>
          <w:szCs w:val="18"/>
        </w:rPr>
        <w:t>okamžitému</w:t>
      </w:r>
      <w:r w:rsidRPr="00CC3BEA">
        <w:rPr>
          <w:rFonts w:ascii="Arial" w:hAnsi="Arial" w:cs="Arial"/>
          <w:sz w:val="18"/>
          <w:szCs w:val="18"/>
        </w:rPr>
        <w:t> nástupu do práce</w:t>
      </w:r>
      <w:r w:rsidR="00340696" w:rsidRPr="00CC3BEA">
        <w:rPr>
          <w:rFonts w:ascii="Arial" w:hAnsi="Arial" w:cs="Arial"/>
          <w:sz w:val="18"/>
          <w:szCs w:val="18"/>
        </w:rPr>
        <w:t xml:space="preserve"> </w:t>
      </w:r>
      <w:r w:rsidR="00A713D1" w:rsidRPr="00CC3BEA">
        <w:rPr>
          <w:rFonts w:ascii="Arial" w:hAnsi="Arial" w:cs="Arial"/>
          <w:sz w:val="18"/>
          <w:szCs w:val="18"/>
        </w:rPr>
        <w:t>a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340696" w:rsidRPr="00CC3BEA">
        <w:rPr>
          <w:rFonts w:ascii="Arial" w:hAnsi="Arial" w:cs="Arial"/>
          <w:sz w:val="18"/>
          <w:szCs w:val="18"/>
        </w:rPr>
        <w:t>v posledních čtyřech týdnech práci buď aktivně hledaly</w:t>
      </w:r>
      <w:r w:rsidR="003A4DF8" w:rsidRPr="00CC3BEA">
        <w:rPr>
          <w:rFonts w:ascii="Arial" w:hAnsi="Arial" w:cs="Arial"/>
          <w:sz w:val="18"/>
          <w:szCs w:val="18"/>
        </w:rPr>
        <w:t>,</w:t>
      </w:r>
      <w:r w:rsidR="00340696" w:rsidRPr="00CC3BEA">
        <w:rPr>
          <w:rFonts w:ascii="Arial" w:hAnsi="Arial" w:cs="Arial"/>
          <w:sz w:val="18"/>
          <w:szCs w:val="18"/>
        </w:rPr>
        <w:t xml:space="preserve"> </w:t>
      </w:r>
      <w:r w:rsidR="00394E77" w:rsidRPr="00CC3BEA">
        <w:rPr>
          <w:rFonts w:ascii="Arial" w:hAnsi="Arial" w:cs="Arial"/>
          <w:sz w:val="18"/>
          <w:szCs w:val="18"/>
        </w:rPr>
        <w:t>nebo již našly práci</w:t>
      </w:r>
      <w:r w:rsidR="003A4DF8" w:rsidRPr="00CC3BEA">
        <w:rPr>
          <w:rFonts w:ascii="Arial" w:hAnsi="Arial" w:cs="Arial"/>
          <w:sz w:val="18"/>
          <w:szCs w:val="18"/>
        </w:rPr>
        <w:t xml:space="preserve"> </w:t>
      </w:r>
      <w:r w:rsidR="0098028B" w:rsidRPr="00CC3BEA">
        <w:rPr>
          <w:rFonts w:ascii="Arial" w:hAnsi="Arial" w:cs="Arial"/>
          <w:sz w:val="18"/>
          <w:szCs w:val="18"/>
        </w:rPr>
        <w:t>se začátkem během</w:t>
      </w:r>
      <w:r w:rsidR="00394E77" w:rsidRPr="00CC3BEA">
        <w:rPr>
          <w:rFonts w:ascii="Arial" w:hAnsi="Arial" w:cs="Arial"/>
          <w:sz w:val="18"/>
          <w:szCs w:val="18"/>
        </w:rPr>
        <w:t xml:space="preserve"> následujících tří měsíců. Doba</w:t>
      </w:r>
      <w:r w:rsidRPr="00CC3BEA">
        <w:rPr>
          <w:rFonts w:ascii="Arial" w:hAnsi="Arial" w:cs="Arial"/>
          <w:sz w:val="18"/>
          <w:szCs w:val="18"/>
        </w:rPr>
        <w:t xml:space="preserve"> trvání</w:t>
      </w:r>
      <w:r w:rsidR="00394E77" w:rsidRPr="00CC3BEA">
        <w:rPr>
          <w:rFonts w:ascii="Arial" w:hAnsi="Arial" w:cs="Arial"/>
          <w:sz w:val="18"/>
          <w:szCs w:val="18"/>
        </w:rPr>
        <w:t xml:space="preserve"> nezaměstnanosti je definována </w:t>
      </w:r>
      <w:r w:rsidR="00F6525E" w:rsidRPr="00CC3BEA">
        <w:rPr>
          <w:rFonts w:ascii="Arial" w:hAnsi="Arial" w:cs="Arial"/>
          <w:sz w:val="18"/>
          <w:szCs w:val="18"/>
        </w:rPr>
        <w:t>jako</w:t>
      </w:r>
      <w:r w:rsidR="0013663F" w:rsidRPr="00CC3BEA">
        <w:rPr>
          <w:rFonts w:ascii="Arial" w:hAnsi="Arial" w:cs="Arial"/>
          <w:sz w:val="18"/>
          <w:szCs w:val="18"/>
        </w:rPr>
        <w:t xml:space="preserve"> doba</w:t>
      </w:r>
      <w:r w:rsidR="00F6525E" w:rsidRPr="00CC3BEA">
        <w:rPr>
          <w:rFonts w:ascii="Arial" w:hAnsi="Arial" w:cs="Arial"/>
          <w:sz w:val="18"/>
          <w:szCs w:val="18"/>
        </w:rPr>
        <w:t xml:space="preserve"> hledání </w:t>
      </w:r>
      <w:r w:rsidRPr="00CC3BEA">
        <w:rPr>
          <w:rFonts w:ascii="Arial" w:hAnsi="Arial" w:cs="Arial"/>
          <w:sz w:val="18"/>
          <w:szCs w:val="18"/>
        </w:rPr>
        <w:t>práce</w:t>
      </w:r>
      <w:r w:rsidR="00F6525E" w:rsidRPr="00CC3BEA">
        <w:rPr>
          <w:rFonts w:ascii="Arial" w:hAnsi="Arial" w:cs="Arial"/>
          <w:sz w:val="18"/>
          <w:szCs w:val="18"/>
        </w:rPr>
        <w:t xml:space="preserve"> nebo</w:t>
      </w:r>
      <w:r w:rsidRPr="00CC3BEA">
        <w:rPr>
          <w:rFonts w:ascii="Arial" w:hAnsi="Arial" w:cs="Arial"/>
          <w:sz w:val="18"/>
          <w:szCs w:val="18"/>
        </w:rPr>
        <w:t xml:space="preserve"> jako doba od </w:t>
      </w:r>
      <w:r w:rsidR="00F6525E" w:rsidRPr="00CC3BEA">
        <w:rPr>
          <w:rFonts w:ascii="Arial" w:hAnsi="Arial" w:cs="Arial"/>
          <w:sz w:val="18"/>
          <w:szCs w:val="18"/>
        </w:rPr>
        <w:t>poslední</w:t>
      </w:r>
      <w:r w:rsidRPr="00CC3BEA">
        <w:rPr>
          <w:rFonts w:ascii="Arial" w:hAnsi="Arial" w:cs="Arial"/>
          <w:sz w:val="18"/>
          <w:szCs w:val="18"/>
        </w:rPr>
        <w:t>ho</w:t>
      </w:r>
      <w:r w:rsidR="00F6525E" w:rsidRPr="00CC3BEA">
        <w:rPr>
          <w:rFonts w:ascii="Arial" w:hAnsi="Arial" w:cs="Arial"/>
          <w:sz w:val="18"/>
          <w:szCs w:val="18"/>
        </w:rPr>
        <w:t xml:space="preserve"> zaměstnání (pokud je</w:t>
      </w:r>
      <w:r w:rsidRPr="00CC3BEA">
        <w:rPr>
          <w:rFonts w:ascii="Arial" w:hAnsi="Arial" w:cs="Arial"/>
          <w:sz w:val="18"/>
          <w:szCs w:val="18"/>
        </w:rPr>
        <w:t xml:space="preserve"> toto období</w:t>
      </w:r>
      <w:r w:rsidR="00F6525E" w:rsidRPr="00CC3BEA">
        <w:rPr>
          <w:rFonts w:ascii="Arial" w:hAnsi="Arial" w:cs="Arial"/>
          <w:sz w:val="18"/>
          <w:szCs w:val="18"/>
        </w:rPr>
        <w:t xml:space="preserve"> kratší než doba </w:t>
      </w:r>
      <w:r w:rsidRPr="00CC3BEA">
        <w:rPr>
          <w:rFonts w:ascii="Arial" w:hAnsi="Arial" w:cs="Arial"/>
          <w:sz w:val="18"/>
          <w:szCs w:val="18"/>
        </w:rPr>
        <w:t>hledání práce</w:t>
      </w:r>
      <w:r w:rsidR="00F6525E" w:rsidRPr="00CC3BEA">
        <w:rPr>
          <w:rFonts w:ascii="Arial" w:hAnsi="Arial" w:cs="Arial"/>
          <w:sz w:val="18"/>
          <w:szCs w:val="18"/>
        </w:rPr>
        <w:t xml:space="preserve">). Ekonomicky aktivní populace </w:t>
      </w:r>
      <w:r w:rsidRPr="00CC3BEA">
        <w:rPr>
          <w:rFonts w:ascii="Arial" w:hAnsi="Arial" w:cs="Arial"/>
          <w:sz w:val="18"/>
          <w:szCs w:val="18"/>
        </w:rPr>
        <w:t>je tvořena zaměst</w:t>
      </w:r>
      <w:r w:rsidR="00FE6846" w:rsidRPr="00CC3BEA">
        <w:rPr>
          <w:rFonts w:ascii="Arial" w:hAnsi="Arial" w:cs="Arial"/>
          <w:sz w:val="18"/>
          <w:szCs w:val="18"/>
        </w:rPr>
        <w:t>nanými a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FE6846" w:rsidRPr="00CC3BEA">
        <w:rPr>
          <w:rFonts w:ascii="Arial" w:hAnsi="Arial" w:cs="Arial"/>
          <w:sz w:val="18"/>
          <w:szCs w:val="18"/>
        </w:rPr>
        <w:t>nezaměstnanými osobami. Ukazatel je součástí</w:t>
      </w:r>
      <w:r w:rsidR="00E90C6A" w:rsidRPr="00CC3BEA">
        <w:rPr>
          <w:rFonts w:ascii="Arial" w:hAnsi="Arial" w:cs="Arial"/>
          <w:sz w:val="18"/>
          <w:szCs w:val="18"/>
        </w:rPr>
        <w:t xml:space="preserve"> očištěné</w:t>
      </w:r>
      <w:r w:rsidR="00FE6846" w:rsidRPr="00CC3BEA">
        <w:rPr>
          <w:rFonts w:ascii="Arial" w:hAnsi="Arial" w:cs="Arial"/>
          <w:sz w:val="18"/>
          <w:szCs w:val="18"/>
        </w:rPr>
        <w:t xml:space="preserve"> řady </w:t>
      </w:r>
      <w:r w:rsidR="00E90C6A" w:rsidRPr="00CC3BEA">
        <w:rPr>
          <w:rFonts w:ascii="Arial" w:hAnsi="Arial" w:cs="Arial"/>
          <w:sz w:val="18"/>
          <w:szCs w:val="18"/>
        </w:rPr>
        <w:t>hlavních ukazatelů (</w:t>
      </w:r>
      <w:r w:rsidR="003C0DD0" w:rsidRPr="00CC3BEA">
        <w:rPr>
          <w:rFonts w:ascii="Arial" w:hAnsi="Arial" w:cs="Arial"/>
          <w:sz w:val="18"/>
          <w:szCs w:val="18"/>
        </w:rPr>
        <w:t xml:space="preserve">včetně </w:t>
      </w:r>
      <w:r w:rsidR="00FE6846" w:rsidRPr="00CC3BEA">
        <w:rPr>
          <w:rFonts w:ascii="Arial" w:hAnsi="Arial" w:cs="Arial"/>
          <w:sz w:val="18"/>
          <w:szCs w:val="18"/>
        </w:rPr>
        <w:t>očištěn</w:t>
      </w:r>
      <w:r w:rsidR="003C0DD0" w:rsidRPr="00CC3BEA">
        <w:rPr>
          <w:rFonts w:ascii="Arial" w:hAnsi="Arial" w:cs="Arial"/>
          <w:sz w:val="18"/>
          <w:szCs w:val="18"/>
        </w:rPr>
        <w:t>í</w:t>
      </w:r>
      <w:r w:rsidR="00E90C6A" w:rsidRPr="00CC3BEA">
        <w:rPr>
          <w:rFonts w:ascii="Arial" w:hAnsi="Arial" w:cs="Arial"/>
          <w:sz w:val="18"/>
          <w:szCs w:val="18"/>
        </w:rPr>
        <w:t xml:space="preserve"> o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E90C6A" w:rsidRPr="00CC3BEA">
        <w:rPr>
          <w:rFonts w:ascii="Arial" w:hAnsi="Arial" w:cs="Arial"/>
          <w:sz w:val="18"/>
          <w:szCs w:val="18"/>
        </w:rPr>
        <w:t>zlom)</w:t>
      </w:r>
      <w:r w:rsidR="00FE6846" w:rsidRPr="00CC3BEA">
        <w:rPr>
          <w:rFonts w:ascii="Arial" w:hAnsi="Arial" w:cs="Arial"/>
          <w:sz w:val="18"/>
          <w:szCs w:val="18"/>
        </w:rPr>
        <w:t xml:space="preserve"> </w:t>
      </w:r>
      <w:r w:rsidR="00C86A07" w:rsidRPr="00CC3BEA">
        <w:rPr>
          <w:rFonts w:ascii="Arial" w:hAnsi="Arial" w:cs="Arial"/>
          <w:sz w:val="18"/>
          <w:szCs w:val="18"/>
        </w:rPr>
        <w:t>a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C86A07" w:rsidRPr="00CC3BEA">
        <w:rPr>
          <w:rFonts w:ascii="Arial" w:hAnsi="Arial" w:cs="Arial"/>
          <w:sz w:val="18"/>
          <w:szCs w:val="18"/>
        </w:rPr>
        <w:t>neměl by být srovnáván s ročními a</w:t>
      </w:r>
      <w:r w:rsidR="007A5F20" w:rsidRPr="00CC3BEA">
        <w:rPr>
          <w:rFonts w:ascii="Arial" w:hAnsi="Arial" w:cs="Arial"/>
          <w:sz w:val="18"/>
          <w:szCs w:val="18"/>
        </w:rPr>
        <w:t> </w:t>
      </w:r>
      <w:r w:rsidR="00C86A07" w:rsidRPr="00CC3BEA">
        <w:rPr>
          <w:rFonts w:ascii="Arial" w:hAnsi="Arial" w:cs="Arial"/>
          <w:sz w:val="18"/>
          <w:szCs w:val="18"/>
        </w:rPr>
        <w:t>čtvrtletními neočištěnými</w:t>
      </w:r>
      <w:r w:rsidR="00582CFD" w:rsidRPr="00CC3BEA">
        <w:rPr>
          <w:rFonts w:ascii="Arial" w:hAnsi="Arial" w:cs="Arial"/>
          <w:sz w:val="18"/>
          <w:szCs w:val="18"/>
        </w:rPr>
        <w:t xml:space="preserve"> řadami, kt</w:t>
      </w:r>
      <w:r w:rsidR="00915DF3" w:rsidRPr="00CC3BEA">
        <w:rPr>
          <w:rFonts w:ascii="Arial" w:hAnsi="Arial" w:cs="Arial"/>
          <w:sz w:val="18"/>
          <w:szCs w:val="18"/>
        </w:rPr>
        <w:t>eré mají mírně odlišné výsledky</w:t>
      </w:r>
      <w:r w:rsidR="00ED75AF" w:rsidRPr="00CC3BEA">
        <w:rPr>
          <w:rFonts w:ascii="Arial" w:hAnsi="Arial" w:cs="Arial"/>
          <w:sz w:val="18"/>
          <w:szCs w:val="18"/>
        </w:rPr>
        <w:t>.</w:t>
      </w:r>
    </w:p>
    <w:p w14:paraId="3E6A8F4C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19083E2A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6C4585C8" w14:textId="3ECA2136" w:rsidR="00241138" w:rsidRPr="00E85948" w:rsidRDefault="00ED75AF" w:rsidP="00E85948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-12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r w:rsidR="003B205D" w:rsidRPr="00E85948">
        <w:rPr>
          <w:rFonts w:ascii="Arial" w:hAnsi="Arial" w:cs="Arial"/>
          <w:b/>
          <w:color w:val="0071BC"/>
        </w:rPr>
        <w:t>Míra ohrožení chudobou po započtení sociálních dávek</w:t>
      </w:r>
    </w:p>
    <w:p w14:paraId="422A3029" w14:textId="4AF3BBA4" w:rsidR="003B205D" w:rsidRPr="00CC3BEA" w:rsidRDefault="001161FD" w:rsidP="00CC3BEA">
      <w:pPr>
        <w:widowControl/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Podíl o</w:t>
      </w:r>
      <w:r w:rsidR="00BC0158" w:rsidRPr="00CC3BEA">
        <w:rPr>
          <w:rFonts w:ascii="Arial" w:hAnsi="Arial" w:cs="Arial"/>
          <w:sz w:val="18"/>
          <w:szCs w:val="18"/>
        </w:rPr>
        <w:t xml:space="preserve">sob </w:t>
      </w:r>
      <w:r w:rsidR="006379C3" w:rsidRPr="00CC3BEA">
        <w:rPr>
          <w:rFonts w:ascii="Arial" w:hAnsi="Arial" w:cs="Arial"/>
          <w:sz w:val="18"/>
          <w:szCs w:val="18"/>
        </w:rPr>
        <w:t>s</w:t>
      </w:r>
      <w:r w:rsidR="00A1584B" w:rsidRPr="00CC3BEA">
        <w:rPr>
          <w:rFonts w:ascii="Arial" w:hAnsi="Arial" w:cs="Arial"/>
          <w:sz w:val="18"/>
          <w:szCs w:val="18"/>
        </w:rPr>
        <w:t> </w:t>
      </w:r>
      <w:proofErr w:type="spellStart"/>
      <w:r w:rsidR="006379C3" w:rsidRPr="00CC3BEA">
        <w:rPr>
          <w:rFonts w:ascii="Arial" w:hAnsi="Arial" w:cs="Arial"/>
          <w:sz w:val="18"/>
          <w:szCs w:val="18"/>
        </w:rPr>
        <w:t>ekvivalizovaným</w:t>
      </w:r>
      <w:proofErr w:type="spellEnd"/>
      <w:r w:rsidR="006379C3" w:rsidRPr="00CC3BEA">
        <w:rPr>
          <w:rFonts w:ascii="Arial" w:hAnsi="Arial" w:cs="Arial"/>
          <w:sz w:val="18"/>
          <w:szCs w:val="18"/>
        </w:rPr>
        <w:t> disponibilním příjmem pod hranicí ohrožení chudobou</w:t>
      </w:r>
      <w:r w:rsidR="00545023" w:rsidRPr="00CC3BEA">
        <w:rPr>
          <w:rFonts w:ascii="Arial" w:hAnsi="Arial" w:cs="Arial"/>
          <w:sz w:val="18"/>
          <w:szCs w:val="18"/>
        </w:rPr>
        <w:t xml:space="preserve">. Hranice </w:t>
      </w:r>
      <w:r w:rsidR="003B205D" w:rsidRPr="00CC3BEA">
        <w:rPr>
          <w:rFonts w:ascii="Arial" w:hAnsi="Arial" w:cs="Arial"/>
          <w:sz w:val="18"/>
          <w:szCs w:val="18"/>
        </w:rPr>
        <w:t>příjmové chudoby je stanovena na 60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="003B205D" w:rsidRPr="00CC3BEA">
        <w:rPr>
          <w:rFonts w:ascii="Arial" w:hAnsi="Arial" w:cs="Arial"/>
          <w:sz w:val="18"/>
          <w:szCs w:val="18"/>
        </w:rPr>
        <w:t xml:space="preserve">% mediánu národního </w:t>
      </w:r>
      <w:proofErr w:type="spellStart"/>
      <w:r w:rsidR="003B205D" w:rsidRPr="00CC3BEA">
        <w:rPr>
          <w:rFonts w:ascii="Arial" w:hAnsi="Arial" w:cs="Arial"/>
          <w:sz w:val="18"/>
          <w:szCs w:val="18"/>
        </w:rPr>
        <w:t>ekvivalizovaného</w:t>
      </w:r>
      <w:proofErr w:type="spellEnd"/>
      <w:r w:rsidR="003B205D" w:rsidRPr="00CC3BEA">
        <w:rPr>
          <w:rFonts w:ascii="Arial" w:hAnsi="Arial" w:cs="Arial"/>
          <w:sz w:val="18"/>
          <w:szCs w:val="18"/>
        </w:rPr>
        <w:t xml:space="preserve"> disponibilního příjmu</w:t>
      </w:r>
      <w:r w:rsidR="006379C3" w:rsidRPr="00CC3BEA">
        <w:rPr>
          <w:rFonts w:ascii="Arial" w:hAnsi="Arial" w:cs="Arial"/>
          <w:sz w:val="18"/>
          <w:szCs w:val="18"/>
        </w:rPr>
        <w:t xml:space="preserve"> </w:t>
      </w:r>
      <w:r w:rsidR="00792961" w:rsidRPr="00CC3BEA">
        <w:rPr>
          <w:rFonts w:ascii="Arial" w:hAnsi="Arial" w:cs="Arial"/>
          <w:sz w:val="18"/>
          <w:szCs w:val="18"/>
        </w:rPr>
        <w:t>(po započtení sociálních dávek). Tento ukazatel neměří bohatství či chudobu, ale</w:t>
      </w:r>
      <w:r w:rsidR="007D17DC" w:rsidRPr="00CC3BEA">
        <w:rPr>
          <w:rFonts w:ascii="Arial" w:hAnsi="Arial" w:cs="Arial"/>
          <w:sz w:val="18"/>
          <w:szCs w:val="18"/>
        </w:rPr>
        <w:t xml:space="preserve"> vyjadřuje</w:t>
      </w:r>
      <w:r w:rsidR="00792961" w:rsidRPr="00CC3BEA">
        <w:rPr>
          <w:rFonts w:ascii="Arial" w:hAnsi="Arial" w:cs="Arial"/>
          <w:sz w:val="18"/>
          <w:szCs w:val="18"/>
        </w:rPr>
        <w:t xml:space="preserve"> nízký příjem ve</w:t>
      </w:r>
      <w:r w:rsidR="00BB6687" w:rsidRPr="00CC3BEA">
        <w:rPr>
          <w:rFonts w:ascii="Arial" w:hAnsi="Arial" w:cs="Arial"/>
          <w:sz w:val="18"/>
          <w:szCs w:val="18"/>
        </w:rPr>
        <w:t xml:space="preserve"> srovnání s ostatními residenty dané země, což nemusí nutně znamenat nízkou životní úroveň</w:t>
      </w:r>
      <w:r w:rsidR="00ED75AF" w:rsidRPr="00CC3BEA">
        <w:rPr>
          <w:rFonts w:ascii="Arial" w:hAnsi="Arial" w:cs="Arial"/>
          <w:sz w:val="18"/>
          <w:szCs w:val="18"/>
        </w:rPr>
        <w:t>.</w:t>
      </w:r>
    </w:p>
    <w:p w14:paraId="67865AF3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285C161D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6FC91758" w14:textId="31A5464B" w:rsidR="00241138" w:rsidRPr="00E85948" w:rsidRDefault="00ED75AF" w:rsidP="00E85948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-13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r w:rsidR="00B0203B" w:rsidRPr="00E85948">
        <w:rPr>
          <w:rFonts w:ascii="Arial" w:hAnsi="Arial" w:cs="Arial"/>
          <w:b/>
          <w:color w:val="0071BC"/>
        </w:rPr>
        <w:t xml:space="preserve">Osoby </w:t>
      </w:r>
      <w:r w:rsidR="00EB0920" w:rsidRPr="00E85948">
        <w:rPr>
          <w:rFonts w:ascii="Arial" w:hAnsi="Arial" w:cs="Arial"/>
          <w:b/>
          <w:color w:val="0071BC"/>
        </w:rPr>
        <w:t>nakupující na internetu</w:t>
      </w:r>
    </w:p>
    <w:p w14:paraId="10918FBF" w14:textId="3A83700D" w:rsidR="009A4F20" w:rsidRPr="00BF6C96" w:rsidRDefault="009D33C6" w:rsidP="00BF6C9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F6C96">
        <w:rPr>
          <w:rFonts w:ascii="Arial" w:hAnsi="Arial" w:cs="Arial"/>
          <w:sz w:val="18"/>
          <w:szCs w:val="18"/>
        </w:rPr>
        <w:t xml:space="preserve">Národní statistické úřady sbírají data každoročně na základě vzorových ročních dotazníků </w:t>
      </w:r>
      <w:proofErr w:type="spellStart"/>
      <w:r w:rsidRPr="00BF6C96">
        <w:rPr>
          <w:rFonts w:ascii="Arial" w:hAnsi="Arial" w:cs="Arial"/>
          <w:sz w:val="18"/>
          <w:szCs w:val="18"/>
        </w:rPr>
        <w:t>Eurostatu</w:t>
      </w:r>
      <w:proofErr w:type="spellEnd"/>
      <w:r w:rsidRPr="00BF6C96">
        <w:rPr>
          <w:rFonts w:ascii="Arial" w:hAnsi="Arial" w:cs="Arial"/>
          <w:sz w:val="18"/>
          <w:szCs w:val="18"/>
        </w:rPr>
        <w:t xml:space="preserve"> o</w:t>
      </w:r>
      <w:r w:rsidR="00EA111F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 xml:space="preserve">využívání </w:t>
      </w:r>
      <w:r w:rsidR="0094126C" w:rsidRPr="00BF6C96">
        <w:rPr>
          <w:rFonts w:ascii="Arial" w:hAnsi="Arial" w:cs="Arial"/>
          <w:sz w:val="18"/>
          <w:szCs w:val="18"/>
        </w:rPr>
        <w:t>i</w:t>
      </w:r>
      <w:r w:rsidRPr="00BF6C96">
        <w:rPr>
          <w:rFonts w:ascii="Arial" w:hAnsi="Arial" w:cs="Arial"/>
          <w:sz w:val="18"/>
          <w:szCs w:val="18"/>
        </w:rPr>
        <w:t>nformačních a</w:t>
      </w:r>
      <w:r w:rsidR="00EA111F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>komunikačních technologií</w:t>
      </w:r>
      <w:r w:rsidR="0094126C" w:rsidRPr="00BF6C96">
        <w:rPr>
          <w:rFonts w:ascii="Arial" w:hAnsi="Arial" w:cs="Arial"/>
          <w:sz w:val="18"/>
          <w:szCs w:val="18"/>
        </w:rPr>
        <w:t xml:space="preserve"> </w:t>
      </w:r>
      <w:r w:rsidRPr="00BF6C96">
        <w:rPr>
          <w:rFonts w:ascii="Arial" w:hAnsi="Arial" w:cs="Arial"/>
          <w:sz w:val="18"/>
          <w:szCs w:val="18"/>
        </w:rPr>
        <w:t>v domácnostech a</w:t>
      </w:r>
      <w:r w:rsidR="00EA111F" w:rsidRPr="00BF6C96">
        <w:rPr>
          <w:rFonts w:ascii="Arial" w:hAnsi="Arial" w:cs="Arial"/>
          <w:sz w:val="18"/>
          <w:szCs w:val="18"/>
        </w:rPr>
        <w:t> </w:t>
      </w:r>
      <w:r w:rsidRPr="00BF6C96">
        <w:rPr>
          <w:rFonts w:ascii="Arial" w:hAnsi="Arial" w:cs="Arial"/>
          <w:sz w:val="18"/>
          <w:szCs w:val="18"/>
        </w:rPr>
        <w:t xml:space="preserve">jednotlivci. Poslední online nákup: během 12 měsíců. </w:t>
      </w:r>
    </w:p>
    <w:p w14:paraId="3B4440C5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447589C0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6C326FD3" w14:textId="3BFD9915" w:rsidR="00F63496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-14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r w:rsidR="006B3E17" w:rsidRPr="00E85948">
        <w:rPr>
          <w:rFonts w:ascii="Arial" w:hAnsi="Arial" w:cs="Arial"/>
          <w:b/>
          <w:color w:val="0071BC"/>
        </w:rPr>
        <w:t xml:space="preserve">Účast dospělých na </w:t>
      </w:r>
      <w:r w:rsidRPr="00E85948">
        <w:rPr>
          <w:rFonts w:ascii="Arial" w:hAnsi="Arial" w:cs="Arial"/>
          <w:b/>
          <w:color w:val="0071BC"/>
        </w:rPr>
        <w:t xml:space="preserve">vzdělávání </w:t>
      </w:r>
    </w:p>
    <w:p w14:paraId="65F8F320" w14:textId="125AE336" w:rsidR="00ED75AF" w:rsidRPr="00CC3BEA" w:rsidRDefault="0071534E" w:rsidP="00CC3BEA">
      <w:pPr>
        <w:widowControl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</w:rPr>
        <w:t>Účast dospělých na vzdělávání</w:t>
      </w:r>
      <w:r w:rsidR="00E02A3C" w:rsidRPr="00CC3BEA">
        <w:rPr>
          <w:rFonts w:ascii="Arial" w:hAnsi="Arial" w:cs="Arial"/>
          <w:bCs/>
          <w:sz w:val="18"/>
          <w:szCs w:val="18"/>
        </w:rPr>
        <w:t xml:space="preserve"> (</w:t>
      </w:r>
      <w:r w:rsidRPr="00CC3BEA">
        <w:rPr>
          <w:rFonts w:ascii="Arial" w:hAnsi="Arial" w:cs="Arial"/>
          <w:bCs/>
          <w:sz w:val="18"/>
          <w:szCs w:val="18"/>
        </w:rPr>
        <w:t>dříve nazývaná „celoživotní vzdělávání“</w:t>
      </w:r>
      <w:r w:rsidR="00E02A3C" w:rsidRPr="00CC3BEA">
        <w:rPr>
          <w:rFonts w:ascii="Arial" w:hAnsi="Arial" w:cs="Arial"/>
          <w:bCs/>
          <w:sz w:val="18"/>
          <w:szCs w:val="18"/>
        </w:rPr>
        <w:t>)</w:t>
      </w:r>
      <w:r w:rsidRPr="00CC3BEA">
        <w:rPr>
          <w:rFonts w:ascii="Arial" w:hAnsi="Arial" w:cs="Arial"/>
          <w:bCs/>
          <w:sz w:val="18"/>
          <w:szCs w:val="18"/>
        </w:rPr>
        <w:t xml:space="preserve"> </w:t>
      </w:r>
      <w:r w:rsidR="00362B13" w:rsidRPr="00CC3BEA">
        <w:rPr>
          <w:rFonts w:ascii="Arial" w:hAnsi="Arial" w:cs="Arial"/>
          <w:bCs/>
          <w:sz w:val="18"/>
          <w:szCs w:val="18"/>
        </w:rPr>
        <w:t>zjišťuje</w:t>
      </w:r>
      <w:r w:rsidR="00F036C4" w:rsidRPr="00CC3BEA">
        <w:rPr>
          <w:rFonts w:ascii="Arial" w:hAnsi="Arial" w:cs="Arial"/>
          <w:bCs/>
          <w:sz w:val="18"/>
          <w:szCs w:val="18"/>
        </w:rPr>
        <w:t xml:space="preserve"> podíl osob</w:t>
      </w:r>
      <w:r w:rsidR="005F34B1" w:rsidRPr="00CC3BEA">
        <w:rPr>
          <w:rFonts w:ascii="Arial" w:hAnsi="Arial" w:cs="Arial"/>
          <w:bCs/>
          <w:sz w:val="18"/>
          <w:szCs w:val="18"/>
        </w:rPr>
        <w:t xml:space="preserve"> ve věku 25</w:t>
      </w:r>
      <w:r w:rsidR="006D1F09" w:rsidRPr="00CC3BEA">
        <w:rPr>
          <w:rFonts w:ascii="Arial" w:hAnsi="Arial" w:cs="Arial"/>
          <w:bCs/>
          <w:sz w:val="18"/>
          <w:szCs w:val="18"/>
        </w:rPr>
        <w:t>–</w:t>
      </w:r>
      <w:r w:rsidR="005F34B1" w:rsidRPr="00CC3BEA">
        <w:rPr>
          <w:rFonts w:ascii="Arial" w:hAnsi="Arial" w:cs="Arial"/>
          <w:bCs/>
          <w:sz w:val="18"/>
          <w:szCs w:val="18"/>
        </w:rPr>
        <w:t>64 let, které uvedly, že se zúčastnily</w:t>
      </w:r>
      <w:r w:rsidR="00F036C4" w:rsidRPr="00CC3BEA">
        <w:rPr>
          <w:rFonts w:ascii="Arial" w:hAnsi="Arial" w:cs="Arial"/>
          <w:bCs/>
          <w:sz w:val="18"/>
          <w:szCs w:val="18"/>
        </w:rPr>
        <w:t xml:space="preserve"> formálního či neformálního vzdělávání a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5F34B1" w:rsidRPr="00CC3BEA">
        <w:rPr>
          <w:rFonts w:ascii="Arial" w:hAnsi="Arial" w:cs="Arial"/>
          <w:bCs/>
          <w:sz w:val="18"/>
          <w:szCs w:val="18"/>
        </w:rPr>
        <w:t xml:space="preserve">školení nebo kurzu v období čtyř týdnů předcházejících zjišťování (čitatel). Jmenovatel se skládá z celkového počtu obyvatelstva stejné věkové skupiny, vyjma těch, kteří neodpověděli na otázku "účast na školeních a kurzech". </w:t>
      </w:r>
      <w:r w:rsidR="0090606B" w:rsidRPr="00CC3BEA">
        <w:rPr>
          <w:rFonts w:ascii="Arial" w:hAnsi="Arial" w:cs="Arial"/>
          <w:bCs/>
          <w:sz w:val="18"/>
          <w:szCs w:val="18"/>
        </w:rPr>
        <w:t xml:space="preserve">Údaje do </w:t>
      </w:r>
      <w:r w:rsidR="005F34B1" w:rsidRPr="00CC3BEA">
        <w:rPr>
          <w:rFonts w:ascii="Arial" w:hAnsi="Arial" w:cs="Arial"/>
          <w:bCs/>
          <w:sz w:val="18"/>
          <w:szCs w:val="18"/>
        </w:rPr>
        <w:t xml:space="preserve">čitatele i jmenovatele </w:t>
      </w:r>
      <w:r w:rsidR="0090606B" w:rsidRPr="00CC3BEA">
        <w:rPr>
          <w:rFonts w:ascii="Arial" w:hAnsi="Arial" w:cs="Arial"/>
          <w:bCs/>
          <w:sz w:val="18"/>
          <w:szCs w:val="18"/>
        </w:rPr>
        <w:t>pocházejí</w:t>
      </w:r>
      <w:r w:rsidR="005F34B1" w:rsidRPr="00CC3BEA">
        <w:rPr>
          <w:rFonts w:ascii="Arial" w:hAnsi="Arial" w:cs="Arial"/>
          <w:bCs/>
          <w:sz w:val="18"/>
          <w:szCs w:val="18"/>
        </w:rPr>
        <w:t xml:space="preserve"> z Výběrového šetření pracovních sil EU.</w:t>
      </w:r>
      <w:r w:rsidR="00DE1420" w:rsidRPr="00CC3BEA">
        <w:rPr>
          <w:rFonts w:ascii="Arial" w:hAnsi="Arial" w:cs="Arial"/>
          <w:bCs/>
          <w:sz w:val="18"/>
          <w:szCs w:val="18"/>
        </w:rPr>
        <w:t xml:space="preserve"> Vzdělávání dospělých zahrnuje obecné i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DE1420" w:rsidRPr="00CC3BEA">
        <w:rPr>
          <w:rFonts w:ascii="Arial" w:hAnsi="Arial" w:cs="Arial"/>
          <w:bCs/>
          <w:sz w:val="18"/>
          <w:szCs w:val="18"/>
        </w:rPr>
        <w:t>odborné</w:t>
      </w:r>
      <w:r w:rsidR="00B22095" w:rsidRPr="00CC3BEA">
        <w:rPr>
          <w:rFonts w:ascii="Arial" w:hAnsi="Arial" w:cs="Arial"/>
          <w:bCs/>
          <w:sz w:val="18"/>
          <w:szCs w:val="18"/>
        </w:rPr>
        <w:t>,</w:t>
      </w:r>
      <w:r w:rsidR="00DE1420" w:rsidRPr="00CC3BEA">
        <w:rPr>
          <w:rFonts w:ascii="Arial" w:hAnsi="Arial" w:cs="Arial"/>
          <w:bCs/>
          <w:sz w:val="18"/>
          <w:szCs w:val="18"/>
        </w:rPr>
        <w:t xml:space="preserve"> formální i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DE1420" w:rsidRPr="00CC3BEA">
        <w:rPr>
          <w:rFonts w:ascii="Arial" w:hAnsi="Arial" w:cs="Arial"/>
          <w:bCs/>
          <w:sz w:val="18"/>
          <w:szCs w:val="18"/>
        </w:rPr>
        <w:t xml:space="preserve">neformální </w:t>
      </w:r>
      <w:r w:rsidR="00934452" w:rsidRPr="00CC3BEA">
        <w:rPr>
          <w:rFonts w:ascii="Arial" w:hAnsi="Arial" w:cs="Arial"/>
          <w:bCs/>
          <w:sz w:val="18"/>
          <w:szCs w:val="18"/>
        </w:rPr>
        <w:t>vzdělávací</w:t>
      </w:r>
      <w:r w:rsidR="009D33C6" w:rsidRPr="00CC3BEA">
        <w:rPr>
          <w:rFonts w:ascii="Arial" w:hAnsi="Arial" w:cs="Arial"/>
          <w:bCs/>
          <w:sz w:val="18"/>
          <w:szCs w:val="18"/>
        </w:rPr>
        <w:t xml:space="preserve"> aktivity</w:t>
      </w:r>
      <w:r w:rsidR="005F34B1" w:rsidRPr="00CC3BEA">
        <w:rPr>
          <w:rFonts w:ascii="Arial" w:hAnsi="Arial" w:cs="Arial"/>
          <w:bCs/>
          <w:sz w:val="18"/>
          <w:szCs w:val="18"/>
        </w:rPr>
        <w:t>.</w:t>
      </w:r>
      <w:r w:rsidR="0055755D" w:rsidRPr="00CC3BEA">
        <w:rPr>
          <w:rFonts w:ascii="Arial" w:hAnsi="Arial" w:cs="Arial"/>
          <w:bCs/>
          <w:sz w:val="18"/>
          <w:szCs w:val="18"/>
        </w:rPr>
        <w:t xml:space="preserve"> Vzdělávání dospělých se většinou vztahuje ke vzdělávacím činnostem po </w:t>
      </w:r>
      <w:r w:rsidR="00C4711C" w:rsidRPr="00CC3BEA">
        <w:rPr>
          <w:rFonts w:ascii="Arial" w:hAnsi="Arial" w:cs="Arial"/>
          <w:bCs/>
          <w:sz w:val="18"/>
          <w:szCs w:val="18"/>
        </w:rPr>
        <w:t>ukončení</w:t>
      </w:r>
      <w:r w:rsidR="0055755D" w:rsidRPr="00CC3BEA">
        <w:rPr>
          <w:rFonts w:ascii="Arial" w:hAnsi="Arial" w:cs="Arial"/>
          <w:bCs/>
          <w:sz w:val="18"/>
          <w:szCs w:val="18"/>
        </w:rPr>
        <w:t xml:space="preserve"> </w:t>
      </w:r>
      <w:r w:rsidR="00C548C0" w:rsidRPr="00CC3BEA">
        <w:rPr>
          <w:rFonts w:ascii="Arial" w:hAnsi="Arial" w:cs="Arial"/>
          <w:bCs/>
          <w:sz w:val="18"/>
          <w:szCs w:val="18"/>
        </w:rPr>
        <w:t>základní školní docházky</w:t>
      </w:r>
      <w:r w:rsidR="0055755D" w:rsidRPr="00CC3BEA">
        <w:rPr>
          <w:rFonts w:ascii="Arial" w:hAnsi="Arial" w:cs="Arial"/>
          <w:bCs/>
          <w:sz w:val="18"/>
          <w:szCs w:val="18"/>
        </w:rPr>
        <w:t xml:space="preserve">. </w:t>
      </w:r>
    </w:p>
    <w:p w14:paraId="1A940E09" w14:textId="77777777" w:rsidR="00ED75AF" w:rsidRPr="00CC3BEA" w:rsidRDefault="00ED75AF" w:rsidP="00CC3BEA">
      <w:pPr>
        <w:widowControl/>
        <w:jc w:val="both"/>
        <w:rPr>
          <w:rFonts w:ascii="Arial" w:hAnsi="Arial" w:cs="Arial"/>
          <w:bCs/>
          <w:sz w:val="18"/>
          <w:szCs w:val="18"/>
        </w:rPr>
      </w:pPr>
    </w:p>
    <w:p w14:paraId="3CEB28F7" w14:textId="77777777" w:rsidR="00BB2C7F" w:rsidRPr="00CC3BEA" w:rsidRDefault="00BB2C7F" w:rsidP="00CC3BEA">
      <w:pPr>
        <w:widowControl/>
        <w:jc w:val="both"/>
        <w:rPr>
          <w:rFonts w:ascii="Arial" w:hAnsi="Arial" w:cs="Arial"/>
          <w:bCs/>
          <w:sz w:val="18"/>
          <w:szCs w:val="18"/>
        </w:rPr>
      </w:pPr>
    </w:p>
    <w:p w14:paraId="248F6054" w14:textId="4C224286" w:rsidR="004604E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-15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Úhrnná plodnost</w:t>
      </w:r>
    </w:p>
    <w:p w14:paraId="2B6F2CC4" w14:textId="77777777" w:rsidR="005F269D" w:rsidRPr="00CC3BEA" w:rsidRDefault="00ED75AF" w:rsidP="00CC3BEA">
      <w:pPr>
        <w:widowControl/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bCs/>
          <w:sz w:val="18"/>
          <w:szCs w:val="18"/>
        </w:rPr>
        <w:t>Úhrnná plodnost</w:t>
      </w:r>
      <w:r w:rsidRPr="00CC3BEA">
        <w:rPr>
          <w:rFonts w:ascii="Arial" w:hAnsi="Arial" w:cs="Arial"/>
          <w:sz w:val="18"/>
          <w:szCs w:val="18"/>
        </w:rPr>
        <w:t xml:space="preserve"> (součet měr plodnosti podle věku) je průměrný počet živě narozených dětí, které by se narodily jedné </w:t>
      </w:r>
      <w:r w:rsidRPr="00CC3BEA">
        <w:rPr>
          <w:rFonts w:ascii="Arial" w:hAnsi="Arial" w:cs="Arial"/>
          <w:bCs/>
          <w:sz w:val="18"/>
          <w:szCs w:val="18"/>
        </w:rPr>
        <w:t>ženě</w:t>
      </w:r>
      <w:r w:rsidR="0083590B" w:rsidRPr="00CC3BEA">
        <w:rPr>
          <w:rFonts w:ascii="Arial" w:hAnsi="Arial" w:cs="Arial"/>
          <w:bCs/>
          <w:sz w:val="18"/>
          <w:szCs w:val="18"/>
        </w:rPr>
        <w:t xml:space="preserve"> během jejího života, pokud by prožila své </w:t>
      </w:r>
      <w:r w:rsidR="00D9059D" w:rsidRPr="00CC3BEA">
        <w:rPr>
          <w:rFonts w:ascii="Arial" w:hAnsi="Arial" w:cs="Arial"/>
          <w:bCs/>
          <w:sz w:val="18"/>
          <w:szCs w:val="18"/>
        </w:rPr>
        <w:t>reprodukční</w:t>
      </w:r>
      <w:r w:rsidR="009D33C6" w:rsidRPr="00CC3BEA">
        <w:rPr>
          <w:rFonts w:ascii="Arial" w:hAnsi="Arial" w:cs="Arial"/>
          <w:bCs/>
          <w:sz w:val="18"/>
          <w:szCs w:val="18"/>
        </w:rPr>
        <w:t xml:space="preserve"> roky</w:t>
      </w:r>
      <w:r w:rsidR="0083590B" w:rsidRPr="00CC3BEA">
        <w:rPr>
          <w:rFonts w:ascii="Arial" w:hAnsi="Arial" w:cs="Arial"/>
          <w:bCs/>
          <w:sz w:val="18"/>
          <w:szCs w:val="18"/>
        </w:rPr>
        <w:t xml:space="preserve"> v souladu s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7133CF" w:rsidRPr="00CC3BEA">
        <w:rPr>
          <w:rFonts w:ascii="Arial" w:hAnsi="Arial" w:cs="Arial"/>
          <w:bCs/>
          <w:sz w:val="18"/>
          <w:szCs w:val="18"/>
        </w:rPr>
        <w:t>mírami</w:t>
      </w:r>
      <w:r w:rsidR="0083590B" w:rsidRPr="00CC3BEA">
        <w:rPr>
          <w:rFonts w:ascii="Arial" w:hAnsi="Arial" w:cs="Arial"/>
          <w:bCs/>
          <w:sz w:val="18"/>
          <w:szCs w:val="18"/>
        </w:rPr>
        <w:t xml:space="preserve"> plodnosti podle věku daného roku a</w:t>
      </w:r>
      <w:r w:rsidR="00EA111F" w:rsidRPr="00CC3BEA">
        <w:rPr>
          <w:rFonts w:ascii="Arial" w:hAnsi="Arial" w:cs="Arial"/>
          <w:bCs/>
          <w:sz w:val="18"/>
          <w:szCs w:val="18"/>
        </w:rPr>
        <w:t> </w:t>
      </w:r>
      <w:r w:rsidR="00EE7B99" w:rsidRPr="00CC3BEA">
        <w:rPr>
          <w:rFonts w:ascii="Arial" w:hAnsi="Arial" w:cs="Arial"/>
          <w:bCs/>
          <w:sz w:val="18"/>
          <w:szCs w:val="18"/>
        </w:rPr>
        <w:t>přežila</w:t>
      </w:r>
      <w:r w:rsidR="00BB2C7F" w:rsidRPr="00CC3BEA">
        <w:rPr>
          <w:rFonts w:ascii="Arial" w:hAnsi="Arial" w:cs="Arial"/>
          <w:sz w:val="18"/>
          <w:szCs w:val="18"/>
        </w:rPr>
        <w:t>.</w:t>
      </w:r>
    </w:p>
    <w:p w14:paraId="63152229" w14:textId="77777777" w:rsidR="004604E8" w:rsidRPr="00CC3BEA" w:rsidRDefault="004604E8" w:rsidP="00CC3BEA">
      <w:pPr>
        <w:jc w:val="both"/>
        <w:rPr>
          <w:rFonts w:ascii="Arial" w:hAnsi="Arial" w:cs="Arial"/>
          <w:sz w:val="18"/>
          <w:szCs w:val="18"/>
        </w:rPr>
      </w:pPr>
    </w:p>
    <w:p w14:paraId="3CCC5942" w14:textId="77777777" w:rsidR="00FE454A" w:rsidRPr="00CC3BEA" w:rsidRDefault="00FE454A" w:rsidP="00CC3BEA">
      <w:pPr>
        <w:jc w:val="both"/>
        <w:rPr>
          <w:rFonts w:ascii="Arial" w:hAnsi="Arial" w:cs="Arial"/>
          <w:sz w:val="18"/>
          <w:szCs w:val="18"/>
        </w:rPr>
      </w:pPr>
    </w:p>
    <w:p w14:paraId="06891511" w14:textId="5569B8D8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-16 a 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-17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Naděje dožití při narození – muži, ženy</w:t>
      </w:r>
    </w:p>
    <w:p w14:paraId="53F9E9B8" w14:textId="037270BA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Naděje dožití při narození </w:t>
      </w:r>
      <w:r w:rsidR="004C09D8" w:rsidRPr="00CC3BEA">
        <w:rPr>
          <w:rFonts w:ascii="Arial" w:hAnsi="Arial" w:cs="Arial"/>
          <w:sz w:val="18"/>
          <w:szCs w:val="18"/>
        </w:rPr>
        <w:t xml:space="preserve">je definována jako </w:t>
      </w:r>
      <w:r w:rsidRPr="00CC3BEA">
        <w:rPr>
          <w:rFonts w:ascii="Arial" w:hAnsi="Arial" w:cs="Arial"/>
          <w:sz w:val="18"/>
          <w:szCs w:val="18"/>
        </w:rPr>
        <w:t>průměrný počet let, kterých má novorozenec naději se dožít při zachování aktuální</w:t>
      </w:r>
      <w:r w:rsidR="00CB0D56" w:rsidRPr="00CC3BEA">
        <w:rPr>
          <w:rFonts w:ascii="Arial" w:hAnsi="Arial" w:cs="Arial"/>
          <w:sz w:val="18"/>
          <w:szCs w:val="18"/>
        </w:rPr>
        <w:t>ho</w:t>
      </w:r>
      <w:r w:rsidRPr="00CC3BEA">
        <w:rPr>
          <w:rFonts w:ascii="Arial" w:hAnsi="Arial" w:cs="Arial"/>
          <w:sz w:val="18"/>
          <w:szCs w:val="18"/>
        </w:rPr>
        <w:t xml:space="preserve"> </w:t>
      </w:r>
      <w:r w:rsidR="00CB0D56" w:rsidRPr="00CC3BEA">
        <w:rPr>
          <w:rFonts w:ascii="Arial" w:hAnsi="Arial" w:cs="Arial"/>
          <w:sz w:val="18"/>
          <w:szCs w:val="18"/>
        </w:rPr>
        <w:t xml:space="preserve">řádu </w:t>
      </w:r>
      <w:r w:rsidRPr="00CC3BEA">
        <w:rPr>
          <w:rFonts w:ascii="Arial" w:hAnsi="Arial" w:cs="Arial"/>
          <w:sz w:val="18"/>
          <w:szCs w:val="18"/>
        </w:rPr>
        <w:t>úmrtnosti během jeho života.</w:t>
      </w:r>
    </w:p>
    <w:p w14:paraId="358808B1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3EC247C4" w14:textId="77777777" w:rsidR="00241138" w:rsidRPr="00BF6C96" w:rsidRDefault="00241138" w:rsidP="00BF6C96">
      <w:pPr>
        <w:jc w:val="both"/>
        <w:rPr>
          <w:rFonts w:ascii="Arial" w:hAnsi="Arial" w:cs="Arial"/>
          <w:sz w:val="18"/>
          <w:szCs w:val="18"/>
        </w:rPr>
      </w:pPr>
    </w:p>
    <w:p w14:paraId="3E47FF66" w14:textId="1841BAC2" w:rsidR="00241138" w:rsidRPr="00E85948" w:rsidRDefault="00ED75AF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-18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Produkce komunálních odpadů</w:t>
      </w:r>
    </w:p>
    <w:p w14:paraId="6B1DB3AF" w14:textId="06BE4135" w:rsidR="00241138" w:rsidRPr="00CC3BEA" w:rsidRDefault="00ED75AF" w:rsidP="00CC3BEA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C3BEA">
        <w:rPr>
          <w:rFonts w:ascii="Arial" w:hAnsi="Arial" w:cs="Arial"/>
          <w:color w:val="000000"/>
          <w:sz w:val="18"/>
          <w:szCs w:val="18"/>
        </w:rPr>
        <w:t xml:space="preserve">Komunální odpad je </w:t>
      </w:r>
      <w:r w:rsidR="00CC5F75" w:rsidRPr="00CC3BEA">
        <w:rPr>
          <w:rFonts w:ascii="Arial" w:hAnsi="Arial" w:cs="Arial"/>
          <w:color w:val="000000"/>
          <w:sz w:val="18"/>
          <w:szCs w:val="18"/>
        </w:rPr>
        <w:t xml:space="preserve">produkován </w:t>
      </w:r>
      <w:r w:rsidR="005979F2" w:rsidRPr="00CC3BEA">
        <w:rPr>
          <w:rFonts w:ascii="Arial" w:hAnsi="Arial" w:cs="Arial"/>
          <w:color w:val="000000"/>
          <w:sz w:val="18"/>
          <w:szCs w:val="18"/>
        </w:rPr>
        <w:t>především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domácnostmi,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 xml:space="preserve"> zahrnuty jsou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B53FA5" w:rsidRPr="00CC3BEA">
        <w:rPr>
          <w:rFonts w:ascii="Arial" w:hAnsi="Arial" w:cs="Arial"/>
          <w:color w:val="000000"/>
          <w:sz w:val="18"/>
          <w:szCs w:val="18"/>
        </w:rPr>
        <w:t xml:space="preserve">i 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podobné odpady 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 xml:space="preserve">ze </w:t>
      </w:r>
      <w:r w:rsidR="00175A37" w:rsidRPr="00CC3BEA">
        <w:rPr>
          <w:rFonts w:ascii="Arial" w:hAnsi="Arial" w:cs="Arial"/>
          <w:color w:val="000000"/>
          <w:sz w:val="18"/>
          <w:szCs w:val="18"/>
        </w:rPr>
        <w:t>zdrojů, jako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 xml:space="preserve"> je </w:t>
      </w:r>
      <w:r w:rsidR="00EC138B" w:rsidRPr="00CC3BEA">
        <w:rPr>
          <w:rFonts w:ascii="Arial" w:hAnsi="Arial" w:cs="Arial"/>
          <w:color w:val="000000"/>
          <w:sz w:val="18"/>
          <w:szCs w:val="18"/>
        </w:rPr>
        <w:t>obchod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>, úřady</w:t>
      </w:r>
      <w:r w:rsidR="00E90377"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3BEA">
        <w:rPr>
          <w:rFonts w:ascii="Arial" w:hAnsi="Arial" w:cs="Arial"/>
          <w:color w:val="000000"/>
          <w:sz w:val="18"/>
          <w:szCs w:val="18"/>
        </w:rPr>
        <w:t>a </w:t>
      </w:r>
      <w:r w:rsidR="00891E5F" w:rsidRPr="00CC3BEA">
        <w:rPr>
          <w:rFonts w:ascii="Arial" w:hAnsi="Arial" w:cs="Arial"/>
          <w:color w:val="000000"/>
          <w:sz w:val="18"/>
          <w:szCs w:val="18"/>
        </w:rPr>
        <w:t>veřejné instituce</w:t>
      </w:r>
      <w:r w:rsidRPr="00CC3BEA">
        <w:rPr>
          <w:rFonts w:ascii="Arial" w:hAnsi="Arial" w:cs="Arial"/>
          <w:color w:val="000000"/>
          <w:sz w:val="18"/>
          <w:szCs w:val="18"/>
        </w:rPr>
        <w:t>.</w:t>
      </w:r>
      <w:r w:rsidR="00074425" w:rsidRPr="00CC3BEA">
        <w:rPr>
          <w:rFonts w:ascii="Arial" w:hAnsi="Arial" w:cs="Arial"/>
          <w:color w:val="000000"/>
          <w:sz w:val="18"/>
          <w:szCs w:val="18"/>
        </w:rPr>
        <w:t xml:space="preserve"> Množství vyprodukovaného komunálního odpadu</w:t>
      </w:r>
      <w:r w:rsidR="00884356" w:rsidRPr="00CC3BEA">
        <w:rPr>
          <w:rFonts w:ascii="Arial" w:hAnsi="Arial" w:cs="Arial"/>
          <w:color w:val="000000"/>
          <w:sz w:val="18"/>
          <w:szCs w:val="18"/>
        </w:rPr>
        <w:t xml:space="preserve"> se skládá z</w:t>
      </w:r>
      <w:r w:rsidR="002235FA" w:rsidRPr="00CC3BEA">
        <w:rPr>
          <w:rFonts w:ascii="Arial" w:hAnsi="Arial" w:cs="Arial"/>
          <w:color w:val="000000"/>
          <w:sz w:val="18"/>
          <w:szCs w:val="18"/>
        </w:rPr>
        <w:t> </w:t>
      </w:r>
      <w:r w:rsidR="00884356" w:rsidRPr="00CC3BEA">
        <w:rPr>
          <w:rFonts w:ascii="Arial" w:hAnsi="Arial" w:cs="Arial"/>
          <w:color w:val="000000"/>
          <w:sz w:val="18"/>
          <w:szCs w:val="18"/>
        </w:rPr>
        <w:t>odpadu</w:t>
      </w:r>
      <w:r w:rsidR="002235FA" w:rsidRPr="00CC3BEA">
        <w:rPr>
          <w:rFonts w:ascii="Arial" w:hAnsi="Arial" w:cs="Arial"/>
          <w:color w:val="000000"/>
          <w:sz w:val="18"/>
          <w:szCs w:val="18"/>
        </w:rPr>
        <w:t xml:space="preserve"> sebraného městskými/obecními úřady nebo jejich jménem</w:t>
      </w:r>
      <w:r w:rsidR="00815ED2" w:rsidRPr="00CC3BEA">
        <w:rPr>
          <w:rFonts w:ascii="Arial" w:hAnsi="Arial" w:cs="Arial"/>
          <w:color w:val="000000"/>
          <w:sz w:val="18"/>
          <w:szCs w:val="18"/>
        </w:rPr>
        <w:t xml:space="preserve"> a </w:t>
      </w:r>
      <w:r w:rsidR="00494660" w:rsidRPr="00CC3BEA">
        <w:rPr>
          <w:rFonts w:ascii="Arial" w:hAnsi="Arial" w:cs="Arial"/>
          <w:color w:val="000000"/>
          <w:sz w:val="18"/>
          <w:szCs w:val="18"/>
        </w:rPr>
        <w:t>zlikvidovaného prostřednictvím systému nakládání s odpady.</w:t>
      </w:r>
      <w:r w:rsidR="00815ED2"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BB594E" w:rsidRPr="00CC3BEA">
        <w:rPr>
          <w:rFonts w:ascii="Arial" w:hAnsi="Arial" w:cs="Arial"/>
          <w:color w:val="000000"/>
          <w:sz w:val="18"/>
          <w:szCs w:val="18"/>
        </w:rPr>
        <w:t>Pojem komunální odpad</w:t>
      </w:r>
      <w:r w:rsidR="00C42CFB" w:rsidRPr="00CC3BEA">
        <w:rPr>
          <w:rFonts w:ascii="Arial" w:hAnsi="Arial" w:cs="Arial"/>
          <w:color w:val="000000"/>
          <w:sz w:val="18"/>
          <w:szCs w:val="18"/>
        </w:rPr>
        <w:t xml:space="preserve"> zahrnuje </w:t>
      </w:r>
      <w:r w:rsidR="008E3014" w:rsidRPr="00CC3BEA">
        <w:rPr>
          <w:rFonts w:ascii="Arial" w:hAnsi="Arial" w:cs="Arial"/>
          <w:color w:val="000000"/>
          <w:sz w:val="18"/>
          <w:szCs w:val="18"/>
        </w:rPr>
        <w:t xml:space="preserve">v různých obcích různé </w:t>
      </w:r>
      <w:r w:rsidR="00AE18D2" w:rsidRPr="00CC3BEA">
        <w:rPr>
          <w:rFonts w:ascii="Arial" w:hAnsi="Arial" w:cs="Arial"/>
          <w:color w:val="000000"/>
          <w:sz w:val="18"/>
          <w:szCs w:val="18"/>
        </w:rPr>
        <w:t xml:space="preserve">odpadní </w:t>
      </w:r>
      <w:r w:rsidR="008E3014" w:rsidRPr="00CC3BEA">
        <w:rPr>
          <w:rFonts w:ascii="Arial" w:hAnsi="Arial" w:cs="Arial"/>
          <w:color w:val="000000"/>
          <w:sz w:val="18"/>
          <w:szCs w:val="18"/>
        </w:rPr>
        <w:t xml:space="preserve">proudy. Zejména rozsah, v jakém se zahrnuje odpad produkovaný úřady a malými </w:t>
      </w:r>
      <w:r w:rsidR="003D30C6" w:rsidRPr="00CC3BEA">
        <w:rPr>
          <w:rFonts w:ascii="Arial" w:hAnsi="Arial" w:cs="Arial"/>
          <w:color w:val="000000"/>
          <w:sz w:val="18"/>
          <w:szCs w:val="18"/>
        </w:rPr>
        <w:t xml:space="preserve">podniky </w:t>
      </w:r>
      <w:r w:rsidR="00C57278" w:rsidRPr="00CC3BEA">
        <w:rPr>
          <w:rFonts w:ascii="Arial" w:hAnsi="Arial" w:cs="Arial"/>
          <w:color w:val="000000"/>
          <w:sz w:val="18"/>
          <w:szCs w:val="18"/>
        </w:rPr>
        <w:t>se mezi obcemi liší.</w:t>
      </w:r>
      <w:r w:rsidR="00494660"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U oblastí, které nejsou pokryty systémem sběru komunálního odpadu, </w:t>
      </w:r>
      <w:r w:rsidR="001A2E0C" w:rsidRPr="00CC3BEA">
        <w:rPr>
          <w:rFonts w:ascii="Arial" w:hAnsi="Arial" w:cs="Arial"/>
          <w:color w:val="000000"/>
          <w:sz w:val="18"/>
          <w:szCs w:val="18"/>
        </w:rPr>
        <w:t>vykazující země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množství vyprodukovaného komunálního odpadu </w:t>
      </w:r>
      <w:r w:rsidR="001A2E0C" w:rsidRPr="00CC3BEA">
        <w:rPr>
          <w:rFonts w:ascii="Arial" w:hAnsi="Arial" w:cs="Arial"/>
          <w:color w:val="000000"/>
          <w:sz w:val="18"/>
          <w:szCs w:val="18"/>
        </w:rPr>
        <w:t>odhadují</w:t>
      </w:r>
      <w:r w:rsidRPr="00CC3BEA">
        <w:rPr>
          <w:rFonts w:ascii="Arial" w:hAnsi="Arial" w:cs="Arial"/>
          <w:color w:val="000000"/>
          <w:sz w:val="18"/>
          <w:szCs w:val="18"/>
        </w:rPr>
        <w:t>.</w:t>
      </w:r>
    </w:p>
    <w:p w14:paraId="6D833349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5D537B51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66AEBFBE" w14:textId="06C50395" w:rsidR="003256C9" w:rsidRPr="00E85948" w:rsidRDefault="00214CE5" w:rsidP="00CC3BEA">
      <w:pPr>
        <w:jc w:val="both"/>
        <w:rPr>
          <w:rFonts w:ascii="Arial" w:hAnsi="Arial" w:cs="Arial"/>
          <w:b/>
          <w:color w:val="0071BC"/>
        </w:rPr>
      </w:pPr>
      <w:r w:rsidRPr="00E85948">
        <w:rPr>
          <w:rFonts w:ascii="Arial" w:hAnsi="Arial" w:cs="Arial"/>
          <w:b/>
          <w:color w:val="0071BC"/>
        </w:rPr>
        <w:t>Tab. 30-19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r w:rsidR="003256C9" w:rsidRPr="00E85948">
        <w:rPr>
          <w:rFonts w:ascii="Arial" w:hAnsi="Arial" w:cs="Arial"/>
          <w:b/>
          <w:color w:val="0071BC"/>
        </w:rPr>
        <w:t xml:space="preserve">Podíl energie z obnovitelných zdrojů </w:t>
      </w:r>
    </w:p>
    <w:p w14:paraId="58FEDCC0" w14:textId="77777777" w:rsidR="00B861ED" w:rsidRPr="00CC3BEA" w:rsidRDefault="003256C9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color w:val="000000"/>
          <w:sz w:val="18"/>
          <w:szCs w:val="18"/>
        </w:rPr>
        <w:t xml:space="preserve">Podíl energie z obnovitelných zdrojů ukazuje procentuální podíl </w:t>
      </w:r>
      <w:r w:rsidR="00E13188" w:rsidRPr="00CC3BEA">
        <w:rPr>
          <w:rFonts w:ascii="Arial" w:hAnsi="Arial" w:cs="Arial"/>
          <w:color w:val="000000"/>
          <w:sz w:val="18"/>
          <w:szCs w:val="18"/>
        </w:rPr>
        <w:t>z</w:t>
      </w:r>
      <w:r w:rsidR="00A1584B" w:rsidRPr="00CC3BEA">
        <w:rPr>
          <w:rFonts w:ascii="Arial" w:hAnsi="Arial" w:cs="Arial"/>
          <w:color w:val="000000"/>
          <w:sz w:val="18"/>
          <w:szCs w:val="18"/>
        </w:rPr>
        <w:t> </w:t>
      </w:r>
      <w:r w:rsidRPr="00CC3BEA">
        <w:rPr>
          <w:rFonts w:ascii="Arial" w:hAnsi="Arial" w:cs="Arial"/>
          <w:color w:val="000000"/>
          <w:sz w:val="18"/>
          <w:szCs w:val="18"/>
        </w:rPr>
        <w:t>hrubé konečné spotřeb</w:t>
      </w:r>
      <w:r w:rsidR="00E13188" w:rsidRPr="00CC3BEA">
        <w:rPr>
          <w:rFonts w:ascii="Arial" w:hAnsi="Arial" w:cs="Arial"/>
          <w:color w:val="000000"/>
          <w:sz w:val="18"/>
          <w:szCs w:val="18"/>
        </w:rPr>
        <w:t>y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energie v zemi za daný kalendářní rok. Výpočet podílu zahrnuje čtyři ukazatele: </w:t>
      </w:r>
      <w:r w:rsidR="00E13188" w:rsidRPr="00CC3BEA">
        <w:rPr>
          <w:rFonts w:ascii="Arial" w:hAnsi="Arial" w:cs="Arial"/>
          <w:sz w:val="18"/>
          <w:szCs w:val="18"/>
        </w:rPr>
        <w:t>dopravu</w:t>
      </w:r>
      <w:r w:rsidRPr="00CC3BEA">
        <w:rPr>
          <w:rFonts w:ascii="Arial" w:hAnsi="Arial" w:cs="Arial"/>
          <w:sz w:val="18"/>
          <w:szCs w:val="18"/>
        </w:rPr>
        <w:t>, topení a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chlazení, elektřin</w:t>
      </w:r>
      <w:r w:rsidR="00E13188" w:rsidRPr="00CC3BEA">
        <w:rPr>
          <w:rFonts w:ascii="Arial" w:hAnsi="Arial" w:cs="Arial"/>
          <w:sz w:val="18"/>
          <w:szCs w:val="18"/>
        </w:rPr>
        <w:t>u</w:t>
      </w:r>
      <w:r w:rsidRPr="00CC3BEA">
        <w:rPr>
          <w:rFonts w:ascii="Arial" w:hAnsi="Arial" w:cs="Arial"/>
          <w:sz w:val="18"/>
          <w:szCs w:val="18"/>
        </w:rPr>
        <w:t xml:space="preserve"> a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="00E13188" w:rsidRPr="00CC3BEA">
        <w:rPr>
          <w:rFonts w:ascii="Arial" w:hAnsi="Arial" w:cs="Arial"/>
          <w:sz w:val="18"/>
          <w:szCs w:val="18"/>
        </w:rPr>
        <w:t>obnovitelné zdroje energie celkem</w:t>
      </w:r>
      <w:r w:rsidRPr="00CC3BEA">
        <w:rPr>
          <w:rFonts w:ascii="Arial" w:hAnsi="Arial" w:cs="Arial"/>
          <w:sz w:val="18"/>
          <w:szCs w:val="18"/>
        </w:rPr>
        <w:t>.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Pr="00CC3BEA">
        <w:rPr>
          <w:rFonts w:ascii="Arial" w:hAnsi="Arial" w:cs="Arial"/>
          <w:sz w:val="18"/>
          <w:szCs w:val="18"/>
        </w:rPr>
        <w:t>Předkládání výsledků (energetické bilance) je v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souladu s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 xml:space="preserve">NACE </w:t>
      </w:r>
      <w:proofErr w:type="spellStart"/>
      <w:r w:rsidRPr="00CC3BEA">
        <w:rPr>
          <w:rFonts w:ascii="Arial" w:hAnsi="Arial" w:cs="Arial"/>
          <w:sz w:val="18"/>
          <w:szCs w:val="18"/>
        </w:rPr>
        <w:t>Rev</w:t>
      </w:r>
      <w:proofErr w:type="spellEnd"/>
      <w:r w:rsidRPr="00CC3BEA">
        <w:rPr>
          <w:rFonts w:ascii="Arial" w:hAnsi="Arial" w:cs="Arial"/>
          <w:sz w:val="18"/>
          <w:szCs w:val="18"/>
        </w:rPr>
        <w:t>.</w:t>
      </w:r>
      <w:r w:rsidR="00A1584B" w:rsidRPr="00CC3BEA">
        <w:rPr>
          <w:rFonts w:ascii="Arial" w:hAnsi="Arial" w:cs="Arial"/>
          <w:sz w:val="18"/>
          <w:szCs w:val="18"/>
        </w:rPr>
        <w:t> </w:t>
      </w:r>
      <w:r w:rsidRPr="00CC3BEA">
        <w:rPr>
          <w:rFonts w:ascii="Arial" w:hAnsi="Arial" w:cs="Arial"/>
          <w:sz w:val="18"/>
          <w:szCs w:val="18"/>
        </w:rPr>
        <w:t>2.</w:t>
      </w:r>
    </w:p>
    <w:p w14:paraId="44678DD6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53B92DA6" w14:textId="77777777" w:rsidR="00241138" w:rsidRPr="00CC3BEA" w:rsidRDefault="00241138" w:rsidP="00CC3BEA">
      <w:pPr>
        <w:jc w:val="both"/>
        <w:rPr>
          <w:rFonts w:ascii="Arial" w:hAnsi="Arial" w:cs="Arial"/>
          <w:sz w:val="18"/>
          <w:szCs w:val="18"/>
        </w:rPr>
      </w:pPr>
    </w:p>
    <w:p w14:paraId="02190A28" w14:textId="2891EBB8" w:rsidR="00241138" w:rsidRPr="00E85948" w:rsidRDefault="00ED75AF" w:rsidP="00E85948">
      <w:pPr>
        <w:jc w:val="both"/>
        <w:rPr>
          <w:rFonts w:ascii="Arial" w:hAnsi="Arial" w:cs="Arial"/>
          <w:b/>
          <w:color w:val="0071BC"/>
        </w:rPr>
      </w:pPr>
      <w:bookmarkStart w:id="1" w:name="OLE_LINK1"/>
      <w:r w:rsidRPr="00E85948">
        <w:rPr>
          <w:rFonts w:ascii="Arial" w:hAnsi="Arial" w:cs="Arial"/>
          <w:b/>
          <w:color w:val="0071BC"/>
        </w:rPr>
        <w:t xml:space="preserve">Tab. </w:t>
      </w:r>
      <w:r w:rsidR="00EE13A7" w:rsidRPr="00E85948">
        <w:rPr>
          <w:rFonts w:ascii="Arial" w:hAnsi="Arial" w:cs="Arial"/>
          <w:b/>
          <w:color w:val="0071BC"/>
        </w:rPr>
        <w:t>30</w:t>
      </w:r>
      <w:r w:rsidRPr="00E85948">
        <w:rPr>
          <w:rFonts w:ascii="Arial" w:hAnsi="Arial" w:cs="Arial"/>
          <w:b/>
          <w:color w:val="0071BC"/>
        </w:rPr>
        <w:t>-20</w:t>
      </w:r>
      <w:r w:rsidR="00E85948">
        <w:rPr>
          <w:rFonts w:ascii="Arial" w:hAnsi="Arial" w:cs="Arial"/>
          <w:b/>
          <w:color w:val="0071BC"/>
        </w:rPr>
        <w:t xml:space="preserve"> </w:t>
      </w:r>
      <w:r w:rsidRPr="00E85948">
        <w:rPr>
          <w:rFonts w:ascii="Arial" w:hAnsi="Arial" w:cs="Arial"/>
          <w:b/>
          <w:color w:val="0071BC"/>
        </w:rPr>
        <w:t xml:space="preserve"> </w:t>
      </w:r>
      <w:bookmarkEnd w:id="1"/>
      <w:r w:rsidRPr="00E85948">
        <w:rPr>
          <w:rFonts w:ascii="Arial" w:hAnsi="Arial" w:cs="Arial"/>
          <w:b/>
          <w:color w:val="0071BC"/>
        </w:rPr>
        <w:t>Index průmyslové produkce</w:t>
      </w:r>
    </w:p>
    <w:p w14:paraId="15A753A3" w14:textId="77777777" w:rsidR="00EF6498" w:rsidRPr="00CC3BEA" w:rsidRDefault="00ED75AF" w:rsidP="00CC3BEA">
      <w:pPr>
        <w:widowControl/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 w:rsidRPr="00CC3BEA">
        <w:rPr>
          <w:rFonts w:ascii="Arial" w:hAnsi="Arial" w:cs="Arial"/>
          <w:color w:val="000000"/>
          <w:sz w:val="18"/>
          <w:szCs w:val="18"/>
        </w:rPr>
        <w:t>Index průmyslové produkce ukazuje produkci sektoru průmyslu (těžba a dobývání; zpracovatelský průmysl; výroba a rozvod elektřiny, plynu, tepla a klimatizovaného vzduchu – sekce B, C a D podle</w:t>
      </w:r>
      <w:r w:rsidR="00E173BD"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F430C6" w:rsidRPr="00CC3BEA">
        <w:rPr>
          <w:rFonts w:ascii="Arial" w:hAnsi="Arial" w:cs="Arial"/>
          <w:color w:val="000000"/>
          <w:sz w:val="18"/>
          <w:szCs w:val="18"/>
        </w:rPr>
        <w:t>K</w:t>
      </w:r>
      <w:r w:rsidR="00E173BD" w:rsidRPr="00CC3BEA">
        <w:rPr>
          <w:rFonts w:ascii="Arial" w:hAnsi="Arial" w:cs="Arial"/>
          <w:color w:val="000000"/>
          <w:sz w:val="18"/>
          <w:szCs w:val="18"/>
        </w:rPr>
        <w:t>lasifikace ekonomických činností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</w:t>
      </w:r>
      <w:r w:rsidR="00E173BD" w:rsidRPr="00CC3BEA">
        <w:rPr>
          <w:rFonts w:ascii="Arial" w:hAnsi="Arial" w:cs="Arial"/>
          <w:color w:val="000000"/>
          <w:sz w:val="18"/>
          <w:szCs w:val="18"/>
        </w:rPr>
        <w:t>(</w:t>
      </w:r>
      <w:r w:rsidRPr="00CC3BEA">
        <w:rPr>
          <w:rFonts w:ascii="Arial" w:hAnsi="Arial" w:cs="Arial"/>
          <w:color w:val="000000"/>
          <w:sz w:val="18"/>
          <w:szCs w:val="18"/>
        </w:rPr>
        <w:t>CZ-NACE</w:t>
      </w:r>
      <w:r w:rsidR="00F430C6" w:rsidRPr="00CC3BEA">
        <w:rPr>
          <w:rFonts w:ascii="Arial" w:hAnsi="Arial" w:cs="Arial"/>
          <w:color w:val="000000"/>
          <w:sz w:val="18"/>
          <w:szCs w:val="18"/>
        </w:rPr>
        <w:t>)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). </w:t>
      </w:r>
      <w:r w:rsidR="00BB376F" w:rsidRPr="00CC3BEA">
        <w:rPr>
          <w:rFonts w:ascii="Arial" w:hAnsi="Arial" w:cs="Arial"/>
          <w:color w:val="000000"/>
          <w:sz w:val="18"/>
          <w:szCs w:val="18"/>
        </w:rPr>
        <w:t xml:space="preserve">Každý měsíc </w:t>
      </w:r>
      <w:r w:rsidR="00E02A3C" w:rsidRPr="00CC3BEA">
        <w:rPr>
          <w:rFonts w:ascii="Arial" w:hAnsi="Arial" w:cs="Arial"/>
          <w:color w:val="000000"/>
          <w:sz w:val="18"/>
          <w:szCs w:val="18"/>
        </w:rPr>
        <w:t>měří změny objemu produkce. Průmyslová produkce se sestavuje jako objemový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index </w:t>
      </w:r>
      <w:proofErr w:type="spellStart"/>
      <w:r w:rsidR="00E02A3C" w:rsidRPr="00CC3BEA">
        <w:rPr>
          <w:rFonts w:ascii="Arial" w:hAnsi="Arial" w:cs="Arial"/>
          <w:color w:val="000000"/>
          <w:sz w:val="18"/>
          <w:szCs w:val="18"/>
        </w:rPr>
        <w:t>Laspeyresova</w:t>
      </w:r>
      <w:proofErr w:type="spellEnd"/>
      <w:r w:rsidR="00E02A3C" w:rsidRPr="00CC3BEA">
        <w:rPr>
          <w:rFonts w:ascii="Arial" w:hAnsi="Arial" w:cs="Arial"/>
          <w:color w:val="000000"/>
          <w:sz w:val="18"/>
          <w:szCs w:val="18"/>
        </w:rPr>
        <w:t xml:space="preserve"> typu </w:t>
      </w:r>
      <w:r w:rsidR="00BB376F" w:rsidRPr="00CC3BEA">
        <w:rPr>
          <w:rFonts w:ascii="Arial" w:hAnsi="Arial" w:cs="Arial"/>
          <w:color w:val="000000"/>
          <w:sz w:val="18"/>
          <w:szCs w:val="18"/>
        </w:rPr>
        <w:t>se stálým</w:t>
      </w:r>
      <w:r w:rsidR="00E02A3C" w:rsidRPr="00CC3BEA">
        <w:rPr>
          <w:rFonts w:ascii="Arial" w:hAnsi="Arial" w:cs="Arial"/>
          <w:color w:val="000000"/>
          <w:sz w:val="18"/>
          <w:szCs w:val="18"/>
        </w:rPr>
        <w:t xml:space="preserve"> základním rokem. Tím je v současné době rok </w:t>
      </w:r>
      <w:r w:rsidRPr="00CC3BEA">
        <w:rPr>
          <w:rFonts w:ascii="Arial" w:hAnsi="Arial" w:cs="Arial"/>
          <w:color w:val="000000"/>
          <w:sz w:val="18"/>
          <w:szCs w:val="18"/>
        </w:rPr>
        <w:t>201</w:t>
      </w:r>
      <w:r w:rsidR="00C55F8C" w:rsidRPr="00CC3BEA">
        <w:rPr>
          <w:rFonts w:ascii="Arial" w:hAnsi="Arial" w:cs="Arial"/>
          <w:color w:val="000000"/>
          <w:sz w:val="18"/>
          <w:szCs w:val="18"/>
        </w:rPr>
        <w:t>5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(index 201</w:t>
      </w:r>
      <w:r w:rsidR="00C55F8C" w:rsidRPr="00CC3BEA">
        <w:rPr>
          <w:rFonts w:ascii="Arial" w:hAnsi="Arial" w:cs="Arial"/>
          <w:color w:val="000000"/>
          <w:sz w:val="18"/>
          <w:szCs w:val="18"/>
        </w:rPr>
        <w:t>5</w:t>
      </w:r>
      <w:r w:rsidR="00BB2C7F" w:rsidRPr="00CC3BEA">
        <w:rPr>
          <w:rFonts w:ascii="Arial" w:hAnsi="Arial" w:cs="Arial"/>
          <w:color w:val="000000"/>
          <w:sz w:val="18"/>
          <w:szCs w:val="18"/>
        </w:rPr>
        <w:t> </w:t>
      </w:r>
      <w:r w:rsidRPr="00CC3BEA">
        <w:rPr>
          <w:rFonts w:ascii="Arial" w:hAnsi="Arial" w:cs="Arial"/>
          <w:color w:val="000000"/>
          <w:sz w:val="18"/>
          <w:szCs w:val="18"/>
        </w:rPr>
        <w:t>=</w:t>
      </w:r>
      <w:r w:rsidR="00BB2C7F" w:rsidRPr="00CC3BEA">
        <w:rPr>
          <w:rFonts w:ascii="Arial" w:hAnsi="Arial" w:cs="Arial"/>
          <w:color w:val="000000"/>
          <w:sz w:val="18"/>
          <w:szCs w:val="18"/>
        </w:rPr>
        <w:t> 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100). Index je prezentován ve formě očištěné </w:t>
      </w:r>
      <w:r w:rsidR="00431CAA" w:rsidRPr="00CC3BEA">
        <w:rPr>
          <w:rFonts w:ascii="Arial" w:hAnsi="Arial" w:cs="Arial"/>
          <w:color w:val="000000"/>
          <w:sz w:val="18"/>
          <w:szCs w:val="18"/>
        </w:rPr>
        <w:t>o</w:t>
      </w:r>
      <w:r w:rsidR="00AC7903" w:rsidRPr="00CC3BEA">
        <w:rPr>
          <w:rFonts w:ascii="Arial" w:hAnsi="Arial" w:cs="Arial"/>
          <w:color w:val="000000"/>
          <w:sz w:val="18"/>
          <w:szCs w:val="18"/>
        </w:rPr>
        <w:t> </w:t>
      </w:r>
      <w:r w:rsidR="00431CAA" w:rsidRPr="00CC3BEA">
        <w:rPr>
          <w:rFonts w:ascii="Arial" w:hAnsi="Arial" w:cs="Arial"/>
          <w:color w:val="000000"/>
          <w:sz w:val="18"/>
          <w:szCs w:val="18"/>
        </w:rPr>
        <w:t>kalendářní vlivy</w:t>
      </w:r>
      <w:r w:rsidR="00842361" w:rsidRPr="00CC3BEA">
        <w:rPr>
          <w:rFonts w:ascii="Arial" w:hAnsi="Arial" w:cs="Arial"/>
          <w:color w:val="000000"/>
          <w:sz w:val="18"/>
          <w:szCs w:val="18"/>
        </w:rPr>
        <w:t>,</w:t>
      </w:r>
      <w:r w:rsidRPr="00CC3BEA">
        <w:rPr>
          <w:rFonts w:ascii="Arial" w:hAnsi="Arial" w:cs="Arial"/>
          <w:color w:val="000000"/>
          <w:sz w:val="18"/>
          <w:szCs w:val="18"/>
        </w:rPr>
        <w:t xml:space="preserve"> bez sezónního očištění.</w:t>
      </w:r>
    </w:p>
    <w:p w14:paraId="62C5ED6C" w14:textId="77777777" w:rsidR="00BF6C96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5E3238C6" w14:textId="77777777" w:rsidR="00BF6C96" w:rsidRPr="008263FD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0B2BA554" w14:textId="77777777" w:rsidR="00C712A5" w:rsidRPr="00111309" w:rsidRDefault="00C712A5" w:rsidP="00C712A5">
      <w:pPr>
        <w:jc w:val="center"/>
        <w:rPr>
          <w:rFonts w:ascii="Arial" w:hAnsi="Arial" w:cs="Arial"/>
          <w:i/>
          <w:iCs/>
          <w:color w:val="0071BC"/>
          <w:lang w:val="en-GB"/>
        </w:rPr>
      </w:pPr>
      <w:r w:rsidRPr="00111309">
        <w:rPr>
          <w:rFonts w:ascii="Arial" w:hAnsi="Arial" w:cs="Arial"/>
          <w:i/>
          <w:iCs/>
          <w:color w:val="0071BC"/>
          <w:lang w:val="en-GB"/>
        </w:rPr>
        <w:t>*          *          *</w:t>
      </w:r>
    </w:p>
    <w:p w14:paraId="1EDDA9AA" w14:textId="77777777" w:rsidR="00BF6C96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38C2AB69" w14:textId="77777777" w:rsidR="00BF6C96" w:rsidRPr="008263FD" w:rsidRDefault="00BF6C96" w:rsidP="00BF6C96">
      <w:pPr>
        <w:tabs>
          <w:tab w:val="left" w:pos="-1099"/>
          <w:tab w:val="left" w:pos="-720"/>
          <w:tab w:val="left" w:pos="0"/>
          <w:tab w:val="left" w:pos="6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14:paraId="627D35E1" w14:textId="77777777" w:rsidR="00241138" w:rsidRPr="00CC3BEA" w:rsidRDefault="00ED75AF" w:rsidP="00CC3BEA">
      <w:pPr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14:paraId="7888EB73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– </w:t>
      </w:r>
      <w:hyperlink r:id="rId6" w:history="1">
        <w:r w:rsidR="00E02A3C" w:rsidRPr="00CC3BEA">
          <w:rPr>
            <w:rStyle w:val="Hypertextovodkaz"/>
            <w:rFonts w:ascii="Arial" w:hAnsi="Arial" w:cs="Arial"/>
            <w:sz w:val="18"/>
            <w:szCs w:val="18"/>
          </w:rPr>
          <w:t>www.czso.cz/csu/czso/mezinarodni_data1</w:t>
        </w:r>
      </w:hyperlink>
      <w:r w:rsidR="00EE13A7" w:rsidRPr="00CC3BEA">
        <w:rPr>
          <w:rFonts w:ascii="Arial" w:hAnsi="Arial" w:cs="Arial"/>
          <w:sz w:val="18"/>
          <w:szCs w:val="18"/>
        </w:rPr>
        <w:t xml:space="preserve"> </w:t>
      </w:r>
    </w:p>
    <w:p w14:paraId="00767AEE" w14:textId="77777777" w:rsidR="003E3AB3" w:rsidRPr="00CC3BEA" w:rsidRDefault="003E3AB3" w:rsidP="00CC3BEA">
      <w:pPr>
        <w:jc w:val="both"/>
        <w:rPr>
          <w:rFonts w:ascii="Arial" w:hAnsi="Arial" w:cs="Arial"/>
          <w:sz w:val="18"/>
          <w:szCs w:val="18"/>
        </w:rPr>
      </w:pPr>
    </w:p>
    <w:p w14:paraId="5C56BB8D" w14:textId="77777777" w:rsidR="00241138" w:rsidRPr="00CC3BEA" w:rsidRDefault="00ED75AF" w:rsidP="00CC3BEA">
      <w:pPr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 xml:space="preserve">Kompletní databázi ukazatelů evropského srovnání zveřejňuje na svých stránkách </w:t>
      </w:r>
      <w:proofErr w:type="spellStart"/>
      <w:r w:rsidRPr="00CC3BEA">
        <w:rPr>
          <w:rFonts w:ascii="Arial" w:hAnsi="Arial" w:cs="Arial"/>
          <w:sz w:val="18"/>
          <w:szCs w:val="18"/>
        </w:rPr>
        <w:t>Eurostat</w:t>
      </w:r>
      <w:proofErr w:type="spellEnd"/>
      <w:r w:rsidRPr="00CC3BEA">
        <w:rPr>
          <w:rFonts w:ascii="Arial" w:hAnsi="Arial" w:cs="Arial"/>
          <w:sz w:val="18"/>
          <w:szCs w:val="18"/>
        </w:rPr>
        <w:t>:</w:t>
      </w:r>
    </w:p>
    <w:p w14:paraId="0665E7D2" w14:textId="77777777" w:rsidR="00241138" w:rsidRPr="00CC3BEA" w:rsidRDefault="00ED75AF" w:rsidP="00CC3BEA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C3BEA">
        <w:rPr>
          <w:rFonts w:ascii="Arial" w:hAnsi="Arial" w:cs="Arial"/>
          <w:sz w:val="18"/>
          <w:szCs w:val="18"/>
        </w:rPr>
        <w:t>– </w:t>
      </w:r>
      <w:hyperlink r:id="rId7" w:history="1">
        <w:r w:rsidR="00EA3E0B" w:rsidRPr="00CC3BEA">
          <w:rPr>
            <w:rStyle w:val="Hypertextovodkaz"/>
            <w:rFonts w:ascii="Arial" w:hAnsi="Arial" w:cs="Arial"/>
            <w:sz w:val="18"/>
            <w:szCs w:val="18"/>
          </w:rPr>
          <w:t>ec.europa.eu/</w:t>
        </w:r>
        <w:proofErr w:type="spellStart"/>
        <w:r w:rsidR="00EA3E0B" w:rsidRPr="00CC3BEA">
          <w:rPr>
            <w:rStyle w:val="Hypertextovodkaz"/>
            <w:rFonts w:ascii="Arial" w:hAnsi="Arial" w:cs="Arial"/>
            <w:sz w:val="18"/>
            <w:szCs w:val="18"/>
          </w:rPr>
          <w:t>eurostat</w:t>
        </w:r>
        <w:proofErr w:type="spellEnd"/>
      </w:hyperlink>
      <w:r w:rsidRPr="00CC3BEA">
        <w:rPr>
          <w:rFonts w:ascii="Arial" w:hAnsi="Arial" w:cs="Arial"/>
          <w:sz w:val="18"/>
          <w:szCs w:val="18"/>
        </w:rPr>
        <w:t xml:space="preserve"> </w:t>
      </w:r>
    </w:p>
    <w:sectPr w:rsidR="00241138" w:rsidRPr="00CC3BEA" w:rsidSect="00CC3BEA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4EF"/>
    <w:multiLevelType w:val="hybridMultilevel"/>
    <w:tmpl w:val="B5E82104"/>
    <w:lvl w:ilvl="0" w:tplc="04050017">
      <w:start w:val="1"/>
      <w:numFmt w:val="lowerLetter"/>
      <w:lvlText w:val="%1)"/>
      <w:lvlJc w:val="left"/>
      <w:pPr>
        <w:ind w:left="1488" w:hanging="360"/>
      </w:p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D"/>
    <w:rsid w:val="00001974"/>
    <w:rsid w:val="00002549"/>
    <w:rsid w:val="00003811"/>
    <w:rsid w:val="00003817"/>
    <w:rsid w:val="0000551D"/>
    <w:rsid w:val="000066F5"/>
    <w:rsid w:val="00010AF8"/>
    <w:rsid w:val="000113BE"/>
    <w:rsid w:val="00012DE8"/>
    <w:rsid w:val="00012FEC"/>
    <w:rsid w:val="000133E7"/>
    <w:rsid w:val="00016978"/>
    <w:rsid w:val="00020724"/>
    <w:rsid w:val="000246EF"/>
    <w:rsid w:val="0002487A"/>
    <w:rsid w:val="00024C5C"/>
    <w:rsid w:val="000251BE"/>
    <w:rsid w:val="0002687F"/>
    <w:rsid w:val="00030402"/>
    <w:rsid w:val="000309B9"/>
    <w:rsid w:val="00030CE5"/>
    <w:rsid w:val="00036678"/>
    <w:rsid w:val="00036B3D"/>
    <w:rsid w:val="000370E5"/>
    <w:rsid w:val="00040F63"/>
    <w:rsid w:val="00043616"/>
    <w:rsid w:val="0004407A"/>
    <w:rsid w:val="00044100"/>
    <w:rsid w:val="00047C68"/>
    <w:rsid w:val="000506BF"/>
    <w:rsid w:val="000544AB"/>
    <w:rsid w:val="00054D7D"/>
    <w:rsid w:val="000555F1"/>
    <w:rsid w:val="000606D4"/>
    <w:rsid w:val="0006123F"/>
    <w:rsid w:val="00061741"/>
    <w:rsid w:val="00063493"/>
    <w:rsid w:val="000666E4"/>
    <w:rsid w:val="0006717C"/>
    <w:rsid w:val="00070CB8"/>
    <w:rsid w:val="00074425"/>
    <w:rsid w:val="000801A2"/>
    <w:rsid w:val="00083A4B"/>
    <w:rsid w:val="00084A30"/>
    <w:rsid w:val="00086A1D"/>
    <w:rsid w:val="00086E2F"/>
    <w:rsid w:val="000924DD"/>
    <w:rsid w:val="00096D51"/>
    <w:rsid w:val="0009770D"/>
    <w:rsid w:val="000A1C72"/>
    <w:rsid w:val="000A4470"/>
    <w:rsid w:val="000A44CB"/>
    <w:rsid w:val="000A551D"/>
    <w:rsid w:val="000A5BE4"/>
    <w:rsid w:val="000A64A9"/>
    <w:rsid w:val="000A68C7"/>
    <w:rsid w:val="000A7C0E"/>
    <w:rsid w:val="000A7E37"/>
    <w:rsid w:val="000B3F9D"/>
    <w:rsid w:val="000B436A"/>
    <w:rsid w:val="000B5D6B"/>
    <w:rsid w:val="000C5C62"/>
    <w:rsid w:val="000C659B"/>
    <w:rsid w:val="000D0C03"/>
    <w:rsid w:val="000D360D"/>
    <w:rsid w:val="000D44C9"/>
    <w:rsid w:val="000D7DC9"/>
    <w:rsid w:val="000E0EB0"/>
    <w:rsid w:val="000E2337"/>
    <w:rsid w:val="000E2351"/>
    <w:rsid w:val="000E2609"/>
    <w:rsid w:val="000E4B29"/>
    <w:rsid w:val="000E51C9"/>
    <w:rsid w:val="000F065D"/>
    <w:rsid w:val="000F0CD7"/>
    <w:rsid w:val="000F1022"/>
    <w:rsid w:val="000F24A6"/>
    <w:rsid w:val="000F263F"/>
    <w:rsid w:val="000F26C0"/>
    <w:rsid w:val="000F3FCE"/>
    <w:rsid w:val="000F744B"/>
    <w:rsid w:val="00100402"/>
    <w:rsid w:val="00102358"/>
    <w:rsid w:val="00102C21"/>
    <w:rsid w:val="0010381A"/>
    <w:rsid w:val="00104D7D"/>
    <w:rsid w:val="00113DED"/>
    <w:rsid w:val="001161FD"/>
    <w:rsid w:val="00120D0B"/>
    <w:rsid w:val="00121B74"/>
    <w:rsid w:val="00123253"/>
    <w:rsid w:val="00124FE0"/>
    <w:rsid w:val="00127EAC"/>
    <w:rsid w:val="00133FBF"/>
    <w:rsid w:val="00134888"/>
    <w:rsid w:val="00135C06"/>
    <w:rsid w:val="0013663F"/>
    <w:rsid w:val="001377A0"/>
    <w:rsid w:val="001378B8"/>
    <w:rsid w:val="00141792"/>
    <w:rsid w:val="001418E9"/>
    <w:rsid w:val="001456A9"/>
    <w:rsid w:val="00146745"/>
    <w:rsid w:val="00147325"/>
    <w:rsid w:val="00147828"/>
    <w:rsid w:val="00151080"/>
    <w:rsid w:val="00151D95"/>
    <w:rsid w:val="00153191"/>
    <w:rsid w:val="00155D3F"/>
    <w:rsid w:val="00160630"/>
    <w:rsid w:val="0016081D"/>
    <w:rsid w:val="00164DAB"/>
    <w:rsid w:val="0016527C"/>
    <w:rsid w:val="001669C5"/>
    <w:rsid w:val="00167AEC"/>
    <w:rsid w:val="00173D87"/>
    <w:rsid w:val="0017415C"/>
    <w:rsid w:val="00175A37"/>
    <w:rsid w:val="00177763"/>
    <w:rsid w:val="00181223"/>
    <w:rsid w:val="00181327"/>
    <w:rsid w:val="00183E31"/>
    <w:rsid w:val="00184D69"/>
    <w:rsid w:val="00186DF5"/>
    <w:rsid w:val="00192237"/>
    <w:rsid w:val="001964BD"/>
    <w:rsid w:val="001A0477"/>
    <w:rsid w:val="001A088A"/>
    <w:rsid w:val="001A0DC8"/>
    <w:rsid w:val="001A2E0C"/>
    <w:rsid w:val="001B2786"/>
    <w:rsid w:val="001B34E5"/>
    <w:rsid w:val="001B3D0B"/>
    <w:rsid w:val="001B4712"/>
    <w:rsid w:val="001B4A59"/>
    <w:rsid w:val="001B723F"/>
    <w:rsid w:val="001C6545"/>
    <w:rsid w:val="001D041C"/>
    <w:rsid w:val="001D12FD"/>
    <w:rsid w:val="001D220E"/>
    <w:rsid w:val="001D381D"/>
    <w:rsid w:val="001D3F5D"/>
    <w:rsid w:val="001D4020"/>
    <w:rsid w:val="001D4FD4"/>
    <w:rsid w:val="001D7B96"/>
    <w:rsid w:val="001E0778"/>
    <w:rsid w:val="001E2AF8"/>
    <w:rsid w:val="001E4505"/>
    <w:rsid w:val="001E48AE"/>
    <w:rsid w:val="001E495A"/>
    <w:rsid w:val="001E5C71"/>
    <w:rsid w:val="001E6A57"/>
    <w:rsid w:val="001E7CF7"/>
    <w:rsid w:val="001F002A"/>
    <w:rsid w:val="001F0DBF"/>
    <w:rsid w:val="001F13C3"/>
    <w:rsid w:val="001F23DD"/>
    <w:rsid w:val="001F2AB3"/>
    <w:rsid w:val="001F4382"/>
    <w:rsid w:val="002013B3"/>
    <w:rsid w:val="002045BD"/>
    <w:rsid w:val="0020507C"/>
    <w:rsid w:val="00211E46"/>
    <w:rsid w:val="00212235"/>
    <w:rsid w:val="0021241C"/>
    <w:rsid w:val="00212753"/>
    <w:rsid w:val="002128F4"/>
    <w:rsid w:val="00213B2A"/>
    <w:rsid w:val="00213BDD"/>
    <w:rsid w:val="00214CE5"/>
    <w:rsid w:val="00216340"/>
    <w:rsid w:val="00216983"/>
    <w:rsid w:val="00217002"/>
    <w:rsid w:val="002216AD"/>
    <w:rsid w:val="00221FB4"/>
    <w:rsid w:val="002235FA"/>
    <w:rsid w:val="0022521F"/>
    <w:rsid w:val="00225399"/>
    <w:rsid w:val="002309EA"/>
    <w:rsid w:val="0023145C"/>
    <w:rsid w:val="00236368"/>
    <w:rsid w:val="0024099D"/>
    <w:rsid w:val="002409D3"/>
    <w:rsid w:val="00241138"/>
    <w:rsid w:val="00243E49"/>
    <w:rsid w:val="002538A3"/>
    <w:rsid w:val="002543FA"/>
    <w:rsid w:val="00254CA0"/>
    <w:rsid w:val="00254F8F"/>
    <w:rsid w:val="00257421"/>
    <w:rsid w:val="00260DEC"/>
    <w:rsid w:val="00260F84"/>
    <w:rsid w:val="0026279D"/>
    <w:rsid w:val="002632D3"/>
    <w:rsid w:val="0026334C"/>
    <w:rsid w:val="00264000"/>
    <w:rsid w:val="0026480D"/>
    <w:rsid w:val="00264B73"/>
    <w:rsid w:val="00264BFE"/>
    <w:rsid w:val="00264F33"/>
    <w:rsid w:val="00273634"/>
    <w:rsid w:val="002753E3"/>
    <w:rsid w:val="00283909"/>
    <w:rsid w:val="002846A9"/>
    <w:rsid w:val="00284A87"/>
    <w:rsid w:val="002864E4"/>
    <w:rsid w:val="00286E78"/>
    <w:rsid w:val="00287050"/>
    <w:rsid w:val="002911D4"/>
    <w:rsid w:val="00292F3B"/>
    <w:rsid w:val="002946B8"/>
    <w:rsid w:val="0029568A"/>
    <w:rsid w:val="00295FE2"/>
    <w:rsid w:val="0029700D"/>
    <w:rsid w:val="0029716D"/>
    <w:rsid w:val="002979CD"/>
    <w:rsid w:val="002A0B4C"/>
    <w:rsid w:val="002A342C"/>
    <w:rsid w:val="002A4485"/>
    <w:rsid w:val="002A4558"/>
    <w:rsid w:val="002A4776"/>
    <w:rsid w:val="002A7DE0"/>
    <w:rsid w:val="002B0FD6"/>
    <w:rsid w:val="002B654A"/>
    <w:rsid w:val="002B6EE5"/>
    <w:rsid w:val="002C2E67"/>
    <w:rsid w:val="002C3511"/>
    <w:rsid w:val="002C3ACC"/>
    <w:rsid w:val="002C4F0A"/>
    <w:rsid w:val="002D1446"/>
    <w:rsid w:val="002D2ACC"/>
    <w:rsid w:val="002D45A3"/>
    <w:rsid w:val="002D4923"/>
    <w:rsid w:val="002D5C5F"/>
    <w:rsid w:val="002D6EDE"/>
    <w:rsid w:val="002E4464"/>
    <w:rsid w:val="002E4BE3"/>
    <w:rsid w:val="002E52A4"/>
    <w:rsid w:val="002E7A00"/>
    <w:rsid w:val="002E7B73"/>
    <w:rsid w:val="002F247E"/>
    <w:rsid w:val="002F300C"/>
    <w:rsid w:val="00302307"/>
    <w:rsid w:val="0030544F"/>
    <w:rsid w:val="003062FA"/>
    <w:rsid w:val="003077EB"/>
    <w:rsid w:val="00307C87"/>
    <w:rsid w:val="00310188"/>
    <w:rsid w:val="0031201C"/>
    <w:rsid w:val="0031318F"/>
    <w:rsid w:val="00320813"/>
    <w:rsid w:val="00321C20"/>
    <w:rsid w:val="00322262"/>
    <w:rsid w:val="00322362"/>
    <w:rsid w:val="003226E9"/>
    <w:rsid w:val="00322EC6"/>
    <w:rsid w:val="003235F4"/>
    <w:rsid w:val="003256C9"/>
    <w:rsid w:val="00326348"/>
    <w:rsid w:val="003279FB"/>
    <w:rsid w:val="00327F1D"/>
    <w:rsid w:val="00330CCF"/>
    <w:rsid w:val="00333E5B"/>
    <w:rsid w:val="00334610"/>
    <w:rsid w:val="00340486"/>
    <w:rsid w:val="00340696"/>
    <w:rsid w:val="00341553"/>
    <w:rsid w:val="00342FAE"/>
    <w:rsid w:val="0034344A"/>
    <w:rsid w:val="00345878"/>
    <w:rsid w:val="003459A9"/>
    <w:rsid w:val="003500EE"/>
    <w:rsid w:val="00350C0B"/>
    <w:rsid w:val="003544B7"/>
    <w:rsid w:val="00355985"/>
    <w:rsid w:val="00355FFB"/>
    <w:rsid w:val="003601BE"/>
    <w:rsid w:val="00362B13"/>
    <w:rsid w:val="00362C24"/>
    <w:rsid w:val="00364118"/>
    <w:rsid w:val="003721A7"/>
    <w:rsid w:val="00372784"/>
    <w:rsid w:val="0037704E"/>
    <w:rsid w:val="003805D6"/>
    <w:rsid w:val="00381099"/>
    <w:rsid w:val="00381251"/>
    <w:rsid w:val="00381D6D"/>
    <w:rsid w:val="00382CEB"/>
    <w:rsid w:val="00383558"/>
    <w:rsid w:val="003847F2"/>
    <w:rsid w:val="00384964"/>
    <w:rsid w:val="00392E37"/>
    <w:rsid w:val="00394E77"/>
    <w:rsid w:val="00397A12"/>
    <w:rsid w:val="003A0BED"/>
    <w:rsid w:val="003A14BB"/>
    <w:rsid w:val="003A1E1A"/>
    <w:rsid w:val="003A30B7"/>
    <w:rsid w:val="003A353C"/>
    <w:rsid w:val="003A4DF8"/>
    <w:rsid w:val="003A62EB"/>
    <w:rsid w:val="003B205D"/>
    <w:rsid w:val="003B28A8"/>
    <w:rsid w:val="003B41D2"/>
    <w:rsid w:val="003B4455"/>
    <w:rsid w:val="003C01A1"/>
    <w:rsid w:val="003C0DD0"/>
    <w:rsid w:val="003C19AB"/>
    <w:rsid w:val="003C352A"/>
    <w:rsid w:val="003C439A"/>
    <w:rsid w:val="003D13EC"/>
    <w:rsid w:val="003D1516"/>
    <w:rsid w:val="003D30C6"/>
    <w:rsid w:val="003D7093"/>
    <w:rsid w:val="003D739D"/>
    <w:rsid w:val="003D7775"/>
    <w:rsid w:val="003E3AB3"/>
    <w:rsid w:val="003E55D8"/>
    <w:rsid w:val="003E604C"/>
    <w:rsid w:val="003E6FF7"/>
    <w:rsid w:val="003F051A"/>
    <w:rsid w:val="003F1426"/>
    <w:rsid w:val="003F3886"/>
    <w:rsid w:val="003F52C3"/>
    <w:rsid w:val="003F5879"/>
    <w:rsid w:val="00402C4E"/>
    <w:rsid w:val="00405F41"/>
    <w:rsid w:val="00413CF7"/>
    <w:rsid w:val="00414941"/>
    <w:rsid w:val="0041741D"/>
    <w:rsid w:val="004209D4"/>
    <w:rsid w:val="004237E3"/>
    <w:rsid w:val="00424412"/>
    <w:rsid w:val="00430747"/>
    <w:rsid w:val="00431CAA"/>
    <w:rsid w:val="00431D4F"/>
    <w:rsid w:val="004334F5"/>
    <w:rsid w:val="00433BE5"/>
    <w:rsid w:val="00434231"/>
    <w:rsid w:val="00435A16"/>
    <w:rsid w:val="004435CE"/>
    <w:rsid w:val="004467CB"/>
    <w:rsid w:val="00447C06"/>
    <w:rsid w:val="0045110A"/>
    <w:rsid w:val="004521EB"/>
    <w:rsid w:val="00453CB4"/>
    <w:rsid w:val="0045438F"/>
    <w:rsid w:val="00454480"/>
    <w:rsid w:val="00454CCD"/>
    <w:rsid w:val="004553AD"/>
    <w:rsid w:val="004604E8"/>
    <w:rsid w:val="004626CC"/>
    <w:rsid w:val="00462B97"/>
    <w:rsid w:val="00466C19"/>
    <w:rsid w:val="004702DE"/>
    <w:rsid w:val="0047128D"/>
    <w:rsid w:val="00472AFB"/>
    <w:rsid w:val="00473B03"/>
    <w:rsid w:val="00474A4F"/>
    <w:rsid w:val="00474B87"/>
    <w:rsid w:val="0048065F"/>
    <w:rsid w:val="0048755C"/>
    <w:rsid w:val="0048790D"/>
    <w:rsid w:val="004914BB"/>
    <w:rsid w:val="0049455B"/>
    <w:rsid w:val="00494660"/>
    <w:rsid w:val="0049475C"/>
    <w:rsid w:val="0049583A"/>
    <w:rsid w:val="00497BCA"/>
    <w:rsid w:val="004A03A3"/>
    <w:rsid w:val="004A2693"/>
    <w:rsid w:val="004A2C53"/>
    <w:rsid w:val="004A418A"/>
    <w:rsid w:val="004B15A2"/>
    <w:rsid w:val="004B2902"/>
    <w:rsid w:val="004B3800"/>
    <w:rsid w:val="004B42BC"/>
    <w:rsid w:val="004B5ABA"/>
    <w:rsid w:val="004B5EDF"/>
    <w:rsid w:val="004B71A4"/>
    <w:rsid w:val="004B757B"/>
    <w:rsid w:val="004B7A14"/>
    <w:rsid w:val="004C06D8"/>
    <w:rsid w:val="004C09D8"/>
    <w:rsid w:val="004C2A43"/>
    <w:rsid w:val="004C2E02"/>
    <w:rsid w:val="004C45D0"/>
    <w:rsid w:val="004C4A06"/>
    <w:rsid w:val="004C510F"/>
    <w:rsid w:val="004C5BDF"/>
    <w:rsid w:val="004C6616"/>
    <w:rsid w:val="004C6FAA"/>
    <w:rsid w:val="004D2127"/>
    <w:rsid w:val="004D3B39"/>
    <w:rsid w:val="004D5365"/>
    <w:rsid w:val="004E02A0"/>
    <w:rsid w:val="004E1498"/>
    <w:rsid w:val="004E5E3A"/>
    <w:rsid w:val="004E5E81"/>
    <w:rsid w:val="004E71F8"/>
    <w:rsid w:val="004F080A"/>
    <w:rsid w:val="004F0FF5"/>
    <w:rsid w:val="004F569E"/>
    <w:rsid w:val="004F6B62"/>
    <w:rsid w:val="005000FD"/>
    <w:rsid w:val="0050025D"/>
    <w:rsid w:val="00501423"/>
    <w:rsid w:val="005016F2"/>
    <w:rsid w:val="00502894"/>
    <w:rsid w:val="0050421E"/>
    <w:rsid w:val="0050526E"/>
    <w:rsid w:val="00506C8D"/>
    <w:rsid w:val="00511A15"/>
    <w:rsid w:val="005122B5"/>
    <w:rsid w:val="00514E4B"/>
    <w:rsid w:val="005152CD"/>
    <w:rsid w:val="00515654"/>
    <w:rsid w:val="00515BC9"/>
    <w:rsid w:val="00516665"/>
    <w:rsid w:val="00516F10"/>
    <w:rsid w:val="00517442"/>
    <w:rsid w:val="00520072"/>
    <w:rsid w:val="00520DB1"/>
    <w:rsid w:val="005224BE"/>
    <w:rsid w:val="00522A99"/>
    <w:rsid w:val="005255FF"/>
    <w:rsid w:val="00525A92"/>
    <w:rsid w:val="00525C94"/>
    <w:rsid w:val="00525DC4"/>
    <w:rsid w:val="00526AF0"/>
    <w:rsid w:val="00530E6C"/>
    <w:rsid w:val="0053270A"/>
    <w:rsid w:val="00532C09"/>
    <w:rsid w:val="00535FE5"/>
    <w:rsid w:val="00536868"/>
    <w:rsid w:val="00544BD1"/>
    <w:rsid w:val="00545023"/>
    <w:rsid w:val="005452A6"/>
    <w:rsid w:val="00547A2E"/>
    <w:rsid w:val="0055755D"/>
    <w:rsid w:val="00557956"/>
    <w:rsid w:val="00560137"/>
    <w:rsid w:val="00561D3F"/>
    <w:rsid w:val="0056590F"/>
    <w:rsid w:val="00565D50"/>
    <w:rsid w:val="00566407"/>
    <w:rsid w:val="0056767A"/>
    <w:rsid w:val="005676B5"/>
    <w:rsid w:val="00567837"/>
    <w:rsid w:val="00571A33"/>
    <w:rsid w:val="0057291D"/>
    <w:rsid w:val="00573A53"/>
    <w:rsid w:val="0057606D"/>
    <w:rsid w:val="0058243E"/>
    <w:rsid w:val="00582CFD"/>
    <w:rsid w:val="005843B3"/>
    <w:rsid w:val="00590271"/>
    <w:rsid w:val="00591EF3"/>
    <w:rsid w:val="005930EB"/>
    <w:rsid w:val="005957BD"/>
    <w:rsid w:val="00595F69"/>
    <w:rsid w:val="00596AC4"/>
    <w:rsid w:val="005979F2"/>
    <w:rsid w:val="005A3FC9"/>
    <w:rsid w:val="005A7301"/>
    <w:rsid w:val="005B4C4A"/>
    <w:rsid w:val="005B578F"/>
    <w:rsid w:val="005B5F59"/>
    <w:rsid w:val="005C08D8"/>
    <w:rsid w:val="005C1008"/>
    <w:rsid w:val="005C20E7"/>
    <w:rsid w:val="005C22A7"/>
    <w:rsid w:val="005C24BF"/>
    <w:rsid w:val="005C3AB6"/>
    <w:rsid w:val="005C401E"/>
    <w:rsid w:val="005C4CD8"/>
    <w:rsid w:val="005C4F0A"/>
    <w:rsid w:val="005C5FED"/>
    <w:rsid w:val="005D38CB"/>
    <w:rsid w:val="005E5226"/>
    <w:rsid w:val="005E663F"/>
    <w:rsid w:val="005E6696"/>
    <w:rsid w:val="005E759C"/>
    <w:rsid w:val="005E7786"/>
    <w:rsid w:val="005F269D"/>
    <w:rsid w:val="005F34B1"/>
    <w:rsid w:val="005F38CD"/>
    <w:rsid w:val="005F3AFB"/>
    <w:rsid w:val="005F4E1A"/>
    <w:rsid w:val="005F4FC1"/>
    <w:rsid w:val="005F51A1"/>
    <w:rsid w:val="005F5F76"/>
    <w:rsid w:val="005F6B2F"/>
    <w:rsid w:val="005F73BD"/>
    <w:rsid w:val="0060168A"/>
    <w:rsid w:val="006020F6"/>
    <w:rsid w:val="00603CAF"/>
    <w:rsid w:val="00603F1B"/>
    <w:rsid w:val="0060462A"/>
    <w:rsid w:val="00610933"/>
    <w:rsid w:val="00610F2C"/>
    <w:rsid w:val="006126B2"/>
    <w:rsid w:val="0061276D"/>
    <w:rsid w:val="00612E1F"/>
    <w:rsid w:val="00615A39"/>
    <w:rsid w:val="00615FE6"/>
    <w:rsid w:val="006379C3"/>
    <w:rsid w:val="00640502"/>
    <w:rsid w:val="0064139E"/>
    <w:rsid w:val="00641519"/>
    <w:rsid w:val="00642FC3"/>
    <w:rsid w:val="006459E8"/>
    <w:rsid w:val="00646083"/>
    <w:rsid w:val="0066017B"/>
    <w:rsid w:val="00661C2D"/>
    <w:rsid w:val="00663709"/>
    <w:rsid w:val="00663EA7"/>
    <w:rsid w:val="00665353"/>
    <w:rsid w:val="00665A3B"/>
    <w:rsid w:val="00667E12"/>
    <w:rsid w:val="00671A65"/>
    <w:rsid w:val="00672DC2"/>
    <w:rsid w:val="00673EAE"/>
    <w:rsid w:val="00676C7F"/>
    <w:rsid w:val="00677BA3"/>
    <w:rsid w:val="0068032A"/>
    <w:rsid w:val="00682B77"/>
    <w:rsid w:val="0068333A"/>
    <w:rsid w:val="0068449A"/>
    <w:rsid w:val="00686B90"/>
    <w:rsid w:val="00691A52"/>
    <w:rsid w:val="0069379D"/>
    <w:rsid w:val="006943D9"/>
    <w:rsid w:val="00694473"/>
    <w:rsid w:val="00694BCC"/>
    <w:rsid w:val="00694CDF"/>
    <w:rsid w:val="006954E8"/>
    <w:rsid w:val="00695E07"/>
    <w:rsid w:val="006A0DBC"/>
    <w:rsid w:val="006A133C"/>
    <w:rsid w:val="006A384B"/>
    <w:rsid w:val="006A3DD0"/>
    <w:rsid w:val="006A4305"/>
    <w:rsid w:val="006A6D60"/>
    <w:rsid w:val="006A7C20"/>
    <w:rsid w:val="006B20C4"/>
    <w:rsid w:val="006B3E17"/>
    <w:rsid w:val="006B41C9"/>
    <w:rsid w:val="006B6FA0"/>
    <w:rsid w:val="006C4E33"/>
    <w:rsid w:val="006C6436"/>
    <w:rsid w:val="006D1F09"/>
    <w:rsid w:val="006D2ACF"/>
    <w:rsid w:val="006D3A30"/>
    <w:rsid w:val="006D6199"/>
    <w:rsid w:val="006D6653"/>
    <w:rsid w:val="006D7222"/>
    <w:rsid w:val="006D733B"/>
    <w:rsid w:val="006D77A9"/>
    <w:rsid w:val="006E4EB6"/>
    <w:rsid w:val="006E7262"/>
    <w:rsid w:val="006E73AE"/>
    <w:rsid w:val="006E7473"/>
    <w:rsid w:val="006F1B46"/>
    <w:rsid w:val="006F49F4"/>
    <w:rsid w:val="006F5E25"/>
    <w:rsid w:val="006F7B57"/>
    <w:rsid w:val="00700A79"/>
    <w:rsid w:val="00701DCB"/>
    <w:rsid w:val="00702706"/>
    <w:rsid w:val="00703442"/>
    <w:rsid w:val="00704042"/>
    <w:rsid w:val="00704807"/>
    <w:rsid w:val="00705AFF"/>
    <w:rsid w:val="0071081D"/>
    <w:rsid w:val="007133CF"/>
    <w:rsid w:val="00713940"/>
    <w:rsid w:val="0071534E"/>
    <w:rsid w:val="00720C77"/>
    <w:rsid w:val="00722EA5"/>
    <w:rsid w:val="00724185"/>
    <w:rsid w:val="00724A8B"/>
    <w:rsid w:val="007300FF"/>
    <w:rsid w:val="007317A1"/>
    <w:rsid w:val="007326F1"/>
    <w:rsid w:val="00734465"/>
    <w:rsid w:val="00734B50"/>
    <w:rsid w:val="00736648"/>
    <w:rsid w:val="00740F47"/>
    <w:rsid w:val="007464D2"/>
    <w:rsid w:val="007475B3"/>
    <w:rsid w:val="0075098A"/>
    <w:rsid w:val="00751551"/>
    <w:rsid w:val="0075383E"/>
    <w:rsid w:val="00755A4E"/>
    <w:rsid w:val="0075755F"/>
    <w:rsid w:val="00761BA4"/>
    <w:rsid w:val="0076245B"/>
    <w:rsid w:val="0076336D"/>
    <w:rsid w:val="0076446E"/>
    <w:rsid w:val="00765F23"/>
    <w:rsid w:val="00766124"/>
    <w:rsid w:val="007667DE"/>
    <w:rsid w:val="007674DC"/>
    <w:rsid w:val="007707FC"/>
    <w:rsid w:val="00771782"/>
    <w:rsid w:val="00775019"/>
    <w:rsid w:val="00775593"/>
    <w:rsid w:val="0077778C"/>
    <w:rsid w:val="0078031C"/>
    <w:rsid w:val="007830C3"/>
    <w:rsid w:val="00785C97"/>
    <w:rsid w:val="0078653F"/>
    <w:rsid w:val="00786D9A"/>
    <w:rsid w:val="00787E77"/>
    <w:rsid w:val="0079285F"/>
    <w:rsid w:val="00792961"/>
    <w:rsid w:val="007934B6"/>
    <w:rsid w:val="007934F8"/>
    <w:rsid w:val="00794DDC"/>
    <w:rsid w:val="00794FE0"/>
    <w:rsid w:val="007952ED"/>
    <w:rsid w:val="007A1098"/>
    <w:rsid w:val="007A10CE"/>
    <w:rsid w:val="007A24F0"/>
    <w:rsid w:val="007A24FF"/>
    <w:rsid w:val="007A341B"/>
    <w:rsid w:val="007A40A2"/>
    <w:rsid w:val="007A5C13"/>
    <w:rsid w:val="007A5F20"/>
    <w:rsid w:val="007B68BF"/>
    <w:rsid w:val="007B6A69"/>
    <w:rsid w:val="007B7B50"/>
    <w:rsid w:val="007C3838"/>
    <w:rsid w:val="007C7244"/>
    <w:rsid w:val="007D17DC"/>
    <w:rsid w:val="007D28CC"/>
    <w:rsid w:val="007D3F71"/>
    <w:rsid w:val="007D419C"/>
    <w:rsid w:val="007E4F7B"/>
    <w:rsid w:val="007F040D"/>
    <w:rsid w:val="007F0996"/>
    <w:rsid w:val="007F33C6"/>
    <w:rsid w:val="007F36FC"/>
    <w:rsid w:val="007F3E52"/>
    <w:rsid w:val="007F47A9"/>
    <w:rsid w:val="007F51F8"/>
    <w:rsid w:val="007F6D2D"/>
    <w:rsid w:val="007F6E5F"/>
    <w:rsid w:val="007F7846"/>
    <w:rsid w:val="00800CE4"/>
    <w:rsid w:val="00803852"/>
    <w:rsid w:val="00803E6C"/>
    <w:rsid w:val="008044CD"/>
    <w:rsid w:val="00804C8F"/>
    <w:rsid w:val="00807105"/>
    <w:rsid w:val="0080725A"/>
    <w:rsid w:val="008072E1"/>
    <w:rsid w:val="00814A69"/>
    <w:rsid w:val="00815ED2"/>
    <w:rsid w:val="00816ABA"/>
    <w:rsid w:val="0081767C"/>
    <w:rsid w:val="00820927"/>
    <w:rsid w:val="0082265B"/>
    <w:rsid w:val="00822C90"/>
    <w:rsid w:val="00824EA3"/>
    <w:rsid w:val="008255C0"/>
    <w:rsid w:val="00830110"/>
    <w:rsid w:val="0083135F"/>
    <w:rsid w:val="00832A07"/>
    <w:rsid w:val="00833D23"/>
    <w:rsid w:val="00834803"/>
    <w:rsid w:val="00835171"/>
    <w:rsid w:val="0083590B"/>
    <w:rsid w:val="008371DA"/>
    <w:rsid w:val="00842361"/>
    <w:rsid w:val="00844CF9"/>
    <w:rsid w:val="0084729B"/>
    <w:rsid w:val="008500ED"/>
    <w:rsid w:val="00851C60"/>
    <w:rsid w:val="00851DC5"/>
    <w:rsid w:val="0085572D"/>
    <w:rsid w:val="008563BF"/>
    <w:rsid w:val="00857341"/>
    <w:rsid w:val="008628A6"/>
    <w:rsid w:val="00864CC9"/>
    <w:rsid w:val="00865798"/>
    <w:rsid w:val="0086600F"/>
    <w:rsid w:val="00867E98"/>
    <w:rsid w:val="0087001B"/>
    <w:rsid w:val="00871957"/>
    <w:rsid w:val="008719C4"/>
    <w:rsid w:val="00876044"/>
    <w:rsid w:val="00884356"/>
    <w:rsid w:val="00884532"/>
    <w:rsid w:val="00884584"/>
    <w:rsid w:val="008845D2"/>
    <w:rsid w:val="0088578F"/>
    <w:rsid w:val="00886BA2"/>
    <w:rsid w:val="0088797B"/>
    <w:rsid w:val="00887F30"/>
    <w:rsid w:val="00887F9D"/>
    <w:rsid w:val="00891075"/>
    <w:rsid w:val="00891D77"/>
    <w:rsid w:val="00891E5F"/>
    <w:rsid w:val="008968A6"/>
    <w:rsid w:val="008A0507"/>
    <w:rsid w:val="008A0FB0"/>
    <w:rsid w:val="008A531B"/>
    <w:rsid w:val="008A5E83"/>
    <w:rsid w:val="008A6A2B"/>
    <w:rsid w:val="008B0AB8"/>
    <w:rsid w:val="008B0EAE"/>
    <w:rsid w:val="008B2350"/>
    <w:rsid w:val="008B3005"/>
    <w:rsid w:val="008B4A57"/>
    <w:rsid w:val="008B54AA"/>
    <w:rsid w:val="008B5D37"/>
    <w:rsid w:val="008C2B25"/>
    <w:rsid w:val="008C428D"/>
    <w:rsid w:val="008C6A7E"/>
    <w:rsid w:val="008C6C58"/>
    <w:rsid w:val="008D0291"/>
    <w:rsid w:val="008D07A0"/>
    <w:rsid w:val="008D1D78"/>
    <w:rsid w:val="008D37CE"/>
    <w:rsid w:val="008D41F3"/>
    <w:rsid w:val="008E245F"/>
    <w:rsid w:val="008E3014"/>
    <w:rsid w:val="008E7942"/>
    <w:rsid w:val="008F02E6"/>
    <w:rsid w:val="008F0CE5"/>
    <w:rsid w:val="008F16AC"/>
    <w:rsid w:val="008F1ED2"/>
    <w:rsid w:val="008F33EC"/>
    <w:rsid w:val="008F4314"/>
    <w:rsid w:val="008F6F64"/>
    <w:rsid w:val="00903447"/>
    <w:rsid w:val="0090403F"/>
    <w:rsid w:val="009048ED"/>
    <w:rsid w:val="0090606B"/>
    <w:rsid w:val="00910AA5"/>
    <w:rsid w:val="00912AEA"/>
    <w:rsid w:val="00912E2A"/>
    <w:rsid w:val="00913ADC"/>
    <w:rsid w:val="00914214"/>
    <w:rsid w:val="00915DF3"/>
    <w:rsid w:val="009179B3"/>
    <w:rsid w:val="00921995"/>
    <w:rsid w:val="00922C47"/>
    <w:rsid w:val="009233A8"/>
    <w:rsid w:val="00924F1D"/>
    <w:rsid w:val="009251F1"/>
    <w:rsid w:val="00927037"/>
    <w:rsid w:val="00930F7A"/>
    <w:rsid w:val="0093122D"/>
    <w:rsid w:val="0093151C"/>
    <w:rsid w:val="00931836"/>
    <w:rsid w:val="00934452"/>
    <w:rsid w:val="00934485"/>
    <w:rsid w:val="0093536A"/>
    <w:rsid w:val="0093673C"/>
    <w:rsid w:val="00936A69"/>
    <w:rsid w:val="00936B13"/>
    <w:rsid w:val="00936D29"/>
    <w:rsid w:val="00937321"/>
    <w:rsid w:val="0094126C"/>
    <w:rsid w:val="00942831"/>
    <w:rsid w:val="009438CB"/>
    <w:rsid w:val="00943FFB"/>
    <w:rsid w:val="00944A92"/>
    <w:rsid w:val="00946365"/>
    <w:rsid w:val="0094707A"/>
    <w:rsid w:val="0095400A"/>
    <w:rsid w:val="00954C24"/>
    <w:rsid w:val="00955675"/>
    <w:rsid w:val="009563AC"/>
    <w:rsid w:val="009617A2"/>
    <w:rsid w:val="009637CC"/>
    <w:rsid w:val="00963A4F"/>
    <w:rsid w:val="00963A70"/>
    <w:rsid w:val="009672C0"/>
    <w:rsid w:val="009702D9"/>
    <w:rsid w:val="009710FA"/>
    <w:rsid w:val="00974676"/>
    <w:rsid w:val="00975727"/>
    <w:rsid w:val="00976272"/>
    <w:rsid w:val="00976336"/>
    <w:rsid w:val="0097651B"/>
    <w:rsid w:val="00976E41"/>
    <w:rsid w:val="0098000F"/>
    <w:rsid w:val="0098028B"/>
    <w:rsid w:val="00990EC6"/>
    <w:rsid w:val="009926A5"/>
    <w:rsid w:val="00992866"/>
    <w:rsid w:val="009930D2"/>
    <w:rsid w:val="0099346C"/>
    <w:rsid w:val="0099373B"/>
    <w:rsid w:val="009962F0"/>
    <w:rsid w:val="009A1FDF"/>
    <w:rsid w:val="009A2884"/>
    <w:rsid w:val="009A436E"/>
    <w:rsid w:val="009A4E88"/>
    <w:rsid w:val="009A4F20"/>
    <w:rsid w:val="009A559A"/>
    <w:rsid w:val="009B190A"/>
    <w:rsid w:val="009B2008"/>
    <w:rsid w:val="009B26AA"/>
    <w:rsid w:val="009B2E42"/>
    <w:rsid w:val="009B4E2B"/>
    <w:rsid w:val="009B5C1B"/>
    <w:rsid w:val="009B5E34"/>
    <w:rsid w:val="009B6808"/>
    <w:rsid w:val="009C10C8"/>
    <w:rsid w:val="009C1994"/>
    <w:rsid w:val="009C1B44"/>
    <w:rsid w:val="009C30D2"/>
    <w:rsid w:val="009C3AC4"/>
    <w:rsid w:val="009C5043"/>
    <w:rsid w:val="009C76CA"/>
    <w:rsid w:val="009D0FCC"/>
    <w:rsid w:val="009D33C1"/>
    <w:rsid w:val="009D33C6"/>
    <w:rsid w:val="009D38C9"/>
    <w:rsid w:val="009D6154"/>
    <w:rsid w:val="009D676C"/>
    <w:rsid w:val="009D7B60"/>
    <w:rsid w:val="009E18FA"/>
    <w:rsid w:val="009E1B2D"/>
    <w:rsid w:val="009E2338"/>
    <w:rsid w:val="009E4CAA"/>
    <w:rsid w:val="009E5A6E"/>
    <w:rsid w:val="009E5FB2"/>
    <w:rsid w:val="009E67AF"/>
    <w:rsid w:val="009F5614"/>
    <w:rsid w:val="009F58C6"/>
    <w:rsid w:val="009F5F22"/>
    <w:rsid w:val="009F6191"/>
    <w:rsid w:val="009F623C"/>
    <w:rsid w:val="00A034D4"/>
    <w:rsid w:val="00A05278"/>
    <w:rsid w:val="00A07485"/>
    <w:rsid w:val="00A074ED"/>
    <w:rsid w:val="00A105C5"/>
    <w:rsid w:val="00A114B1"/>
    <w:rsid w:val="00A11C22"/>
    <w:rsid w:val="00A11E6F"/>
    <w:rsid w:val="00A156E7"/>
    <w:rsid w:val="00A1584B"/>
    <w:rsid w:val="00A174DD"/>
    <w:rsid w:val="00A22D7A"/>
    <w:rsid w:val="00A23623"/>
    <w:rsid w:val="00A23B42"/>
    <w:rsid w:val="00A24B83"/>
    <w:rsid w:val="00A2580C"/>
    <w:rsid w:val="00A2637F"/>
    <w:rsid w:val="00A264E9"/>
    <w:rsid w:val="00A26691"/>
    <w:rsid w:val="00A310A3"/>
    <w:rsid w:val="00A31555"/>
    <w:rsid w:val="00A32378"/>
    <w:rsid w:val="00A33CF8"/>
    <w:rsid w:val="00A34425"/>
    <w:rsid w:val="00A3546B"/>
    <w:rsid w:val="00A37EC8"/>
    <w:rsid w:val="00A40BB2"/>
    <w:rsid w:val="00A41BC5"/>
    <w:rsid w:val="00A42113"/>
    <w:rsid w:val="00A4294D"/>
    <w:rsid w:val="00A431D8"/>
    <w:rsid w:val="00A4455A"/>
    <w:rsid w:val="00A45845"/>
    <w:rsid w:val="00A45B5E"/>
    <w:rsid w:val="00A46FC7"/>
    <w:rsid w:val="00A47E9F"/>
    <w:rsid w:val="00A47FD9"/>
    <w:rsid w:val="00A501FA"/>
    <w:rsid w:val="00A50A12"/>
    <w:rsid w:val="00A50B24"/>
    <w:rsid w:val="00A51262"/>
    <w:rsid w:val="00A5373F"/>
    <w:rsid w:val="00A549AD"/>
    <w:rsid w:val="00A555FD"/>
    <w:rsid w:val="00A55797"/>
    <w:rsid w:val="00A6565C"/>
    <w:rsid w:val="00A70348"/>
    <w:rsid w:val="00A713D1"/>
    <w:rsid w:val="00A71D15"/>
    <w:rsid w:val="00A73B76"/>
    <w:rsid w:val="00A73BB4"/>
    <w:rsid w:val="00A73D91"/>
    <w:rsid w:val="00A8009F"/>
    <w:rsid w:val="00A8355E"/>
    <w:rsid w:val="00A84C4A"/>
    <w:rsid w:val="00A84CF4"/>
    <w:rsid w:val="00A8578B"/>
    <w:rsid w:val="00A85844"/>
    <w:rsid w:val="00A859A2"/>
    <w:rsid w:val="00A90B33"/>
    <w:rsid w:val="00A91011"/>
    <w:rsid w:val="00A92FB2"/>
    <w:rsid w:val="00A93169"/>
    <w:rsid w:val="00A9582A"/>
    <w:rsid w:val="00A976D2"/>
    <w:rsid w:val="00AA2886"/>
    <w:rsid w:val="00AA34C0"/>
    <w:rsid w:val="00AA50E7"/>
    <w:rsid w:val="00AA7418"/>
    <w:rsid w:val="00AB34C4"/>
    <w:rsid w:val="00AB5701"/>
    <w:rsid w:val="00AC02B2"/>
    <w:rsid w:val="00AC2E4B"/>
    <w:rsid w:val="00AC5A64"/>
    <w:rsid w:val="00AC64F6"/>
    <w:rsid w:val="00AC65E1"/>
    <w:rsid w:val="00AC7903"/>
    <w:rsid w:val="00AE0853"/>
    <w:rsid w:val="00AE0ABE"/>
    <w:rsid w:val="00AE18D2"/>
    <w:rsid w:val="00AE6BE6"/>
    <w:rsid w:val="00AE7193"/>
    <w:rsid w:val="00AF187A"/>
    <w:rsid w:val="00AF2009"/>
    <w:rsid w:val="00AF2A8A"/>
    <w:rsid w:val="00AF2DA7"/>
    <w:rsid w:val="00AF659D"/>
    <w:rsid w:val="00AF688B"/>
    <w:rsid w:val="00B00B23"/>
    <w:rsid w:val="00B0148E"/>
    <w:rsid w:val="00B019BF"/>
    <w:rsid w:val="00B0203B"/>
    <w:rsid w:val="00B0597C"/>
    <w:rsid w:val="00B11DEA"/>
    <w:rsid w:val="00B123A3"/>
    <w:rsid w:val="00B1452E"/>
    <w:rsid w:val="00B22095"/>
    <w:rsid w:val="00B26A94"/>
    <w:rsid w:val="00B27096"/>
    <w:rsid w:val="00B27C24"/>
    <w:rsid w:val="00B30854"/>
    <w:rsid w:val="00B30B84"/>
    <w:rsid w:val="00B316AC"/>
    <w:rsid w:val="00B373B5"/>
    <w:rsid w:val="00B40BF1"/>
    <w:rsid w:val="00B446AF"/>
    <w:rsid w:val="00B45847"/>
    <w:rsid w:val="00B46BEC"/>
    <w:rsid w:val="00B502CF"/>
    <w:rsid w:val="00B52D06"/>
    <w:rsid w:val="00B52DFD"/>
    <w:rsid w:val="00B53FA5"/>
    <w:rsid w:val="00B54B5D"/>
    <w:rsid w:val="00B5663F"/>
    <w:rsid w:val="00B6016F"/>
    <w:rsid w:val="00B61D2E"/>
    <w:rsid w:val="00B62FC2"/>
    <w:rsid w:val="00B72216"/>
    <w:rsid w:val="00B73F12"/>
    <w:rsid w:val="00B74033"/>
    <w:rsid w:val="00B74A14"/>
    <w:rsid w:val="00B75248"/>
    <w:rsid w:val="00B765FE"/>
    <w:rsid w:val="00B77708"/>
    <w:rsid w:val="00B826E6"/>
    <w:rsid w:val="00B829E5"/>
    <w:rsid w:val="00B85DF7"/>
    <w:rsid w:val="00B86091"/>
    <w:rsid w:val="00B861ED"/>
    <w:rsid w:val="00B87E60"/>
    <w:rsid w:val="00B91021"/>
    <w:rsid w:val="00B9301A"/>
    <w:rsid w:val="00B93E2F"/>
    <w:rsid w:val="00BA039B"/>
    <w:rsid w:val="00BA047C"/>
    <w:rsid w:val="00BA70D1"/>
    <w:rsid w:val="00BA7C24"/>
    <w:rsid w:val="00BB2C7F"/>
    <w:rsid w:val="00BB376F"/>
    <w:rsid w:val="00BB594E"/>
    <w:rsid w:val="00BB5972"/>
    <w:rsid w:val="00BB5DC9"/>
    <w:rsid w:val="00BB6687"/>
    <w:rsid w:val="00BB6FBF"/>
    <w:rsid w:val="00BC0158"/>
    <w:rsid w:val="00BC01BA"/>
    <w:rsid w:val="00BC5CAA"/>
    <w:rsid w:val="00BC7320"/>
    <w:rsid w:val="00BC7D37"/>
    <w:rsid w:val="00BD06C7"/>
    <w:rsid w:val="00BD1FD8"/>
    <w:rsid w:val="00BD6234"/>
    <w:rsid w:val="00BE1A9F"/>
    <w:rsid w:val="00BE3208"/>
    <w:rsid w:val="00BE5635"/>
    <w:rsid w:val="00BE5FFA"/>
    <w:rsid w:val="00BE699E"/>
    <w:rsid w:val="00BE7A97"/>
    <w:rsid w:val="00BF01F9"/>
    <w:rsid w:val="00BF156D"/>
    <w:rsid w:val="00BF16C8"/>
    <w:rsid w:val="00BF243A"/>
    <w:rsid w:val="00BF6C96"/>
    <w:rsid w:val="00BF78CA"/>
    <w:rsid w:val="00BF7F8D"/>
    <w:rsid w:val="00C06702"/>
    <w:rsid w:val="00C07446"/>
    <w:rsid w:val="00C1178B"/>
    <w:rsid w:val="00C11A80"/>
    <w:rsid w:val="00C12A04"/>
    <w:rsid w:val="00C15448"/>
    <w:rsid w:val="00C16F72"/>
    <w:rsid w:val="00C1740D"/>
    <w:rsid w:val="00C201B5"/>
    <w:rsid w:val="00C203BF"/>
    <w:rsid w:val="00C25138"/>
    <w:rsid w:val="00C25C49"/>
    <w:rsid w:val="00C273A5"/>
    <w:rsid w:val="00C27745"/>
    <w:rsid w:val="00C30833"/>
    <w:rsid w:val="00C338C5"/>
    <w:rsid w:val="00C3480F"/>
    <w:rsid w:val="00C34B59"/>
    <w:rsid w:val="00C36823"/>
    <w:rsid w:val="00C37331"/>
    <w:rsid w:val="00C40B82"/>
    <w:rsid w:val="00C4108F"/>
    <w:rsid w:val="00C41A10"/>
    <w:rsid w:val="00C424E5"/>
    <w:rsid w:val="00C429F7"/>
    <w:rsid w:val="00C42CFB"/>
    <w:rsid w:val="00C4711C"/>
    <w:rsid w:val="00C52409"/>
    <w:rsid w:val="00C548C0"/>
    <w:rsid w:val="00C55F8C"/>
    <w:rsid w:val="00C57278"/>
    <w:rsid w:val="00C57BE6"/>
    <w:rsid w:val="00C57FC1"/>
    <w:rsid w:val="00C60B9D"/>
    <w:rsid w:val="00C616E2"/>
    <w:rsid w:val="00C646EB"/>
    <w:rsid w:val="00C650F2"/>
    <w:rsid w:val="00C668B8"/>
    <w:rsid w:val="00C6715A"/>
    <w:rsid w:val="00C712A5"/>
    <w:rsid w:val="00C734A5"/>
    <w:rsid w:val="00C74B9B"/>
    <w:rsid w:val="00C75918"/>
    <w:rsid w:val="00C82032"/>
    <w:rsid w:val="00C837D2"/>
    <w:rsid w:val="00C86A07"/>
    <w:rsid w:val="00C93D54"/>
    <w:rsid w:val="00CA185A"/>
    <w:rsid w:val="00CA3B03"/>
    <w:rsid w:val="00CB0D56"/>
    <w:rsid w:val="00CB1679"/>
    <w:rsid w:val="00CB1E98"/>
    <w:rsid w:val="00CB45EB"/>
    <w:rsid w:val="00CB49D5"/>
    <w:rsid w:val="00CB4E7D"/>
    <w:rsid w:val="00CB5FF6"/>
    <w:rsid w:val="00CB6E98"/>
    <w:rsid w:val="00CC303A"/>
    <w:rsid w:val="00CC3712"/>
    <w:rsid w:val="00CC3BEA"/>
    <w:rsid w:val="00CC512E"/>
    <w:rsid w:val="00CC5F75"/>
    <w:rsid w:val="00CD46E9"/>
    <w:rsid w:val="00CD50EE"/>
    <w:rsid w:val="00CD5B93"/>
    <w:rsid w:val="00CD6E8F"/>
    <w:rsid w:val="00CE1393"/>
    <w:rsid w:val="00CE16A7"/>
    <w:rsid w:val="00CE1FD5"/>
    <w:rsid w:val="00CE3474"/>
    <w:rsid w:val="00CE76DD"/>
    <w:rsid w:val="00CF0854"/>
    <w:rsid w:val="00CF145A"/>
    <w:rsid w:val="00CF1521"/>
    <w:rsid w:val="00CF22EF"/>
    <w:rsid w:val="00CF254E"/>
    <w:rsid w:val="00CF2797"/>
    <w:rsid w:val="00CF7559"/>
    <w:rsid w:val="00CF7FC9"/>
    <w:rsid w:val="00D00896"/>
    <w:rsid w:val="00D02302"/>
    <w:rsid w:val="00D03358"/>
    <w:rsid w:val="00D03C6E"/>
    <w:rsid w:val="00D0406A"/>
    <w:rsid w:val="00D0553C"/>
    <w:rsid w:val="00D062C2"/>
    <w:rsid w:val="00D06ADB"/>
    <w:rsid w:val="00D07B09"/>
    <w:rsid w:val="00D119C6"/>
    <w:rsid w:val="00D12575"/>
    <w:rsid w:val="00D1291B"/>
    <w:rsid w:val="00D13571"/>
    <w:rsid w:val="00D14E9F"/>
    <w:rsid w:val="00D2528A"/>
    <w:rsid w:val="00D26A8D"/>
    <w:rsid w:val="00D30C2C"/>
    <w:rsid w:val="00D30D88"/>
    <w:rsid w:val="00D30F85"/>
    <w:rsid w:val="00D332BA"/>
    <w:rsid w:val="00D33D86"/>
    <w:rsid w:val="00D3406A"/>
    <w:rsid w:val="00D34CE1"/>
    <w:rsid w:val="00D34DF2"/>
    <w:rsid w:val="00D352B7"/>
    <w:rsid w:val="00D35A44"/>
    <w:rsid w:val="00D35F6D"/>
    <w:rsid w:val="00D430E5"/>
    <w:rsid w:val="00D43139"/>
    <w:rsid w:val="00D43F9D"/>
    <w:rsid w:val="00D458DF"/>
    <w:rsid w:val="00D469B4"/>
    <w:rsid w:val="00D47099"/>
    <w:rsid w:val="00D508BE"/>
    <w:rsid w:val="00D5092D"/>
    <w:rsid w:val="00D52938"/>
    <w:rsid w:val="00D543DB"/>
    <w:rsid w:val="00D57606"/>
    <w:rsid w:val="00D577A3"/>
    <w:rsid w:val="00D5789D"/>
    <w:rsid w:val="00D617C0"/>
    <w:rsid w:val="00D6346D"/>
    <w:rsid w:val="00D63D41"/>
    <w:rsid w:val="00D66932"/>
    <w:rsid w:val="00D66B76"/>
    <w:rsid w:val="00D66EE5"/>
    <w:rsid w:val="00D70131"/>
    <w:rsid w:val="00D710ED"/>
    <w:rsid w:val="00D71DC4"/>
    <w:rsid w:val="00D71EF8"/>
    <w:rsid w:val="00D72BD0"/>
    <w:rsid w:val="00D73F5F"/>
    <w:rsid w:val="00D745C1"/>
    <w:rsid w:val="00D77247"/>
    <w:rsid w:val="00D77AE1"/>
    <w:rsid w:val="00D83C80"/>
    <w:rsid w:val="00D84B39"/>
    <w:rsid w:val="00D87E53"/>
    <w:rsid w:val="00D9059D"/>
    <w:rsid w:val="00D90CFA"/>
    <w:rsid w:val="00D927A8"/>
    <w:rsid w:val="00D92F8A"/>
    <w:rsid w:val="00D95417"/>
    <w:rsid w:val="00D9651A"/>
    <w:rsid w:val="00D967DA"/>
    <w:rsid w:val="00D96F3A"/>
    <w:rsid w:val="00D97706"/>
    <w:rsid w:val="00DA55C2"/>
    <w:rsid w:val="00DB0460"/>
    <w:rsid w:val="00DB1862"/>
    <w:rsid w:val="00DB18A6"/>
    <w:rsid w:val="00DB32C2"/>
    <w:rsid w:val="00DB3E46"/>
    <w:rsid w:val="00DC0E61"/>
    <w:rsid w:val="00DC1D25"/>
    <w:rsid w:val="00DC3546"/>
    <w:rsid w:val="00DC5718"/>
    <w:rsid w:val="00DD661C"/>
    <w:rsid w:val="00DD70C0"/>
    <w:rsid w:val="00DD72B1"/>
    <w:rsid w:val="00DD7482"/>
    <w:rsid w:val="00DD7E38"/>
    <w:rsid w:val="00DD7F04"/>
    <w:rsid w:val="00DE1420"/>
    <w:rsid w:val="00DE4299"/>
    <w:rsid w:val="00DF09EF"/>
    <w:rsid w:val="00DF1293"/>
    <w:rsid w:val="00DF3225"/>
    <w:rsid w:val="00DF32E4"/>
    <w:rsid w:val="00DF421D"/>
    <w:rsid w:val="00DF4404"/>
    <w:rsid w:val="00DF49B0"/>
    <w:rsid w:val="00DF592D"/>
    <w:rsid w:val="00DF6D80"/>
    <w:rsid w:val="00DF6E51"/>
    <w:rsid w:val="00DF777A"/>
    <w:rsid w:val="00E00A2D"/>
    <w:rsid w:val="00E01A66"/>
    <w:rsid w:val="00E022C5"/>
    <w:rsid w:val="00E02A3C"/>
    <w:rsid w:val="00E040E5"/>
    <w:rsid w:val="00E042DD"/>
    <w:rsid w:val="00E04ACC"/>
    <w:rsid w:val="00E04F04"/>
    <w:rsid w:val="00E054C7"/>
    <w:rsid w:val="00E0737A"/>
    <w:rsid w:val="00E0786D"/>
    <w:rsid w:val="00E078FA"/>
    <w:rsid w:val="00E13188"/>
    <w:rsid w:val="00E14310"/>
    <w:rsid w:val="00E169FD"/>
    <w:rsid w:val="00E173BD"/>
    <w:rsid w:val="00E175B8"/>
    <w:rsid w:val="00E177E3"/>
    <w:rsid w:val="00E2201E"/>
    <w:rsid w:val="00E2207B"/>
    <w:rsid w:val="00E32BCE"/>
    <w:rsid w:val="00E35827"/>
    <w:rsid w:val="00E36E25"/>
    <w:rsid w:val="00E43253"/>
    <w:rsid w:val="00E43F2B"/>
    <w:rsid w:val="00E456F9"/>
    <w:rsid w:val="00E47078"/>
    <w:rsid w:val="00E47149"/>
    <w:rsid w:val="00E472CF"/>
    <w:rsid w:val="00E47340"/>
    <w:rsid w:val="00E5267D"/>
    <w:rsid w:val="00E532CF"/>
    <w:rsid w:val="00E56E42"/>
    <w:rsid w:val="00E60ECC"/>
    <w:rsid w:val="00E61B62"/>
    <w:rsid w:val="00E622BC"/>
    <w:rsid w:val="00E623C6"/>
    <w:rsid w:val="00E62E63"/>
    <w:rsid w:val="00E652EE"/>
    <w:rsid w:val="00E66782"/>
    <w:rsid w:val="00E709C1"/>
    <w:rsid w:val="00E717EE"/>
    <w:rsid w:val="00E71B40"/>
    <w:rsid w:val="00E71CE0"/>
    <w:rsid w:val="00E72A83"/>
    <w:rsid w:val="00E72F59"/>
    <w:rsid w:val="00E73547"/>
    <w:rsid w:val="00E74D7A"/>
    <w:rsid w:val="00E7521B"/>
    <w:rsid w:val="00E7657A"/>
    <w:rsid w:val="00E76AF0"/>
    <w:rsid w:val="00E83A23"/>
    <w:rsid w:val="00E85948"/>
    <w:rsid w:val="00E90377"/>
    <w:rsid w:val="00E90C6A"/>
    <w:rsid w:val="00E919FC"/>
    <w:rsid w:val="00E92324"/>
    <w:rsid w:val="00E948C4"/>
    <w:rsid w:val="00E961A5"/>
    <w:rsid w:val="00EA05F2"/>
    <w:rsid w:val="00EA111F"/>
    <w:rsid w:val="00EA3091"/>
    <w:rsid w:val="00EA354B"/>
    <w:rsid w:val="00EA3E0B"/>
    <w:rsid w:val="00EA529D"/>
    <w:rsid w:val="00EA62B0"/>
    <w:rsid w:val="00EA685A"/>
    <w:rsid w:val="00EA6CBF"/>
    <w:rsid w:val="00EA6F89"/>
    <w:rsid w:val="00EB01C9"/>
    <w:rsid w:val="00EB0920"/>
    <w:rsid w:val="00EB0942"/>
    <w:rsid w:val="00EB1FDD"/>
    <w:rsid w:val="00EB21A2"/>
    <w:rsid w:val="00EB3930"/>
    <w:rsid w:val="00EB3F6F"/>
    <w:rsid w:val="00EB47FD"/>
    <w:rsid w:val="00EB6446"/>
    <w:rsid w:val="00EB6B07"/>
    <w:rsid w:val="00EB7941"/>
    <w:rsid w:val="00EC138B"/>
    <w:rsid w:val="00EC37B2"/>
    <w:rsid w:val="00EC4A66"/>
    <w:rsid w:val="00EC4EF0"/>
    <w:rsid w:val="00ED0318"/>
    <w:rsid w:val="00ED0909"/>
    <w:rsid w:val="00ED129E"/>
    <w:rsid w:val="00ED21D2"/>
    <w:rsid w:val="00ED2CD5"/>
    <w:rsid w:val="00ED3C8D"/>
    <w:rsid w:val="00ED48DB"/>
    <w:rsid w:val="00ED75AF"/>
    <w:rsid w:val="00EE08CA"/>
    <w:rsid w:val="00EE0CFC"/>
    <w:rsid w:val="00EE13A7"/>
    <w:rsid w:val="00EE1B8C"/>
    <w:rsid w:val="00EE67BB"/>
    <w:rsid w:val="00EE79AB"/>
    <w:rsid w:val="00EE7B99"/>
    <w:rsid w:val="00EF159E"/>
    <w:rsid w:val="00EF37CE"/>
    <w:rsid w:val="00EF4931"/>
    <w:rsid w:val="00EF4C7D"/>
    <w:rsid w:val="00EF4FA8"/>
    <w:rsid w:val="00EF6498"/>
    <w:rsid w:val="00F00E0C"/>
    <w:rsid w:val="00F01374"/>
    <w:rsid w:val="00F036C4"/>
    <w:rsid w:val="00F051EF"/>
    <w:rsid w:val="00F06201"/>
    <w:rsid w:val="00F10154"/>
    <w:rsid w:val="00F11315"/>
    <w:rsid w:val="00F129FA"/>
    <w:rsid w:val="00F12EC6"/>
    <w:rsid w:val="00F137CD"/>
    <w:rsid w:val="00F14519"/>
    <w:rsid w:val="00F15232"/>
    <w:rsid w:val="00F16900"/>
    <w:rsid w:val="00F17939"/>
    <w:rsid w:val="00F21909"/>
    <w:rsid w:val="00F22C9D"/>
    <w:rsid w:val="00F2388B"/>
    <w:rsid w:val="00F238AF"/>
    <w:rsid w:val="00F24420"/>
    <w:rsid w:val="00F248D6"/>
    <w:rsid w:val="00F27408"/>
    <w:rsid w:val="00F27D89"/>
    <w:rsid w:val="00F30172"/>
    <w:rsid w:val="00F30323"/>
    <w:rsid w:val="00F35483"/>
    <w:rsid w:val="00F430C6"/>
    <w:rsid w:val="00F45A50"/>
    <w:rsid w:val="00F468E0"/>
    <w:rsid w:val="00F528B3"/>
    <w:rsid w:val="00F52E28"/>
    <w:rsid w:val="00F53326"/>
    <w:rsid w:val="00F536E8"/>
    <w:rsid w:val="00F5518B"/>
    <w:rsid w:val="00F561DD"/>
    <w:rsid w:val="00F571FE"/>
    <w:rsid w:val="00F57EED"/>
    <w:rsid w:val="00F60707"/>
    <w:rsid w:val="00F63496"/>
    <w:rsid w:val="00F634F4"/>
    <w:rsid w:val="00F64026"/>
    <w:rsid w:val="00F6525E"/>
    <w:rsid w:val="00F6722D"/>
    <w:rsid w:val="00F70813"/>
    <w:rsid w:val="00F71DD3"/>
    <w:rsid w:val="00F72272"/>
    <w:rsid w:val="00F73395"/>
    <w:rsid w:val="00F73AB7"/>
    <w:rsid w:val="00F73B3A"/>
    <w:rsid w:val="00F74BC0"/>
    <w:rsid w:val="00F764EB"/>
    <w:rsid w:val="00F8030B"/>
    <w:rsid w:val="00F80E49"/>
    <w:rsid w:val="00F80F05"/>
    <w:rsid w:val="00F82731"/>
    <w:rsid w:val="00F82F35"/>
    <w:rsid w:val="00F8592B"/>
    <w:rsid w:val="00F86A33"/>
    <w:rsid w:val="00F86E6C"/>
    <w:rsid w:val="00F92A96"/>
    <w:rsid w:val="00F95694"/>
    <w:rsid w:val="00F96356"/>
    <w:rsid w:val="00F9788B"/>
    <w:rsid w:val="00F97DC4"/>
    <w:rsid w:val="00FA1C55"/>
    <w:rsid w:val="00FA2321"/>
    <w:rsid w:val="00FA39E1"/>
    <w:rsid w:val="00FA3DE9"/>
    <w:rsid w:val="00FA4023"/>
    <w:rsid w:val="00FA524F"/>
    <w:rsid w:val="00FA6B5A"/>
    <w:rsid w:val="00FA6E4D"/>
    <w:rsid w:val="00FA75B8"/>
    <w:rsid w:val="00FB1FDA"/>
    <w:rsid w:val="00FB3720"/>
    <w:rsid w:val="00FB7552"/>
    <w:rsid w:val="00FC0350"/>
    <w:rsid w:val="00FC0A33"/>
    <w:rsid w:val="00FC33C0"/>
    <w:rsid w:val="00FC33D2"/>
    <w:rsid w:val="00FC4B01"/>
    <w:rsid w:val="00FC4D55"/>
    <w:rsid w:val="00FC535C"/>
    <w:rsid w:val="00FC7F01"/>
    <w:rsid w:val="00FD3E80"/>
    <w:rsid w:val="00FD5CC0"/>
    <w:rsid w:val="00FD5D9F"/>
    <w:rsid w:val="00FD6DB0"/>
    <w:rsid w:val="00FE441E"/>
    <w:rsid w:val="00FE442A"/>
    <w:rsid w:val="00FE454A"/>
    <w:rsid w:val="00FE4A24"/>
    <w:rsid w:val="00FE4EBE"/>
    <w:rsid w:val="00FE6846"/>
    <w:rsid w:val="00FE711F"/>
    <w:rsid w:val="00FE73A2"/>
    <w:rsid w:val="00FE763E"/>
    <w:rsid w:val="00FF0741"/>
    <w:rsid w:val="00FF0CB0"/>
    <w:rsid w:val="00FF323C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7F4B"/>
  <w15:docId w15:val="{A062DE3F-B470-4387-8810-71F6216A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</w:rPr>
  </w:style>
  <w:style w:type="paragraph" w:styleId="Nadpis1">
    <w:name w:val="heading 1"/>
    <w:basedOn w:val="Normln"/>
    <w:next w:val="Normln"/>
    <w:link w:val="Nadpis1Char"/>
    <w:qFormat/>
    <w:rsid w:val="00AC6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113B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1"/>
    <w:semiHidden/>
    <w:rsid w:val="000113BE"/>
  </w:style>
  <w:style w:type="character" w:customStyle="1" w:styleId="TextkomenteChar">
    <w:name w:val="Text komentáře Char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3">
    <w:name w:val="Body Text 3"/>
    <w:basedOn w:val="Normln"/>
    <w:semiHidden/>
    <w:rsid w:val="000113B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  <w:rPr>
      <w:rFonts w:ascii="Arial" w:hAnsi="Arial"/>
    </w:rPr>
  </w:style>
  <w:style w:type="character" w:customStyle="1" w:styleId="Zkladntext3Char">
    <w:name w:val="Základní text 3 Char"/>
    <w:semiHidden/>
    <w:rsid w:val="000113B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rsid w:val="000113BE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unhideWhenUsed/>
    <w:rsid w:val="000113BE"/>
    <w:pPr>
      <w:spacing w:after="120"/>
    </w:pPr>
  </w:style>
  <w:style w:type="character" w:customStyle="1" w:styleId="ZkladntextChar">
    <w:name w:val="Základní text Char"/>
    <w:semiHidden/>
    <w:rsid w:val="000113BE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customStyle="1" w:styleId="Zkladntex">
    <w:name w:val="Základní tex"/>
    <w:rsid w:val="000113BE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sz w:val="24"/>
      <w:szCs w:val="24"/>
    </w:rPr>
  </w:style>
  <w:style w:type="character" w:styleId="Hypertextovodkaz">
    <w:name w:val="Hyperlink"/>
    <w:semiHidden/>
    <w:rsid w:val="000113BE"/>
    <w:rPr>
      <w:color w:val="0000FF"/>
      <w:u w:val="single"/>
    </w:rPr>
  </w:style>
  <w:style w:type="character" w:styleId="Sledovanodkaz">
    <w:name w:val="FollowedHyperlink"/>
    <w:semiHidden/>
    <w:rsid w:val="000113B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F4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0F47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740F4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40F47"/>
  </w:style>
  <w:style w:type="character" w:customStyle="1" w:styleId="TextkomenteChar1">
    <w:name w:val="Text komentáře Char1"/>
    <w:link w:val="Textkomente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PedmtkomenteChar">
    <w:name w:val="Předmět komentáře Char"/>
    <w:link w:val="Pedmtkomente"/>
    <w:rsid w:val="00740F47"/>
    <w:rPr>
      <w:rFonts w:ascii="Times New Roman CE obyeejné" w:eastAsia="Times New Roman" w:hAnsi="Times New Roman CE obyeejné"/>
      <w:lang w:val="en-US"/>
    </w:rPr>
  </w:style>
  <w:style w:type="paragraph" w:styleId="Revize">
    <w:name w:val="Revision"/>
    <w:hidden/>
    <w:uiPriority w:val="99"/>
    <w:semiHidden/>
    <w:rsid w:val="00740F47"/>
    <w:rPr>
      <w:rFonts w:ascii="Times New Roman CE obyeejné" w:eastAsia="Times New Roman" w:hAnsi="Times New Roman CE obyeejné"/>
      <w:lang w:val="en-US"/>
    </w:rPr>
  </w:style>
  <w:style w:type="character" w:customStyle="1" w:styleId="Nadpis1Char">
    <w:name w:val="Nadpis 1 Char"/>
    <w:link w:val="Nadpis1"/>
    <w:rsid w:val="00AC64F6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ormlnweb">
    <w:name w:val="Normal (Web)"/>
    <w:basedOn w:val="Normln"/>
    <w:rsid w:val="00AC64F6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sz w:val="24"/>
      <w:szCs w:val="24"/>
    </w:rPr>
  </w:style>
  <w:style w:type="character" w:styleId="Zdraznn">
    <w:name w:val="Emphasis"/>
    <w:uiPriority w:val="20"/>
    <w:qFormat/>
    <w:rsid w:val="00B6016F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D46E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D46E9"/>
    <w:rPr>
      <w:rFonts w:ascii="Times New Roman CE obyeejné" w:eastAsia="Times New Roman" w:hAnsi="Times New Roman CE obyeejné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50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.europa.eu/euros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mezinarodni_dat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13BC9-8847-477F-A896-143E7A05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1905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13121</CharactersWithSpaces>
  <SharedDoc>false</SharedDoc>
  <HLinks>
    <vt:vector size="18" baseType="variant"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http://www.czso.cz/csu/redakce.nsf/i/evropska_data_esds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http://apl.czso.cz/ode/index.htm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 MEZINÁRODNÍ SROVNÁNÍ, Metodické vysvětlivky, Statistická ročenka ČR 2023</dc:title>
  <dc:creator>Český statistický úřad</dc:creator>
  <cp:lastModifiedBy>Zadák Rostislav</cp:lastModifiedBy>
  <cp:revision>18</cp:revision>
  <cp:lastPrinted>2019-09-09T08:18:00Z</cp:lastPrinted>
  <dcterms:created xsi:type="dcterms:W3CDTF">2023-02-15T13:43:00Z</dcterms:created>
  <dcterms:modified xsi:type="dcterms:W3CDTF">2023-11-09T14:42:00Z</dcterms:modified>
</cp:coreProperties>
</file>