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7395" w14:textId="30FA48E3" w:rsidR="0062469D" w:rsidRPr="006611AE" w:rsidRDefault="001108DE" w:rsidP="00BA1060">
      <w:pPr>
        <w:pStyle w:val="Style0"/>
        <w:autoSpaceDE/>
        <w:autoSpaceDN/>
        <w:adjustRightInd/>
        <w:jc w:val="both"/>
        <w:rPr>
          <w:rFonts w:ascii="Arial" w:hAnsi="Arial"/>
          <w:bCs/>
          <w:caps/>
          <w:color w:val="0085BC"/>
          <w:sz w:val="24"/>
        </w:rPr>
      </w:pPr>
      <w:proofErr w:type="gramStart"/>
      <w:r w:rsidRPr="006611AE">
        <w:rPr>
          <w:rFonts w:ascii="Arial" w:hAnsi="Arial"/>
          <w:b/>
          <w:bCs/>
          <w:caps/>
          <w:color w:val="0085BC"/>
          <w:sz w:val="24"/>
        </w:rPr>
        <w:t>33</w:t>
      </w:r>
      <w:r w:rsidR="00AA00FB" w:rsidRPr="006611AE">
        <w:rPr>
          <w:rFonts w:ascii="Arial" w:hAnsi="Arial"/>
          <w:b/>
          <w:bCs/>
          <w:caps/>
          <w:color w:val="0085BC"/>
          <w:sz w:val="24"/>
        </w:rPr>
        <w:t xml:space="preserve"> </w:t>
      </w:r>
      <w:r w:rsidR="00A57DFA" w:rsidRPr="006611AE">
        <w:rPr>
          <w:rFonts w:ascii="Arial" w:hAnsi="Arial"/>
          <w:b/>
          <w:bCs/>
          <w:caps/>
          <w:color w:val="0085BC"/>
          <w:sz w:val="24"/>
        </w:rPr>
        <w:t xml:space="preserve"> </w:t>
      </w:r>
      <w:r w:rsidRPr="006611AE">
        <w:rPr>
          <w:rFonts w:ascii="Arial" w:hAnsi="Arial"/>
          <w:b/>
          <w:bCs/>
          <w:caps/>
          <w:color w:val="0085BC"/>
          <w:sz w:val="24"/>
        </w:rPr>
        <w:t>S</w:t>
      </w:r>
      <w:r w:rsidR="006611AE">
        <w:rPr>
          <w:rFonts w:ascii="Arial" w:hAnsi="Arial"/>
          <w:b/>
          <w:bCs/>
          <w:caps/>
          <w:color w:val="0085BC"/>
          <w:sz w:val="24"/>
        </w:rPr>
        <w:t>čítání</w:t>
      </w:r>
      <w:proofErr w:type="gramEnd"/>
      <w:r w:rsidR="006611AE">
        <w:rPr>
          <w:rFonts w:ascii="Arial" w:hAnsi="Arial"/>
          <w:b/>
          <w:bCs/>
          <w:caps/>
          <w:color w:val="0085BC"/>
          <w:sz w:val="24"/>
        </w:rPr>
        <w:t xml:space="preserve"> lidu, domů a bytů</w:t>
      </w:r>
    </w:p>
    <w:p w14:paraId="18EA886E" w14:textId="77777777" w:rsidR="00892D23" w:rsidRDefault="00892D23" w:rsidP="00BA1060">
      <w:pPr>
        <w:jc w:val="both"/>
        <w:rPr>
          <w:sz w:val="18"/>
          <w:szCs w:val="18"/>
        </w:rPr>
      </w:pPr>
    </w:p>
    <w:p w14:paraId="7880A465" w14:textId="77777777" w:rsidR="00892D23" w:rsidRPr="00F43952" w:rsidRDefault="00892D23" w:rsidP="003E3079">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cs="Arial"/>
          <w:b/>
          <w:bCs/>
          <w:color w:val="0071BC"/>
        </w:rPr>
      </w:pPr>
      <w:r w:rsidRPr="00F43952">
        <w:rPr>
          <w:rFonts w:cs="Arial"/>
          <w:b/>
          <w:bCs/>
          <w:color w:val="0071BC"/>
        </w:rPr>
        <w:t>Metodické vysvětlivky</w:t>
      </w:r>
    </w:p>
    <w:p w14:paraId="7A2FBEFC" w14:textId="77777777" w:rsidR="00892D23" w:rsidRPr="00F43952" w:rsidRDefault="00892D23" w:rsidP="003E3079">
      <w:pPr>
        <w:jc w:val="both"/>
        <w:rPr>
          <w:sz w:val="18"/>
          <w:szCs w:val="18"/>
        </w:rPr>
      </w:pPr>
    </w:p>
    <w:p w14:paraId="4CA620AE" w14:textId="77777777" w:rsidR="00CE29E1" w:rsidRPr="00F43952" w:rsidRDefault="00CE29E1" w:rsidP="00CE29E1">
      <w:pPr>
        <w:jc w:val="both"/>
        <w:rPr>
          <w:rFonts w:eastAsiaTheme="minorHAnsi" w:cs="Arial"/>
          <w:sz w:val="18"/>
          <w:szCs w:val="18"/>
        </w:rPr>
      </w:pPr>
      <w:r w:rsidRPr="00F43952">
        <w:rPr>
          <w:rFonts w:eastAsiaTheme="minorHAnsi" w:cs="Arial"/>
          <w:sz w:val="18"/>
          <w:szCs w:val="18"/>
        </w:rPr>
        <w:t>Obsahem této kapitoly jsou základní údaje o ekonomické aktivitě obyvatel, domovním a bytovém fondu a hospodařících domácnostech z výsledků sčítání lidu, domů a bytů (SLDB), které se uskutečnilo na základě zákona č. 332/2020 Sb. na celém území České republiky k 26. 3. 2021. Údaje byly zjišťovány podle stavu o půlnoci z pátku 26. března 2021 na sobotu 27. března 2021 (rozhodný okamžik). Základní údaje o obyvatelstvu ze SLDB 2021 byly publikovány ve Statistické ročence 2022.</w:t>
      </w:r>
    </w:p>
    <w:p w14:paraId="1C40833D"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Výsledky SLDB jsou zpracovány a publikovány </w:t>
      </w:r>
      <w:r w:rsidRPr="00F43952">
        <w:rPr>
          <w:rFonts w:cs="Arial"/>
          <w:b/>
          <w:sz w:val="18"/>
          <w:szCs w:val="18"/>
        </w:rPr>
        <w:t>za obvykle bydlící obyvatelstvo, resp. podle místa obvyklého pobytu osob</w:t>
      </w:r>
      <w:r w:rsidRPr="00F43952">
        <w:rPr>
          <w:rFonts w:cs="Arial"/>
          <w:sz w:val="18"/>
          <w:szCs w:val="18"/>
        </w:rPr>
        <w:t>.</w:t>
      </w:r>
    </w:p>
    <w:p w14:paraId="71F76E55"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Místo obvyklého pobytu</w:t>
      </w:r>
      <w:r w:rsidRPr="00F43952">
        <w:rPr>
          <w:rFonts w:cs="Arial"/>
          <w:sz w:val="18"/>
          <w:szCs w:val="18"/>
        </w:rPr>
        <w:t xml:space="preserve"> je definováno jako místo, kde osoba převážně pobývá, tráví dobu svého každodenního odpočinku bez ohledu na dočasnou nepřítomnost z důvodu rekreace, návštěv, pracovních cest, pobytu ve zdravotnickém zařízení apod., a kde je členem konkrétní domácnosti.</w:t>
      </w:r>
    </w:p>
    <w:p w14:paraId="582C3A6B" w14:textId="0559CC0A" w:rsidR="00AD2702" w:rsidRPr="00F43952" w:rsidRDefault="00CE29E1" w:rsidP="00CE29E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18"/>
          <w:szCs w:val="18"/>
        </w:rPr>
      </w:pPr>
      <w:r w:rsidRPr="00F43952">
        <w:rPr>
          <w:rFonts w:cs="Arial"/>
          <w:sz w:val="18"/>
          <w:szCs w:val="18"/>
        </w:rPr>
        <w:t xml:space="preserve">Místo obvyklého pobytu osob je, </w:t>
      </w:r>
      <w:r w:rsidR="0010025E" w:rsidRPr="00F43952">
        <w:rPr>
          <w:rFonts w:cs="Arial"/>
          <w:sz w:val="18"/>
          <w:szCs w:val="18"/>
        </w:rPr>
        <w:t>vedle</w:t>
      </w:r>
      <w:r w:rsidRPr="00F43952">
        <w:rPr>
          <w:rFonts w:cs="Arial"/>
          <w:sz w:val="18"/>
          <w:szCs w:val="18"/>
        </w:rPr>
        <w:t xml:space="preserve"> údajů za osoby, určující i pro konstrukci hospodařících domácností, jejich územní třídění i údaje o obydlenosti bytů a domů.</w:t>
      </w:r>
    </w:p>
    <w:p w14:paraId="2B963D7D" w14:textId="77777777" w:rsidR="00CE29E1" w:rsidRPr="00F43952" w:rsidRDefault="00CE29E1" w:rsidP="00CE29E1">
      <w:pPr>
        <w:rPr>
          <w:rFonts w:cs="Arial"/>
          <w:sz w:val="18"/>
          <w:szCs w:val="18"/>
        </w:rPr>
      </w:pPr>
    </w:p>
    <w:p w14:paraId="3DC1A320" w14:textId="77777777" w:rsidR="00CE29E1" w:rsidRPr="00F43952" w:rsidRDefault="00CE29E1" w:rsidP="00CE29E1">
      <w:pPr>
        <w:rPr>
          <w:rFonts w:cs="Arial"/>
          <w:sz w:val="18"/>
          <w:szCs w:val="18"/>
        </w:rPr>
      </w:pPr>
    </w:p>
    <w:p w14:paraId="719C9360" w14:textId="77777777" w:rsidR="00CE29E1" w:rsidRPr="00F43952" w:rsidRDefault="00CE29E1" w:rsidP="00CE29E1">
      <w:pPr>
        <w:rPr>
          <w:rFonts w:cs="Arial"/>
          <w:b/>
          <w:color w:val="0071BC"/>
        </w:rPr>
      </w:pPr>
      <w:r w:rsidRPr="00F43952">
        <w:rPr>
          <w:rFonts w:cs="Arial"/>
          <w:b/>
          <w:color w:val="0071BC"/>
        </w:rPr>
        <w:t>Obyvatelstvo</w:t>
      </w:r>
    </w:p>
    <w:p w14:paraId="1ECECB2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Pracovní sílu</w:t>
      </w:r>
      <w:r w:rsidRPr="00F43952">
        <w:rPr>
          <w:rFonts w:cs="Arial"/>
          <w:sz w:val="18"/>
          <w:szCs w:val="18"/>
        </w:rPr>
        <w:t xml:space="preserve"> (osoby ekonomicky aktivní) představují osoby zaměstnané (pracující) a nezaměstnané.</w:t>
      </w:r>
    </w:p>
    <w:p w14:paraId="7E537133"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Mezi </w:t>
      </w:r>
      <w:r w:rsidRPr="00F43952">
        <w:rPr>
          <w:rFonts w:cs="Arial"/>
          <w:b/>
          <w:sz w:val="18"/>
          <w:szCs w:val="18"/>
        </w:rPr>
        <w:t>zaměstnané</w:t>
      </w:r>
      <w:r w:rsidRPr="00F43952">
        <w:rPr>
          <w:rFonts w:cs="Arial"/>
          <w:sz w:val="18"/>
          <w:szCs w:val="18"/>
        </w:rPr>
        <w:t xml:space="preserve"> patří všechny osoby ve věku 15 a více let, které v rozhodný okamžik sčítání měly formální vazbu </w:t>
      </w:r>
      <w:r w:rsidRPr="00F43952">
        <w:rPr>
          <w:rFonts w:cs="Arial"/>
          <w:sz w:val="18"/>
          <w:szCs w:val="18"/>
        </w:rPr>
        <w:br/>
        <w:t>k zaměstnání nebo pracovaly alespoň 1 h týdně za mzdu, plat, nebo jiný druh odměny. Zahrnuti jsou rovněž pracující důchodci, pracující žáci a studenti a osoby na mateřské dovolené (28 resp. 37 týdnů).</w:t>
      </w:r>
    </w:p>
    <w:p w14:paraId="622AA4EA"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Osoby s formální vazbou k zaměstnání jsou zaměstnanci a osoby s podnikatelským oprávněním, bez ohledu na délku pracovního úvazku, charakter pracovní aktivity (trvalý, dočasný) nebo druh pracovního poměru, dohody či smlouvy.</w:t>
      </w:r>
    </w:p>
    <w:p w14:paraId="19059AB9"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Nezaměstnané</w:t>
      </w:r>
      <w:r w:rsidRPr="00F43952">
        <w:rPr>
          <w:rFonts w:cs="Arial"/>
          <w:sz w:val="18"/>
          <w:szCs w:val="18"/>
        </w:rPr>
        <w:t xml:space="preserve"> jsou všechny osoby ve věku 15 a více let, které byly v rozhodný okamžik sčítání bez práce a zároveň si práci hledaly (prostřednictvím Úřadu práce nebo jiným způsobem). </w:t>
      </w:r>
    </w:p>
    <w:p w14:paraId="070D6C66"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Osoby </w:t>
      </w:r>
      <w:r w:rsidRPr="00F43952">
        <w:rPr>
          <w:rFonts w:cs="Arial"/>
          <w:b/>
          <w:sz w:val="18"/>
          <w:szCs w:val="18"/>
        </w:rPr>
        <w:t>mimo pracovní sílu</w:t>
      </w:r>
      <w:r w:rsidRPr="00F43952">
        <w:rPr>
          <w:rFonts w:cs="Arial"/>
          <w:sz w:val="18"/>
          <w:szCs w:val="18"/>
        </w:rPr>
        <w:t xml:space="preserve"> (osoby ekonomicky neaktivní) jsou osoby, které nepatří mezi zaměstnané ani nezaměstnané. Jsou to nepracující důchodci, ostatní nepracující osoby s vlastním zdrojem obživy, osoby na rodičovské dovolené, nepracující žáci a studenti, osoby v domácnosti, děti předškolního věku a ostatní závislé osoby.</w:t>
      </w:r>
    </w:p>
    <w:p w14:paraId="29043995"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U zaměstnaných osob bylo zjišťováno </w:t>
      </w:r>
      <w:r w:rsidRPr="00F43952">
        <w:rPr>
          <w:rFonts w:cs="Arial"/>
          <w:b/>
          <w:sz w:val="18"/>
          <w:szCs w:val="18"/>
        </w:rPr>
        <w:t>postavení v zaměstnání, zaměstnání a odvětví ekonomické činnosti</w:t>
      </w:r>
      <w:r w:rsidRPr="00F43952">
        <w:rPr>
          <w:rFonts w:cs="Arial"/>
          <w:sz w:val="18"/>
          <w:szCs w:val="18"/>
        </w:rPr>
        <w:t xml:space="preserve"> podle současného zaměstnání, v případě více zaměstnání podle hlavního. </w:t>
      </w:r>
    </w:p>
    <w:p w14:paraId="2221C945"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Postavení v zaměstnání</w:t>
      </w:r>
      <w:r w:rsidRPr="00F43952">
        <w:rPr>
          <w:rFonts w:cs="Arial"/>
          <w:sz w:val="18"/>
          <w:szCs w:val="18"/>
        </w:rPr>
        <w:t xml:space="preserve"> bylo zjišťováno výhradně z administrativních zdrojů (IS ČSSZ, údaje GFŘ, RES).</w:t>
      </w:r>
    </w:p>
    <w:p w14:paraId="0533222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Zaměstnavatelé jsou podnikatelé se zaměstnanci. Osoby pracující na vlastní účet jsou podnikatelé bez zaměstnanců. Zaměstnanci mají placená zaměstnanecká místa.</w:t>
      </w:r>
    </w:p>
    <w:p w14:paraId="22B46106" w14:textId="15B0F919" w:rsidR="00AD2702" w:rsidRPr="00F43952" w:rsidRDefault="00CE29E1" w:rsidP="00CE29E1">
      <w:pPr>
        <w:jc w:val="both"/>
        <w:rPr>
          <w:rFonts w:cs="Arial"/>
          <w:color w:val="0071BC"/>
          <w:sz w:val="18"/>
          <w:szCs w:val="18"/>
        </w:rPr>
      </w:pPr>
      <w:r w:rsidRPr="00F43952">
        <w:rPr>
          <w:rFonts w:cs="Arial"/>
          <w:b/>
          <w:sz w:val="18"/>
          <w:szCs w:val="18"/>
        </w:rPr>
        <w:t xml:space="preserve">Odvětví ekonomické činnosti </w:t>
      </w:r>
      <w:r w:rsidRPr="00F43952">
        <w:rPr>
          <w:rFonts w:cs="Arial"/>
          <w:sz w:val="18"/>
          <w:szCs w:val="18"/>
        </w:rPr>
        <w:t>bylo zjišťováno jako druh ekonomické činnosti zaměstnavatele, resp. předmět podnikání.</w:t>
      </w:r>
    </w:p>
    <w:p w14:paraId="489BDDBD" w14:textId="77777777" w:rsidR="00CE29E1" w:rsidRPr="00F43952" w:rsidRDefault="00CE29E1" w:rsidP="00CE29E1">
      <w:pPr>
        <w:rPr>
          <w:rFonts w:cs="Arial"/>
          <w:sz w:val="18"/>
          <w:szCs w:val="18"/>
        </w:rPr>
      </w:pPr>
    </w:p>
    <w:p w14:paraId="1E9670B5" w14:textId="77777777" w:rsidR="00CE29E1" w:rsidRPr="00F43952" w:rsidRDefault="00CE29E1" w:rsidP="00CE29E1">
      <w:pPr>
        <w:rPr>
          <w:rFonts w:cs="Arial"/>
          <w:sz w:val="18"/>
          <w:szCs w:val="18"/>
        </w:rPr>
      </w:pPr>
    </w:p>
    <w:p w14:paraId="2D5356D1" w14:textId="77777777" w:rsidR="00CE29E1" w:rsidRPr="00F43952" w:rsidRDefault="00CE29E1" w:rsidP="00CE29E1">
      <w:pPr>
        <w:rPr>
          <w:rFonts w:cs="Arial"/>
          <w:b/>
          <w:color w:val="0071BC"/>
        </w:rPr>
      </w:pPr>
      <w:r w:rsidRPr="00F43952">
        <w:rPr>
          <w:rFonts w:cs="Arial"/>
          <w:b/>
          <w:color w:val="0071BC"/>
        </w:rPr>
        <w:t>Domy</w:t>
      </w:r>
    </w:p>
    <w:p w14:paraId="7136671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Do </w:t>
      </w:r>
      <w:r w:rsidRPr="00F43952">
        <w:rPr>
          <w:rFonts w:cs="Arial"/>
          <w:b/>
          <w:sz w:val="18"/>
          <w:szCs w:val="18"/>
        </w:rPr>
        <w:t>počtu domů</w:t>
      </w:r>
      <w:r w:rsidRPr="00F43952">
        <w:rPr>
          <w:rFonts w:cs="Arial"/>
          <w:sz w:val="18"/>
          <w:szCs w:val="18"/>
        </w:rPr>
        <w:t xml:space="preserve"> jsou zahrnuty všechny domy určené k bydlení, tj. objekty s byty (bytem) a objekty obsahující jiné prostory určené k bydlení nebo dlouhodobějšímu ubytování, jako jsou ubytovací zařízení. Do počtu domů tak patří kromě rodinných </w:t>
      </w:r>
      <w:r w:rsidRPr="00F43952">
        <w:rPr>
          <w:rFonts w:cs="Arial"/>
          <w:sz w:val="18"/>
          <w:szCs w:val="18"/>
        </w:rPr>
        <w:br/>
        <w:t>a bytových domů i provozní budovy s bytem (např. škola s bytem) a různá zařízení určená k bydlení – např. domovy mládeže, internáty, dětské domovy, ústavy sociální péče, domovy důchodců, penziony pro důchodce, kláštery a konventy, azylová zařízení pro cizince, ubytovny apod.</w:t>
      </w:r>
    </w:p>
    <w:p w14:paraId="4F1CDA88"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Obydlený dům</w:t>
      </w:r>
      <w:r w:rsidRPr="00F43952">
        <w:rPr>
          <w:rFonts w:cs="Arial"/>
          <w:sz w:val="18"/>
          <w:szCs w:val="18"/>
        </w:rPr>
        <w:t xml:space="preserve"> je dům určený k bydlení, ve kterém má alespoň jedna osoba obvyklý pobyt. </w:t>
      </w:r>
    </w:p>
    <w:p w14:paraId="20F867DA"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Neobydlený dům</w:t>
      </w:r>
      <w:r w:rsidRPr="00F43952">
        <w:rPr>
          <w:rFonts w:cs="Arial"/>
          <w:sz w:val="18"/>
          <w:szCs w:val="18"/>
        </w:rPr>
        <w:t xml:space="preserve"> je dům určený k bydlení, ve kterém nemá žádná osoba obvyklý pobyt. Do počtu neobydlených domů jsou zahrnuty všechny domy s byty a všechny domy s ubytovacím zařízením bez bytu, pokud jsou určeny k bydlení. Neobydlené objekty bez bytů, příp. se zařízením sloužícím pouze ke krátkodobému ubytování (hotely, turistické ubytovny, nemocnice apod.) nejsou do počtu neobydlených domů zahrnuty.</w:t>
      </w:r>
    </w:p>
    <w:p w14:paraId="74B4E4DE"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Podle </w:t>
      </w:r>
      <w:r w:rsidRPr="00F43952">
        <w:rPr>
          <w:rFonts w:cs="Arial"/>
          <w:b/>
          <w:sz w:val="18"/>
          <w:szCs w:val="18"/>
        </w:rPr>
        <w:t>druhu domu</w:t>
      </w:r>
      <w:r w:rsidRPr="00F43952">
        <w:rPr>
          <w:rFonts w:cs="Arial"/>
          <w:sz w:val="18"/>
          <w:szCs w:val="18"/>
        </w:rPr>
        <w:t xml:space="preserve"> se rozlišují:</w:t>
      </w:r>
    </w:p>
    <w:p w14:paraId="5ABD0E36"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sz w:val="18"/>
          <w:szCs w:val="18"/>
          <w:lang w:eastAsia="cs-CZ"/>
        </w:rPr>
      </w:pPr>
      <w:r w:rsidRPr="00F43952">
        <w:rPr>
          <w:rFonts w:ascii="Arial" w:eastAsia="Times New Roman" w:hAnsi="Arial" w:cs="Arial"/>
          <w:b/>
          <w:sz w:val="18"/>
          <w:szCs w:val="18"/>
          <w:lang w:eastAsia="cs-CZ"/>
        </w:rPr>
        <w:t>– rodinný dům</w:t>
      </w:r>
      <w:r w:rsidRPr="00F43952">
        <w:rPr>
          <w:rFonts w:ascii="Arial" w:eastAsia="Times New Roman" w:hAnsi="Arial" w:cs="Arial"/>
          <w:sz w:val="18"/>
          <w:szCs w:val="18"/>
          <w:lang w:eastAsia="cs-CZ"/>
        </w:rPr>
        <w:t xml:space="preserve"> – má maximálně tři samostatné byty a převažujícím účelem využití domu je bydlení. Rodinný dům může být samostatný, dvojdomek (společná část obvodové zdi s rodinným domem na sousedící parcele) nebo řadový (alespoň tři rodinné domy k sobě přiléhají částí obvodové zdi). Nepatří sem jedno- až tříbytové budovy se zařízením určeným k bydlení či s převažujícím využitím k jinému účelu.</w:t>
      </w:r>
    </w:p>
    <w:p w14:paraId="21D7074F"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sz w:val="18"/>
          <w:szCs w:val="18"/>
          <w:lang w:eastAsia="cs-CZ"/>
        </w:rPr>
      </w:pPr>
      <w:r w:rsidRPr="00F43952">
        <w:rPr>
          <w:rFonts w:ascii="Arial" w:eastAsia="Times New Roman" w:hAnsi="Arial" w:cs="Arial"/>
          <w:b/>
          <w:sz w:val="18"/>
          <w:szCs w:val="18"/>
          <w:lang w:eastAsia="cs-CZ"/>
        </w:rPr>
        <w:t>– bytový dům</w:t>
      </w:r>
      <w:r w:rsidRPr="00F43952">
        <w:rPr>
          <w:rFonts w:ascii="Arial" w:eastAsia="Times New Roman" w:hAnsi="Arial" w:cs="Arial"/>
          <w:sz w:val="18"/>
          <w:szCs w:val="18"/>
          <w:lang w:eastAsia="cs-CZ"/>
        </w:rPr>
        <w:t xml:space="preserve"> – má čtyři a více bytů, přístupných zpravidla ze společné chodby nebo schodiště, a převažujícím účelem využití domu je bydlení, počet podlaží není určující. Nepatří sem čtyř- a </w:t>
      </w:r>
      <w:proofErr w:type="spellStart"/>
      <w:r w:rsidRPr="00F43952">
        <w:rPr>
          <w:rFonts w:ascii="Arial" w:eastAsia="Times New Roman" w:hAnsi="Arial" w:cs="Arial"/>
          <w:sz w:val="18"/>
          <w:szCs w:val="18"/>
          <w:lang w:eastAsia="cs-CZ"/>
        </w:rPr>
        <w:t>vícebytové</w:t>
      </w:r>
      <w:proofErr w:type="spellEnd"/>
      <w:r w:rsidRPr="00F43952">
        <w:rPr>
          <w:rFonts w:ascii="Arial" w:eastAsia="Times New Roman" w:hAnsi="Arial" w:cs="Arial"/>
          <w:sz w:val="18"/>
          <w:szCs w:val="18"/>
          <w:lang w:eastAsia="cs-CZ"/>
        </w:rPr>
        <w:t xml:space="preserve"> budovy se zařízením určeným k bydlení či </w:t>
      </w:r>
      <w:r w:rsidRPr="00F43952">
        <w:rPr>
          <w:rFonts w:ascii="Arial" w:eastAsia="Times New Roman" w:hAnsi="Arial" w:cs="Arial"/>
          <w:sz w:val="18"/>
          <w:szCs w:val="18"/>
          <w:lang w:eastAsia="cs-CZ"/>
        </w:rPr>
        <w:br/>
        <w:t>s převažujícím využitím k jinému účelu.</w:t>
      </w:r>
    </w:p>
    <w:p w14:paraId="5140256F"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sz w:val="18"/>
          <w:szCs w:val="18"/>
          <w:lang w:eastAsia="cs-CZ"/>
        </w:rPr>
      </w:pPr>
      <w:r w:rsidRPr="00F43952">
        <w:rPr>
          <w:rFonts w:ascii="Arial" w:eastAsia="Times New Roman" w:hAnsi="Arial" w:cs="Arial"/>
          <w:b/>
          <w:sz w:val="18"/>
          <w:szCs w:val="18"/>
          <w:lang w:eastAsia="cs-CZ"/>
        </w:rPr>
        <w:t>– ostatní budovy</w:t>
      </w:r>
      <w:r w:rsidRPr="00F43952">
        <w:rPr>
          <w:rFonts w:ascii="Arial" w:eastAsia="Times New Roman" w:hAnsi="Arial" w:cs="Arial"/>
          <w:sz w:val="18"/>
          <w:szCs w:val="18"/>
          <w:lang w:eastAsia="cs-CZ"/>
        </w:rPr>
        <w:t xml:space="preserve"> – zahrnují všechny další druhy budov kromě rodinných a bytových domů.</w:t>
      </w:r>
    </w:p>
    <w:p w14:paraId="00E0FF45" w14:textId="24E8F4F5" w:rsidR="00AD2702" w:rsidRPr="00F43952" w:rsidRDefault="00CE29E1" w:rsidP="00CE29E1">
      <w:pPr>
        <w:spacing w:before="120"/>
        <w:jc w:val="both"/>
        <w:rPr>
          <w:rFonts w:cs="Arial"/>
          <w:b/>
          <w:color w:val="0071BC"/>
          <w:sz w:val="18"/>
          <w:szCs w:val="18"/>
        </w:rPr>
      </w:pPr>
      <w:r w:rsidRPr="00F43952">
        <w:rPr>
          <w:rFonts w:cs="Arial"/>
          <w:b/>
          <w:sz w:val="18"/>
          <w:szCs w:val="18"/>
        </w:rPr>
        <w:t>Vlastníkem domu</w:t>
      </w:r>
      <w:r w:rsidRPr="00F43952">
        <w:rPr>
          <w:rFonts w:cs="Arial"/>
          <w:sz w:val="18"/>
          <w:szCs w:val="18"/>
        </w:rPr>
        <w:t xml:space="preserve"> je fyzická nebo právnická osoba, případně jejich kombinace. Údaje o vlastnické struktuře domovního fondu byly převzaty z dat katastru nemovitostí platných k 26. 3. 2021. Rozhodující je forma vlastnictví, nikoliv počet vlastníků. Typ </w:t>
      </w:r>
      <w:r w:rsidRPr="00F43952">
        <w:rPr>
          <w:rFonts w:cs="Arial"/>
          <w:sz w:val="18"/>
          <w:szCs w:val="18"/>
        </w:rPr>
        <w:lastRenderedPageBreak/>
        <w:t>vlastníka – fyzická osoba – zahrnuje i případy více spoluvlastníků domu, pokud to jsou fyzické osoby (např. společné jmění manželů). Spoluvlastnictví vlastníků bytů (jednotek) zahrnuje pouze případy, kdy je celý dům ve spoluvlastnictví fyzických či právnických osob, které jsou vedeny v katastru nemovitostí jako vlastníci konkrétních vymezených jednotek typu byt či skupina bytů. Typ vlastníka – jiná právnická osoba – se vyskytuje u domů patřících jiným právnickým osobám, než jsou bytová družstva, obce či stát. Kombinace vlastníků zahrnuje ostatní případy spoluvlastnictví domu více vlastníky různého typu, kteří zároveň nejsou v katastru nemovitostí uvedeni jako vlastníci jednotek (např. fyzické a jiné právnické osoby, obce a bytového družstva apod.).</w:t>
      </w:r>
      <w:r w:rsidR="00AD2702" w:rsidRPr="00F43952">
        <w:rPr>
          <w:rFonts w:cs="Arial"/>
          <w:b/>
          <w:color w:val="0071BC"/>
          <w:sz w:val="18"/>
          <w:szCs w:val="18"/>
        </w:rPr>
        <w:t xml:space="preserve"> </w:t>
      </w:r>
    </w:p>
    <w:p w14:paraId="52AD99D6" w14:textId="77777777" w:rsidR="00AD2702" w:rsidRPr="00F43952" w:rsidRDefault="00AD2702" w:rsidP="003E3079">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18"/>
          <w:szCs w:val="18"/>
        </w:rPr>
      </w:pPr>
    </w:p>
    <w:p w14:paraId="68F3812E" w14:textId="77777777" w:rsidR="00AD2702" w:rsidRPr="00F43952" w:rsidRDefault="00AD2702" w:rsidP="003E3079">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18"/>
          <w:szCs w:val="18"/>
        </w:rPr>
      </w:pPr>
    </w:p>
    <w:p w14:paraId="4A860A99" w14:textId="77777777" w:rsidR="00CE29E1" w:rsidRPr="00F43952" w:rsidRDefault="00CE29E1" w:rsidP="00CE29E1">
      <w:pPr>
        <w:rPr>
          <w:rFonts w:cs="Arial"/>
          <w:b/>
          <w:color w:val="0071BC"/>
        </w:rPr>
      </w:pPr>
      <w:r w:rsidRPr="00F43952">
        <w:rPr>
          <w:rFonts w:cs="Arial"/>
          <w:b/>
          <w:color w:val="0071BC"/>
        </w:rPr>
        <w:t>Byty</w:t>
      </w:r>
    </w:p>
    <w:p w14:paraId="135170FE"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V rámci sčítání byl za všechny osoby, resp. domácnosti zjišťován jejich </w:t>
      </w:r>
      <w:r w:rsidRPr="00F43952">
        <w:rPr>
          <w:rFonts w:cs="Arial"/>
          <w:b/>
          <w:sz w:val="18"/>
          <w:szCs w:val="18"/>
        </w:rPr>
        <w:t>způsob bydlení / typ obydlí</w:t>
      </w:r>
      <w:r w:rsidRPr="00F43952">
        <w:rPr>
          <w:rFonts w:cs="Arial"/>
          <w:sz w:val="18"/>
          <w:szCs w:val="18"/>
        </w:rPr>
        <w:t>. Kromě bytu se v případě osob rozlišuje i bydlení v ubytovacím zařízení, různé způsoby bydlení mimo bytový fond v jiných objektech a prostorách (rekreační objekt, nouzové obydlí, mobilní obydlí apod.) a osoby bez domova (bez obydlí).</w:t>
      </w:r>
    </w:p>
    <w:p w14:paraId="366878D8"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Byt</w:t>
      </w:r>
      <w:r w:rsidRPr="00F43952">
        <w:rPr>
          <w:rFonts w:cs="Arial"/>
          <w:sz w:val="18"/>
          <w:szCs w:val="18"/>
        </w:rPr>
        <w:t xml:space="preserve"> je uzavřený soubor místností, popřípadě jedna místnost, které splňují požadavky na bydlení a jsou k bydlení určeny.</w:t>
      </w:r>
    </w:p>
    <w:p w14:paraId="60F0D5A0"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Obydlený byt</w:t>
      </w:r>
      <w:r w:rsidRPr="00F43952">
        <w:rPr>
          <w:rFonts w:cs="Arial"/>
          <w:sz w:val="18"/>
          <w:szCs w:val="18"/>
        </w:rPr>
        <w:t xml:space="preserve"> je byt, ve kterém má alespoň jedna osoba obvyklý pobyt.</w:t>
      </w:r>
    </w:p>
    <w:p w14:paraId="12404F3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Neobydlený</w:t>
      </w:r>
      <w:r w:rsidRPr="00F43952">
        <w:rPr>
          <w:rFonts w:cs="Arial"/>
          <w:sz w:val="18"/>
          <w:szCs w:val="18"/>
        </w:rPr>
        <w:t xml:space="preserve"> byt je byt, ve kterém nemá žádná osoba obvyklý pobyt. </w:t>
      </w:r>
    </w:p>
    <w:p w14:paraId="482ACC23"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Právní důvod užívání bytu</w:t>
      </w:r>
      <w:r w:rsidRPr="00F43952">
        <w:rPr>
          <w:rFonts w:cs="Arial"/>
          <w:sz w:val="18"/>
          <w:szCs w:val="18"/>
        </w:rPr>
        <w:t xml:space="preserve"> charakterizuje status užívání z hlediska uživatele bytu, tedy domácnosti, která v bytě bydlí.</w:t>
      </w:r>
    </w:p>
    <w:p w14:paraId="2CE6438A"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Byt ve vlastním domě je byt, jehož uživatel je současně vlastníkem nebo spoluvlastníkem domu.</w:t>
      </w:r>
    </w:p>
    <w:p w14:paraId="18B9E365"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Byt v osobním vlastnictví je byt, jehož uživatel je samostatně veden v katastru nemovitostí jako vlastník jednotky.</w:t>
      </w:r>
    </w:p>
    <w:p w14:paraId="2E556080"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Jiné bezplatné užívání bytu je bezplatné užívání většinou na základě rodinných vazeb nebo dohody uživatele bytu a vlastníka bytu či domu. Uživatel bytu nemá uzavřenou nájemní smlouvu, ale náklady na bydlení a provoz domácnosti (elektřina, plyn, voda, odvoz odpadu) si může hradit.</w:t>
      </w:r>
    </w:p>
    <w:p w14:paraId="1C63DAEE"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Byt nájemní/pronajatý je užíván na základě nájemní smlouvy; zahrnuje i případy osob bydlících v podnájmu v pronajatém bytě.</w:t>
      </w:r>
    </w:p>
    <w:p w14:paraId="3DD29A6D"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Byt družstevní je byt ve vlastnictví družstva, přičemž uživatel bytu je současně členem družstva.</w:t>
      </w:r>
    </w:p>
    <w:p w14:paraId="537B29C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Jiný důvod užívání bytu zahrnuje všechny ostatní případy než výše uvedené právní důvody užívání bytu (např. dříve samostatně rozlišované byty služební, domovnické aj.) </w:t>
      </w:r>
    </w:p>
    <w:p w14:paraId="36FDA90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Obytná místnost</w:t>
      </w:r>
      <w:r w:rsidRPr="00F43952">
        <w:rPr>
          <w:rFonts w:cs="Arial"/>
          <w:sz w:val="18"/>
          <w:szCs w:val="18"/>
        </w:rPr>
        <w:t xml:space="preserve"> je místnost bytu (např. obývací pokoj, ložnice, jídelna, kuchyně), která je určena k bydlení a má podlahovou plochu alespoň 4 m</w:t>
      </w:r>
      <w:r w:rsidRPr="00F43952">
        <w:rPr>
          <w:rFonts w:cs="Arial"/>
          <w:sz w:val="18"/>
          <w:szCs w:val="18"/>
          <w:vertAlign w:val="superscript"/>
        </w:rPr>
        <w:t>2</w:t>
      </w:r>
      <w:r w:rsidRPr="00F43952">
        <w:rPr>
          <w:rFonts w:cs="Arial"/>
          <w:sz w:val="18"/>
          <w:szCs w:val="18"/>
        </w:rPr>
        <w:t xml:space="preserve">. </w:t>
      </w:r>
    </w:p>
    <w:p w14:paraId="3C4967AD"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Celková plocha bytu</w:t>
      </w:r>
      <w:r w:rsidRPr="00F43952">
        <w:rPr>
          <w:rFonts w:cs="Arial"/>
          <w:sz w:val="18"/>
          <w:szCs w:val="18"/>
        </w:rPr>
        <w:t xml:space="preserve"> je plocha měřená uvnitř obvodových stěn bytu, uváděná v m</w:t>
      </w:r>
      <w:r w:rsidRPr="00F43952">
        <w:rPr>
          <w:rFonts w:cs="Arial"/>
          <w:sz w:val="18"/>
          <w:szCs w:val="18"/>
          <w:vertAlign w:val="superscript"/>
        </w:rPr>
        <w:t xml:space="preserve">2 </w:t>
      </w:r>
      <w:r w:rsidRPr="00F43952">
        <w:rPr>
          <w:rFonts w:cs="Arial"/>
          <w:sz w:val="18"/>
          <w:szCs w:val="18"/>
        </w:rPr>
        <w:t>a zaokrouhlená na celé číslo. Zahrnuje plochu všech obytných místností i dalších částí bytu (příslušenství, předsíň apod.). Nezahrnuje plochu dalších prostor příslušejících k bytu, jako jsou neobyvatelné sklepy nebo půdy, terasy, balkóny, lodžie (ani zasklené).</w:t>
      </w:r>
    </w:p>
    <w:p w14:paraId="1A03A43D" w14:textId="671B294B" w:rsidR="00AD2702" w:rsidRPr="00F43952" w:rsidRDefault="00CE29E1" w:rsidP="00CE29E1">
      <w:pPr>
        <w:pStyle w:val="Rbntext"/>
        <w:spacing w:before="120" w:after="0"/>
        <w:rPr>
          <w:rFonts w:cs="Arial"/>
          <w:sz w:val="18"/>
          <w:szCs w:val="18"/>
        </w:rPr>
      </w:pPr>
      <w:r w:rsidRPr="00F43952">
        <w:rPr>
          <w:rFonts w:cs="Arial"/>
          <w:sz w:val="18"/>
          <w:szCs w:val="18"/>
        </w:rPr>
        <w:t>Všechny výpočty průměrných hodnot charakteristik bytového fondu byly počítány pouze ze souborů bytů se zjištěnými hodnotami.</w:t>
      </w:r>
    </w:p>
    <w:p w14:paraId="550BB320" w14:textId="3CE3BA7A" w:rsidR="00AD2702" w:rsidRPr="00F43952" w:rsidRDefault="00AD2702" w:rsidP="003E3079">
      <w:pPr>
        <w:pStyle w:val="Rbntext"/>
        <w:spacing w:after="0"/>
        <w:rPr>
          <w:rFonts w:cs="Arial"/>
          <w:sz w:val="18"/>
          <w:szCs w:val="18"/>
        </w:rPr>
      </w:pPr>
    </w:p>
    <w:p w14:paraId="0775AAB9" w14:textId="77777777" w:rsidR="00AD2702" w:rsidRPr="00F43952" w:rsidRDefault="00AD2702" w:rsidP="003E3079">
      <w:pPr>
        <w:pStyle w:val="Rbntext"/>
        <w:spacing w:after="0"/>
        <w:rPr>
          <w:rFonts w:cs="Arial"/>
          <w:sz w:val="18"/>
          <w:szCs w:val="18"/>
        </w:rPr>
      </w:pPr>
    </w:p>
    <w:p w14:paraId="1C0E2492" w14:textId="77777777" w:rsidR="00CE29E1" w:rsidRPr="00F43952" w:rsidRDefault="00CE29E1" w:rsidP="00CE29E1">
      <w:pPr>
        <w:rPr>
          <w:rFonts w:cs="Arial"/>
          <w:b/>
          <w:color w:val="0071BC"/>
        </w:rPr>
      </w:pPr>
      <w:r w:rsidRPr="00F43952">
        <w:rPr>
          <w:rFonts w:cs="Arial"/>
          <w:b/>
          <w:color w:val="0071BC"/>
        </w:rPr>
        <w:t>Domácnosti</w:t>
      </w:r>
    </w:p>
    <w:p w14:paraId="659DB45A"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Domácnosti jsou tvořeny osobami se společným místem obvyklého pobytu žijícími v jednom bytě nebo jiném obydlí. Údaje </w:t>
      </w:r>
      <w:r w:rsidRPr="00F43952">
        <w:rPr>
          <w:rFonts w:cs="Arial"/>
          <w:sz w:val="18"/>
          <w:szCs w:val="18"/>
        </w:rPr>
        <w:br/>
        <w:t xml:space="preserve">o domácnostech byly zpracovány podle zápisů příbuzenských a jiných vztahů na sčítacím formuláři, které byly doplněny </w:t>
      </w:r>
      <w:r w:rsidRPr="00F43952">
        <w:rPr>
          <w:rFonts w:cs="Arial"/>
          <w:sz w:val="18"/>
          <w:szCs w:val="18"/>
        </w:rPr>
        <w:br/>
        <w:t xml:space="preserve">o informace z administrativních zdrojů ministerstva vnitra. </w:t>
      </w:r>
    </w:p>
    <w:p w14:paraId="6E1CCD30"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Bytovou domácnost</w:t>
      </w:r>
      <w:r w:rsidRPr="00F43952">
        <w:rPr>
          <w:rFonts w:cs="Arial"/>
          <w:sz w:val="18"/>
          <w:szCs w:val="18"/>
        </w:rPr>
        <w:t xml:space="preserve"> tvoří osoby žijící společně v jednom bytě.</w:t>
      </w:r>
    </w:p>
    <w:p w14:paraId="61F8AB3D"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b/>
          <w:sz w:val="18"/>
          <w:szCs w:val="18"/>
        </w:rPr>
        <w:t>Hospodařící domácnost</w:t>
      </w:r>
      <w:r w:rsidRPr="00F43952">
        <w:rPr>
          <w:rFonts w:cs="Arial"/>
          <w:sz w:val="18"/>
          <w:szCs w:val="18"/>
        </w:rPr>
        <w:t xml:space="preserve"> tvoří osoby, které společně hospodaří, tj. společně hradí výdaje domácnosti, jako je strava, náklady na bydlení aj. Společné hospodaření se vztahuje i na děti, které do příslušné domácnosti patří, i když samy na výdaje domácnosti nepřispívají. Hospodařící domácnost může být typu:</w:t>
      </w:r>
    </w:p>
    <w:p w14:paraId="1BCE264B"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sz w:val="18"/>
          <w:szCs w:val="18"/>
          <w:lang w:eastAsia="cs-CZ"/>
        </w:rPr>
      </w:pPr>
      <w:r w:rsidRPr="00F43952">
        <w:rPr>
          <w:rFonts w:ascii="Arial" w:eastAsia="Times New Roman" w:hAnsi="Arial" w:cs="Arial"/>
          <w:b/>
          <w:sz w:val="18"/>
          <w:szCs w:val="18"/>
          <w:lang w:eastAsia="cs-CZ"/>
        </w:rPr>
        <w:t xml:space="preserve">– domácnost rodinná tvořená 1 úplnou rodinou </w:t>
      </w:r>
      <w:r w:rsidRPr="00F43952">
        <w:rPr>
          <w:rFonts w:ascii="Arial" w:eastAsia="Times New Roman" w:hAnsi="Arial" w:cs="Arial"/>
          <w:sz w:val="18"/>
          <w:szCs w:val="18"/>
          <w:lang w:eastAsia="cs-CZ"/>
        </w:rPr>
        <w:t xml:space="preserve">– zahrnuje manželský pár, neformální soužití druha a družky – tzv. faktické manželství, registrované partnerství, příp. neformální soužití osob stejného pohlaví – tzv. faktické partnerství, a to ve všech případech s dětmi nebo bez dětí </w:t>
      </w:r>
    </w:p>
    <w:p w14:paraId="4E9FCAA3"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b/>
          <w:sz w:val="18"/>
          <w:szCs w:val="18"/>
          <w:lang w:eastAsia="cs-CZ"/>
        </w:rPr>
      </w:pPr>
      <w:r w:rsidRPr="00F43952">
        <w:rPr>
          <w:rFonts w:ascii="Arial" w:eastAsia="Times New Roman" w:hAnsi="Arial" w:cs="Arial"/>
          <w:b/>
          <w:sz w:val="18"/>
          <w:szCs w:val="18"/>
          <w:lang w:eastAsia="cs-CZ"/>
        </w:rPr>
        <w:t xml:space="preserve">– domácnost rodinná tvořená 1 neúplnou rodinou </w:t>
      </w:r>
      <w:r w:rsidRPr="00F43952">
        <w:rPr>
          <w:rFonts w:ascii="Arial" w:eastAsia="Times New Roman" w:hAnsi="Arial" w:cs="Arial"/>
          <w:sz w:val="18"/>
          <w:szCs w:val="18"/>
          <w:lang w:eastAsia="cs-CZ"/>
        </w:rPr>
        <w:t>– jeden z rodičů s alespoň jedním dítětem</w:t>
      </w:r>
    </w:p>
    <w:p w14:paraId="632D9C50"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b/>
          <w:sz w:val="18"/>
          <w:szCs w:val="18"/>
          <w:lang w:eastAsia="cs-CZ"/>
        </w:rPr>
      </w:pPr>
      <w:r w:rsidRPr="00F43952">
        <w:rPr>
          <w:rFonts w:ascii="Arial" w:eastAsia="Times New Roman" w:hAnsi="Arial" w:cs="Arial"/>
          <w:b/>
          <w:sz w:val="18"/>
          <w:szCs w:val="18"/>
          <w:lang w:eastAsia="cs-CZ"/>
        </w:rPr>
        <w:t>– domácnost rodinná tvořená 2 a více rodinami</w:t>
      </w:r>
    </w:p>
    <w:p w14:paraId="67D2A5BE"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b/>
          <w:sz w:val="18"/>
          <w:szCs w:val="18"/>
          <w:lang w:eastAsia="cs-CZ"/>
        </w:rPr>
      </w:pPr>
      <w:r w:rsidRPr="00F43952">
        <w:rPr>
          <w:rFonts w:ascii="Arial" w:eastAsia="Times New Roman" w:hAnsi="Arial" w:cs="Arial"/>
          <w:b/>
          <w:sz w:val="18"/>
          <w:szCs w:val="18"/>
          <w:lang w:eastAsia="cs-CZ"/>
        </w:rPr>
        <w:t xml:space="preserve">– domácnost nerodinná vícečlenná </w:t>
      </w:r>
      <w:r w:rsidRPr="00F43952">
        <w:rPr>
          <w:rFonts w:ascii="Arial" w:eastAsia="Times New Roman" w:hAnsi="Arial" w:cs="Arial"/>
          <w:sz w:val="18"/>
          <w:szCs w:val="18"/>
          <w:lang w:eastAsia="cs-CZ"/>
        </w:rPr>
        <w:t>– dvě nebo více osob příbuzných i nepříbuzných, společně hospodařících, které netvoří rodinnou domácnost; mezi nerodinné vícečlenné domácnosti patří také domácnost prarodiče s vnoučaty (kromě prarodičů tvořících pár – úplnou rodinu)</w:t>
      </w:r>
    </w:p>
    <w:p w14:paraId="172D4D75" w14:textId="77777777" w:rsidR="00CE29E1" w:rsidRPr="00F43952" w:rsidRDefault="00CE29E1" w:rsidP="00CE29E1">
      <w:pPr>
        <w:pStyle w:val="Odstavecseseznamem"/>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rPr>
          <w:rFonts w:ascii="Arial" w:eastAsia="Times New Roman" w:hAnsi="Arial" w:cs="Arial"/>
          <w:b/>
          <w:sz w:val="18"/>
          <w:szCs w:val="18"/>
          <w:lang w:eastAsia="cs-CZ"/>
        </w:rPr>
      </w:pPr>
      <w:r w:rsidRPr="00F43952">
        <w:rPr>
          <w:rFonts w:ascii="Arial" w:eastAsia="Times New Roman" w:hAnsi="Arial" w:cs="Arial"/>
          <w:b/>
          <w:sz w:val="18"/>
          <w:szCs w:val="18"/>
          <w:lang w:eastAsia="cs-CZ"/>
        </w:rPr>
        <w:t>– domácnost jednotlivce</w:t>
      </w:r>
    </w:p>
    <w:p w14:paraId="40013667"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Součástí rodinných domácností tvořených 1 rodinou mohou být i další jednotlivé osoby, pokud s rodinou společně hospodaří. </w:t>
      </w:r>
    </w:p>
    <w:p w14:paraId="0990F067"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Hospodařící domácnosti byly zpracovány za osoby bydlící v bytech, mimo byty a také za rodiny, příp. vícečlenné nerodinné domácnosti v zařízení. Jednotlivé osoby žijící v zařízení a osoby bez domova nejsou do počtu hospodařících domácností zahrnuty.</w:t>
      </w:r>
    </w:p>
    <w:p w14:paraId="432B0F0B" w14:textId="186350E0" w:rsidR="00AD2702" w:rsidRPr="00F43952" w:rsidRDefault="00CE29E1" w:rsidP="00CE29E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18"/>
          <w:szCs w:val="18"/>
        </w:rPr>
      </w:pPr>
      <w:r w:rsidRPr="00F43952">
        <w:rPr>
          <w:rFonts w:cs="Arial"/>
          <w:sz w:val="18"/>
          <w:szCs w:val="18"/>
        </w:rPr>
        <w:lastRenderedPageBreak/>
        <w:t xml:space="preserve">Ve výsledcích sčítání jsou hospodařící domácnosti tvořené 1 rodinou tříděny mimo jiné podle počtu závislých dětí. </w:t>
      </w:r>
      <w:r w:rsidRPr="00F43952">
        <w:rPr>
          <w:rFonts w:cs="Arial"/>
          <w:b/>
          <w:sz w:val="18"/>
          <w:szCs w:val="18"/>
        </w:rPr>
        <w:t>Závislé dítě</w:t>
      </w:r>
      <w:r w:rsidRPr="00F43952">
        <w:rPr>
          <w:rFonts w:cs="Arial"/>
          <w:sz w:val="18"/>
          <w:szCs w:val="18"/>
        </w:rPr>
        <w:t xml:space="preserve"> je každá osoba v domácnosti tvořené 1 rodinou, jejíž postavení v domácnosti je „dítě“, není zahrnuta mezi pracovní sílu </w:t>
      </w:r>
      <w:r w:rsidRPr="00F43952">
        <w:rPr>
          <w:rFonts w:cs="Arial"/>
          <w:sz w:val="18"/>
          <w:szCs w:val="18"/>
        </w:rPr>
        <w:br/>
        <w:t>a zároveň je ve věku 0–25 let.</w:t>
      </w:r>
    </w:p>
    <w:p w14:paraId="4CC87C70" w14:textId="77777777" w:rsidR="00AD2702" w:rsidRPr="00F43952" w:rsidRDefault="00AD2702" w:rsidP="00BA106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Cs/>
          <w:sz w:val="18"/>
          <w:szCs w:val="18"/>
        </w:rPr>
      </w:pPr>
    </w:p>
    <w:p w14:paraId="55A76243" w14:textId="77777777" w:rsidR="00AD2702" w:rsidRPr="00F43952" w:rsidRDefault="00AD2702" w:rsidP="00BA106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Cs/>
          <w:sz w:val="18"/>
          <w:szCs w:val="18"/>
        </w:rPr>
      </w:pPr>
    </w:p>
    <w:p w14:paraId="5D23ED23"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Cs/>
          <w:sz w:val="18"/>
          <w:szCs w:val="18"/>
        </w:rPr>
      </w:pPr>
      <w:r w:rsidRPr="00F43952">
        <w:rPr>
          <w:rFonts w:cs="Arial"/>
          <w:b/>
          <w:bCs/>
          <w:color w:val="0071BC"/>
        </w:rPr>
        <w:t>Poznámky k tabulkám</w:t>
      </w:r>
    </w:p>
    <w:p w14:paraId="464D2FD5"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sz w:val="18"/>
          <w:szCs w:val="18"/>
        </w:rPr>
      </w:pPr>
    </w:p>
    <w:p w14:paraId="1A30C93C" w14:textId="77777777" w:rsidR="00CE29E1" w:rsidRPr="00F43952" w:rsidRDefault="00CE29E1" w:rsidP="00CE29E1">
      <w:pPr>
        <w:ind w:left="454" w:hanging="454"/>
        <w:jc w:val="both"/>
        <w:rPr>
          <w:rFonts w:cs="Arial"/>
          <w:b/>
          <w:color w:val="0071BC"/>
        </w:rPr>
      </w:pPr>
      <w:r w:rsidRPr="00F43952">
        <w:rPr>
          <w:rFonts w:cs="Arial"/>
          <w:b/>
          <w:color w:val="0071BC"/>
        </w:rPr>
        <w:t>Tab. 33-1  Obyvatelstvo podle ekonomické aktivity, domovní a bytový fond, bytové domácnosti, hospodařící domácnosti podle typu a způsobu bydlení podle výsledků sčítání lidu v letech 1970–2021</w:t>
      </w:r>
    </w:p>
    <w:p w14:paraId="5CA4C7E1" w14:textId="77777777" w:rsidR="00CE29E1" w:rsidRPr="00F43952" w:rsidRDefault="00CE29E1" w:rsidP="00CE29E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 xml:space="preserve">Údaje ze sčítání v letech 1970 až 2001 jsou za osoby s trvalým pobytem, údaje ze sčítání v letech 2011 a 2021 za osoby </w:t>
      </w:r>
      <w:r w:rsidRPr="00F43952">
        <w:rPr>
          <w:rFonts w:cs="Arial"/>
          <w:sz w:val="18"/>
          <w:szCs w:val="18"/>
        </w:rPr>
        <w:br/>
        <w:t>s obvyklým pobytem na území České republiky. V letech 2001 až 2021 jsou do dat zahrnuti i cizinci s dlouhodobým pobytem.</w:t>
      </w:r>
    </w:p>
    <w:p w14:paraId="209919DB" w14:textId="3894EEB6" w:rsidR="001108DE" w:rsidRPr="003444C7" w:rsidRDefault="00CE29E1" w:rsidP="00CE29E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F43952">
        <w:rPr>
          <w:rFonts w:cs="Arial"/>
          <w:sz w:val="18"/>
          <w:szCs w:val="18"/>
        </w:rPr>
        <w:t>V letech 1970–2001 jsou uvedeny údaje za trvale obydlené domy a byty, v letech 2011 a 2021 za obvykle obydlené. Hospodařící i bytové domácnosti byly v letech 1970–2001 konstruovány podle místa trvalého pobytu osob, případně podle místa dlouhodobého pobytu (v roce 2001, kdy byli do sčítání zahrnuti i cizinci s dlouhodobým pobytem). V letech 2011 a 2021 byly domácnosti tvořeny osobami se společným místem obvyklého pobytu.</w:t>
      </w:r>
    </w:p>
    <w:p w14:paraId="1CC5FAE2" w14:textId="77777777" w:rsidR="001108DE" w:rsidRPr="00AD2702" w:rsidRDefault="001108DE" w:rsidP="00AD270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72367FBF" w14:textId="77777777" w:rsidR="001108DE" w:rsidRPr="00AD2702" w:rsidRDefault="001108DE" w:rsidP="00AD270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FCFC5D0" w14:textId="77777777" w:rsidR="001108DE" w:rsidRPr="003444C7" w:rsidRDefault="001108DE" w:rsidP="001108D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color w:val="0071BC"/>
        </w:rPr>
      </w:pPr>
      <w:proofErr w:type="gramStart"/>
      <w:r w:rsidRPr="003444C7">
        <w:rPr>
          <w:rFonts w:cs="Arial"/>
          <w:color w:val="0071BC"/>
        </w:rPr>
        <w:t>*          *          *</w:t>
      </w:r>
      <w:proofErr w:type="gramEnd"/>
    </w:p>
    <w:p w14:paraId="50E4871E" w14:textId="77777777" w:rsidR="001108DE" w:rsidRPr="00AD2702" w:rsidRDefault="001108DE" w:rsidP="001108D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A205978" w14:textId="77777777" w:rsidR="001108DE" w:rsidRPr="00AD2702" w:rsidRDefault="001108DE" w:rsidP="001108D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50A20E6" w14:textId="77777777" w:rsidR="00AD2702" w:rsidRPr="003444C7" w:rsidRDefault="00AD2702" w:rsidP="00CE29E1">
      <w:pPr>
        <w:widowControl w:val="0"/>
        <w:tabs>
          <w:tab w:val="left" w:pos="540"/>
          <w:tab w:val="left" w:pos="567"/>
        </w:tabs>
        <w:autoSpaceDE w:val="0"/>
        <w:autoSpaceDN w:val="0"/>
        <w:adjustRightInd w:val="0"/>
        <w:jc w:val="both"/>
        <w:rPr>
          <w:rFonts w:cs="Arial"/>
          <w:sz w:val="18"/>
          <w:szCs w:val="18"/>
        </w:rPr>
      </w:pPr>
      <w:r w:rsidRPr="003444C7">
        <w:rPr>
          <w:rFonts w:cs="Arial"/>
          <w:sz w:val="18"/>
          <w:szCs w:val="18"/>
        </w:rPr>
        <w:t>Další údaje ze Sčítání lidu, domů a bytů 2021 jsou zveřejňovány na internetových stránkách Českého statistického úřadu:</w:t>
      </w:r>
    </w:p>
    <w:p w14:paraId="2A39BA40" w14:textId="585097E9" w:rsidR="001108DE" w:rsidRDefault="001108DE" w:rsidP="001108D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Style w:val="Hypertextovodkaz"/>
          <w:rFonts w:cs="Arial"/>
          <w:sz w:val="18"/>
          <w:szCs w:val="18"/>
        </w:rPr>
      </w:pPr>
      <w:r w:rsidRPr="003444C7">
        <w:rPr>
          <w:rFonts w:cs="Arial"/>
          <w:sz w:val="18"/>
          <w:szCs w:val="18"/>
        </w:rPr>
        <w:t>– </w:t>
      </w:r>
      <w:hyperlink r:id="rId5" w:history="1">
        <w:r w:rsidRPr="004E266F">
          <w:rPr>
            <w:rStyle w:val="Hypertextovodkaz"/>
            <w:rFonts w:cs="Arial"/>
            <w:sz w:val="18"/>
            <w:szCs w:val="18"/>
          </w:rPr>
          <w:t>w</w:t>
        </w:r>
        <w:bookmarkStart w:id="0" w:name="_GoBack"/>
        <w:bookmarkEnd w:id="0"/>
        <w:r w:rsidRPr="004E266F">
          <w:rPr>
            <w:rStyle w:val="Hypertextovodkaz"/>
            <w:rFonts w:cs="Arial"/>
            <w:sz w:val="18"/>
            <w:szCs w:val="18"/>
          </w:rPr>
          <w:t>w</w:t>
        </w:r>
        <w:r w:rsidRPr="004E266F">
          <w:rPr>
            <w:rStyle w:val="Hypertextovodkaz"/>
            <w:rFonts w:cs="Arial"/>
            <w:sz w:val="18"/>
            <w:szCs w:val="18"/>
          </w:rPr>
          <w:t>w.scitani.cz</w:t>
        </w:r>
      </w:hyperlink>
    </w:p>
    <w:p w14:paraId="48F5A4F5" w14:textId="181F0E15" w:rsidR="00A57DFA" w:rsidRPr="00A57DFA" w:rsidRDefault="00A57DFA" w:rsidP="00A57DFA">
      <w:pPr>
        <w:pStyle w:val="Zkladntext2"/>
        <w:spacing w:before="120"/>
        <w:rPr>
          <w:rFonts w:cs="Arial"/>
          <w:sz w:val="18"/>
          <w:szCs w:val="18"/>
        </w:rPr>
      </w:pPr>
    </w:p>
    <w:sectPr w:rsidR="00A57DFA" w:rsidRPr="00A57DFA" w:rsidSect="00AA00FB">
      <w:pgSz w:w="11905" w:h="16837" w:code="9"/>
      <w:pgMar w:top="1134" w:right="964" w:bottom="1418" w:left="964" w:header="709" w:footer="709"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2C95"/>
    <w:multiLevelType w:val="hybridMultilevel"/>
    <w:tmpl w:val="0068EBCC"/>
    <w:lvl w:ilvl="0" w:tplc="6A26BC4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605A36F4"/>
    <w:multiLevelType w:val="hybridMultilevel"/>
    <w:tmpl w:val="1914685C"/>
    <w:lvl w:ilvl="0" w:tplc="8F2C12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56"/>
    <w:rsid w:val="00056A8B"/>
    <w:rsid w:val="00066575"/>
    <w:rsid w:val="00074249"/>
    <w:rsid w:val="000A25C4"/>
    <w:rsid w:val="000A5A46"/>
    <w:rsid w:val="000E4905"/>
    <w:rsid w:val="000F0CAF"/>
    <w:rsid w:val="0010025E"/>
    <w:rsid w:val="001108DE"/>
    <w:rsid w:val="001376F7"/>
    <w:rsid w:val="0015674C"/>
    <w:rsid w:val="00170931"/>
    <w:rsid w:val="00175923"/>
    <w:rsid w:val="00180E93"/>
    <w:rsid w:val="001953E8"/>
    <w:rsid w:val="001C0457"/>
    <w:rsid w:val="001C1502"/>
    <w:rsid w:val="001C24DE"/>
    <w:rsid w:val="001D4E57"/>
    <w:rsid w:val="00222645"/>
    <w:rsid w:val="00251699"/>
    <w:rsid w:val="00272E79"/>
    <w:rsid w:val="00281A70"/>
    <w:rsid w:val="00290654"/>
    <w:rsid w:val="002A680A"/>
    <w:rsid w:val="002B7CF6"/>
    <w:rsid w:val="00307559"/>
    <w:rsid w:val="0032667A"/>
    <w:rsid w:val="0034301B"/>
    <w:rsid w:val="0037016E"/>
    <w:rsid w:val="0039794E"/>
    <w:rsid w:val="003C5AA4"/>
    <w:rsid w:val="003D693C"/>
    <w:rsid w:val="003D6B67"/>
    <w:rsid w:val="003E3079"/>
    <w:rsid w:val="00411FA0"/>
    <w:rsid w:val="00426437"/>
    <w:rsid w:val="00454A3F"/>
    <w:rsid w:val="00454B35"/>
    <w:rsid w:val="00457205"/>
    <w:rsid w:val="004700AC"/>
    <w:rsid w:val="0047213C"/>
    <w:rsid w:val="004721C4"/>
    <w:rsid w:val="004B442A"/>
    <w:rsid w:val="004D5D60"/>
    <w:rsid w:val="004D61B2"/>
    <w:rsid w:val="004E266F"/>
    <w:rsid w:val="004F6AD6"/>
    <w:rsid w:val="004F7712"/>
    <w:rsid w:val="0052291D"/>
    <w:rsid w:val="005252C0"/>
    <w:rsid w:val="00542A94"/>
    <w:rsid w:val="00545BDF"/>
    <w:rsid w:val="0055278A"/>
    <w:rsid w:val="00585956"/>
    <w:rsid w:val="005944FA"/>
    <w:rsid w:val="005A64F0"/>
    <w:rsid w:val="005B4C19"/>
    <w:rsid w:val="005D7A1A"/>
    <w:rsid w:val="005E5045"/>
    <w:rsid w:val="005F0FC0"/>
    <w:rsid w:val="0060487A"/>
    <w:rsid w:val="00611F0F"/>
    <w:rsid w:val="00612337"/>
    <w:rsid w:val="0062469D"/>
    <w:rsid w:val="0063076C"/>
    <w:rsid w:val="006611AE"/>
    <w:rsid w:val="006827CA"/>
    <w:rsid w:val="0069058B"/>
    <w:rsid w:val="00690D55"/>
    <w:rsid w:val="006A4C70"/>
    <w:rsid w:val="006B59F5"/>
    <w:rsid w:val="006E6912"/>
    <w:rsid w:val="006F1210"/>
    <w:rsid w:val="007037ED"/>
    <w:rsid w:val="00707B76"/>
    <w:rsid w:val="007117EC"/>
    <w:rsid w:val="00723320"/>
    <w:rsid w:val="00727354"/>
    <w:rsid w:val="00732E6A"/>
    <w:rsid w:val="007549D5"/>
    <w:rsid w:val="00755800"/>
    <w:rsid w:val="00760C08"/>
    <w:rsid w:val="0076115C"/>
    <w:rsid w:val="0077702E"/>
    <w:rsid w:val="00785019"/>
    <w:rsid w:val="007A47A6"/>
    <w:rsid w:val="007A55EE"/>
    <w:rsid w:val="007B7900"/>
    <w:rsid w:val="007C1150"/>
    <w:rsid w:val="007D14CA"/>
    <w:rsid w:val="007D2656"/>
    <w:rsid w:val="007E5E63"/>
    <w:rsid w:val="007E5EE8"/>
    <w:rsid w:val="007F1BD3"/>
    <w:rsid w:val="007F2B80"/>
    <w:rsid w:val="007F3D00"/>
    <w:rsid w:val="00812E96"/>
    <w:rsid w:val="00845167"/>
    <w:rsid w:val="00847E47"/>
    <w:rsid w:val="008601BC"/>
    <w:rsid w:val="00860B56"/>
    <w:rsid w:val="00892D23"/>
    <w:rsid w:val="008B7896"/>
    <w:rsid w:val="008E513C"/>
    <w:rsid w:val="008F66B6"/>
    <w:rsid w:val="009261D7"/>
    <w:rsid w:val="009272BE"/>
    <w:rsid w:val="00940680"/>
    <w:rsid w:val="009436AE"/>
    <w:rsid w:val="009447AC"/>
    <w:rsid w:val="00946FCB"/>
    <w:rsid w:val="00957706"/>
    <w:rsid w:val="009735C4"/>
    <w:rsid w:val="0098435A"/>
    <w:rsid w:val="009C1E51"/>
    <w:rsid w:val="009E6C91"/>
    <w:rsid w:val="009E6D0D"/>
    <w:rsid w:val="009F0891"/>
    <w:rsid w:val="009F4295"/>
    <w:rsid w:val="00A02E0C"/>
    <w:rsid w:val="00A11F55"/>
    <w:rsid w:val="00A141FB"/>
    <w:rsid w:val="00A17F1F"/>
    <w:rsid w:val="00A266B7"/>
    <w:rsid w:val="00A3195C"/>
    <w:rsid w:val="00A36220"/>
    <w:rsid w:val="00A36AEA"/>
    <w:rsid w:val="00A516EB"/>
    <w:rsid w:val="00A57DFA"/>
    <w:rsid w:val="00A61FE7"/>
    <w:rsid w:val="00A7155B"/>
    <w:rsid w:val="00A8249D"/>
    <w:rsid w:val="00AA00FB"/>
    <w:rsid w:val="00AA392B"/>
    <w:rsid w:val="00AC00E4"/>
    <w:rsid w:val="00AD2702"/>
    <w:rsid w:val="00AF5932"/>
    <w:rsid w:val="00B3023D"/>
    <w:rsid w:val="00B67851"/>
    <w:rsid w:val="00B8118C"/>
    <w:rsid w:val="00B8208E"/>
    <w:rsid w:val="00BA1060"/>
    <w:rsid w:val="00BA5190"/>
    <w:rsid w:val="00BB04D7"/>
    <w:rsid w:val="00BB60FE"/>
    <w:rsid w:val="00BD05ED"/>
    <w:rsid w:val="00C34CE3"/>
    <w:rsid w:val="00C3769D"/>
    <w:rsid w:val="00C6387F"/>
    <w:rsid w:val="00C71B25"/>
    <w:rsid w:val="00CA69B4"/>
    <w:rsid w:val="00CE112C"/>
    <w:rsid w:val="00CE29E1"/>
    <w:rsid w:val="00CF68B3"/>
    <w:rsid w:val="00D0417B"/>
    <w:rsid w:val="00D23879"/>
    <w:rsid w:val="00D31F72"/>
    <w:rsid w:val="00D42964"/>
    <w:rsid w:val="00D5629F"/>
    <w:rsid w:val="00D74FD2"/>
    <w:rsid w:val="00D832B2"/>
    <w:rsid w:val="00DB037D"/>
    <w:rsid w:val="00DB069A"/>
    <w:rsid w:val="00DB5E5A"/>
    <w:rsid w:val="00DD19E6"/>
    <w:rsid w:val="00E656B5"/>
    <w:rsid w:val="00EC6704"/>
    <w:rsid w:val="00ED2AE1"/>
    <w:rsid w:val="00ED4B52"/>
    <w:rsid w:val="00EF67E1"/>
    <w:rsid w:val="00F15544"/>
    <w:rsid w:val="00F35580"/>
    <w:rsid w:val="00F43952"/>
    <w:rsid w:val="00F56ACA"/>
    <w:rsid w:val="00F75556"/>
    <w:rsid w:val="00F9426C"/>
    <w:rsid w:val="00FA1707"/>
    <w:rsid w:val="00FA668E"/>
    <w:rsid w:val="00FB66AA"/>
    <w:rsid w:val="00FC2E18"/>
    <w:rsid w:val="00FC4A58"/>
    <w:rsid w:val="00FE3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097B"/>
  <w15:docId w15:val="{9D503188-636D-4059-8C31-2E226BC3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1FB"/>
    <w:rPr>
      <w:rFonts w:ascii="Arial" w:hAnsi="Arial"/>
      <w:szCs w:val="26"/>
    </w:rPr>
  </w:style>
  <w:style w:type="paragraph" w:styleId="Nadpis1">
    <w:name w:val="heading 1"/>
    <w:basedOn w:val="Normln"/>
    <w:link w:val="Nadpis1Char"/>
    <w:uiPriority w:val="9"/>
    <w:qFormat/>
    <w:rsid w:val="00BB60FE"/>
    <w:pPr>
      <w:spacing w:before="100" w:beforeAutospacing="1" w:after="100" w:afterAutospacing="1"/>
      <w:outlineLvl w:val="0"/>
    </w:pPr>
    <w:rPr>
      <w:rFonts w:ascii="Times New Roman" w:hAnsi="Times New Roman"/>
      <w:b/>
      <w:bCs/>
      <w:kern w:val="36"/>
      <w:sz w:val="48"/>
      <w:szCs w:val="48"/>
    </w:rPr>
  </w:style>
  <w:style w:type="paragraph" w:styleId="Nadpis2">
    <w:name w:val="heading 2"/>
    <w:basedOn w:val="Normln"/>
    <w:next w:val="Normln"/>
    <w:link w:val="Nadpis2Char"/>
    <w:uiPriority w:val="9"/>
    <w:semiHidden/>
    <w:unhideWhenUsed/>
    <w:qFormat/>
    <w:rsid w:val="00CE29E1"/>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A141FB"/>
    <w:pPr>
      <w:autoSpaceDE w:val="0"/>
      <w:autoSpaceDN w:val="0"/>
      <w:adjustRightInd w:val="0"/>
    </w:pPr>
    <w:rPr>
      <w:rFonts w:ascii="MS Sans Serif" w:hAnsi="MS Sans Serif"/>
      <w:szCs w:val="24"/>
    </w:rPr>
  </w:style>
  <w:style w:type="paragraph" w:styleId="Zkladntext">
    <w:name w:val="Body Text"/>
    <w:basedOn w:val="Normln"/>
    <w:semiHidden/>
    <w:rsid w:val="00A141FB"/>
    <w:rPr>
      <w:i/>
      <w:color w:val="000000"/>
      <w:sz w:val="24"/>
    </w:rPr>
  </w:style>
  <w:style w:type="character" w:styleId="Hypertextovodkaz">
    <w:name w:val="Hyperlink"/>
    <w:semiHidden/>
    <w:rsid w:val="00A141FB"/>
    <w:rPr>
      <w:color w:val="0000FF"/>
      <w:u w:val="single"/>
    </w:rPr>
  </w:style>
  <w:style w:type="paragraph" w:styleId="Zkladntext2">
    <w:name w:val="Body Text 2"/>
    <w:basedOn w:val="Normln"/>
    <w:semiHidden/>
    <w:rsid w:val="00A141FB"/>
    <w:pPr>
      <w:jc w:val="both"/>
    </w:pPr>
  </w:style>
  <w:style w:type="paragraph" w:styleId="Zkladntextodsazen">
    <w:name w:val="Body Text Indent"/>
    <w:basedOn w:val="Normln"/>
    <w:link w:val="ZkladntextodsazenChar"/>
    <w:semiHidden/>
    <w:rsid w:val="00A141FB"/>
    <w:pPr>
      <w:ind w:firstLine="709"/>
      <w:jc w:val="both"/>
    </w:pPr>
  </w:style>
  <w:style w:type="paragraph" w:styleId="Prosttext">
    <w:name w:val="Plain Text"/>
    <w:basedOn w:val="Normln"/>
    <w:link w:val="ProsttextChar"/>
    <w:rsid w:val="003C5AA4"/>
    <w:rPr>
      <w:rFonts w:ascii="Courier New" w:hAnsi="Courier New"/>
      <w:szCs w:val="20"/>
    </w:rPr>
  </w:style>
  <w:style w:type="character" w:customStyle="1" w:styleId="ProsttextChar">
    <w:name w:val="Prostý text Char"/>
    <w:link w:val="Prosttext"/>
    <w:rsid w:val="003C5AA4"/>
    <w:rPr>
      <w:rFonts w:ascii="Courier New" w:hAnsi="Courier New" w:cs="Courier New"/>
    </w:rPr>
  </w:style>
  <w:style w:type="paragraph" w:styleId="Textbubliny">
    <w:name w:val="Balloon Text"/>
    <w:basedOn w:val="Normln"/>
    <w:link w:val="TextbublinyChar"/>
    <w:uiPriority w:val="99"/>
    <w:semiHidden/>
    <w:unhideWhenUsed/>
    <w:rsid w:val="008F66B6"/>
    <w:rPr>
      <w:rFonts w:ascii="Tahoma" w:hAnsi="Tahoma"/>
      <w:sz w:val="16"/>
      <w:szCs w:val="16"/>
    </w:rPr>
  </w:style>
  <w:style w:type="character" w:customStyle="1" w:styleId="TextbublinyChar">
    <w:name w:val="Text bubliny Char"/>
    <w:link w:val="Textbubliny"/>
    <w:uiPriority w:val="99"/>
    <w:semiHidden/>
    <w:rsid w:val="008F66B6"/>
    <w:rPr>
      <w:rFonts w:ascii="Tahoma" w:hAnsi="Tahoma" w:cs="Tahoma"/>
      <w:sz w:val="16"/>
      <w:szCs w:val="16"/>
    </w:rPr>
  </w:style>
  <w:style w:type="character" w:styleId="Sledovanodkaz">
    <w:name w:val="FollowedHyperlink"/>
    <w:uiPriority w:val="99"/>
    <w:semiHidden/>
    <w:unhideWhenUsed/>
    <w:rsid w:val="00BB60FE"/>
    <w:rPr>
      <w:color w:val="800080"/>
      <w:u w:val="single"/>
    </w:rPr>
  </w:style>
  <w:style w:type="character" w:customStyle="1" w:styleId="Nadpis1Char">
    <w:name w:val="Nadpis 1 Char"/>
    <w:link w:val="Nadpis1"/>
    <w:uiPriority w:val="9"/>
    <w:rsid w:val="00BB60FE"/>
    <w:rPr>
      <w:b/>
      <w:bCs/>
      <w:kern w:val="36"/>
      <w:sz w:val="48"/>
      <w:szCs w:val="48"/>
    </w:rPr>
  </w:style>
  <w:style w:type="character" w:customStyle="1" w:styleId="tema2">
    <w:name w:val="tema2"/>
    <w:basedOn w:val="Standardnpsmoodstavce"/>
    <w:rsid w:val="00BB60FE"/>
  </w:style>
  <w:style w:type="character" w:styleId="Odkaznakoment">
    <w:name w:val="annotation reference"/>
    <w:basedOn w:val="Standardnpsmoodstavce"/>
    <w:uiPriority w:val="99"/>
    <w:semiHidden/>
    <w:unhideWhenUsed/>
    <w:rsid w:val="009261D7"/>
    <w:rPr>
      <w:sz w:val="16"/>
      <w:szCs w:val="16"/>
    </w:rPr>
  </w:style>
  <w:style w:type="paragraph" w:styleId="Textkomente">
    <w:name w:val="annotation text"/>
    <w:basedOn w:val="Normln"/>
    <w:link w:val="TextkomenteChar"/>
    <w:uiPriority w:val="99"/>
    <w:semiHidden/>
    <w:unhideWhenUsed/>
    <w:rsid w:val="009261D7"/>
    <w:rPr>
      <w:szCs w:val="20"/>
    </w:rPr>
  </w:style>
  <w:style w:type="character" w:customStyle="1" w:styleId="TextkomenteChar">
    <w:name w:val="Text komentáře Char"/>
    <w:basedOn w:val="Standardnpsmoodstavce"/>
    <w:link w:val="Textkomente"/>
    <w:uiPriority w:val="99"/>
    <w:semiHidden/>
    <w:rsid w:val="009261D7"/>
    <w:rPr>
      <w:rFonts w:ascii="Arial" w:hAnsi="Arial"/>
    </w:rPr>
  </w:style>
  <w:style w:type="paragraph" w:styleId="Pedmtkomente">
    <w:name w:val="annotation subject"/>
    <w:basedOn w:val="Textkomente"/>
    <w:next w:val="Textkomente"/>
    <w:link w:val="PedmtkomenteChar"/>
    <w:uiPriority w:val="99"/>
    <w:semiHidden/>
    <w:unhideWhenUsed/>
    <w:rsid w:val="009261D7"/>
    <w:rPr>
      <w:b/>
      <w:bCs/>
    </w:rPr>
  </w:style>
  <w:style w:type="character" w:customStyle="1" w:styleId="PedmtkomenteChar">
    <w:name w:val="Předmět komentáře Char"/>
    <w:basedOn w:val="TextkomenteChar"/>
    <w:link w:val="Pedmtkomente"/>
    <w:uiPriority w:val="99"/>
    <w:semiHidden/>
    <w:rsid w:val="009261D7"/>
    <w:rPr>
      <w:rFonts w:ascii="Arial" w:hAnsi="Arial"/>
      <w:b/>
      <w:bCs/>
    </w:rPr>
  </w:style>
  <w:style w:type="paragraph" w:styleId="Revize">
    <w:name w:val="Revision"/>
    <w:hidden/>
    <w:uiPriority w:val="99"/>
    <w:semiHidden/>
    <w:rsid w:val="00A61FE7"/>
    <w:rPr>
      <w:rFonts w:ascii="Arial" w:hAnsi="Arial"/>
      <w:szCs w:val="26"/>
    </w:rPr>
  </w:style>
  <w:style w:type="character" w:customStyle="1" w:styleId="ZkladntextodsazenChar">
    <w:name w:val="Základní text odsazený Char"/>
    <w:basedOn w:val="Standardnpsmoodstavce"/>
    <w:link w:val="Zkladntextodsazen"/>
    <w:semiHidden/>
    <w:rsid w:val="0034301B"/>
    <w:rPr>
      <w:rFonts w:ascii="Arial" w:hAnsi="Arial"/>
      <w:szCs w:val="26"/>
    </w:rPr>
  </w:style>
  <w:style w:type="paragraph" w:styleId="Zpat">
    <w:name w:val="footer"/>
    <w:basedOn w:val="Normln"/>
    <w:link w:val="ZpatChar"/>
    <w:unhideWhenUsed/>
    <w:rsid w:val="00A57DFA"/>
    <w:pPr>
      <w:tabs>
        <w:tab w:val="center" w:pos="4536"/>
        <w:tab w:val="right" w:pos="9072"/>
      </w:tabs>
      <w:spacing w:after="200" w:line="276" w:lineRule="auto"/>
      <w:jc w:val="both"/>
    </w:pPr>
    <w:rPr>
      <w:rFonts w:asciiTheme="minorHAnsi" w:eastAsiaTheme="minorEastAsia" w:hAnsiTheme="minorHAnsi" w:cstheme="minorBidi"/>
      <w:szCs w:val="20"/>
      <w:lang w:eastAsia="en-US"/>
    </w:rPr>
  </w:style>
  <w:style w:type="character" w:customStyle="1" w:styleId="ZpatChar">
    <w:name w:val="Zápatí Char"/>
    <w:basedOn w:val="Standardnpsmoodstavce"/>
    <w:link w:val="Zpat"/>
    <w:rsid w:val="00A57DFA"/>
    <w:rPr>
      <w:rFonts w:asciiTheme="minorHAnsi" w:eastAsiaTheme="minorEastAsia" w:hAnsiTheme="minorHAnsi" w:cstheme="minorBidi"/>
      <w:lang w:eastAsia="en-US"/>
    </w:rPr>
  </w:style>
  <w:style w:type="paragraph" w:styleId="Odstavecseseznamem">
    <w:name w:val="List Paragraph"/>
    <w:basedOn w:val="Normln"/>
    <w:uiPriority w:val="34"/>
    <w:qFormat/>
    <w:rsid w:val="00AD2702"/>
    <w:pPr>
      <w:spacing w:after="200" w:line="276" w:lineRule="auto"/>
      <w:ind w:left="720"/>
      <w:contextualSpacing/>
      <w:jc w:val="both"/>
    </w:pPr>
    <w:rPr>
      <w:rFonts w:asciiTheme="minorHAnsi" w:eastAsiaTheme="minorEastAsia" w:hAnsiTheme="minorHAnsi" w:cstheme="minorBidi"/>
      <w:szCs w:val="20"/>
      <w:lang w:eastAsia="en-US"/>
    </w:rPr>
  </w:style>
  <w:style w:type="paragraph" w:customStyle="1" w:styleId="Rbntext">
    <w:name w:val="R běžný text"/>
    <w:rsid w:val="00AD2702"/>
    <w:pPr>
      <w:spacing w:after="120"/>
      <w:jc w:val="both"/>
    </w:pPr>
    <w:rPr>
      <w:rFonts w:ascii="Arial" w:hAnsi="Arial"/>
    </w:rPr>
  </w:style>
  <w:style w:type="character" w:customStyle="1" w:styleId="Nadpis2Char">
    <w:name w:val="Nadpis 2 Char"/>
    <w:basedOn w:val="Standardnpsmoodstavce"/>
    <w:link w:val="Nadpis2"/>
    <w:uiPriority w:val="9"/>
    <w:rsid w:val="00CE29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ta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1585</Words>
  <Characters>9355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28</vt:lpstr>
    </vt:vector>
  </TitlesOfParts>
  <Company>CSU</Company>
  <LinksUpToDate>false</LinksUpToDate>
  <CharactersWithSpaces>10919</CharactersWithSpaces>
  <SharedDoc>false</SharedDoc>
  <HLinks>
    <vt:vector size="12" baseType="variant">
      <vt:variant>
        <vt:i4>262153</vt:i4>
      </vt:variant>
      <vt:variant>
        <vt:i4>3</vt:i4>
      </vt:variant>
      <vt:variant>
        <vt:i4>0</vt:i4>
      </vt:variant>
      <vt:variant>
        <vt:i4>5</vt:i4>
      </vt:variant>
      <vt:variant>
        <vt:lpwstr>http://www.volby.cz/</vt:lpwstr>
      </vt:variant>
      <vt:variant>
        <vt:lpwstr/>
      </vt:variant>
      <vt:variant>
        <vt:i4>7012436</vt:i4>
      </vt:variant>
      <vt:variant>
        <vt:i4>0</vt:i4>
      </vt:variant>
      <vt:variant>
        <vt:i4>0</vt:i4>
      </vt:variant>
      <vt:variant>
        <vt:i4>5</vt:i4>
      </vt:variant>
      <vt:variant>
        <vt:lpwstr>http://www.czso.cz/csu/redakce.nsf/i/volby_lide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SČÍTÁNÍ LIDU, DOMŮ A BYTŮ, Metodické vysvětlivky, Statistická ročenka ČR 2023</dc:title>
  <dc:creator>Český statistický úřad</dc:creator>
  <cp:lastModifiedBy>Zadák Rostislav</cp:lastModifiedBy>
  <cp:revision>29</cp:revision>
  <cp:lastPrinted>2018-02-14T13:23:00Z</cp:lastPrinted>
  <dcterms:created xsi:type="dcterms:W3CDTF">2022-05-09T08:30:00Z</dcterms:created>
  <dcterms:modified xsi:type="dcterms:W3CDTF">2023-11-13T09:53:00Z</dcterms:modified>
</cp:coreProperties>
</file>