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9C289" w14:textId="60A44A80" w:rsidR="003407B9" w:rsidRPr="00C81D8D" w:rsidRDefault="003407B9" w:rsidP="0034152F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0071BC"/>
          <w:lang w:val="en-GB"/>
        </w:rPr>
      </w:pPr>
      <w:bookmarkStart w:id="0" w:name="_GoBack"/>
      <w:proofErr w:type="gramStart"/>
      <w:r w:rsidRPr="00C81D8D">
        <w:rPr>
          <w:rFonts w:ascii="Arial" w:hAnsi="Arial" w:cs="Arial"/>
          <w:b/>
          <w:bCs/>
          <w:i/>
          <w:iCs/>
          <w:color w:val="0071BC"/>
          <w:lang w:val="en-GB"/>
        </w:rPr>
        <w:t>12</w:t>
      </w:r>
      <w:r w:rsidR="0034152F" w:rsidRPr="00C81D8D">
        <w:rPr>
          <w:rFonts w:ascii="Arial" w:hAnsi="Arial" w:cs="Arial"/>
          <w:b/>
          <w:bCs/>
          <w:i/>
          <w:iCs/>
          <w:color w:val="0071BC"/>
          <w:lang w:val="en-GB"/>
        </w:rPr>
        <w:t xml:space="preserve"> </w:t>
      </w:r>
      <w:r w:rsidRPr="00C81D8D">
        <w:rPr>
          <w:rFonts w:ascii="Arial" w:hAnsi="Arial" w:cs="Arial"/>
          <w:b/>
          <w:bCs/>
          <w:i/>
          <w:iCs/>
          <w:color w:val="0071BC"/>
          <w:lang w:val="en-GB"/>
        </w:rPr>
        <w:t xml:space="preserve"> ORGANI</w:t>
      </w:r>
      <w:r w:rsidR="002A4FDD" w:rsidRPr="00C81D8D">
        <w:rPr>
          <w:rFonts w:ascii="Arial" w:hAnsi="Arial" w:cs="Arial"/>
          <w:b/>
          <w:bCs/>
          <w:i/>
          <w:iCs/>
          <w:color w:val="0071BC"/>
          <w:lang w:val="en-GB"/>
        </w:rPr>
        <w:t>S</w:t>
      </w:r>
      <w:r w:rsidRPr="00C81D8D">
        <w:rPr>
          <w:rFonts w:ascii="Arial" w:hAnsi="Arial" w:cs="Arial"/>
          <w:b/>
          <w:bCs/>
          <w:i/>
          <w:iCs/>
          <w:color w:val="0071BC"/>
          <w:lang w:val="en-GB"/>
        </w:rPr>
        <w:t>ATIONAL</w:t>
      </w:r>
      <w:proofErr w:type="gramEnd"/>
      <w:r w:rsidRPr="00C81D8D">
        <w:rPr>
          <w:rFonts w:ascii="Arial" w:hAnsi="Arial" w:cs="Arial"/>
          <w:b/>
          <w:bCs/>
          <w:i/>
          <w:iCs/>
          <w:color w:val="0071BC"/>
          <w:lang w:val="en-GB"/>
        </w:rPr>
        <w:t xml:space="preserve"> STRUCTURE OF THE NATIONAL ECONOMY</w:t>
      </w:r>
    </w:p>
    <w:bookmarkEnd w:id="0"/>
    <w:p w14:paraId="6AC8B7DE" w14:textId="4770CA7C" w:rsidR="003407B9" w:rsidRPr="00C81D8D" w:rsidRDefault="003407B9" w:rsidP="0034152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34E02C25" w14:textId="77777777" w:rsidR="00BC46B7" w:rsidRPr="00C81D8D" w:rsidRDefault="00BC46B7" w:rsidP="00BC46B7">
      <w:pPr>
        <w:tabs>
          <w:tab w:val="left" w:pos="0"/>
        </w:tabs>
        <w:rPr>
          <w:rFonts w:ascii="Arial" w:eastAsia="Arial Unicode MS" w:hAnsi="Arial" w:cs="Arial"/>
          <w:b/>
          <w:i/>
          <w:iCs/>
          <w:color w:val="0071BC"/>
          <w:sz w:val="20"/>
        </w:rPr>
      </w:pPr>
      <w:r w:rsidRPr="00C81D8D">
        <w:rPr>
          <w:rFonts w:ascii="Arial" w:eastAsia="Arial Unicode MS" w:hAnsi="Arial" w:cs="Arial"/>
          <w:b/>
          <w:i/>
          <w:iCs/>
          <w:color w:val="0071BC"/>
          <w:sz w:val="20"/>
        </w:rPr>
        <w:t>Methodological notes</w:t>
      </w:r>
    </w:p>
    <w:p w14:paraId="4D14DFF2" w14:textId="77777777" w:rsidR="00BC46B7" w:rsidRPr="00C005A6" w:rsidRDefault="00BC46B7" w:rsidP="0034152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</w:p>
    <w:p w14:paraId="2269BBFE" w14:textId="4ABF5681" w:rsidR="00A372E6" w:rsidRPr="00C005A6" w:rsidRDefault="00EB3179">
      <w:pPr>
        <w:pStyle w:val="Zkladntext"/>
        <w:spacing w:before="0" w:line="240" w:lineRule="auto"/>
        <w:rPr>
          <w:rFonts w:ascii="Arial" w:hAnsi="Arial" w:cs="Arial"/>
          <w:i/>
          <w:sz w:val="18"/>
          <w:szCs w:val="18"/>
          <w:lang w:val="en-GB"/>
        </w:rPr>
      </w:pPr>
      <w:r w:rsidRPr="00C005A6">
        <w:rPr>
          <w:rFonts w:ascii="Arial" w:hAnsi="Arial" w:cs="Arial"/>
          <w:i/>
          <w:sz w:val="18"/>
          <w:szCs w:val="18"/>
          <w:lang w:val="en-GB"/>
        </w:rPr>
        <w:t>S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tatistics</w:t>
      </w:r>
      <w:r w:rsidRPr="00C005A6">
        <w:rPr>
          <w:rFonts w:ascii="Arial" w:hAnsi="Arial" w:cs="Arial"/>
          <w:i/>
          <w:sz w:val="18"/>
          <w:szCs w:val="18"/>
          <w:lang w:val="en-GB"/>
        </w:rPr>
        <w:t xml:space="preserve"> provided in this chapter 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follow basic data on all</w:t>
      </w:r>
      <w:r w:rsidR="00E25AF4" w:rsidRPr="00C005A6">
        <w:rPr>
          <w:rFonts w:ascii="Arial" w:hAnsi="Arial" w:cs="Arial"/>
          <w:i/>
          <w:sz w:val="18"/>
          <w:szCs w:val="18"/>
          <w:lang w:val="en-GB"/>
        </w:rPr>
        <w:t xml:space="preserve"> businesses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E25AF4" w:rsidRPr="00C005A6">
        <w:rPr>
          <w:rFonts w:ascii="Arial" w:hAnsi="Arial" w:cs="Arial"/>
          <w:i/>
          <w:sz w:val="18"/>
          <w:szCs w:val="18"/>
          <w:lang w:val="en-GB"/>
        </w:rPr>
        <w:t>(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economic </w:t>
      </w:r>
      <w:r w:rsidRPr="00C005A6">
        <w:rPr>
          <w:rFonts w:ascii="Arial" w:hAnsi="Arial" w:cs="Arial"/>
          <w:i/>
          <w:sz w:val="18"/>
          <w:szCs w:val="18"/>
          <w:lang w:val="en-GB"/>
        </w:rPr>
        <w:t>entities</w:t>
      </w:r>
      <w:r w:rsidR="00E25AF4" w:rsidRPr="00C005A6">
        <w:rPr>
          <w:rFonts w:ascii="Arial" w:hAnsi="Arial" w:cs="Arial"/>
          <w:i/>
          <w:sz w:val="18"/>
          <w:szCs w:val="18"/>
          <w:lang w:val="en-GB"/>
        </w:rPr>
        <w:t>)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 registered in </w:t>
      </w:r>
      <w:r w:rsidRPr="00C005A6">
        <w:rPr>
          <w:rFonts w:ascii="Arial" w:hAnsi="Arial" w:cs="Arial"/>
          <w:i/>
          <w:sz w:val="18"/>
          <w:szCs w:val="18"/>
          <w:lang w:val="en-GB"/>
        </w:rPr>
        <w:t>the S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tatistical </w:t>
      </w:r>
      <w:r w:rsidRPr="00C005A6">
        <w:rPr>
          <w:rFonts w:ascii="Arial" w:hAnsi="Arial" w:cs="Arial"/>
          <w:i/>
          <w:sz w:val="18"/>
          <w:szCs w:val="18"/>
          <w:lang w:val="en-GB"/>
        </w:rPr>
        <w:t>B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usiness </w:t>
      </w:r>
      <w:r w:rsidRPr="00C005A6">
        <w:rPr>
          <w:rFonts w:ascii="Arial" w:hAnsi="Arial" w:cs="Arial"/>
          <w:i/>
          <w:sz w:val="18"/>
          <w:szCs w:val="18"/>
          <w:lang w:val="en-GB"/>
        </w:rPr>
        <w:t>R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egister</w:t>
      </w:r>
      <w:r w:rsidR="009860BF" w:rsidRPr="00C005A6">
        <w:rPr>
          <w:rFonts w:ascii="Arial" w:hAnsi="Arial" w:cs="Arial"/>
          <w:i/>
          <w:sz w:val="18"/>
          <w:szCs w:val="18"/>
          <w:lang w:val="en-GB"/>
        </w:rPr>
        <w:t xml:space="preserve"> (</w:t>
      </w:r>
      <w:r w:rsidR="009F7BE9" w:rsidRPr="00C005A6">
        <w:rPr>
          <w:rFonts w:ascii="Arial" w:hAnsi="Arial" w:cs="Arial"/>
          <w:i/>
          <w:sz w:val="18"/>
          <w:szCs w:val="18"/>
          <w:lang w:val="en-GB"/>
        </w:rPr>
        <w:t xml:space="preserve">abbreviated </w:t>
      </w:r>
      <w:r w:rsidR="009860BF" w:rsidRPr="00C005A6">
        <w:rPr>
          <w:rFonts w:ascii="Arial" w:hAnsi="Arial" w:cs="Arial"/>
          <w:sz w:val="18"/>
          <w:szCs w:val="18"/>
          <w:lang w:val="en-GB"/>
        </w:rPr>
        <w:t>RES</w:t>
      </w:r>
      <w:r w:rsidR="009F7BE9" w:rsidRPr="00C005A6">
        <w:rPr>
          <w:rFonts w:ascii="Arial" w:hAnsi="Arial" w:cs="Arial"/>
          <w:sz w:val="18"/>
          <w:szCs w:val="18"/>
          <w:lang w:val="en-GB"/>
        </w:rPr>
        <w:t xml:space="preserve"> </w:t>
      </w:r>
      <w:r w:rsidR="009F7BE9" w:rsidRPr="00C005A6">
        <w:rPr>
          <w:rFonts w:ascii="Arial" w:hAnsi="Arial" w:cs="Arial"/>
          <w:i/>
          <w:sz w:val="18"/>
          <w:szCs w:val="18"/>
          <w:lang w:val="en-GB"/>
        </w:rPr>
        <w:t>in Czech</w:t>
      </w:r>
      <w:r w:rsidR="009860BF" w:rsidRPr="00C005A6">
        <w:rPr>
          <w:rFonts w:ascii="Arial" w:hAnsi="Arial" w:cs="Arial"/>
          <w:i/>
          <w:sz w:val="18"/>
          <w:szCs w:val="18"/>
          <w:lang w:val="en-GB"/>
        </w:rPr>
        <w:t>)</w:t>
      </w:r>
      <w:r w:rsidRPr="00C005A6">
        <w:rPr>
          <w:rFonts w:ascii="Arial" w:hAnsi="Arial" w:cs="Arial"/>
          <w:i/>
          <w:sz w:val="18"/>
          <w:szCs w:val="18"/>
          <w:lang w:val="en-GB"/>
        </w:rPr>
        <w:t xml:space="preserve">, the administrator of which is 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the Czech Statistical Office.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The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>se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 statistics 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>are based on</w:t>
      </w:r>
      <w:r w:rsidR="009F7BE9" w:rsidRPr="00C005A6">
        <w:rPr>
          <w:rFonts w:ascii="Arial" w:hAnsi="Arial" w:cs="Arial"/>
          <w:i/>
          <w:sz w:val="18"/>
          <w:szCs w:val="18"/>
          <w:lang w:val="en-GB"/>
        </w:rPr>
        <w:t xml:space="preserve"> selected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 public data kept in </w:t>
      </w:r>
      <w:r w:rsidR="009F7BE9" w:rsidRPr="00C005A6">
        <w:rPr>
          <w:rFonts w:ascii="Arial" w:hAnsi="Arial" w:cs="Arial"/>
          <w:i/>
          <w:sz w:val="18"/>
          <w:szCs w:val="18"/>
          <w:lang w:val="en-GB"/>
        </w:rPr>
        <w:t>the S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tatistical </w:t>
      </w:r>
      <w:r w:rsidR="009F7BE9" w:rsidRPr="00C005A6">
        <w:rPr>
          <w:rFonts w:ascii="Arial" w:hAnsi="Arial" w:cs="Arial"/>
          <w:i/>
          <w:sz w:val="18"/>
          <w:szCs w:val="18"/>
          <w:lang w:val="en-GB"/>
        </w:rPr>
        <w:t>B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usiness </w:t>
      </w:r>
      <w:r w:rsidR="009F7BE9" w:rsidRPr="00C005A6">
        <w:rPr>
          <w:rFonts w:ascii="Arial" w:hAnsi="Arial" w:cs="Arial"/>
          <w:i/>
          <w:sz w:val="18"/>
          <w:szCs w:val="18"/>
          <w:lang w:val="en-GB"/>
        </w:rPr>
        <w:t>R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egister.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 xml:space="preserve"> A list of public data of the Statistical Business Register is stated in the Section 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20 of the Act No 89/1995 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>Sb,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 on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 xml:space="preserve"> the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 State 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>S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tatistical 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>S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ervice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 xml:space="preserve">. 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According to 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>the Section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 2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>(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k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>)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 of the a</w:t>
      </w:r>
      <w:r w:rsidR="00AE2D29" w:rsidRPr="00C005A6">
        <w:rPr>
          <w:rFonts w:ascii="Arial" w:hAnsi="Arial" w:cs="Arial"/>
          <w:i/>
          <w:sz w:val="18"/>
          <w:szCs w:val="18"/>
          <w:lang w:val="en-GB"/>
        </w:rPr>
        <w:t>fore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mentioned act</w:t>
      </w:r>
      <w:r w:rsidR="000F07F2" w:rsidRPr="00C005A6">
        <w:rPr>
          <w:rFonts w:ascii="Arial" w:hAnsi="Arial" w:cs="Arial"/>
          <w:i/>
          <w:sz w:val="18"/>
          <w:szCs w:val="18"/>
          <w:lang w:val="en-GB"/>
        </w:rPr>
        <w:t>,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 </w:t>
      </w:r>
      <w:r w:rsidR="004B3B19" w:rsidRPr="00C005A6">
        <w:rPr>
          <w:rFonts w:ascii="Arial" w:hAnsi="Arial" w:cs="Arial"/>
          <w:i/>
          <w:sz w:val="18"/>
          <w:szCs w:val="18"/>
          <w:lang w:val="en-GB"/>
        </w:rPr>
        <w:t>a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 legal person,</w:t>
      </w:r>
      <w:r w:rsidR="004B3B19" w:rsidRPr="00C005A6">
        <w:rPr>
          <w:rFonts w:ascii="Arial" w:hAnsi="Arial" w:cs="Arial"/>
          <w:i/>
          <w:sz w:val="18"/>
          <w:szCs w:val="18"/>
          <w:lang w:val="en-GB"/>
        </w:rPr>
        <w:t xml:space="preserve"> organisational unit of the state</w:t>
      </w:r>
      <w:r w:rsidR="002B1B4D" w:rsidRPr="00C005A6">
        <w:rPr>
          <w:rFonts w:ascii="Arial" w:hAnsi="Arial" w:cs="Arial"/>
          <w:i/>
          <w:sz w:val="18"/>
          <w:szCs w:val="18"/>
          <w:lang w:val="en-GB"/>
        </w:rPr>
        <w:t xml:space="preserve"> that</w:t>
      </w:r>
      <w:r w:rsidR="004B3B19" w:rsidRPr="00C005A6">
        <w:rPr>
          <w:rFonts w:ascii="Arial" w:hAnsi="Arial" w:cs="Arial"/>
          <w:i/>
          <w:sz w:val="18"/>
          <w:szCs w:val="18"/>
          <w:lang w:val="en-GB"/>
        </w:rPr>
        <w:t xml:space="preserve"> is an accounting entity, a unit trust, and, 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furthermore, a natural person </w:t>
      </w:r>
      <w:r w:rsidR="004B3B19" w:rsidRPr="00C005A6">
        <w:rPr>
          <w:rFonts w:ascii="Arial" w:hAnsi="Arial" w:cs="Arial"/>
          <w:i/>
          <w:sz w:val="18"/>
          <w:szCs w:val="18"/>
          <w:lang w:val="en-GB"/>
        </w:rPr>
        <w:t>with the status of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 xml:space="preserve"> entrepreneur pursuant to a special regulation</w:t>
      </w:r>
      <w:r w:rsidR="002B1B4D" w:rsidRPr="00C005A6">
        <w:rPr>
          <w:rFonts w:ascii="Arial" w:hAnsi="Arial" w:cs="Arial"/>
          <w:i/>
          <w:sz w:val="18"/>
          <w:szCs w:val="18"/>
          <w:lang w:val="en-GB"/>
        </w:rPr>
        <w:t xml:space="preserve"> is a business (economic entity)</w:t>
      </w:r>
      <w:r w:rsidR="00A372E6" w:rsidRPr="00C005A6">
        <w:rPr>
          <w:rFonts w:ascii="Arial" w:hAnsi="Arial" w:cs="Arial"/>
          <w:i/>
          <w:sz w:val="18"/>
          <w:szCs w:val="18"/>
          <w:lang w:val="en-GB"/>
        </w:rPr>
        <w:t>.</w:t>
      </w:r>
    </w:p>
    <w:p w14:paraId="35151312" w14:textId="19033257" w:rsidR="00A372E6" w:rsidRPr="00C005A6" w:rsidRDefault="00A372E6" w:rsidP="00C005A6">
      <w:pPr>
        <w:pStyle w:val="Zkladntext"/>
        <w:spacing w:line="240" w:lineRule="auto"/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</w:pP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Data in </w:t>
      </w:r>
      <w:r w:rsidR="00BE6F17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the S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tatistical </w:t>
      </w:r>
      <w:r w:rsidR="00BE6F17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B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usiness </w:t>
      </w:r>
      <w:r w:rsidR="00BE6F17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R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egister are </w:t>
      </w:r>
      <w:r w:rsidR="00243FBC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compiled and updated</w:t>
      </w:r>
      <w:r w:rsidR="00BE6F17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based on administrative </w:t>
      </w:r>
      <w:r w:rsidR="00243FBC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data 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sources. </w:t>
      </w:r>
      <w:r w:rsidR="004D6FF7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It mainly applies to</w:t>
      </w:r>
      <w:r w:rsidR="00A97F50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the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Basic </w:t>
      </w:r>
      <w:r w:rsidR="004641FE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R</w:t>
      </w:r>
      <w:r w:rsidR="00804583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egister of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</w:t>
      </w:r>
      <w:r w:rsidR="004641FE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L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egal and </w:t>
      </w:r>
      <w:r w:rsidR="004641FE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N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atural </w:t>
      </w:r>
      <w:r w:rsidR="004641FE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P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ersons (</w:t>
      </w:r>
      <w:r w:rsidR="00243FBC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abbreviated </w:t>
      </w:r>
      <w:r w:rsidRPr="00C005A6">
        <w:rPr>
          <w:rFonts w:ascii="Arial" w:hAnsi="Arial" w:cs="Arial"/>
          <w:color w:val="333333"/>
          <w:sz w:val="18"/>
          <w:szCs w:val="18"/>
          <w:shd w:val="clear" w:color="auto" w:fill="FFFFFF"/>
          <w:lang w:val="en-GB"/>
        </w:rPr>
        <w:t>ROS</w:t>
      </w:r>
      <w:r w:rsidR="00243FBC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in Czech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), from which </w:t>
      </w:r>
      <w:r w:rsidR="00CC73E0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the S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tatistical </w:t>
      </w:r>
      <w:r w:rsidR="00CC73E0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B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usiness </w:t>
      </w:r>
      <w:r w:rsidR="00CC73E0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R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egister obtains </w:t>
      </w:r>
      <w:r w:rsidR="001E1B4E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information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on </w:t>
      </w:r>
      <w:r w:rsidR="00435B73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a </w:t>
      </w:r>
      <w:r w:rsidR="00E1446D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company</w:t>
      </w:r>
      <w:r w:rsidR="00435B73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registration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number</w:t>
      </w:r>
      <w:r w:rsidR="00435B73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(abbreviated </w:t>
      </w:r>
      <w:r w:rsidR="00435B73" w:rsidRPr="00C005A6">
        <w:rPr>
          <w:rFonts w:ascii="Arial" w:hAnsi="Arial" w:cs="Arial"/>
          <w:color w:val="333333"/>
          <w:sz w:val="18"/>
          <w:szCs w:val="18"/>
          <w:shd w:val="clear" w:color="auto" w:fill="FFFFFF"/>
          <w:lang w:val="en-GB"/>
        </w:rPr>
        <w:t>IČO</w:t>
      </w:r>
      <w:r w:rsidR="00435B73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in Czech)</w:t>
      </w:r>
      <w:r w:rsidR="00CC73E0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, name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, legal form, </w:t>
      </w:r>
      <w:r w:rsidR="004D6FF7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and </w:t>
      </w:r>
      <w:r w:rsidR="00717EED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births and deaths of businesses 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on </w:t>
      </w:r>
      <w:r w:rsidR="00E1446D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a 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daily basis. </w:t>
      </w:r>
      <w:r w:rsidR="00E1446D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A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dditional administrative data sources </w:t>
      </w:r>
      <w:r w:rsidR="00EE6BB8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(mainly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</w:t>
      </w:r>
      <w:r w:rsidR="00EE6BB8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public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registers </w:t>
      </w:r>
      <w:r w:rsidR="00EE6BB8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of the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Ministry of Justice, </w:t>
      </w:r>
      <w:r w:rsidR="00A14EAF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the </w:t>
      </w:r>
      <w:r w:rsidR="007807CA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T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rade</w:t>
      </w:r>
      <w:r w:rsidR="00340F1A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Licensing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</w:t>
      </w:r>
      <w:r w:rsidR="007807CA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R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egister,</w:t>
      </w:r>
      <w:r w:rsidR="00A14EAF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or data from the Ministry of Finance or the Czech Social Security Administration</w:t>
      </w:r>
      <w:r w:rsidR="000E5758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)</w:t>
      </w:r>
      <w:r w:rsidR="00A14EAF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and results of statistical surveys are used by the Statistical Business Register to assign an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economic activity code</w:t>
      </w:r>
      <w:r w:rsidR="00A14EAF"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 xml:space="preserve"> and other characteristics</w:t>
      </w:r>
      <w:r w:rsidRPr="00C005A6">
        <w:rPr>
          <w:rFonts w:ascii="Arial" w:hAnsi="Arial" w:cs="Arial"/>
          <w:i/>
          <w:color w:val="333333"/>
          <w:sz w:val="18"/>
          <w:szCs w:val="18"/>
          <w:shd w:val="clear" w:color="auto" w:fill="FFFFFF"/>
          <w:lang w:val="en-GB"/>
        </w:rPr>
        <w:t>.</w:t>
      </w:r>
    </w:p>
    <w:p w14:paraId="3D29A4C8" w14:textId="77777777" w:rsidR="005B768F" w:rsidRPr="00C005A6" w:rsidRDefault="005B768F" w:rsidP="005B768F">
      <w:pPr>
        <w:rPr>
          <w:rFonts w:ascii="Arial" w:hAnsi="Arial" w:cs="Arial"/>
          <w:i/>
          <w:sz w:val="18"/>
          <w:szCs w:val="18"/>
          <w:lang w:val="cs-CZ"/>
        </w:rPr>
      </w:pPr>
    </w:p>
    <w:p w14:paraId="01A36AC5" w14:textId="77777777" w:rsidR="005B768F" w:rsidRPr="00C005A6" w:rsidRDefault="005B768F" w:rsidP="005B768F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i/>
          <w:color w:val="0071BC"/>
          <w:sz w:val="20"/>
          <w:szCs w:val="20"/>
          <w:lang w:val="en-GB"/>
        </w:rPr>
      </w:pPr>
      <w:r w:rsidRPr="00C005A6">
        <w:rPr>
          <w:rFonts w:ascii="Arial" w:hAnsi="Arial" w:cs="Arial"/>
          <w:b/>
          <w:i/>
          <w:color w:val="0071BC"/>
          <w:sz w:val="20"/>
          <w:szCs w:val="20"/>
          <w:lang w:val="en-GB"/>
        </w:rPr>
        <w:t>Notes on Tables</w:t>
      </w:r>
    </w:p>
    <w:p w14:paraId="7543C06F" w14:textId="13319A8C" w:rsidR="005B768F" w:rsidRDefault="005B768F" w:rsidP="005B768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22"/>
          <w:lang w:val="en-GB"/>
        </w:rPr>
      </w:pPr>
    </w:p>
    <w:p w14:paraId="7102B46A" w14:textId="77777777" w:rsidR="00AA722A" w:rsidRPr="00C005A6" w:rsidRDefault="00AA722A" w:rsidP="005B768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22"/>
          <w:lang w:val="en-GB"/>
        </w:rPr>
      </w:pPr>
    </w:p>
    <w:p w14:paraId="433A5D5C" w14:textId="6B8BF2E0" w:rsidR="005B768F" w:rsidRPr="00C005A6" w:rsidRDefault="00136FFF" w:rsidP="00C456CF">
      <w:pPr>
        <w:pStyle w:val="Zkladntext"/>
        <w:spacing w:before="0" w:line="240" w:lineRule="auto"/>
        <w:rPr>
          <w:rFonts w:ascii="Arial" w:hAnsi="Arial" w:cs="Arial"/>
          <w:i/>
          <w:color w:val="333333"/>
          <w:sz w:val="18"/>
          <w:szCs w:val="22"/>
          <w:shd w:val="clear" w:color="auto" w:fill="FFFFFF"/>
        </w:rPr>
      </w:pPr>
      <w:r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The </w:t>
      </w:r>
      <w:r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>n</w:t>
      </w:r>
      <w:r w:rsidR="005B768F"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>umber of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registered </w:t>
      </w:r>
      <w:r w:rsidR="0093145A"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>businesses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(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economic </w:t>
      </w:r>
      <w:r w:rsidR="00A313E6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entities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)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– 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the 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number of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businesses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(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economic </w:t>
      </w:r>
      <w:r w:rsidR="00A313E6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entities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)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without </w:t>
      </w:r>
      <w:r w:rsidR="00226465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a 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date of 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death (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cessation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)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registered 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in the Statistical Business Register (</w:t>
      </w:r>
      <w:r w:rsidR="0093145A" w:rsidRPr="00C005A6">
        <w:rPr>
          <w:rFonts w:ascii="Arial" w:hAnsi="Arial" w:cs="Arial"/>
          <w:color w:val="333333"/>
          <w:sz w:val="18"/>
          <w:szCs w:val="22"/>
          <w:shd w:val="clear" w:color="auto" w:fill="FFFFFF"/>
          <w:lang w:val="en-GB"/>
        </w:rPr>
        <w:t>RES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) database as at a certain moment (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the end of the year</w:t>
      </w:r>
      <w:r w:rsidR="0093145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)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.</w:t>
      </w:r>
    </w:p>
    <w:p w14:paraId="311C5B2E" w14:textId="434B4146" w:rsidR="005B768F" w:rsidRPr="00C005A6" w:rsidRDefault="00136FFF" w:rsidP="00BB325D">
      <w:pPr>
        <w:pStyle w:val="Zkladntext"/>
        <w:spacing w:line="240" w:lineRule="auto"/>
        <w:rPr>
          <w:rFonts w:ascii="Arial" w:hAnsi="Arial" w:cs="Arial"/>
          <w:i/>
          <w:color w:val="333333"/>
          <w:sz w:val="18"/>
          <w:szCs w:val="22"/>
          <w:shd w:val="clear" w:color="auto" w:fill="FFFFFF"/>
        </w:rPr>
      </w:pPr>
      <w:r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The </w:t>
      </w:r>
      <w:r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>n</w:t>
      </w:r>
      <w:r w:rsidR="005B768F"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 xml:space="preserve">umber of </w:t>
      </w:r>
      <w:r w:rsidR="003C31D1"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>births of</w:t>
      </w:r>
      <w:r w:rsidR="00226465"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 xml:space="preserve"> businesses</w:t>
      </w:r>
      <w:r w:rsidR="00226465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(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economic </w:t>
      </w:r>
      <w:r w:rsidR="00A313E6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entities</w:t>
      </w:r>
      <w:r w:rsidR="00226465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)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 – </w:t>
      </w:r>
      <w:r w:rsidR="00A313E6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a</w:t>
      </w:r>
      <w:r w:rsidR="00E53288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born</w:t>
      </w:r>
      <w:r w:rsidR="00A313E6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</w:t>
      </w:r>
      <w:r w:rsidR="00E53288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business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</w:t>
      </w:r>
      <w:r w:rsidR="00E53288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(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economic </w:t>
      </w:r>
      <w:r w:rsidR="00A313E6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entity</w:t>
      </w:r>
      <w:r w:rsidR="00E53288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)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is</w:t>
      </w:r>
      <w:r w:rsidR="00852DF7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a business</w:t>
      </w:r>
      <w:r w:rsidR="0038394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(economic entity)</w:t>
      </w:r>
      <w:r w:rsidR="00852DF7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with the date of birth (registration) 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during the reference period. </w:t>
      </w:r>
      <w:r w:rsidR="0038394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A business (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economic </w:t>
      </w:r>
      <w:r w:rsidR="0038394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entity), which was registered and subsequently </w:t>
      </w:r>
      <w:r w:rsidR="001A5293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ceased to exist</w:t>
      </w:r>
      <w:r w:rsidR="0038394A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during the same reference period is not considered to be a born business (economic entity)</w:t>
      </w:r>
      <w:r w:rsidR="005B768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.</w:t>
      </w:r>
    </w:p>
    <w:p w14:paraId="16819DAB" w14:textId="7463626F" w:rsidR="003F0431" w:rsidRPr="00C005A6" w:rsidRDefault="00136FFF" w:rsidP="00BB325D">
      <w:pPr>
        <w:pStyle w:val="Zkladntext"/>
        <w:spacing w:line="240" w:lineRule="auto"/>
        <w:rPr>
          <w:rFonts w:ascii="Arial" w:hAnsi="Arial" w:cs="Arial"/>
          <w:i/>
          <w:color w:val="333333"/>
          <w:sz w:val="18"/>
          <w:szCs w:val="22"/>
          <w:shd w:val="clear" w:color="auto" w:fill="FFFFFF"/>
        </w:rPr>
      </w:pPr>
      <w:r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The </w:t>
      </w:r>
      <w:r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>n</w:t>
      </w:r>
      <w:r w:rsidR="00114C3D"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 xml:space="preserve">umber of </w:t>
      </w:r>
      <w:r w:rsidR="003C31D1"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>deaths of</w:t>
      </w:r>
      <w:r w:rsidR="00226465"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 xml:space="preserve"> businesses</w:t>
      </w:r>
      <w:r w:rsidR="00114C3D" w:rsidRPr="00C005A6">
        <w:rPr>
          <w:rFonts w:ascii="Arial" w:hAnsi="Arial" w:cs="Arial"/>
          <w:b/>
          <w:i/>
          <w:color w:val="333333"/>
          <w:sz w:val="18"/>
          <w:szCs w:val="22"/>
          <w:shd w:val="clear" w:color="auto" w:fill="FFFFFF"/>
          <w:lang w:val="en-GB"/>
        </w:rPr>
        <w:t xml:space="preserve"> </w:t>
      </w:r>
      <w:r w:rsidR="00226465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(</w:t>
      </w:r>
      <w:r w:rsidR="00114C3D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economic entities</w:t>
      </w:r>
      <w:r w:rsidR="00226465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)</w:t>
      </w:r>
      <w:r w:rsidR="00114C3D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–</w:t>
      </w:r>
      <w:r w:rsidR="00E53288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</w:t>
      </w:r>
      <w:r w:rsidR="003F0431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>a business (economic entity) with the date of</w:t>
      </w:r>
      <w:r w:rsidR="00F5279F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cessation</w:t>
      </w:r>
      <w:r w:rsidR="003F0431" w:rsidRPr="00C005A6">
        <w:rPr>
          <w:rFonts w:ascii="Arial" w:hAnsi="Arial" w:cs="Arial"/>
          <w:i/>
          <w:color w:val="333333"/>
          <w:sz w:val="18"/>
          <w:szCs w:val="22"/>
          <w:shd w:val="clear" w:color="auto" w:fill="FFFFFF"/>
          <w:lang w:val="en-GB"/>
        </w:rPr>
        <w:t xml:space="preserve"> in the reference period is a business (economic entity) that ceased to exist. </w:t>
      </w:r>
    </w:p>
    <w:p w14:paraId="44E806BE" w14:textId="381C4CFC" w:rsidR="00FE3F72" w:rsidRPr="00C005A6" w:rsidRDefault="00FE3F72" w:rsidP="00BB325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22"/>
        </w:rPr>
      </w:pPr>
      <w:r w:rsidRPr="00C005A6">
        <w:rPr>
          <w:rFonts w:ascii="Arial" w:hAnsi="Arial" w:cs="Arial"/>
          <w:b/>
          <w:bCs/>
          <w:i/>
          <w:iCs/>
          <w:color w:val="auto"/>
          <w:sz w:val="18"/>
          <w:szCs w:val="22"/>
          <w:lang w:val="en-GB"/>
        </w:rPr>
        <w:t>Natural persons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include private entrepreneurs who are in business under the Trade </w:t>
      </w:r>
      <w:r w:rsidR="00ED5161" w:rsidRPr="00C005A6">
        <w:rPr>
          <w:rFonts w:ascii="Arial" w:hAnsi="Arial" w:cs="Arial"/>
          <w:bCs/>
          <w:i/>
          <w:iCs/>
          <w:color w:val="auto"/>
          <w:sz w:val="18"/>
          <w:szCs w:val="22"/>
          <w:lang w:val="en-GB"/>
        </w:rPr>
        <w:t>Licensing</w:t>
      </w:r>
      <w:r w:rsidR="00ED5161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Act, agricultural entrepreneurs – natural persons, </w:t>
      </w:r>
      <w:r w:rsidR="00907171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and 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natural persons carrying out business activities</w:t>
      </w:r>
      <w:r w:rsidR="00907171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pursuant to other acts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, and</w:t>
      </w:r>
      <w:r w:rsidR="00907171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, furthermore,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since 2014 also foreign natural persons and branches of foreign natural persons.</w:t>
      </w:r>
    </w:p>
    <w:p w14:paraId="43DAEF2F" w14:textId="2BFC6504" w:rsidR="00136FFF" w:rsidRPr="00C005A6" w:rsidRDefault="009E2E03" w:rsidP="00BB325D">
      <w:pPr>
        <w:pStyle w:val="Zkladntext"/>
        <w:spacing w:line="240" w:lineRule="auto"/>
        <w:rPr>
          <w:rFonts w:ascii="Arial" w:hAnsi="Arial" w:cs="Arial"/>
          <w:bCs/>
          <w:i/>
          <w:iCs/>
          <w:sz w:val="18"/>
          <w:szCs w:val="22"/>
        </w:rPr>
      </w:pPr>
      <w:r w:rsidRPr="00C005A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Private entrepreneurs</w:t>
      </w:r>
      <w:r w:rsidR="00717EED" w:rsidRPr="00C005A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 xml:space="preserve"> in business under the Trade</w:t>
      </w:r>
      <w:r w:rsidR="00ED5161" w:rsidRPr="00C005A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 xml:space="preserve"> Licensing</w:t>
      </w:r>
      <w:r w:rsidR="00717EED" w:rsidRPr="00C005A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 xml:space="preserve"> Act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  <w:r w:rsidR="00136FFF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include natural persons who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carry out their</w:t>
      </w:r>
      <w:r w:rsidR="00136FFF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business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activities according to the</w:t>
      </w:r>
      <w:r w:rsidR="00136FFF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Act No 455/1991 Sb, the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  <w:r w:rsidR="00136FFF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T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rade </w:t>
      </w:r>
      <w:r w:rsidR="00136FFF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L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icen</w:t>
      </w:r>
      <w:r w:rsidR="004315FB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s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ing </w:t>
      </w:r>
      <w:r w:rsidR="00136FFF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A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ct</w:t>
      </w:r>
      <w:r w:rsidR="00D51A76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.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</w:p>
    <w:p w14:paraId="75A97B00" w14:textId="3E6E81CC" w:rsidR="005B768F" w:rsidRPr="00C005A6" w:rsidRDefault="001A19F1" w:rsidP="00BB325D">
      <w:pPr>
        <w:pStyle w:val="Zkladntext"/>
        <w:spacing w:line="240" w:lineRule="auto"/>
        <w:rPr>
          <w:rFonts w:ascii="Arial" w:hAnsi="Arial" w:cs="Arial"/>
          <w:bCs/>
          <w:i/>
          <w:iCs/>
          <w:sz w:val="18"/>
          <w:szCs w:val="22"/>
          <w:lang w:val="en-GB"/>
        </w:rPr>
      </w:pPr>
      <w:r w:rsidRPr="00C005A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Private entrepreneurs</w:t>
      </w:r>
      <w:r w:rsidR="00087A0C" w:rsidRPr="00C005A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 xml:space="preserve"> in business under other acts</w:t>
      </w:r>
      <w:r w:rsidR="001C7EF4" w:rsidRPr="00C005A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 xml:space="preserve"> </w:t>
      </w:r>
      <w:r w:rsidR="001C7EF4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(than the Trade Licensing Act)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  <w:r w:rsidR="00CF3997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include a</w:t>
      </w:r>
      <w:r w:rsidR="009E2E03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gricultural entrepreneurs</w:t>
      </w:r>
      <w:r w:rsidR="00CF3997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– natural persons who</w:t>
      </w:r>
      <w:r w:rsidR="009E2E03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carry out their</w:t>
      </w:r>
      <w:r w:rsidR="00CF3997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business</w:t>
      </w:r>
      <w:r w:rsidR="009E2E03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activities according to the </w:t>
      </w:r>
      <w:r w:rsidR="00CF3997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Act No</w:t>
      </w:r>
      <w:r w:rsidR="009E2E03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252/1997 </w:t>
      </w:r>
      <w:r w:rsidR="00CF3997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Sb,</w:t>
      </w:r>
      <w:r w:rsidR="009E2E03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on </w:t>
      </w:r>
      <w:r w:rsidR="00CF3997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Agriculture, and natural persons whose busine</w:t>
      </w:r>
      <w:r w:rsidR="007929FC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ss activities are governed by </w:t>
      </w:r>
      <w:r w:rsidR="00DE0632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a </w:t>
      </w:r>
      <w:r w:rsidR="00CF3997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separate legal regulation except for the Trade Licensing Act and the Act on Agriculture. </w:t>
      </w:r>
    </w:p>
    <w:p w14:paraId="57BF1904" w14:textId="52407566" w:rsidR="002E4304" w:rsidRPr="00C005A6" w:rsidRDefault="002E4304" w:rsidP="00BB325D">
      <w:pPr>
        <w:pStyle w:val="Zkladntext"/>
        <w:spacing w:line="240" w:lineRule="auto"/>
        <w:rPr>
          <w:rFonts w:ascii="Arial" w:hAnsi="Arial" w:cs="Arial"/>
          <w:bCs/>
          <w:i/>
          <w:iCs/>
          <w:sz w:val="18"/>
          <w:szCs w:val="22"/>
          <w:lang w:val="en-GB"/>
        </w:rPr>
      </w:pPr>
      <w:r w:rsidRPr="00C005A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Associations of natural persons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and </w:t>
      </w:r>
      <w:r w:rsidRPr="00C005A6">
        <w:rPr>
          <w:rFonts w:ascii="Arial" w:hAnsi="Arial" w:cs="Arial"/>
          <w:b/>
          <w:bCs/>
          <w:i/>
          <w:iCs/>
          <w:sz w:val="18"/>
          <w:szCs w:val="22"/>
          <w:lang w:val="en-GB"/>
        </w:rPr>
        <w:t>associations of legal persons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include associations and</w:t>
      </w:r>
      <w:r w:rsidR="00556D5D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subsidiary associations including foreign</w:t>
      </w:r>
      <w:r w:rsidR="0017041F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ones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, trade unions and</w:t>
      </w:r>
      <w:r w:rsidR="00556D5D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employers’ organisations and</w:t>
      </w:r>
      <w:r w:rsidR="00556D5D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their organisational units including international</w:t>
      </w:r>
      <w:r w:rsidR="0017041F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ones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, political parties and</w:t>
      </w:r>
      <w:r w:rsidR="00556D5D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movements, churches and</w:t>
      </w:r>
      <w:r w:rsidR="00556D5D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religious societies, professional organisations, chambers, international non-governmental organisations and</w:t>
      </w:r>
      <w:r w:rsidR="00556D5D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their organisational units, hunting associations (communities), and</w:t>
      </w:r>
      <w:r w:rsidR="00556D5D"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bCs/>
          <w:i/>
          <w:iCs/>
          <w:sz w:val="18"/>
          <w:szCs w:val="22"/>
          <w:lang w:val="en-GB"/>
        </w:rPr>
        <w:t>special-interest associations of legal persons.</w:t>
      </w:r>
    </w:p>
    <w:p w14:paraId="10DC775C" w14:textId="77777777" w:rsidR="0064477D" w:rsidRPr="00C005A6" w:rsidRDefault="0064477D" w:rsidP="00BB325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22"/>
          <w:lang w:val="en-GB"/>
        </w:rPr>
      </w:pPr>
      <w:r w:rsidRPr="00C005A6">
        <w:rPr>
          <w:rFonts w:ascii="Arial" w:hAnsi="Arial" w:cs="Arial"/>
          <w:b/>
          <w:bCs/>
          <w:i/>
          <w:iCs/>
          <w:color w:val="auto"/>
          <w:sz w:val="18"/>
          <w:szCs w:val="22"/>
          <w:lang w:val="en-GB"/>
        </w:rPr>
        <w:t>Business companies and partnerships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include general commercial partnerships, limited liability companies, limited partnerships, joint-stock companies, and since 2010 also European companies (</w:t>
      </w:r>
      <w:r w:rsidRPr="00C005A6">
        <w:rPr>
          <w:rFonts w:ascii="Arial" w:hAnsi="Arial" w:cs="Arial"/>
          <w:iCs/>
          <w:color w:val="auto"/>
          <w:sz w:val="18"/>
          <w:szCs w:val="22"/>
          <w:lang w:val="la-Latn"/>
        </w:rPr>
        <w:t>Societas Europaea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) and European economic interest groupings.</w:t>
      </w:r>
    </w:p>
    <w:p w14:paraId="38AE46BC" w14:textId="4FE15101" w:rsidR="0064477D" w:rsidRPr="00BB325D" w:rsidRDefault="0064477D" w:rsidP="00BB325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22"/>
          <w:lang w:val="en-GB"/>
        </w:rPr>
      </w:pPr>
      <w:r w:rsidRPr="00C005A6">
        <w:rPr>
          <w:rFonts w:ascii="Arial" w:hAnsi="Arial" w:cs="Arial"/>
          <w:b/>
          <w:bCs/>
          <w:i/>
          <w:iCs/>
          <w:color w:val="auto"/>
          <w:sz w:val="18"/>
          <w:szCs w:val="22"/>
          <w:lang w:val="en-GB"/>
        </w:rPr>
        <w:t>Cooperatives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include cooperatives and European cooperative societies (</w:t>
      </w:r>
      <w:r w:rsidRPr="00C005A6">
        <w:rPr>
          <w:rFonts w:ascii="Arial" w:hAnsi="Arial" w:cs="Arial"/>
          <w:iCs/>
          <w:color w:val="auto"/>
          <w:sz w:val="18"/>
          <w:szCs w:val="22"/>
          <w:lang w:val="la-Latn"/>
        </w:rPr>
        <w:t>Societas Cooperativa Europaea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).</w:t>
      </w:r>
    </w:p>
    <w:p w14:paraId="4FCEEB22" w14:textId="63C3A2BE" w:rsidR="00B04EA8" w:rsidRPr="00C005A6" w:rsidRDefault="00B04EA8" w:rsidP="00BB325D">
      <w:pPr>
        <w:pStyle w:val="Zkladntext"/>
        <w:spacing w:line="240" w:lineRule="auto"/>
        <w:rPr>
          <w:rFonts w:ascii="Arial" w:hAnsi="Arial" w:cs="Arial"/>
          <w:i/>
          <w:iCs/>
          <w:sz w:val="18"/>
          <w:szCs w:val="22"/>
          <w:lang w:val="en-GB"/>
        </w:rPr>
      </w:pPr>
      <w:r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The </w:t>
      </w:r>
      <w:r w:rsidRPr="00C005A6">
        <w:rPr>
          <w:rFonts w:ascii="Arial" w:hAnsi="Arial" w:cs="Arial"/>
          <w:b/>
          <w:i/>
          <w:iCs/>
          <w:sz w:val="18"/>
          <w:szCs w:val="22"/>
          <w:lang w:val="en-GB"/>
        </w:rPr>
        <w:t>breakdown</w:t>
      </w:r>
      <w:r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b/>
          <w:i/>
          <w:iCs/>
          <w:sz w:val="18"/>
          <w:szCs w:val="22"/>
          <w:lang w:val="en-GB"/>
        </w:rPr>
        <w:t>by principal activity</w:t>
      </w:r>
      <w:r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corresponds to sections of the Classification of Economic Activities (CZ-NACE), which was </w:t>
      </w:r>
      <w:r w:rsidR="00F0614D" w:rsidRPr="00C005A6">
        <w:rPr>
          <w:rFonts w:ascii="Arial" w:hAnsi="Arial" w:cs="Arial"/>
          <w:i/>
          <w:iCs/>
          <w:sz w:val="18"/>
          <w:szCs w:val="22"/>
          <w:lang w:val="en-GB"/>
        </w:rPr>
        <w:t>made</w:t>
      </w:r>
      <w:r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according to the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European statistical classification of economic activities </w:t>
      </w:r>
      <w:r w:rsidR="002739CE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in compliance with the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 Regulation </w:t>
      </w:r>
      <w:r w:rsidR="001E2BCD">
        <w:rPr>
          <w:rFonts w:ascii="Arial" w:hAnsi="Arial" w:cs="Arial"/>
          <w:i/>
          <w:color w:val="333333"/>
          <w:sz w:val="18"/>
          <w:szCs w:val="22"/>
          <w:lang w:val="en-GB"/>
        </w:rPr>
        <w:t>(EC) No 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1893/2006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of the European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Parliament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and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of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the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Council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establishing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the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statistical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classification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of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> 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economic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activities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NACE </w:t>
      </w:r>
      <w:r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Revision</w:t>
      </w:r>
      <w:r w:rsidRPr="00C005A6">
        <w:rPr>
          <w:rFonts w:ascii="Arial" w:hAnsi="Arial" w:cs="Arial"/>
          <w:i/>
          <w:color w:val="333333"/>
          <w:sz w:val="18"/>
          <w:szCs w:val="22"/>
          <w:lang w:val="en-GB"/>
        </w:rPr>
        <w:t xml:space="preserve"> 2.</w:t>
      </w:r>
      <w:r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</w:t>
      </w:r>
    </w:p>
    <w:p w14:paraId="053042A6" w14:textId="44AF5493" w:rsidR="002C6757" w:rsidRPr="00C005A6" w:rsidRDefault="003A2FD1" w:rsidP="00BB325D">
      <w:pPr>
        <w:pStyle w:val="Zkladntext"/>
        <w:spacing w:line="240" w:lineRule="auto"/>
        <w:rPr>
          <w:rFonts w:ascii="Arial" w:hAnsi="Arial" w:cs="Arial"/>
          <w:i/>
          <w:iCs/>
          <w:sz w:val="18"/>
          <w:szCs w:val="22"/>
          <w:lang w:val="en-GB"/>
        </w:rPr>
      </w:pPr>
      <w:r w:rsidRPr="00C005A6">
        <w:rPr>
          <w:rFonts w:ascii="Arial" w:hAnsi="Arial" w:cs="Arial"/>
          <w:bCs/>
          <w:i/>
          <w:color w:val="333333"/>
          <w:sz w:val="18"/>
          <w:szCs w:val="22"/>
          <w:bdr w:val="none" w:sz="0" w:space="0" w:color="auto" w:frame="1"/>
          <w:lang w:val="en-GB"/>
        </w:rPr>
        <w:t>The</w:t>
      </w:r>
      <w:r w:rsidRPr="00C005A6">
        <w:rPr>
          <w:rFonts w:ascii="Arial" w:hAnsi="Arial" w:cs="Arial"/>
          <w:b/>
          <w:bCs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 b</w:t>
      </w:r>
      <w:r w:rsidR="00C20C59" w:rsidRPr="00C005A6">
        <w:rPr>
          <w:rFonts w:ascii="Arial" w:hAnsi="Arial" w:cs="Arial"/>
          <w:b/>
          <w:bCs/>
          <w:i/>
          <w:color w:val="333333"/>
          <w:sz w:val="18"/>
          <w:szCs w:val="22"/>
          <w:bdr w:val="none" w:sz="0" w:space="0" w:color="auto" w:frame="1"/>
          <w:lang w:val="en-GB"/>
        </w:rPr>
        <w:t>reakdown by</w:t>
      </w:r>
      <w:r w:rsidR="00142C7E" w:rsidRPr="00C005A6">
        <w:rPr>
          <w:rFonts w:ascii="Arial" w:hAnsi="Arial" w:cs="Arial"/>
          <w:b/>
          <w:bCs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 classification of businesses to</w:t>
      </w:r>
      <w:r w:rsidR="00C20C59" w:rsidRPr="00C005A6">
        <w:rPr>
          <w:rFonts w:ascii="Arial" w:hAnsi="Arial" w:cs="Arial"/>
          <w:b/>
          <w:bCs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 institutional sector</w:t>
      </w:r>
      <w:r w:rsidR="00142C7E" w:rsidRPr="00C005A6">
        <w:rPr>
          <w:rFonts w:ascii="Arial" w:hAnsi="Arial" w:cs="Arial"/>
          <w:b/>
          <w:bCs/>
          <w:i/>
          <w:color w:val="333333"/>
          <w:sz w:val="18"/>
          <w:szCs w:val="22"/>
          <w:bdr w:val="none" w:sz="0" w:space="0" w:color="auto" w:frame="1"/>
          <w:lang w:val="en-GB"/>
        </w:rPr>
        <w:t>s</w:t>
      </w:r>
      <w:r w:rsidR="00C20C59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 is based on </w:t>
      </w:r>
      <w:r w:rsidR="00F97B48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the Classification of I</w:t>
      </w:r>
      <w:r w:rsidR="00C20C59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nstitutional </w:t>
      </w:r>
      <w:r w:rsidR="00F97B48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S</w:t>
      </w:r>
      <w:r w:rsidR="00C20C59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ectors and </w:t>
      </w:r>
      <w:r w:rsidR="00F97B48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S</w:t>
      </w:r>
      <w:r w:rsidR="00C20C59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>ubsectors, which was produced according to</w:t>
      </w:r>
      <w:r w:rsidR="00F97B48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 the</w:t>
      </w:r>
      <w:r w:rsidR="00C20C59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 Regulation (EU) No 549/2013 of the European Parliament and of the Council on the European system of national and regional accounts in the European Union (known as ESA 2010).</w:t>
      </w:r>
      <w:r w:rsidR="00142C7E" w:rsidRPr="00C005A6">
        <w:rPr>
          <w:rFonts w:ascii="Arial" w:hAnsi="Arial" w:cs="Arial"/>
          <w:i/>
          <w:color w:val="333333"/>
          <w:sz w:val="18"/>
          <w:szCs w:val="22"/>
          <w:bdr w:val="none" w:sz="0" w:space="0" w:color="auto" w:frame="1"/>
          <w:lang w:val="en-GB"/>
        </w:rPr>
        <w:t xml:space="preserve"> </w:t>
      </w:r>
      <w:r w:rsidR="00142C7E" w:rsidRPr="00C005A6">
        <w:rPr>
          <w:rFonts w:ascii="Arial" w:hAnsi="Arial" w:cs="Arial"/>
          <w:i/>
          <w:iCs/>
          <w:sz w:val="18"/>
          <w:szCs w:val="22"/>
          <w:lang w:val="en-GB"/>
        </w:rPr>
        <w:t>Description of institutional sectors is provided in the</w:t>
      </w:r>
      <w:r w:rsidR="002C6757"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Chapter </w:t>
      </w:r>
      <w:r w:rsidR="002C6757" w:rsidRPr="00C005A6">
        <w:rPr>
          <w:rFonts w:ascii="Arial" w:hAnsi="Arial" w:cs="Arial"/>
          <w:b/>
          <w:i/>
          <w:iCs/>
          <w:sz w:val="18"/>
          <w:szCs w:val="22"/>
          <w:lang w:val="en-GB"/>
        </w:rPr>
        <w:t>5</w:t>
      </w:r>
      <w:r w:rsidR="00142C7E"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National Accounts</w:t>
      </w:r>
      <w:r w:rsidR="002C6757" w:rsidRPr="00C005A6">
        <w:rPr>
          <w:rFonts w:ascii="Arial" w:hAnsi="Arial" w:cs="Arial"/>
          <w:i/>
          <w:iCs/>
          <w:sz w:val="18"/>
          <w:szCs w:val="22"/>
          <w:lang w:val="en-GB"/>
        </w:rPr>
        <w:t>.</w:t>
      </w:r>
    </w:p>
    <w:p w14:paraId="31C41D78" w14:textId="70C247D2" w:rsidR="00971B35" w:rsidRPr="00C005A6" w:rsidRDefault="00010DC3" w:rsidP="00BB325D">
      <w:pPr>
        <w:pStyle w:val="Zkladntext"/>
        <w:spacing w:line="240" w:lineRule="auto"/>
        <w:rPr>
          <w:rFonts w:ascii="Arial" w:hAnsi="Arial" w:cs="Arial"/>
          <w:i/>
          <w:iCs/>
          <w:sz w:val="18"/>
          <w:szCs w:val="22"/>
          <w:lang w:val="en-GB"/>
        </w:rPr>
      </w:pPr>
      <w:r w:rsidRPr="00C005A6">
        <w:rPr>
          <w:rFonts w:ascii="Arial" w:hAnsi="Arial" w:cs="Arial"/>
          <w:b/>
          <w:i/>
          <w:iCs/>
          <w:sz w:val="18"/>
          <w:szCs w:val="22"/>
          <w:lang w:val="en-GB"/>
        </w:rPr>
        <w:t>Territorial b</w:t>
      </w:r>
      <w:r w:rsidR="00B84800" w:rsidRPr="00C005A6">
        <w:rPr>
          <w:rFonts w:ascii="Arial" w:hAnsi="Arial" w:cs="Arial"/>
          <w:b/>
          <w:i/>
          <w:iCs/>
          <w:sz w:val="18"/>
          <w:szCs w:val="22"/>
          <w:lang w:val="en-GB"/>
        </w:rPr>
        <w:t>reakdown</w:t>
      </w:r>
      <w:r w:rsidR="00B84800"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is based on the</w:t>
      </w:r>
      <w:r w:rsidR="00435E87"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registered office</w:t>
      </w:r>
      <w:r w:rsidR="00B84800"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</w:t>
      </w:r>
      <w:r w:rsidR="00435E87" w:rsidRPr="00C005A6">
        <w:rPr>
          <w:rFonts w:ascii="Arial" w:hAnsi="Arial" w:cs="Arial"/>
          <w:i/>
          <w:iCs/>
          <w:sz w:val="18"/>
          <w:szCs w:val="22"/>
          <w:lang w:val="en-GB"/>
        </w:rPr>
        <w:t>(headquarters)</w:t>
      </w:r>
      <w:r w:rsidR="00B84800"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of </w:t>
      </w:r>
      <w:r w:rsidR="00435E87" w:rsidRPr="00C005A6">
        <w:rPr>
          <w:rFonts w:ascii="Arial" w:hAnsi="Arial" w:cs="Arial"/>
          <w:i/>
          <w:iCs/>
          <w:sz w:val="18"/>
          <w:szCs w:val="22"/>
          <w:lang w:val="en-GB"/>
        </w:rPr>
        <w:t>a business (</w:t>
      </w:r>
      <w:r w:rsidR="00B84800"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economic </w:t>
      </w:r>
      <w:r w:rsidR="00D0385C" w:rsidRPr="00C005A6">
        <w:rPr>
          <w:rFonts w:ascii="Arial" w:hAnsi="Arial" w:cs="Arial"/>
          <w:i/>
          <w:iCs/>
          <w:sz w:val="18"/>
          <w:szCs w:val="22"/>
          <w:lang w:val="en-GB"/>
        </w:rPr>
        <w:t>entity</w:t>
      </w:r>
      <w:r w:rsidR="00435E87" w:rsidRPr="00C005A6">
        <w:rPr>
          <w:rFonts w:ascii="Arial" w:hAnsi="Arial" w:cs="Arial"/>
          <w:i/>
          <w:iCs/>
          <w:sz w:val="18"/>
          <w:szCs w:val="22"/>
          <w:lang w:val="en-GB"/>
        </w:rPr>
        <w:t>)</w:t>
      </w:r>
      <w:r w:rsidR="00D0385C" w:rsidRPr="00C005A6">
        <w:rPr>
          <w:rFonts w:ascii="Arial" w:hAnsi="Arial" w:cs="Arial"/>
          <w:i/>
          <w:iCs/>
          <w:sz w:val="18"/>
          <w:szCs w:val="22"/>
          <w:lang w:val="en-GB"/>
        </w:rPr>
        <w:t>.</w:t>
      </w:r>
    </w:p>
    <w:p w14:paraId="44CEB5CA" w14:textId="4550187F" w:rsidR="004C41EB" w:rsidRPr="00C005A6" w:rsidRDefault="00971B35" w:rsidP="00BB325D">
      <w:pPr>
        <w:pStyle w:val="Zkladntext"/>
        <w:spacing w:line="240" w:lineRule="auto"/>
        <w:rPr>
          <w:rFonts w:ascii="Arial" w:hAnsi="Arial" w:cs="Arial"/>
          <w:i/>
          <w:iCs/>
          <w:sz w:val="18"/>
          <w:szCs w:val="22"/>
          <w:lang w:val="en-GB"/>
        </w:rPr>
      </w:pPr>
      <w:r w:rsidRPr="00C005A6">
        <w:rPr>
          <w:rFonts w:ascii="Arial" w:hAnsi="Arial" w:cs="Arial"/>
          <w:b/>
          <w:i/>
          <w:iCs/>
          <w:sz w:val="18"/>
          <w:szCs w:val="22"/>
          <w:lang w:val="en-GB"/>
        </w:rPr>
        <w:t>Identified activity</w:t>
      </w:r>
      <w:r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</w:t>
      </w:r>
      <w:r w:rsidR="00A82E3A" w:rsidRPr="00C005A6">
        <w:rPr>
          <w:rFonts w:ascii="Arial" w:hAnsi="Arial" w:cs="Arial"/>
          <w:i/>
          <w:iCs/>
          <w:sz w:val="18"/>
          <w:szCs w:val="22"/>
          <w:lang w:val="en-GB"/>
        </w:rPr>
        <w:t>– a business (economic entity) is considered active if it is income tax payer or value added tax payer or it pays social security</w:t>
      </w:r>
      <w:r w:rsidR="00D51A76"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contributions</w:t>
      </w:r>
      <w:r w:rsidR="00A82E3A"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for employees or</w:t>
      </w:r>
      <w:r w:rsidR="00D51A76" w:rsidRPr="00C005A6">
        <w:rPr>
          <w:rFonts w:ascii="Arial" w:hAnsi="Arial" w:cs="Arial"/>
          <w:i/>
          <w:iCs/>
          <w:sz w:val="18"/>
          <w:szCs w:val="22"/>
          <w:lang w:val="en-GB"/>
        </w:rPr>
        <w:t xml:space="preserve"> as a self-employed</w:t>
      </w:r>
      <w:r w:rsidR="00A82E3A" w:rsidRPr="00C005A6">
        <w:rPr>
          <w:rFonts w:ascii="Arial" w:hAnsi="Arial" w:cs="Arial"/>
          <w:i/>
          <w:iCs/>
          <w:sz w:val="18"/>
          <w:szCs w:val="22"/>
          <w:lang w:val="en-GB"/>
        </w:rPr>
        <w:t>.</w:t>
      </w:r>
    </w:p>
    <w:p w14:paraId="47CA7FB0" w14:textId="2DDAEF00" w:rsidR="00DD1C97" w:rsidRPr="00C005A6" w:rsidRDefault="000922E5" w:rsidP="00BB325D">
      <w:pPr>
        <w:pStyle w:val="Normlnweb"/>
        <w:tabs>
          <w:tab w:val="left" w:pos="0"/>
        </w:tabs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22"/>
          <w:lang w:val="en-GB"/>
        </w:rPr>
      </w:pP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In</w:t>
      </w:r>
      <w:r w:rsidR="00007422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 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2016, selected businesses were reclassified</w:t>
      </w:r>
      <w:r w:rsidR="0079343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between the</w:t>
      </w:r>
      <w:r w:rsidR="0079343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public</w:t>
      </w:r>
      <w:r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enterprises and</w:t>
      </w:r>
      <w:r w:rsidR="00007422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corporations and the </w:t>
      </w:r>
      <w:r w:rsidR="0079343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general government</w:t>
      </w:r>
      <w:r w:rsidR="00F92E35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institutional</w:t>
      </w:r>
      <w:r w:rsidR="00DF58E8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sector</w:t>
      </w:r>
      <w:r w:rsidR="00F92E35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s</w:t>
      </w:r>
      <w:r w:rsidR="0079343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in compliance with a</w:t>
      </w:r>
      <w:r w:rsidR="00007422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 </w:t>
      </w:r>
      <w:r w:rsidR="0079343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change of the</w:t>
      </w:r>
      <w:r w:rsidR="00007422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 </w:t>
      </w:r>
      <w:r w:rsidR="0079343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methodology for</w:t>
      </w:r>
      <w:r w:rsidR="00AA7B0E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classification of businesses of the</w:t>
      </w:r>
      <w:r w:rsidR="00007422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 ESA </w:t>
      </w:r>
      <w:r w:rsidR="00AA7B0E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2010 classification</w:t>
      </w:r>
      <w:r w:rsidR="004E566F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.</w:t>
      </w:r>
      <w:r w:rsidR="00DD1C9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Therefore,</w:t>
      </w:r>
      <w:r w:rsidR="00ED682C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since </w:t>
      </w:r>
      <w:r w:rsidR="001C7DF4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2016,</w:t>
      </w:r>
      <w:r w:rsidR="00DD1C9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data in Tables</w:t>
      </w:r>
      <w:r w:rsidR="001C7DF4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</w:t>
      </w:r>
      <w:r w:rsidR="001C7DF4" w:rsidRPr="00C005A6">
        <w:rPr>
          <w:rFonts w:ascii="Arial" w:hAnsi="Arial" w:cs="Arial"/>
          <w:b/>
          <w:i/>
          <w:iCs/>
          <w:color w:val="auto"/>
          <w:sz w:val="18"/>
          <w:szCs w:val="22"/>
          <w:lang w:val="en-GB"/>
        </w:rPr>
        <w:t>12-8</w:t>
      </w:r>
      <w:r w:rsidR="001C7DF4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to </w:t>
      </w:r>
      <w:r w:rsidR="001C7DF4" w:rsidRPr="00C005A6">
        <w:rPr>
          <w:rFonts w:ascii="Arial" w:hAnsi="Arial" w:cs="Arial"/>
          <w:b/>
          <w:i/>
          <w:iCs/>
          <w:color w:val="auto"/>
          <w:sz w:val="18"/>
          <w:szCs w:val="22"/>
          <w:lang w:val="en-GB"/>
        </w:rPr>
        <w:t>12-11</w:t>
      </w:r>
      <w:r w:rsidR="001C7DF4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, </w:t>
      </w:r>
      <w:r w:rsidR="001C7DF4" w:rsidRPr="00C005A6">
        <w:rPr>
          <w:rFonts w:ascii="Arial" w:hAnsi="Arial" w:cs="Arial"/>
          <w:b/>
          <w:i/>
          <w:iCs/>
          <w:color w:val="auto"/>
          <w:sz w:val="18"/>
          <w:szCs w:val="22"/>
          <w:lang w:val="en-GB"/>
        </w:rPr>
        <w:t>12-14</w:t>
      </w:r>
      <w:r w:rsidR="001C7DF4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, and </w:t>
      </w:r>
      <w:r w:rsidR="001C7DF4" w:rsidRPr="00C005A6">
        <w:rPr>
          <w:rFonts w:ascii="Arial" w:hAnsi="Arial" w:cs="Arial"/>
          <w:b/>
          <w:i/>
          <w:iCs/>
          <w:color w:val="auto"/>
          <w:sz w:val="18"/>
          <w:szCs w:val="22"/>
          <w:lang w:val="en-GB"/>
        </w:rPr>
        <w:t>12-15</w:t>
      </w:r>
      <w:r w:rsidR="00DD1C9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are </w:t>
      </w:r>
      <w:r w:rsidR="001C7DF4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in</w:t>
      </w:r>
      <w:r w:rsidR="00DD1C9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comparable </w:t>
      </w:r>
      <w:r w:rsidR="001C7DF4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to</w:t>
      </w:r>
      <w:r w:rsidR="00DD1C97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those </w:t>
      </w:r>
      <w:r w:rsidR="001C7DF4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>of</w:t>
      </w:r>
      <w:r w:rsidR="00007422" w:rsidRPr="00C005A6">
        <w:rPr>
          <w:rFonts w:ascii="Arial" w:hAnsi="Arial" w:cs="Arial"/>
          <w:i/>
          <w:iCs/>
          <w:color w:val="auto"/>
          <w:sz w:val="18"/>
          <w:szCs w:val="22"/>
          <w:lang w:val="en-GB"/>
        </w:rPr>
        <w:t xml:space="preserve"> previous years.</w:t>
      </w:r>
    </w:p>
    <w:p w14:paraId="3E916D1C" w14:textId="7881B0B5" w:rsidR="003407B9" w:rsidRDefault="003407B9" w:rsidP="0034152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22"/>
          <w:lang w:val="en-GB"/>
        </w:rPr>
      </w:pPr>
    </w:p>
    <w:p w14:paraId="22650CBD" w14:textId="77777777" w:rsidR="00C005A6" w:rsidRPr="00C005A6" w:rsidRDefault="00C005A6" w:rsidP="0034152F">
      <w:pPr>
        <w:pStyle w:val="Normlnweb"/>
        <w:tabs>
          <w:tab w:val="left" w:pos="0"/>
        </w:tabs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22"/>
          <w:lang w:val="en-GB"/>
        </w:rPr>
      </w:pPr>
    </w:p>
    <w:p w14:paraId="4AE47C49" w14:textId="77777777" w:rsidR="003407B9" w:rsidRPr="00C005A6" w:rsidRDefault="00E01306" w:rsidP="00C7706A">
      <w:pPr>
        <w:jc w:val="center"/>
        <w:rPr>
          <w:rFonts w:ascii="Arial" w:hAnsi="Arial" w:cs="Arial"/>
          <w:i/>
          <w:iCs/>
          <w:color w:val="0071BC"/>
          <w:sz w:val="20"/>
          <w:szCs w:val="22"/>
        </w:rPr>
      </w:pPr>
      <w:r w:rsidRPr="00C005A6">
        <w:rPr>
          <w:rFonts w:ascii="Arial" w:hAnsi="Arial" w:cs="Arial"/>
          <w:i/>
          <w:iCs/>
          <w:color w:val="0071BC"/>
          <w:sz w:val="20"/>
          <w:szCs w:val="22"/>
        </w:rPr>
        <w:t>*          *          *</w:t>
      </w:r>
    </w:p>
    <w:p w14:paraId="3A80CFC4" w14:textId="77777777" w:rsidR="003407B9" w:rsidRPr="00C005A6" w:rsidRDefault="003407B9" w:rsidP="0034152F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AAF6479" w14:textId="77777777" w:rsidR="003407B9" w:rsidRPr="00C005A6" w:rsidRDefault="003407B9" w:rsidP="0034152F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35AE60BB" w14:textId="77777777" w:rsidR="003407B9" w:rsidRPr="00C005A6" w:rsidRDefault="00E01306" w:rsidP="0034152F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18"/>
          <w:szCs w:val="18"/>
          <w:lang w:val="en-GB"/>
        </w:rPr>
      </w:pPr>
      <w:r w:rsidRPr="00C005A6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Further </w:t>
      </w:r>
      <w:r w:rsidR="002C6BDB" w:rsidRPr="00C005A6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information </w:t>
      </w:r>
      <w:r w:rsidRPr="00C005A6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can be found on the web</w:t>
      </w:r>
      <w:r w:rsidR="00917361" w:rsidRPr="00C005A6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site</w:t>
      </w:r>
      <w:r w:rsidRPr="00C005A6">
        <w:rPr>
          <w:rFonts w:ascii="Arial" w:hAnsi="Arial" w:cs="Arial"/>
          <w:i/>
          <w:iCs/>
          <w:color w:val="auto"/>
          <w:sz w:val="18"/>
          <w:szCs w:val="18"/>
          <w:lang w:val="en-GB"/>
        </w:rPr>
        <w:t xml:space="preserve"> of t</w:t>
      </w:r>
      <w:r w:rsidR="00DC177E" w:rsidRPr="00C005A6">
        <w:rPr>
          <w:rFonts w:ascii="Arial" w:hAnsi="Arial" w:cs="Arial"/>
          <w:i/>
          <w:iCs/>
          <w:color w:val="auto"/>
          <w:sz w:val="18"/>
          <w:szCs w:val="18"/>
          <w:lang w:val="en-GB"/>
        </w:rPr>
        <w:t>he Czech Statistical Office at:</w:t>
      </w:r>
    </w:p>
    <w:p w14:paraId="7DC1B9A0" w14:textId="5451726C" w:rsidR="00942D1D" w:rsidRPr="00C005A6" w:rsidRDefault="00942D1D" w:rsidP="0034152F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18"/>
          <w:szCs w:val="18"/>
          <w:lang w:val="en-GB"/>
        </w:rPr>
      </w:pPr>
      <w:r w:rsidRPr="00C005A6">
        <w:rPr>
          <w:rFonts w:ascii="Arial" w:hAnsi="Arial" w:cs="Arial"/>
          <w:color w:val="auto"/>
          <w:sz w:val="18"/>
          <w:szCs w:val="18"/>
        </w:rPr>
        <w:t>–</w:t>
      </w:r>
      <w:r w:rsidRPr="00C005A6">
        <w:rPr>
          <w:rFonts w:ascii="Arial" w:hAnsi="Arial" w:cs="Arial"/>
          <w:color w:val="auto"/>
          <w:sz w:val="18"/>
          <w:szCs w:val="18"/>
          <w:lang w:val="en-GB"/>
        </w:rPr>
        <w:t> </w:t>
      </w:r>
      <w:hyperlink r:id="rId4" w:history="1">
        <w:r w:rsidR="001119D3" w:rsidRPr="00C005A6">
          <w:rPr>
            <w:rStyle w:val="Hypertextovodkaz"/>
            <w:rFonts w:ascii="Arial" w:hAnsi="Arial" w:cs="Arial"/>
            <w:sz w:val="18"/>
            <w:szCs w:val="18"/>
            <w:lang w:val="en-GB"/>
          </w:rPr>
          <w:t>www.czso.cz/csu/czso/organizational-statistics</w:t>
        </w:r>
      </w:hyperlink>
    </w:p>
    <w:sectPr w:rsidR="00942D1D" w:rsidRPr="00C005A6" w:rsidSect="0034152F">
      <w:pgSz w:w="11907" w:h="16840" w:code="9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CD"/>
    <w:rsid w:val="00006BB7"/>
    <w:rsid w:val="00007422"/>
    <w:rsid w:val="00010DC3"/>
    <w:rsid w:val="000122A5"/>
    <w:rsid w:val="000355D0"/>
    <w:rsid w:val="000452C4"/>
    <w:rsid w:val="00056F32"/>
    <w:rsid w:val="000662DF"/>
    <w:rsid w:val="000822A3"/>
    <w:rsid w:val="00083EAE"/>
    <w:rsid w:val="00084675"/>
    <w:rsid w:val="00086EBB"/>
    <w:rsid w:val="00087A0C"/>
    <w:rsid w:val="000922E5"/>
    <w:rsid w:val="0009361B"/>
    <w:rsid w:val="000A2DC0"/>
    <w:rsid w:val="000B2607"/>
    <w:rsid w:val="000C4234"/>
    <w:rsid w:val="000D08F9"/>
    <w:rsid w:val="000D31D3"/>
    <w:rsid w:val="000E19C9"/>
    <w:rsid w:val="000E220E"/>
    <w:rsid w:val="000E5758"/>
    <w:rsid w:val="000E603F"/>
    <w:rsid w:val="000E70BA"/>
    <w:rsid w:val="000F07F2"/>
    <w:rsid w:val="000F46E2"/>
    <w:rsid w:val="001119D3"/>
    <w:rsid w:val="00114952"/>
    <w:rsid w:val="00114C3D"/>
    <w:rsid w:val="001234D0"/>
    <w:rsid w:val="00136FFF"/>
    <w:rsid w:val="0014244B"/>
    <w:rsid w:val="00142C7E"/>
    <w:rsid w:val="00152A6E"/>
    <w:rsid w:val="00154E7D"/>
    <w:rsid w:val="0015660D"/>
    <w:rsid w:val="00162CB6"/>
    <w:rsid w:val="0017041F"/>
    <w:rsid w:val="00187065"/>
    <w:rsid w:val="0019453C"/>
    <w:rsid w:val="001A19F1"/>
    <w:rsid w:val="001A5293"/>
    <w:rsid w:val="001A6AA9"/>
    <w:rsid w:val="001B0F77"/>
    <w:rsid w:val="001B15B7"/>
    <w:rsid w:val="001B5A60"/>
    <w:rsid w:val="001C26A2"/>
    <w:rsid w:val="001C7DF4"/>
    <w:rsid w:val="001C7EF4"/>
    <w:rsid w:val="001E1B4E"/>
    <w:rsid w:val="001E2BCD"/>
    <w:rsid w:val="001E49AD"/>
    <w:rsid w:val="001E54F0"/>
    <w:rsid w:val="001F44E7"/>
    <w:rsid w:val="00204942"/>
    <w:rsid w:val="00210D5A"/>
    <w:rsid w:val="00226465"/>
    <w:rsid w:val="0023431B"/>
    <w:rsid w:val="00243FBC"/>
    <w:rsid w:val="00271467"/>
    <w:rsid w:val="002719ED"/>
    <w:rsid w:val="002739CE"/>
    <w:rsid w:val="00276441"/>
    <w:rsid w:val="00280FA9"/>
    <w:rsid w:val="00284D60"/>
    <w:rsid w:val="002902FF"/>
    <w:rsid w:val="002A04DE"/>
    <w:rsid w:val="002A4D2B"/>
    <w:rsid w:val="002A4FDD"/>
    <w:rsid w:val="002A5771"/>
    <w:rsid w:val="002A5EFA"/>
    <w:rsid w:val="002B1B4D"/>
    <w:rsid w:val="002C6757"/>
    <w:rsid w:val="002C6BDB"/>
    <w:rsid w:val="002D429B"/>
    <w:rsid w:val="002E0812"/>
    <w:rsid w:val="002E4304"/>
    <w:rsid w:val="002E4BD4"/>
    <w:rsid w:val="002F0B3F"/>
    <w:rsid w:val="002F4578"/>
    <w:rsid w:val="002F7F36"/>
    <w:rsid w:val="0030244A"/>
    <w:rsid w:val="00303854"/>
    <w:rsid w:val="00303D53"/>
    <w:rsid w:val="00305C04"/>
    <w:rsid w:val="003261CD"/>
    <w:rsid w:val="003267FC"/>
    <w:rsid w:val="00331C47"/>
    <w:rsid w:val="003407B9"/>
    <w:rsid w:val="00340F1A"/>
    <w:rsid w:val="0034152F"/>
    <w:rsid w:val="00342C0B"/>
    <w:rsid w:val="00345158"/>
    <w:rsid w:val="00356595"/>
    <w:rsid w:val="003617EF"/>
    <w:rsid w:val="003668FF"/>
    <w:rsid w:val="00381CF5"/>
    <w:rsid w:val="0038394A"/>
    <w:rsid w:val="00385D8E"/>
    <w:rsid w:val="003A1245"/>
    <w:rsid w:val="003A2156"/>
    <w:rsid w:val="003A2FD1"/>
    <w:rsid w:val="003A4060"/>
    <w:rsid w:val="003B7301"/>
    <w:rsid w:val="003C31D1"/>
    <w:rsid w:val="003E1AF2"/>
    <w:rsid w:val="003E522A"/>
    <w:rsid w:val="003F0431"/>
    <w:rsid w:val="003F1F13"/>
    <w:rsid w:val="003F5614"/>
    <w:rsid w:val="004063E9"/>
    <w:rsid w:val="00422331"/>
    <w:rsid w:val="00426F4C"/>
    <w:rsid w:val="004315FB"/>
    <w:rsid w:val="0043461A"/>
    <w:rsid w:val="00435B73"/>
    <w:rsid w:val="00435E87"/>
    <w:rsid w:val="004577F8"/>
    <w:rsid w:val="00460474"/>
    <w:rsid w:val="004641FE"/>
    <w:rsid w:val="00472769"/>
    <w:rsid w:val="00480959"/>
    <w:rsid w:val="00482ECB"/>
    <w:rsid w:val="00483336"/>
    <w:rsid w:val="00484ABF"/>
    <w:rsid w:val="00486F63"/>
    <w:rsid w:val="0049478C"/>
    <w:rsid w:val="004B3B19"/>
    <w:rsid w:val="004B51DF"/>
    <w:rsid w:val="004C41EB"/>
    <w:rsid w:val="004D3E06"/>
    <w:rsid w:val="004D481F"/>
    <w:rsid w:val="004D6FF7"/>
    <w:rsid w:val="004E2604"/>
    <w:rsid w:val="004E566F"/>
    <w:rsid w:val="004E5FF1"/>
    <w:rsid w:val="004F2D81"/>
    <w:rsid w:val="004F41EA"/>
    <w:rsid w:val="004F7DC2"/>
    <w:rsid w:val="00502E7B"/>
    <w:rsid w:val="00505101"/>
    <w:rsid w:val="00510CE1"/>
    <w:rsid w:val="00510FFF"/>
    <w:rsid w:val="00513906"/>
    <w:rsid w:val="005264F9"/>
    <w:rsid w:val="005319A2"/>
    <w:rsid w:val="00541841"/>
    <w:rsid w:val="00554F19"/>
    <w:rsid w:val="00556D5D"/>
    <w:rsid w:val="00575256"/>
    <w:rsid w:val="005B12B3"/>
    <w:rsid w:val="005B3907"/>
    <w:rsid w:val="005B768F"/>
    <w:rsid w:val="005F3271"/>
    <w:rsid w:val="00613089"/>
    <w:rsid w:val="00613161"/>
    <w:rsid w:val="00626F44"/>
    <w:rsid w:val="0064477D"/>
    <w:rsid w:val="00645793"/>
    <w:rsid w:val="006602FA"/>
    <w:rsid w:val="00675C19"/>
    <w:rsid w:val="00680368"/>
    <w:rsid w:val="006827A4"/>
    <w:rsid w:val="006828DC"/>
    <w:rsid w:val="00684B91"/>
    <w:rsid w:val="006857E6"/>
    <w:rsid w:val="00691BA4"/>
    <w:rsid w:val="00694893"/>
    <w:rsid w:val="00697BD1"/>
    <w:rsid w:val="006A3803"/>
    <w:rsid w:val="006B17E9"/>
    <w:rsid w:val="006B3B14"/>
    <w:rsid w:val="006D12D6"/>
    <w:rsid w:val="006D3479"/>
    <w:rsid w:val="006D6282"/>
    <w:rsid w:val="006F2589"/>
    <w:rsid w:val="00701D47"/>
    <w:rsid w:val="00704C82"/>
    <w:rsid w:val="0071397B"/>
    <w:rsid w:val="00717A78"/>
    <w:rsid w:val="00717EED"/>
    <w:rsid w:val="0073191C"/>
    <w:rsid w:val="00731C3F"/>
    <w:rsid w:val="0073416E"/>
    <w:rsid w:val="007474A5"/>
    <w:rsid w:val="00751A4D"/>
    <w:rsid w:val="00752F72"/>
    <w:rsid w:val="00753DB2"/>
    <w:rsid w:val="0076189B"/>
    <w:rsid w:val="00764BC1"/>
    <w:rsid w:val="007807CA"/>
    <w:rsid w:val="00782001"/>
    <w:rsid w:val="007929F8"/>
    <w:rsid w:val="007929FC"/>
    <w:rsid w:val="00793437"/>
    <w:rsid w:val="007A0A76"/>
    <w:rsid w:val="007A20B0"/>
    <w:rsid w:val="007A21BF"/>
    <w:rsid w:val="007B7C6B"/>
    <w:rsid w:val="007C73B3"/>
    <w:rsid w:val="007D7DF0"/>
    <w:rsid w:val="007E7090"/>
    <w:rsid w:val="00804583"/>
    <w:rsid w:val="00807C51"/>
    <w:rsid w:val="00811DDB"/>
    <w:rsid w:val="00821023"/>
    <w:rsid w:val="00821E80"/>
    <w:rsid w:val="008272AD"/>
    <w:rsid w:val="00840BE8"/>
    <w:rsid w:val="00847899"/>
    <w:rsid w:val="008515EC"/>
    <w:rsid w:val="00852DF7"/>
    <w:rsid w:val="0085384E"/>
    <w:rsid w:val="008539C7"/>
    <w:rsid w:val="00853E87"/>
    <w:rsid w:val="00863CFD"/>
    <w:rsid w:val="0089640A"/>
    <w:rsid w:val="008979C9"/>
    <w:rsid w:val="008C3BB4"/>
    <w:rsid w:val="008C4473"/>
    <w:rsid w:val="008D6BDB"/>
    <w:rsid w:val="008E7D3D"/>
    <w:rsid w:val="008F4839"/>
    <w:rsid w:val="00903578"/>
    <w:rsid w:val="00907171"/>
    <w:rsid w:val="00907A0A"/>
    <w:rsid w:val="00917361"/>
    <w:rsid w:val="0093145A"/>
    <w:rsid w:val="00931D43"/>
    <w:rsid w:val="009323FD"/>
    <w:rsid w:val="00942D1D"/>
    <w:rsid w:val="0095499C"/>
    <w:rsid w:val="0095651D"/>
    <w:rsid w:val="00956B6F"/>
    <w:rsid w:val="00966517"/>
    <w:rsid w:val="00971B35"/>
    <w:rsid w:val="00975638"/>
    <w:rsid w:val="009777D5"/>
    <w:rsid w:val="009860BF"/>
    <w:rsid w:val="00990F17"/>
    <w:rsid w:val="009A0561"/>
    <w:rsid w:val="009C13A8"/>
    <w:rsid w:val="009C1765"/>
    <w:rsid w:val="009C2978"/>
    <w:rsid w:val="009E2E03"/>
    <w:rsid w:val="009E7505"/>
    <w:rsid w:val="009F35AF"/>
    <w:rsid w:val="009F6A64"/>
    <w:rsid w:val="009F7A66"/>
    <w:rsid w:val="009F7BE9"/>
    <w:rsid w:val="00A10DDC"/>
    <w:rsid w:val="00A13698"/>
    <w:rsid w:val="00A146DE"/>
    <w:rsid w:val="00A14B14"/>
    <w:rsid w:val="00A14EAF"/>
    <w:rsid w:val="00A170C3"/>
    <w:rsid w:val="00A313E6"/>
    <w:rsid w:val="00A314DF"/>
    <w:rsid w:val="00A372E6"/>
    <w:rsid w:val="00A44E44"/>
    <w:rsid w:val="00A6007C"/>
    <w:rsid w:val="00A634EB"/>
    <w:rsid w:val="00A63735"/>
    <w:rsid w:val="00A8176A"/>
    <w:rsid w:val="00A82E3A"/>
    <w:rsid w:val="00A83145"/>
    <w:rsid w:val="00A860A5"/>
    <w:rsid w:val="00A97F50"/>
    <w:rsid w:val="00AA05F9"/>
    <w:rsid w:val="00AA44B7"/>
    <w:rsid w:val="00AA6AD6"/>
    <w:rsid w:val="00AA6B4F"/>
    <w:rsid w:val="00AA722A"/>
    <w:rsid w:val="00AA7B0E"/>
    <w:rsid w:val="00AB189A"/>
    <w:rsid w:val="00AC38A6"/>
    <w:rsid w:val="00AC569D"/>
    <w:rsid w:val="00AC610C"/>
    <w:rsid w:val="00AD6117"/>
    <w:rsid w:val="00AD65DA"/>
    <w:rsid w:val="00AE2D29"/>
    <w:rsid w:val="00AF1FA0"/>
    <w:rsid w:val="00AF49DC"/>
    <w:rsid w:val="00AF4DCC"/>
    <w:rsid w:val="00B048D2"/>
    <w:rsid w:val="00B04EA8"/>
    <w:rsid w:val="00B33320"/>
    <w:rsid w:val="00B335BC"/>
    <w:rsid w:val="00B3637C"/>
    <w:rsid w:val="00B3656B"/>
    <w:rsid w:val="00B44A14"/>
    <w:rsid w:val="00B4564A"/>
    <w:rsid w:val="00B51847"/>
    <w:rsid w:val="00B76545"/>
    <w:rsid w:val="00B76FA0"/>
    <w:rsid w:val="00B80500"/>
    <w:rsid w:val="00B84800"/>
    <w:rsid w:val="00B902E5"/>
    <w:rsid w:val="00BA0776"/>
    <w:rsid w:val="00BB325D"/>
    <w:rsid w:val="00BB3B3C"/>
    <w:rsid w:val="00BB5608"/>
    <w:rsid w:val="00BC2FB9"/>
    <w:rsid w:val="00BC46B7"/>
    <w:rsid w:val="00BD4F00"/>
    <w:rsid w:val="00BD5DCF"/>
    <w:rsid w:val="00BD6604"/>
    <w:rsid w:val="00BE19C1"/>
    <w:rsid w:val="00BE6F17"/>
    <w:rsid w:val="00BF2F1A"/>
    <w:rsid w:val="00C005A6"/>
    <w:rsid w:val="00C04219"/>
    <w:rsid w:val="00C133FC"/>
    <w:rsid w:val="00C20C59"/>
    <w:rsid w:val="00C20C93"/>
    <w:rsid w:val="00C23D7A"/>
    <w:rsid w:val="00C24954"/>
    <w:rsid w:val="00C456CF"/>
    <w:rsid w:val="00C71F15"/>
    <w:rsid w:val="00C76E01"/>
    <w:rsid w:val="00C7706A"/>
    <w:rsid w:val="00C81D8D"/>
    <w:rsid w:val="00C8383A"/>
    <w:rsid w:val="00C906BA"/>
    <w:rsid w:val="00C91922"/>
    <w:rsid w:val="00CA57FF"/>
    <w:rsid w:val="00CC4D2B"/>
    <w:rsid w:val="00CC73E0"/>
    <w:rsid w:val="00CC7713"/>
    <w:rsid w:val="00CD275B"/>
    <w:rsid w:val="00CE2612"/>
    <w:rsid w:val="00CE4213"/>
    <w:rsid w:val="00CF3997"/>
    <w:rsid w:val="00D0385C"/>
    <w:rsid w:val="00D15B1B"/>
    <w:rsid w:val="00D21685"/>
    <w:rsid w:val="00D243F9"/>
    <w:rsid w:val="00D2785B"/>
    <w:rsid w:val="00D3305E"/>
    <w:rsid w:val="00D347BE"/>
    <w:rsid w:val="00D40B08"/>
    <w:rsid w:val="00D41A03"/>
    <w:rsid w:val="00D433E8"/>
    <w:rsid w:val="00D46073"/>
    <w:rsid w:val="00D4637D"/>
    <w:rsid w:val="00D51A76"/>
    <w:rsid w:val="00D64DCA"/>
    <w:rsid w:val="00D929E6"/>
    <w:rsid w:val="00D976F0"/>
    <w:rsid w:val="00DB52CE"/>
    <w:rsid w:val="00DC177E"/>
    <w:rsid w:val="00DC6268"/>
    <w:rsid w:val="00DD14F9"/>
    <w:rsid w:val="00DD1C97"/>
    <w:rsid w:val="00DD2A57"/>
    <w:rsid w:val="00DD5566"/>
    <w:rsid w:val="00DD7C90"/>
    <w:rsid w:val="00DE0632"/>
    <w:rsid w:val="00DF58E8"/>
    <w:rsid w:val="00E00685"/>
    <w:rsid w:val="00E01306"/>
    <w:rsid w:val="00E01C44"/>
    <w:rsid w:val="00E0634E"/>
    <w:rsid w:val="00E117BF"/>
    <w:rsid w:val="00E1446D"/>
    <w:rsid w:val="00E170C2"/>
    <w:rsid w:val="00E246F6"/>
    <w:rsid w:val="00E25AF4"/>
    <w:rsid w:val="00E3208A"/>
    <w:rsid w:val="00E43188"/>
    <w:rsid w:val="00E53288"/>
    <w:rsid w:val="00E6426D"/>
    <w:rsid w:val="00E67B2E"/>
    <w:rsid w:val="00E714B9"/>
    <w:rsid w:val="00E8392A"/>
    <w:rsid w:val="00EB3179"/>
    <w:rsid w:val="00EC3B52"/>
    <w:rsid w:val="00EC56C0"/>
    <w:rsid w:val="00ED19D0"/>
    <w:rsid w:val="00ED5161"/>
    <w:rsid w:val="00ED682C"/>
    <w:rsid w:val="00ED6988"/>
    <w:rsid w:val="00EE665C"/>
    <w:rsid w:val="00EE6BB8"/>
    <w:rsid w:val="00EE6F91"/>
    <w:rsid w:val="00EF0C6C"/>
    <w:rsid w:val="00F0497C"/>
    <w:rsid w:val="00F0614D"/>
    <w:rsid w:val="00F13581"/>
    <w:rsid w:val="00F1385B"/>
    <w:rsid w:val="00F13B57"/>
    <w:rsid w:val="00F3062E"/>
    <w:rsid w:val="00F30EF4"/>
    <w:rsid w:val="00F37BB9"/>
    <w:rsid w:val="00F40830"/>
    <w:rsid w:val="00F4304A"/>
    <w:rsid w:val="00F43550"/>
    <w:rsid w:val="00F5279F"/>
    <w:rsid w:val="00F55269"/>
    <w:rsid w:val="00F57910"/>
    <w:rsid w:val="00F62485"/>
    <w:rsid w:val="00F65612"/>
    <w:rsid w:val="00F778A0"/>
    <w:rsid w:val="00F92D7A"/>
    <w:rsid w:val="00F92E35"/>
    <w:rsid w:val="00F935E4"/>
    <w:rsid w:val="00F97B48"/>
    <w:rsid w:val="00FA3912"/>
    <w:rsid w:val="00FC780C"/>
    <w:rsid w:val="00FC7ACE"/>
    <w:rsid w:val="00FD058F"/>
    <w:rsid w:val="00FD17E3"/>
    <w:rsid w:val="00FD3A88"/>
    <w:rsid w:val="00FD41CB"/>
    <w:rsid w:val="00FD45F3"/>
    <w:rsid w:val="00FE3F72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5624D"/>
  <w15:docId w15:val="{EA4C8996-3653-4DEA-BC52-3EDF4880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282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D628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uiPriority w:val="99"/>
    <w:unhideWhenUsed/>
    <w:rsid w:val="00CE2612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71397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4E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34EB"/>
    <w:rPr>
      <w:rFonts w:ascii="Tahoma" w:hAnsi="Tahoma" w:cs="Tahoma"/>
      <w:sz w:val="16"/>
      <w:szCs w:val="16"/>
      <w:lang w:val="en-GB"/>
    </w:rPr>
  </w:style>
  <w:style w:type="character" w:styleId="Zdraznn">
    <w:name w:val="Emphasis"/>
    <w:uiPriority w:val="20"/>
    <w:qFormat/>
    <w:rsid w:val="00BF2F1A"/>
    <w:rPr>
      <w:i/>
      <w:iCs/>
    </w:rPr>
  </w:style>
  <w:style w:type="paragraph" w:styleId="Zkladntext">
    <w:name w:val="Body Text"/>
    <w:basedOn w:val="Normln"/>
    <w:link w:val="ZkladntextChar"/>
    <w:semiHidden/>
    <w:rsid w:val="005B768F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5B768F"/>
    <w:rPr>
      <w:rFonts w:ascii="Times New Roman CE obyèejné" w:hAnsi="Times New Roman CE obyèejné"/>
    </w:rPr>
  </w:style>
  <w:style w:type="character" w:styleId="Odkaznakoment">
    <w:name w:val="annotation reference"/>
    <w:basedOn w:val="Standardnpsmoodstavce"/>
    <w:uiPriority w:val="99"/>
    <w:semiHidden/>
    <w:unhideWhenUsed/>
    <w:rsid w:val="000F46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F46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F46E2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46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46E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so.cz/csu/czso/organizational-statisti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854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 on the organizational structure of the national economy are compiled from information kept in the Business Register (BR)</vt:lpstr>
    </vt:vector>
  </TitlesOfParts>
  <Company>csu</Company>
  <LinksUpToDate>false</LinksUpToDate>
  <CharactersWithSpaces>5883</CharactersWithSpaces>
  <SharedDoc>false</SharedDoc>
  <HLinks>
    <vt:vector size="6" baseType="variant">
      <vt:variant>
        <vt:i4>5046395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http://www.czso.cz/eng/redakce.nsf/i/business_register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 ORGANISATIONAL STRUCTURE OF THE NATIONAL ECONOMY, Methodological notes, Statistical Yearbook of the CR 2023</dc:title>
  <dc:creator>Czech Statistical Office</dc:creator>
  <cp:lastModifiedBy>Zadák Rostislav</cp:lastModifiedBy>
  <cp:revision>141</cp:revision>
  <cp:lastPrinted>2019-04-15T11:34:00Z</cp:lastPrinted>
  <dcterms:created xsi:type="dcterms:W3CDTF">2023-05-02T11:13:00Z</dcterms:created>
  <dcterms:modified xsi:type="dcterms:W3CDTF">2023-11-09T14:01:00Z</dcterms:modified>
</cp:coreProperties>
</file>