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CEC7E" w14:textId="1FF640A8" w:rsidR="006E01C1" w:rsidRDefault="00CA52DC" w:rsidP="00214BE3">
      <w:pPr>
        <w:pStyle w:val="Nadpis1"/>
        <w:spacing w:after="240"/>
      </w:pPr>
      <w:r>
        <w:t>8</w:t>
      </w:r>
      <w:r w:rsidR="006E01C1" w:rsidRPr="00E44CF3">
        <w:t xml:space="preserve">. </w:t>
      </w:r>
      <w:r w:rsidR="000958D9">
        <w:t>Dlouhodobý vývoj</w:t>
      </w:r>
    </w:p>
    <w:p w14:paraId="537FE874" w14:textId="571F3BBB" w:rsidR="00703A5F" w:rsidRDefault="0030634A" w:rsidP="004B25D4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 w:rsidRPr="004B25D4">
        <w:rPr>
          <w:rFonts w:ascii="Arial" w:eastAsia="Times New Roman" w:hAnsi="Arial" w:cs="Arial"/>
          <w:lang w:eastAsia="cs-CZ"/>
        </w:rPr>
        <w:t xml:space="preserve">Kapitola Dlouhodobý vývoj má poskytnout stručný pohled na vývoj hlavního města Prahy od roku 1980 do roku 2021. </w:t>
      </w:r>
      <w:r w:rsidR="004B25D4">
        <w:rPr>
          <w:rFonts w:ascii="Arial" w:eastAsia="Times New Roman" w:hAnsi="Arial" w:cs="Arial"/>
          <w:lang w:eastAsia="cs-CZ"/>
        </w:rPr>
        <w:t xml:space="preserve">K poslední územní změně ve vymezení hlavního města došlo v roce </w:t>
      </w:r>
      <w:r w:rsidRPr="004B25D4">
        <w:rPr>
          <w:rFonts w:ascii="Arial" w:eastAsia="Times New Roman" w:hAnsi="Arial" w:cs="Arial"/>
          <w:lang w:eastAsia="cs-CZ"/>
        </w:rPr>
        <w:t>1974, kdy došlo k</w:t>
      </w:r>
      <w:r w:rsidR="004B25D4">
        <w:rPr>
          <w:rFonts w:ascii="Arial" w:eastAsia="Times New Roman" w:hAnsi="Arial" w:cs="Arial"/>
          <w:lang w:eastAsia="cs-CZ"/>
        </w:rPr>
        <w:t>e</w:t>
      </w:r>
      <w:r w:rsidRPr="004B25D4">
        <w:rPr>
          <w:rFonts w:ascii="Arial" w:eastAsia="Times New Roman" w:hAnsi="Arial" w:cs="Arial"/>
          <w:lang w:eastAsia="cs-CZ"/>
        </w:rPr>
        <w:t> sloučení malých sousedních obcí s území</w:t>
      </w:r>
      <w:r w:rsidR="004B25D4">
        <w:rPr>
          <w:rFonts w:ascii="Arial" w:eastAsia="Times New Roman" w:hAnsi="Arial" w:cs="Arial"/>
          <w:lang w:eastAsia="cs-CZ"/>
        </w:rPr>
        <w:t>m</w:t>
      </w:r>
      <w:r w:rsidRPr="004B25D4">
        <w:rPr>
          <w:rFonts w:ascii="Arial" w:eastAsia="Times New Roman" w:hAnsi="Arial" w:cs="Arial"/>
          <w:lang w:eastAsia="cs-CZ"/>
        </w:rPr>
        <w:t xml:space="preserve"> tehdejšího hlavního města. Rozloha se tak zvětšila z 296,3 km</w:t>
      </w:r>
      <w:r w:rsidRPr="004B25D4">
        <w:rPr>
          <w:rFonts w:ascii="Arial" w:eastAsia="Times New Roman" w:hAnsi="Arial" w:cs="Arial"/>
          <w:vertAlign w:val="superscript"/>
          <w:lang w:eastAsia="cs-CZ"/>
        </w:rPr>
        <w:t>2</w:t>
      </w:r>
      <w:r w:rsidRPr="004B25D4">
        <w:rPr>
          <w:rFonts w:ascii="Arial" w:eastAsia="Times New Roman" w:hAnsi="Arial" w:cs="Arial"/>
          <w:lang w:eastAsia="cs-CZ"/>
        </w:rPr>
        <w:t xml:space="preserve"> v roce 1973 na 496,1 km</w:t>
      </w:r>
      <w:r w:rsidRPr="004B25D4">
        <w:rPr>
          <w:rFonts w:ascii="Arial" w:eastAsia="Times New Roman" w:hAnsi="Arial" w:cs="Arial"/>
          <w:vertAlign w:val="superscript"/>
          <w:lang w:eastAsia="cs-CZ"/>
        </w:rPr>
        <w:t>2</w:t>
      </w:r>
      <w:r w:rsidRPr="004B25D4">
        <w:rPr>
          <w:rFonts w:ascii="Arial" w:eastAsia="Times New Roman" w:hAnsi="Arial" w:cs="Arial"/>
          <w:lang w:eastAsia="cs-CZ"/>
        </w:rPr>
        <w:t xml:space="preserve"> v roce 1974. V období, které zde popisujeme, t</w:t>
      </w:r>
      <w:r w:rsidR="00703A5F">
        <w:rPr>
          <w:rFonts w:ascii="Arial" w:eastAsia="Times New Roman" w:hAnsi="Arial" w:cs="Arial"/>
          <w:lang w:eastAsia="cs-CZ"/>
        </w:rPr>
        <w:t>edy od roku 1980 do roku 2021</w:t>
      </w:r>
      <w:r w:rsidRPr="004B25D4">
        <w:rPr>
          <w:rFonts w:ascii="Arial" w:eastAsia="Times New Roman" w:hAnsi="Arial" w:cs="Arial"/>
          <w:lang w:eastAsia="cs-CZ"/>
        </w:rPr>
        <w:t xml:space="preserve"> již </w:t>
      </w:r>
      <w:r w:rsidR="00703A5F">
        <w:rPr>
          <w:rFonts w:ascii="Arial" w:eastAsia="Times New Roman" w:hAnsi="Arial" w:cs="Arial"/>
          <w:lang w:eastAsia="cs-CZ"/>
        </w:rPr>
        <w:t xml:space="preserve">k </w:t>
      </w:r>
      <w:r w:rsidR="00E372D7">
        <w:rPr>
          <w:rFonts w:ascii="Arial" w:eastAsia="Times New Roman" w:hAnsi="Arial" w:cs="Arial"/>
          <w:lang w:eastAsia="cs-CZ"/>
        </w:rPr>
        <w:t>dalšímu</w:t>
      </w:r>
      <w:r w:rsidR="00703A5F">
        <w:rPr>
          <w:rFonts w:ascii="Arial" w:eastAsia="Times New Roman" w:hAnsi="Arial" w:cs="Arial"/>
          <w:lang w:eastAsia="cs-CZ"/>
        </w:rPr>
        <w:t xml:space="preserve"> rozšíření Prahy nedošlo</w:t>
      </w:r>
      <w:r w:rsidRPr="004B25D4">
        <w:rPr>
          <w:rFonts w:ascii="Arial" w:eastAsia="Times New Roman" w:hAnsi="Arial" w:cs="Arial"/>
          <w:lang w:eastAsia="cs-CZ"/>
        </w:rPr>
        <w:t xml:space="preserve">. Území Prahy je tedy po celou dobu srovnání </w:t>
      </w:r>
      <w:r w:rsidR="00703A5F">
        <w:rPr>
          <w:rFonts w:ascii="Arial" w:eastAsia="Times New Roman" w:hAnsi="Arial" w:cs="Arial"/>
          <w:lang w:eastAsia="cs-CZ"/>
        </w:rPr>
        <w:t xml:space="preserve">údajů ze Sčítání 1980 až 2021 </w:t>
      </w:r>
      <w:r w:rsidRPr="004B25D4">
        <w:rPr>
          <w:rFonts w:ascii="Arial" w:eastAsia="Times New Roman" w:hAnsi="Arial" w:cs="Arial"/>
          <w:lang w:eastAsia="cs-CZ"/>
        </w:rPr>
        <w:t xml:space="preserve">stejné. </w:t>
      </w:r>
    </w:p>
    <w:p w14:paraId="580A28FC" w14:textId="2DB46E45" w:rsidR="000958D9" w:rsidRDefault="0030634A" w:rsidP="004B25D4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 w:rsidRPr="004B25D4">
        <w:rPr>
          <w:rFonts w:ascii="Arial" w:eastAsia="Times New Roman" w:hAnsi="Arial" w:cs="Arial"/>
          <w:lang w:eastAsia="cs-CZ"/>
        </w:rPr>
        <w:t>Určitá omezení přináší srovnání z hlediska metodiky. V čase se měnil jak obsah sčítání, tak náplň někt</w:t>
      </w:r>
      <w:r w:rsidR="004B25D4">
        <w:rPr>
          <w:rFonts w:ascii="Arial" w:eastAsia="Times New Roman" w:hAnsi="Arial" w:cs="Arial"/>
          <w:lang w:eastAsia="cs-CZ"/>
        </w:rPr>
        <w:t>erých ukazatelů. V</w:t>
      </w:r>
      <w:r w:rsidRPr="004B25D4">
        <w:rPr>
          <w:rFonts w:ascii="Arial" w:eastAsia="Times New Roman" w:hAnsi="Arial" w:cs="Arial"/>
          <w:lang w:eastAsia="cs-CZ"/>
        </w:rPr>
        <w:t> roce 1980 se ve sčítacích formulářích podrobně zjišťovalo vybavení bytových domácností předměty dlouhodobé potřeby</w:t>
      </w:r>
      <w:r w:rsidR="004B25D4">
        <w:rPr>
          <w:rFonts w:ascii="Arial" w:eastAsia="Times New Roman" w:hAnsi="Arial" w:cs="Arial"/>
          <w:lang w:eastAsia="cs-CZ"/>
        </w:rPr>
        <w:t>, v roce 1991 došlo k obnovení zjišťování náboženské víry. V roce 2011 byla ve sčítacím formuláři otázka na</w:t>
      </w:r>
      <w:r w:rsidRPr="004B25D4">
        <w:rPr>
          <w:rFonts w:ascii="Arial" w:eastAsia="Times New Roman" w:hAnsi="Arial" w:cs="Arial"/>
          <w:lang w:eastAsia="cs-CZ"/>
        </w:rPr>
        <w:t xml:space="preserve"> připojení domácností k</w:t>
      </w:r>
      <w:r w:rsidR="004D2DAE" w:rsidRPr="004B25D4">
        <w:rPr>
          <w:rFonts w:ascii="Arial" w:eastAsia="Times New Roman" w:hAnsi="Arial" w:cs="Arial"/>
          <w:lang w:eastAsia="cs-CZ"/>
        </w:rPr>
        <w:t> </w:t>
      </w:r>
      <w:r w:rsidRPr="004B25D4">
        <w:rPr>
          <w:rFonts w:ascii="Arial" w:eastAsia="Times New Roman" w:hAnsi="Arial" w:cs="Arial"/>
          <w:lang w:eastAsia="cs-CZ"/>
        </w:rPr>
        <w:t>internetu</w:t>
      </w:r>
      <w:r w:rsidR="004D2DAE" w:rsidRPr="004B25D4">
        <w:rPr>
          <w:rFonts w:ascii="Arial" w:eastAsia="Times New Roman" w:hAnsi="Arial" w:cs="Arial"/>
          <w:lang w:eastAsia="cs-CZ"/>
        </w:rPr>
        <w:t>, ale v roce 2021 již nikoliv. Nejzásadnější změnou, která však ovlivnila srovnatelnost údajů od roku 1980, je zavedení konceptu obvyklého pobytu při zpracování sčítání. V letech sčítání 1980 až 2001 s</w:t>
      </w:r>
      <w:r w:rsidR="00703A5F">
        <w:rPr>
          <w:rFonts w:ascii="Arial" w:eastAsia="Times New Roman" w:hAnsi="Arial" w:cs="Arial"/>
          <w:lang w:eastAsia="cs-CZ"/>
        </w:rPr>
        <w:t>e osoby do sčítacích formulářů</w:t>
      </w:r>
      <w:r w:rsidR="004D2DAE" w:rsidRPr="004B25D4">
        <w:rPr>
          <w:rFonts w:ascii="Arial" w:eastAsia="Times New Roman" w:hAnsi="Arial" w:cs="Arial"/>
          <w:lang w:eastAsia="cs-CZ"/>
        </w:rPr>
        <w:t xml:space="preserve"> zapisovaly podle místa svého trvalého pobytu. Od roku 2011 byl pro zpracování údajů ze sčítání použit koncept tzv. „obvyklého bydliště“. </w:t>
      </w:r>
      <w:r w:rsidR="004B25D4">
        <w:rPr>
          <w:rFonts w:ascii="Arial" w:eastAsia="Times New Roman" w:hAnsi="Arial" w:cs="Arial"/>
          <w:lang w:eastAsia="cs-CZ"/>
        </w:rPr>
        <w:t xml:space="preserve">To znamená, že osoby své bydliště měly napsat v tom místě, kde obvykle bydlí. Koncept obvyklého bydliště představuje místo bydliště jako místo, kde </w:t>
      </w:r>
      <w:r w:rsidR="004B25D4" w:rsidRPr="004B25D4">
        <w:rPr>
          <w:rFonts w:ascii="Arial" w:eastAsia="Times New Roman" w:hAnsi="Arial" w:cs="Arial"/>
          <w:lang w:eastAsia="cs-CZ"/>
        </w:rPr>
        <w:t>osoba převážně pobývá, tráví dobu svého každodenního odpočinku bez ohledu na dočasnou nepřítomnost z důvodu rekreace, návštěv, pracovních cest, pobytu ve zdravotnickém zařízení apod. a kde je členem konkrétní domácnosti.</w:t>
      </w:r>
    </w:p>
    <w:p w14:paraId="00079E23" w14:textId="3BC7A8A0" w:rsidR="004B25D4" w:rsidRPr="004B25D4" w:rsidRDefault="004B25D4" w:rsidP="004B25D4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Koncept obvyklého pobytu pak stejně jako koncept trvalého pobytu ve sčítáních do roku 2001 má vliv na všechny da</w:t>
      </w:r>
      <w:r w:rsidR="00703A5F">
        <w:rPr>
          <w:rFonts w:ascii="Arial" w:eastAsia="Times New Roman" w:hAnsi="Arial" w:cs="Arial"/>
          <w:lang w:eastAsia="cs-CZ"/>
        </w:rPr>
        <w:t>lší návazné charakteristiky. Tedy</w:t>
      </w:r>
      <w:r>
        <w:rPr>
          <w:rFonts w:ascii="Arial" w:eastAsia="Times New Roman" w:hAnsi="Arial" w:cs="Arial"/>
          <w:lang w:eastAsia="cs-CZ"/>
        </w:rPr>
        <w:t xml:space="preserve"> nejen </w:t>
      </w:r>
      <w:r w:rsidR="00703A5F">
        <w:rPr>
          <w:rFonts w:ascii="Arial" w:eastAsia="Times New Roman" w:hAnsi="Arial" w:cs="Arial"/>
          <w:lang w:eastAsia="cs-CZ"/>
        </w:rPr>
        <w:t>na údaje o struktuře</w:t>
      </w:r>
      <w:r>
        <w:rPr>
          <w:rFonts w:ascii="Arial" w:eastAsia="Times New Roman" w:hAnsi="Arial" w:cs="Arial"/>
          <w:lang w:eastAsia="cs-CZ"/>
        </w:rPr>
        <w:t xml:space="preserve"> obyvatelstva, ale také </w:t>
      </w:r>
      <w:r w:rsidR="00703A5F">
        <w:rPr>
          <w:rFonts w:ascii="Arial" w:eastAsia="Times New Roman" w:hAnsi="Arial" w:cs="Arial"/>
          <w:lang w:eastAsia="cs-CZ"/>
        </w:rPr>
        <w:t>na údaje o obydlených domech, bytech</w:t>
      </w:r>
      <w:r>
        <w:rPr>
          <w:rFonts w:ascii="Arial" w:eastAsia="Times New Roman" w:hAnsi="Arial" w:cs="Arial"/>
          <w:lang w:eastAsia="cs-CZ"/>
        </w:rPr>
        <w:t xml:space="preserve"> (trvale vers</w:t>
      </w:r>
      <w:r w:rsidR="00703A5F">
        <w:rPr>
          <w:rFonts w:ascii="Arial" w:eastAsia="Times New Roman" w:hAnsi="Arial" w:cs="Arial"/>
          <w:lang w:eastAsia="cs-CZ"/>
        </w:rPr>
        <w:t>us obvykle obydlené), domácnostech</w:t>
      </w:r>
      <w:r>
        <w:rPr>
          <w:rFonts w:ascii="Arial" w:eastAsia="Times New Roman" w:hAnsi="Arial" w:cs="Arial"/>
          <w:lang w:eastAsia="cs-CZ"/>
        </w:rPr>
        <w:t xml:space="preserve"> (místo, kde domácnost skutečně, t</w:t>
      </w:r>
      <w:r w:rsidR="00703A5F">
        <w:rPr>
          <w:rFonts w:ascii="Arial" w:eastAsia="Times New Roman" w:hAnsi="Arial" w:cs="Arial"/>
          <w:lang w:eastAsia="cs-CZ"/>
        </w:rPr>
        <w:t>j. obvykle hospodaří) a dojížďce</w:t>
      </w:r>
      <w:r>
        <w:rPr>
          <w:rFonts w:ascii="Arial" w:eastAsia="Times New Roman" w:hAnsi="Arial" w:cs="Arial"/>
          <w:lang w:eastAsia="cs-CZ"/>
        </w:rPr>
        <w:t>. To je třeba vzít na zřetel při posuzování údajů z dlouhodobého hlediska.</w:t>
      </w:r>
    </w:p>
    <w:p w14:paraId="5E427F58" w14:textId="77777777" w:rsidR="000958D9" w:rsidRPr="000958D9" w:rsidRDefault="000958D9" w:rsidP="000958D9">
      <w:pPr>
        <w:rPr>
          <w:rFonts w:ascii="Arial" w:hAnsi="Arial" w:cs="Arial"/>
          <w:lang w:eastAsia="cs-CZ"/>
        </w:rPr>
      </w:pPr>
    </w:p>
    <w:p w14:paraId="153234DA" w14:textId="040E9C16" w:rsidR="000958D9" w:rsidRDefault="000958D9" w:rsidP="00D93899">
      <w:pPr>
        <w:spacing w:after="240"/>
        <w:rPr>
          <w:rFonts w:ascii="Arial" w:eastAsia="MS Gothic" w:hAnsi="Arial"/>
          <w:b/>
          <w:bCs/>
          <w:color w:val="BC091B"/>
          <w:sz w:val="28"/>
          <w:szCs w:val="26"/>
          <w:lang w:eastAsia="cs-CZ"/>
        </w:rPr>
      </w:pPr>
      <w:r w:rsidRPr="000958D9">
        <w:rPr>
          <w:rFonts w:ascii="Arial" w:eastAsia="MS Gothic" w:hAnsi="Arial"/>
          <w:b/>
          <w:bCs/>
          <w:color w:val="BC091B"/>
          <w:sz w:val="28"/>
          <w:szCs w:val="26"/>
          <w:lang w:eastAsia="cs-CZ"/>
        </w:rPr>
        <w:t>8.1 Obyvatelstvo</w:t>
      </w:r>
    </w:p>
    <w:p w14:paraId="55DEAE7F" w14:textId="5A5D261A" w:rsidR="000958D9" w:rsidRDefault="003C6238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 w:rsidRPr="00653462">
        <w:rPr>
          <w:rFonts w:ascii="Arial" w:eastAsia="Times New Roman" w:hAnsi="Arial" w:cs="Arial"/>
          <w:lang w:eastAsia="cs-CZ"/>
        </w:rPr>
        <w:t>K 26.</w:t>
      </w:r>
      <w:r w:rsidR="00703A5F">
        <w:rPr>
          <w:rFonts w:ascii="Arial" w:eastAsia="Times New Roman" w:hAnsi="Arial" w:cs="Arial"/>
          <w:lang w:eastAsia="cs-CZ"/>
        </w:rPr>
        <w:t> </w:t>
      </w:r>
      <w:r w:rsidRPr="00653462">
        <w:rPr>
          <w:rFonts w:ascii="Arial" w:eastAsia="Times New Roman" w:hAnsi="Arial" w:cs="Arial"/>
          <w:lang w:eastAsia="cs-CZ"/>
        </w:rPr>
        <w:t xml:space="preserve">3. 2021 </w:t>
      </w:r>
      <w:r w:rsidR="00703A5F">
        <w:rPr>
          <w:rFonts w:ascii="Arial" w:eastAsia="Times New Roman" w:hAnsi="Arial" w:cs="Arial"/>
          <w:lang w:eastAsia="cs-CZ"/>
        </w:rPr>
        <w:t>bylo v Praze celkem 1 301 432</w:t>
      </w:r>
      <w:r w:rsidRPr="00653462">
        <w:rPr>
          <w:rFonts w:ascii="Arial" w:eastAsia="Times New Roman" w:hAnsi="Arial" w:cs="Arial"/>
          <w:lang w:eastAsia="cs-CZ"/>
        </w:rPr>
        <w:t xml:space="preserve"> obvykle bydlících obyvatel. To bylo o 2,6 % více než při minulém sčítání. V roce 1980</w:t>
      </w:r>
      <w:r w:rsidR="00653462" w:rsidRPr="00653462">
        <w:rPr>
          <w:rFonts w:ascii="Arial" w:eastAsia="Times New Roman" w:hAnsi="Arial" w:cs="Arial"/>
          <w:lang w:eastAsia="cs-CZ"/>
        </w:rPr>
        <w:t>, kdy byl zjišťován počet trvale bydlících osob,</w:t>
      </w:r>
      <w:r w:rsidRPr="00653462">
        <w:rPr>
          <w:rFonts w:ascii="Arial" w:eastAsia="Times New Roman" w:hAnsi="Arial" w:cs="Arial"/>
          <w:lang w:eastAsia="cs-CZ"/>
        </w:rPr>
        <w:t xml:space="preserve"> bylo v Praze 1 182 186 obyvatel</w:t>
      </w:r>
      <w:r w:rsidR="00653462" w:rsidRPr="00653462">
        <w:rPr>
          <w:rFonts w:ascii="Arial" w:eastAsia="Times New Roman" w:hAnsi="Arial" w:cs="Arial"/>
          <w:lang w:eastAsia="cs-CZ"/>
        </w:rPr>
        <w:t xml:space="preserve"> a v následujícím sčítání v roce 1991 o téměř 32 tisíc více (2,7 %). Od roku 1991 se již počet obyvatel snížil na 1 169 106 osob (o 45 tisíc, -3,7 %)</w:t>
      </w:r>
      <w:r w:rsidR="009D429B">
        <w:rPr>
          <w:rFonts w:ascii="Arial" w:eastAsia="Times New Roman" w:hAnsi="Arial" w:cs="Arial"/>
          <w:lang w:eastAsia="cs-CZ"/>
        </w:rPr>
        <w:t xml:space="preserve"> v roce 2001</w:t>
      </w:r>
      <w:r w:rsidR="00653462" w:rsidRPr="00653462">
        <w:rPr>
          <w:rFonts w:ascii="Arial" w:eastAsia="Times New Roman" w:hAnsi="Arial" w:cs="Arial"/>
          <w:lang w:eastAsia="cs-CZ"/>
        </w:rPr>
        <w:t xml:space="preserve">. Bylo to způsobeno </w:t>
      </w:r>
      <w:r w:rsidR="009E525A" w:rsidRPr="009E525A">
        <w:rPr>
          <w:rFonts w:ascii="Arial" w:eastAsia="Times New Roman" w:hAnsi="Arial" w:cs="Arial"/>
          <w:lang w:eastAsia="cs-CZ"/>
        </w:rPr>
        <w:t>n</w:t>
      </w:r>
      <w:r w:rsidR="00653462" w:rsidRPr="00653462">
        <w:rPr>
          <w:rFonts w:ascii="Arial" w:eastAsia="Times New Roman" w:hAnsi="Arial" w:cs="Arial"/>
          <w:lang w:eastAsia="cs-CZ"/>
        </w:rPr>
        <w:t>epříznivým vývojem přirozené měny, kdy v tomto období více osob zemřelo, než se narodilo,</w:t>
      </w:r>
      <w:r w:rsidR="009E525A">
        <w:rPr>
          <w:rFonts w:ascii="Arial" w:eastAsia="Times New Roman" w:hAnsi="Arial" w:cs="Arial"/>
          <w:lang w:eastAsia="cs-CZ"/>
        </w:rPr>
        <w:t xml:space="preserve"> a </w:t>
      </w:r>
      <w:r w:rsidR="00653462" w:rsidRPr="00653462">
        <w:rPr>
          <w:rFonts w:ascii="Arial" w:eastAsia="Times New Roman" w:hAnsi="Arial" w:cs="Arial"/>
          <w:lang w:eastAsia="cs-CZ"/>
        </w:rPr>
        <w:t>také počínajícím stěhováním osob z Prahy do jejího zázemí.</w:t>
      </w:r>
    </w:p>
    <w:p w14:paraId="0EFFD9E3" w14:textId="77777777" w:rsidR="005471BE" w:rsidRDefault="005471BE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1458D3DB" w14:textId="7781E2ED" w:rsidR="00703A5F" w:rsidRDefault="00703A5F" w:rsidP="00703A5F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Při pohledu na kratší období mezi dvěma sčítáními  2011 a 2021, kdy jsou </w:t>
      </w:r>
      <w:r w:rsidR="009D429B">
        <w:rPr>
          <w:rFonts w:ascii="Arial" w:eastAsia="Times New Roman" w:hAnsi="Arial" w:cs="Arial"/>
          <w:lang w:eastAsia="cs-CZ"/>
        </w:rPr>
        <w:t>k dispozici</w:t>
      </w:r>
      <w:r>
        <w:rPr>
          <w:rFonts w:ascii="Arial" w:eastAsia="Times New Roman" w:hAnsi="Arial" w:cs="Arial"/>
          <w:lang w:eastAsia="cs-CZ"/>
        </w:rPr>
        <w:t xml:space="preserve"> plně srovnatelné údaje o obvyklém bydlišti, obvykle obydlených bytech a domech, si můžeme všimnout, že nárůst počtu obyvatel se zdaleka netýkal všech krajů. U poloviny krajů došlo ke snížení počtu obyvatel a u dvou krajů došlo pouze k mírnému nárůstu počtu obyvatel (Jihočeský, Liberecký). Naopak výraznější růst nad nebo okolo 2 % se týkal Jihomoravského kraje, Prahy a Plzeňského kraje. Nejvyšší nárůst pak zaznamenal Středočeský kraj (téměř 10%).</w:t>
      </w:r>
    </w:p>
    <w:p w14:paraId="06B2CC6B" w14:textId="2EC427C4" w:rsidR="00703A5F" w:rsidRDefault="00703A5F">
      <w:p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 w:type="page"/>
      </w:r>
    </w:p>
    <w:p w14:paraId="4DEEA69A" w14:textId="7DD64437" w:rsidR="00C52F95" w:rsidRPr="00574A2C" w:rsidRDefault="00C52F95" w:rsidP="00653462">
      <w:pPr>
        <w:spacing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574A2C">
        <w:rPr>
          <w:rFonts w:ascii="Arial" w:eastAsia="Times New Roman" w:hAnsi="Arial" w:cs="Arial"/>
          <w:b/>
          <w:lang w:eastAsia="cs-CZ"/>
        </w:rPr>
        <w:lastRenderedPageBreak/>
        <w:t>Graf 8.1 Změna hodnot vybraných ukazatelů v krajích mezi roky 2011 a 2021</w:t>
      </w:r>
    </w:p>
    <w:p w14:paraId="1E73F6A0" w14:textId="3E0035B7" w:rsidR="00653462" w:rsidRDefault="00C52F95" w:rsidP="00703A5F">
      <w:pPr>
        <w:spacing w:after="240" w:line="288" w:lineRule="auto"/>
        <w:jc w:val="both"/>
        <w:rPr>
          <w:rFonts w:ascii="Arial" w:eastAsia="Times New Roman" w:hAnsi="Arial" w:cs="Arial"/>
          <w:lang w:eastAsia="cs-CZ"/>
        </w:rPr>
      </w:pPr>
      <w:r w:rsidRPr="00C52F95">
        <w:rPr>
          <w:rFonts w:ascii="Arial" w:eastAsia="Times New Roman" w:hAnsi="Arial" w:cs="Arial"/>
          <w:noProof/>
          <w:lang w:eastAsia="cs-CZ"/>
        </w:rPr>
        <w:drawing>
          <wp:inline distT="0" distB="0" distL="0" distR="0" wp14:anchorId="552DD10C" wp14:editId="45D9C329">
            <wp:extent cx="5759145" cy="277133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7"/>
                    <a:stretch/>
                  </pic:blipFill>
                  <pic:spPr bwMode="auto">
                    <a:xfrm>
                      <a:off x="0" y="0"/>
                      <a:ext cx="5759450" cy="277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02AC03" w14:textId="01AC3DB2" w:rsidR="00574A2C" w:rsidRDefault="00574A2C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Procentuální nárůst počtu </w:t>
      </w:r>
      <w:r w:rsidR="005701BD">
        <w:rPr>
          <w:rFonts w:ascii="Arial" w:eastAsia="Times New Roman" w:hAnsi="Arial" w:cs="Arial"/>
          <w:lang w:eastAsia="cs-CZ"/>
        </w:rPr>
        <w:t xml:space="preserve">obydlených </w:t>
      </w:r>
      <w:r>
        <w:rPr>
          <w:rFonts w:ascii="Arial" w:eastAsia="Times New Roman" w:hAnsi="Arial" w:cs="Arial"/>
          <w:lang w:eastAsia="cs-CZ"/>
        </w:rPr>
        <w:t xml:space="preserve">domů a bytů se týkal všech </w:t>
      </w:r>
      <w:r w:rsidR="00503137">
        <w:rPr>
          <w:rFonts w:ascii="Arial" w:eastAsia="Times New Roman" w:hAnsi="Arial" w:cs="Arial"/>
          <w:lang w:eastAsia="cs-CZ"/>
        </w:rPr>
        <w:t>krajů, i když</w:t>
      </w:r>
      <w:r w:rsidR="00796EC9">
        <w:rPr>
          <w:rFonts w:ascii="Arial" w:eastAsia="Times New Roman" w:hAnsi="Arial" w:cs="Arial"/>
          <w:lang w:eastAsia="cs-CZ"/>
        </w:rPr>
        <w:t xml:space="preserve"> se vyskytovaly</w:t>
      </w:r>
      <w:r>
        <w:rPr>
          <w:rFonts w:ascii="Arial" w:eastAsia="Times New Roman" w:hAnsi="Arial" w:cs="Arial"/>
          <w:lang w:eastAsia="cs-CZ"/>
        </w:rPr>
        <w:t xml:space="preserve"> kraje, které se svým vývojem vymykaly – například Praha a </w:t>
      </w:r>
      <w:r w:rsidR="005701BD">
        <w:rPr>
          <w:rFonts w:ascii="Arial" w:eastAsia="Times New Roman" w:hAnsi="Arial" w:cs="Arial"/>
          <w:lang w:eastAsia="cs-CZ"/>
        </w:rPr>
        <w:t>Středočeský kraj.</w:t>
      </w:r>
    </w:p>
    <w:p w14:paraId="584E2E6D" w14:textId="77777777" w:rsidR="00574A2C" w:rsidRPr="00653462" w:rsidRDefault="00574A2C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5CB93386" w14:textId="1568F1DC" w:rsidR="003C6238" w:rsidRPr="00653462" w:rsidRDefault="003C6238" w:rsidP="00653462">
      <w:pPr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proofErr w:type="spellStart"/>
      <w:r w:rsidRPr="00653462">
        <w:rPr>
          <w:rFonts w:ascii="Arial" w:eastAsia="Times New Roman" w:hAnsi="Arial" w:cs="Arial"/>
          <w:b/>
          <w:lang w:eastAsia="cs-CZ"/>
        </w:rPr>
        <w:t>Tab</w:t>
      </w:r>
      <w:proofErr w:type="spellEnd"/>
      <w:r w:rsidRPr="00653462">
        <w:rPr>
          <w:rFonts w:ascii="Arial" w:eastAsia="Times New Roman" w:hAnsi="Arial" w:cs="Arial"/>
          <w:b/>
          <w:lang w:eastAsia="cs-CZ"/>
        </w:rPr>
        <w:t xml:space="preserve"> 8.1</w:t>
      </w:r>
      <w:r w:rsidR="0004498E">
        <w:rPr>
          <w:rFonts w:ascii="Arial" w:eastAsia="Times New Roman" w:hAnsi="Arial" w:cs="Arial"/>
          <w:b/>
          <w:lang w:eastAsia="cs-CZ"/>
        </w:rPr>
        <w:t>.1</w:t>
      </w:r>
      <w:r w:rsidRPr="00653462">
        <w:rPr>
          <w:rFonts w:ascii="Arial" w:eastAsia="Times New Roman" w:hAnsi="Arial" w:cs="Arial"/>
          <w:b/>
          <w:lang w:eastAsia="cs-CZ"/>
        </w:rPr>
        <w:t xml:space="preserve"> Obyvatelstvo podle pohlaví a věku v hl. m. Praze (Sčítání 1980 až 2021)</w:t>
      </w:r>
    </w:p>
    <w:p w14:paraId="6D1246AB" w14:textId="04F19BF8" w:rsidR="003C6238" w:rsidRPr="00653462" w:rsidRDefault="003C6238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 w:rsidRPr="00653462">
        <w:rPr>
          <w:rFonts w:ascii="Arial" w:eastAsia="Times New Roman" w:hAnsi="Arial" w:cs="Arial"/>
          <w:noProof/>
          <w:lang w:eastAsia="cs-CZ"/>
        </w:rPr>
        <w:drawing>
          <wp:inline distT="0" distB="0" distL="0" distR="0" wp14:anchorId="7BD83406" wp14:editId="6D7A3935">
            <wp:extent cx="5759450" cy="2299518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9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93A5B" w14:textId="09936A50" w:rsidR="003C6238" w:rsidRDefault="003C6238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776242A5" w14:textId="7243531D" w:rsidR="00653462" w:rsidRDefault="00653462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Průměrný věk se od roku 1980 mírně, i když stále, zvyšuje. Ani kladný přirozený přírůstek a kladné migrační saldo především cizích státních příslušníků </w:t>
      </w:r>
      <w:r w:rsidR="00703A5F">
        <w:rPr>
          <w:rFonts w:ascii="Arial" w:eastAsia="Times New Roman" w:hAnsi="Arial" w:cs="Arial"/>
          <w:lang w:eastAsia="cs-CZ"/>
        </w:rPr>
        <w:t>růst průměrného věku nezvrátil</w:t>
      </w:r>
      <w:r>
        <w:rPr>
          <w:rFonts w:ascii="Arial" w:eastAsia="Times New Roman" w:hAnsi="Arial" w:cs="Arial"/>
          <w:lang w:eastAsia="cs-CZ"/>
        </w:rPr>
        <w:t>.</w:t>
      </w:r>
    </w:p>
    <w:p w14:paraId="4CFA1BCD" w14:textId="5CFC8555" w:rsidR="00653462" w:rsidRDefault="00653462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populaci Prahy </w:t>
      </w:r>
      <w:r w:rsidR="005306DC">
        <w:rPr>
          <w:rFonts w:ascii="Arial" w:eastAsia="Times New Roman" w:hAnsi="Arial" w:cs="Arial"/>
          <w:lang w:eastAsia="cs-CZ"/>
        </w:rPr>
        <w:t>byly v roce 2021</w:t>
      </w:r>
      <w:r>
        <w:rPr>
          <w:rFonts w:ascii="Arial" w:eastAsia="Times New Roman" w:hAnsi="Arial" w:cs="Arial"/>
          <w:lang w:eastAsia="cs-CZ"/>
        </w:rPr>
        <w:t xml:space="preserve"> dvě třetiny osob v produktivním věku (15-64 let), 15 % v dětském věku do 15 let a 18 % ve věku seniorském nad 65 let.</w:t>
      </w:r>
      <w:r w:rsidR="005306DC">
        <w:rPr>
          <w:rFonts w:ascii="Arial" w:eastAsia="Times New Roman" w:hAnsi="Arial" w:cs="Arial"/>
          <w:lang w:eastAsia="cs-CZ"/>
        </w:rPr>
        <w:t xml:space="preserve"> Mužská populace je mírně mladší než ženská část populace – mužů je více mezi osobami ve věku 0-14 a ve věku 15-64 let. Naopak v seniorském věku je žen o 44 % více než mužů.</w:t>
      </w:r>
    </w:p>
    <w:p w14:paraId="5E93EAA3" w14:textId="0A499CFB" w:rsidR="005306DC" w:rsidRDefault="005306DC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 dlouhodobého hlediska klesá </w:t>
      </w:r>
      <w:r w:rsidR="00006707">
        <w:rPr>
          <w:rFonts w:ascii="Arial" w:eastAsia="Times New Roman" w:hAnsi="Arial" w:cs="Arial"/>
          <w:lang w:eastAsia="cs-CZ"/>
        </w:rPr>
        <w:t>zastoupení dětí a od sčítání 199</w:t>
      </w:r>
      <w:r>
        <w:rPr>
          <w:rFonts w:ascii="Arial" w:eastAsia="Times New Roman" w:hAnsi="Arial" w:cs="Arial"/>
          <w:lang w:eastAsia="cs-CZ"/>
        </w:rPr>
        <w:t>1 roste zastoupení seniorů. Nejrychlejší je</w:t>
      </w:r>
      <w:r w:rsidR="00703A5F">
        <w:rPr>
          <w:rFonts w:ascii="Arial" w:eastAsia="Times New Roman" w:hAnsi="Arial" w:cs="Arial"/>
          <w:lang w:eastAsia="cs-CZ"/>
        </w:rPr>
        <w:t xml:space="preserve"> pokles zastoupení dětí. V</w:t>
      </w:r>
      <w:r>
        <w:rPr>
          <w:rFonts w:ascii="Arial" w:eastAsia="Times New Roman" w:hAnsi="Arial" w:cs="Arial"/>
          <w:lang w:eastAsia="cs-CZ"/>
        </w:rPr>
        <w:t> roce 1980 představovaly téměř 20 % obyvatel Prah</w:t>
      </w:r>
      <w:r w:rsidR="00703A5F">
        <w:rPr>
          <w:rFonts w:ascii="Arial" w:eastAsia="Times New Roman" w:hAnsi="Arial" w:cs="Arial"/>
          <w:lang w:eastAsia="cs-CZ"/>
        </w:rPr>
        <w:t xml:space="preserve">y a v posledním sčítání pak už jen </w:t>
      </w:r>
      <w:r>
        <w:rPr>
          <w:rFonts w:ascii="Arial" w:eastAsia="Times New Roman" w:hAnsi="Arial" w:cs="Arial"/>
          <w:lang w:eastAsia="cs-CZ"/>
        </w:rPr>
        <w:t>15 %</w:t>
      </w:r>
      <w:r w:rsidR="00703A5F">
        <w:rPr>
          <w:rFonts w:ascii="Arial" w:eastAsia="Times New Roman" w:hAnsi="Arial" w:cs="Arial"/>
          <w:lang w:eastAsia="cs-CZ"/>
        </w:rPr>
        <w:t xml:space="preserve"> obyvatel</w:t>
      </w:r>
      <w:r>
        <w:rPr>
          <w:rFonts w:ascii="Arial" w:eastAsia="Times New Roman" w:hAnsi="Arial" w:cs="Arial"/>
          <w:lang w:eastAsia="cs-CZ"/>
        </w:rPr>
        <w:t xml:space="preserve">. </w:t>
      </w:r>
      <w:r w:rsidR="00703A5F">
        <w:rPr>
          <w:rFonts w:ascii="Arial" w:eastAsia="Times New Roman" w:hAnsi="Arial" w:cs="Arial"/>
          <w:lang w:eastAsia="cs-CZ"/>
        </w:rPr>
        <w:t>Pro informaci,</w:t>
      </w:r>
      <w:r w:rsidR="00006707">
        <w:rPr>
          <w:rFonts w:ascii="Arial" w:eastAsia="Times New Roman" w:hAnsi="Arial" w:cs="Arial"/>
          <w:lang w:eastAsia="cs-CZ"/>
        </w:rPr>
        <w:t xml:space="preserve"> v roce 2011 byl podíl dětí ještě nižší (12 %). </w:t>
      </w:r>
      <w:r>
        <w:rPr>
          <w:rFonts w:ascii="Arial" w:eastAsia="Times New Roman" w:hAnsi="Arial" w:cs="Arial"/>
          <w:lang w:eastAsia="cs-CZ"/>
        </w:rPr>
        <w:t>U produktivní složky lze hovořit o kolísání – v roce 1980 měla téměř 64% zastoupení,</w:t>
      </w:r>
      <w:r w:rsidR="00703A5F">
        <w:rPr>
          <w:rFonts w:ascii="Arial" w:eastAsia="Times New Roman" w:hAnsi="Arial" w:cs="Arial"/>
          <w:lang w:eastAsia="cs-CZ"/>
        </w:rPr>
        <w:t xml:space="preserve"> v roce 2011 vůbec nejvyšší (72 </w:t>
      </w:r>
      <w:r>
        <w:rPr>
          <w:rFonts w:ascii="Arial" w:eastAsia="Times New Roman" w:hAnsi="Arial" w:cs="Arial"/>
          <w:lang w:eastAsia="cs-CZ"/>
        </w:rPr>
        <w:t>%) a v roce 2021 již došlo k poklesu jejího zastoupení na 66 %.</w:t>
      </w:r>
    </w:p>
    <w:p w14:paraId="2D40A82E" w14:textId="29B3E289" w:rsidR="00645A17" w:rsidRDefault="00645A17">
      <w:p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 w:type="page"/>
      </w:r>
    </w:p>
    <w:p w14:paraId="1B04A755" w14:textId="1085321A" w:rsidR="005701BD" w:rsidRDefault="005701BD" w:rsidP="005701BD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lang w:eastAsia="cs-CZ"/>
        </w:rPr>
        <w:t xml:space="preserve">Tendence </w:t>
      </w:r>
      <w:r w:rsidRPr="005471BE">
        <w:rPr>
          <w:rFonts w:ascii="Arial" w:eastAsia="Times New Roman" w:hAnsi="Arial" w:cs="Arial"/>
          <w:b/>
          <w:lang w:eastAsia="cs-CZ"/>
        </w:rPr>
        <w:t xml:space="preserve">vývoje </w:t>
      </w:r>
      <w:r w:rsidR="00703A5F" w:rsidRPr="005471BE">
        <w:rPr>
          <w:rFonts w:ascii="Arial" w:eastAsia="Times New Roman" w:hAnsi="Arial" w:cs="Arial"/>
          <w:b/>
          <w:lang w:eastAsia="cs-CZ"/>
        </w:rPr>
        <w:t xml:space="preserve">počtu </w:t>
      </w:r>
      <w:r w:rsidRPr="005471BE">
        <w:rPr>
          <w:rFonts w:ascii="Arial" w:eastAsia="Times New Roman" w:hAnsi="Arial" w:cs="Arial"/>
          <w:b/>
          <w:lang w:eastAsia="cs-CZ"/>
        </w:rPr>
        <w:t>obyvatel starších 15-ti let podle rodinného stavu</w:t>
      </w:r>
      <w:r>
        <w:rPr>
          <w:rFonts w:ascii="Arial" w:eastAsia="Times New Roman" w:hAnsi="Arial" w:cs="Arial"/>
          <w:lang w:eastAsia="cs-CZ"/>
        </w:rPr>
        <w:t xml:space="preserve"> jsou velmi jasné bez výkyvů. Z dlouhodobého hlediska došlo k výraznému zvýšení podílu svobodných osob a naopak snížení podílu ženatých mužů, vdaných žen a ovdovělých osob v populaci Prahy. Tato tendence je </w:t>
      </w:r>
      <w:r w:rsidR="00703A5F">
        <w:rPr>
          <w:rFonts w:ascii="Arial" w:eastAsia="Times New Roman" w:hAnsi="Arial" w:cs="Arial"/>
          <w:lang w:eastAsia="cs-CZ"/>
        </w:rPr>
        <w:t>pozorovatelná napříč regiony ČR</w:t>
      </w:r>
      <w:r>
        <w:rPr>
          <w:rFonts w:ascii="Arial" w:eastAsia="Times New Roman" w:hAnsi="Arial" w:cs="Arial"/>
          <w:lang w:eastAsia="cs-CZ"/>
        </w:rPr>
        <w:t xml:space="preserve">. </w:t>
      </w:r>
    </w:p>
    <w:p w14:paraId="7C935991" w14:textId="77777777" w:rsidR="005701BD" w:rsidRDefault="005701BD" w:rsidP="005701BD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16AD08A7" w14:textId="4F21A09A" w:rsidR="005701BD" w:rsidRDefault="005701BD" w:rsidP="005701BD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Od roku 1991 došlo v mužské populaci k výraznému zvýšení zastoupení svobodných mužů (zvýšení z 24 % v roce 1991 na 43 % v roce 2021). Téměř stejný vývoj, ale opačným směrem byl v populaci ženatých mužů – jejich podíl se naopak snížil </w:t>
      </w:r>
      <w:r w:rsidR="00503137">
        <w:rPr>
          <w:rFonts w:ascii="Arial" w:eastAsia="Times New Roman" w:hAnsi="Arial" w:cs="Arial"/>
          <w:lang w:eastAsia="cs-CZ"/>
        </w:rPr>
        <w:t>z</w:t>
      </w:r>
      <w:r>
        <w:rPr>
          <w:rFonts w:ascii="Arial" w:eastAsia="Times New Roman" w:hAnsi="Arial" w:cs="Arial"/>
          <w:lang w:eastAsia="cs-CZ"/>
        </w:rPr>
        <w:t xml:space="preserve"> 64 % v roce 1991 na 43 % v roce 2021. </w:t>
      </w:r>
      <w:r w:rsidR="00703A5F">
        <w:rPr>
          <w:rFonts w:ascii="Arial" w:eastAsia="Times New Roman" w:hAnsi="Arial" w:cs="Arial"/>
          <w:lang w:eastAsia="cs-CZ"/>
        </w:rPr>
        <w:t>Došlo tak k tomu, že ž</w:t>
      </w:r>
      <w:r>
        <w:rPr>
          <w:rFonts w:ascii="Arial" w:eastAsia="Times New Roman" w:hAnsi="Arial" w:cs="Arial"/>
          <w:lang w:eastAsia="cs-CZ"/>
        </w:rPr>
        <w:t xml:space="preserve">enatých </w:t>
      </w:r>
      <w:r w:rsidR="00703A5F">
        <w:rPr>
          <w:rFonts w:ascii="Arial" w:eastAsia="Times New Roman" w:hAnsi="Arial" w:cs="Arial"/>
          <w:lang w:eastAsia="cs-CZ"/>
        </w:rPr>
        <w:t>a svobodných mužů</w:t>
      </w:r>
      <w:r>
        <w:rPr>
          <w:rFonts w:ascii="Arial" w:eastAsia="Times New Roman" w:hAnsi="Arial" w:cs="Arial"/>
          <w:lang w:eastAsia="cs-CZ"/>
        </w:rPr>
        <w:t xml:space="preserve"> bylo v Praze k datu sčítání 2021 </w:t>
      </w:r>
      <w:r w:rsidR="00796EC9">
        <w:rPr>
          <w:rFonts w:ascii="Arial" w:eastAsia="Times New Roman" w:hAnsi="Arial" w:cs="Arial"/>
          <w:lang w:eastAsia="cs-CZ"/>
        </w:rPr>
        <w:t xml:space="preserve">téměř </w:t>
      </w:r>
      <w:r>
        <w:rPr>
          <w:rFonts w:ascii="Arial" w:eastAsia="Times New Roman" w:hAnsi="Arial" w:cs="Arial"/>
          <w:lang w:eastAsia="cs-CZ"/>
        </w:rPr>
        <w:t>stejně.</w:t>
      </w:r>
    </w:p>
    <w:p w14:paraId="74785E4F" w14:textId="77777777" w:rsidR="00703A5F" w:rsidRDefault="00703A5F" w:rsidP="005701BD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796AF69E" w14:textId="197D79BB" w:rsidR="00EF0DBE" w:rsidRDefault="00EF0DBE" w:rsidP="00703A5F">
      <w:pPr>
        <w:spacing w:after="120"/>
        <w:rPr>
          <w:rFonts w:ascii="Arial" w:eastAsia="Times New Roman" w:hAnsi="Arial" w:cs="Arial"/>
          <w:b/>
          <w:lang w:eastAsia="cs-CZ"/>
        </w:rPr>
      </w:pPr>
      <w:r w:rsidRPr="00EF0DBE">
        <w:rPr>
          <w:rFonts w:ascii="Arial" w:eastAsia="Times New Roman" w:hAnsi="Arial" w:cs="Arial"/>
          <w:b/>
          <w:lang w:eastAsia="cs-CZ"/>
        </w:rPr>
        <w:t>Tab. 8.</w:t>
      </w:r>
      <w:r w:rsidR="0004498E">
        <w:rPr>
          <w:rFonts w:ascii="Arial" w:eastAsia="Times New Roman" w:hAnsi="Arial" w:cs="Arial"/>
          <w:b/>
          <w:lang w:eastAsia="cs-CZ"/>
        </w:rPr>
        <w:t>1.</w:t>
      </w:r>
      <w:r w:rsidRPr="00EF0DBE">
        <w:rPr>
          <w:rFonts w:ascii="Arial" w:eastAsia="Times New Roman" w:hAnsi="Arial" w:cs="Arial"/>
          <w:b/>
          <w:lang w:eastAsia="cs-CZ"/>
        </w:rPr>
        <w:t>2 Obyvatelstvo ve věku 15 let a více podle pohlaví a rodinného stavu v hl. m. Praze (Sčítání 1980 až 2021)</w:t>
      </w:r>
    </w:p>
    <w:p w14:paraId="0E64B4D2" w14:textId="11959349" w:rsidR="00147599" w:rsidRPr="00EF0DBE" w:rsidRDefault="00147599" w:rsidP="00EF0DBE">
      <w:pPr>
        <w:spacing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147599">
        <w:rPr>
          <w:rFonts w:ascii="Arial" w:eastAsia="Times New Roman" w:hAnsi="Arial" w:cs="Arial"/>
          <w:b/>
          <w:noProof/>
          <w:lang w:eastAsia="cs-CZ"/>
        </w:rPr>
        <w:drawing>
          <wp:inline distT="0" distB="0" distL="0" distR="0" wp14:anchorId="7BFF7C36" wp14:editId="07D14D68">
            <wp:extent cx="5759450" cy="3006986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0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A4ADF" w14:textId="039332E7" w:rsidR="005306DC" w:rsidRDefault="005306DC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0F6D84C4" w14:textId="13E295E9" w:rsidR="00147599" w:rsidRDefault="00147599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 </w:t>
      </w:r>
      <w:r w:rsidR="00C52F95">
        <w:rPr>
          <w:rFonts w:ascii="Arial" w:eastAsia="Times New Roman" w:hAnsi="Arial" w:cs="Arial"/>
          <w:lang w:eastAsia="cs-CZ"/>
        </w:rPr>
        <w:t>žen měl vývoj počtu sezdaných a svobodných osob</w:t>
      </w:r>
      <w:r>
        <w:rPr>
          <w:rFonts w:ascii="Arial" w:eastAsia="Times New Roman" w:hAnsi="Arial" w:cs="Arial"/>
          <w:lang w:eastAsia="cs-CZ"/>
        </w:rPr>
        <w:t xml:space="preserve"> podobnou dynamiku. Od roku 1991 došlo ke zvýšení podílu svobod</w:t>
      </w:r>
      <w:r w:rsidR="00C52F95">
        <w:rPr>
          <w:rFonts w:ascii="Arial" w:eastAsia="Times New Roman" w:hAnsi="Arial" w:cs="Arial"/>
          <w:lang w:eastAsia="cs-CZ"/>
        </w:rPr>
        <w:t>ných žen mezi</w:t>
      </w:r>
      <w:r>
        <w:rPr>
          <w:rFonts w:ascii="Arial" w:eastAsia="Times New Roman" w:hAnsi="Arial" w:cs="Arial"/>
          <w:lang w:eastAsia="cs-CZ"/>
        </w:rPr>
        <w:t xml:space="preserve"> ženami </w:t>
      </w:r>
      <w:r w:rsidR="00C52F95">
        <w:rPr>
          <w:rFonts w:ascii="Arial" w:eastAsia="Times New Roman" w:hAnsi="Arial" w:cs="Arial"/>
          <w:lang w:eastAsia="cs-CZ"/>
        </w:rPr>
        <w:t xml:space="preserve">ve věku 15 a více let o 18 </w:t>
      </w:r>
      <w:r w:rsidR="00503137">
        <w:rPr>
          <w:rFonts w:ascii="Arial" w:eastAsia="Times New Roman" w:hAnsi="Arial" w:cs="Arial"/>
          <w:lang w:eastAsia="cs-CZ"/>
        </w:rPr>
        <w:t>p. b. (ze 17</w:t>
      </w:r>
      <w:r w:rsidR="00C52F95">
        <w:rPr>
          <w:rFonts w:ascii="Arial" w:eastAsia="Times New Roman" w:hAnsi="Arial" w:cs="Arial"/>
          <w:lang w:eastAsia="cs-CZ"/>
        </w:rPr>
        <w:t xml:space="preserve"> % na 34 %). U vdaných žen naopak došlo k poklesu z 55 % na 39 %. V pražské populaci žen je tak na rozdíl od mužů stále ještě větší podíl vdaných osob.  Shodně je v ženské a mužské populaci vidět dlouhodobá tendence zvyšování podílu rozvedených a snižování podílu ovdovělých osob. Svůj vliv na to může mít jak postupné snižování počtu osob vstupujících do manželství a tedy nižší podíl rozvedených v populaci a také zlepšování lékařské péče a snižování podílu ovdovělých, které se vyskytují především mezi staršími osobami.</w:t>
      </w:r>
    </w:p>
    <w:p w14:paraId="5B0F644A" w14:textId="77777777" w:rsidR="006C0EC7" w:rsidRDefault="006C0EC7" w:rsidP="006C0EC7">
      <w:pPr>
        <w:rPr>
          <w:rFonts w:ascii="Arial" w:eastAsia="Times New Roman" w:hAnsi="Arial" w:cs="Arial"/>
          <w:lang w:eastAsia="cs-CZ"/>
        </w:rPr>
      </w:pPr>
    </w:p>
    <w:p w14:paraId="6565606B" w14:textId="45DD997E" w:rsidR="006C0EC7" w:rsidRDefault="006C0EC7" w:rsidP="006C0EC7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Praha byla vždy regionem, kde se koncentrovalo obyvatelstvo s vyššími stupni vzdělání. V rozmezí 40 let, od Sčítání v roce 1980 do Sčítání roku 2021, došlo u osob ve věku 15 a více let </w:t>
      </w:r>
      <w:r w:rsidRPr="005471BE">
        <w:rPr>
          <w:rFonts w:ascii="Arial" w:eastAsia="Times New Roman" w:hAnsi="Arial" w:cs="Arial"/>
          <w:b/>
          <w:lang w:eastAsia="cs-CZ"/>
        </w:rPr>
        <w:t>k významným posunům ve vzdělanostní struktuře pražských obyvatel</w:t>
      </w:r>
      <w:r>
        <w:rPr>
          <w:rFonts w:ascii="Arial" w:eastAsia="Times New Roman" w:hAnsi="Arial" w:cs="Arial"/>
          <w:lang w:eastAsia="cs-CZ"/>
        </w:rPr>
        <w:t xml:space="preserve"> směrem k vyšším stupňům vzdělání. </w:t>
      </w:r>
    </w:p>
    <w:p w14:paraId="7C946EA3" w14:textId="61565854" w:rsidR="006C0EC7" w:rsidRDefault="006C0EC7">
      <w:p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 w:type="page"/>
      </w:r>
    </w:p>
    <w:p w14:paraId="02772CC6" w14:textId="10955BE3" w:rsidR="002A695B" w:rsidRDefault="00531583" w:rsidP="006C0EC7">
      <w:pPr>
        <w:rPr>
          <w:rFonts w:ascii="Arial" w:eastAsia="Times New Roman" w:hAnsi="Arial" w:cs="Arial"/>
          <w:b/>
          <w:lang w:eastAsia="cs-CZ"/>
        </w:rPr>
      </w:pPr>
      <w:r w:rsidRPr="00531583">
        <w:rPr>
          <w:rFonts w:ascii="Arial" w:eastAsia="Times New Roman" w:hAnsi="Arial" w:cs="Arial"/>
          <w:b/>
          <w:lang w:eastAsia="cs-CZ"/>
        </w:rPr>
        <w:t>Graf 8.2 Obyvatelstvo ve věku 15 let a více podle nejvyššího dosaženého vzdělání - Praha a ČR</w:t>
      </w:r>
    </w:p>
    <w:p w14:paraId="0FCBAF48" w14:textId="6AE62C90" w:rsidR="00531583" w:rsidRDefault="00531583" w:rsidP="00653462">
      <w:pPr>
        <w:spacing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531583">
        <w:rPr>
          <w:rFonts w:ascii="Arial" w:eastAsia="Times New Roman" w:hAnsi="Arial" w:cs="Arial"/>
          <w:b/>
          <w:noProof/>
          <w:lang w:eastAsia="cs-CZ"/>
        </w:rPr>
        <w:drawing>
          <wp:inline distT="0" distB="0" distL="0" distR="0" wp14:anchorId="5517BB18" wp14:editId="112BA1C4">
            <wp:extent cx="5759450" cy="278741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8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959F6" w14:textId="4A4D19FE" w:rsidR="00EB74D9" w:rsidRDefault="00EB74D9" w:rsidP="00531583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0AEB0722" w14:textId="0EF0572E" w:rsidR="00EB74D9" w:rsidRPr="00EB74D9" w:rsidRDefault="00EB74D9" w:rsidP="005471BE">
      <w:pPr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EB74D9">
        <w:rPr>
          <w:rFonts w:ascii="Arial" w:eastAsia="Times New Roman" w:hAnsi="Arial" w:cs="Arial"/>
          <w:b/>
          <w:lang w:eastAsia="cs-CZ"/>
        </w:rPr>
        <w:t>Tab. 8.</w:t>
      </w:r>
      <w:r w:rsidR="0004498E">
        <w:rPr>
          <w:rFonts w:ascii="Arial" w:eastAsia="Times New Roman" w:hAnsi="Arial" w:cs="Arial"/>
          <w:b/>
          <w:lang w:eastAsia="cs-CZ"/>
        </w:rPr>
        <w:t>1.</w:t>
      </w:r>
      <w:r w:rsidRPr="00EB74D9">
        <w:rPr>
          <w:rFonts w:ascii="Arial" w:eastAsia="Times New Roman" w:hAnsi="Arial" w:cs="Arial"/>
          <w:b/>
          <w:lang w:eastAsia="cs-CZ"/>
        </w:rPr>
        <w:t>3 Obyvatelstvo ve věku 15 let a více podle pohlaví a nejvyššího dosaženého vzdělání v hl. m. Praze (Sčítání 1980 až 2021)</w:t>
      </w:r>
    </w:p>
    <w:p w14:paraId="56FE548E" w14:textId="325799F3" w:rsidR="00EB74D9" w:rsidRDefault="00EB74D9" w:rsidP="00EB74D9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 w:rsidRPr="00EB74D9">
        <w:rPr>
          <w:rFonts w:ascii="Arial" w:eastAsia="Times New Roman" w:hAnsi="Arial" w:cs="Arial"/>
          <w:noProof/>
          <w:lang w:eastAsia="cs-CZ"/>
        </w:rPr>
        <w:drawing>
          <wp:inline distT="0" distB="0" distL="0" distR="0" wp14:anchorId="7A151245" wp14:editId="511600A7">
            <wp:extent cx="5759450" cy="437107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7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0915C" w14:textId="77777777" w:rsidR="00EB74D9" w:rsidRDefault="00EB74D9" w:rsidP="00EB74D9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05E74BFE" w14:textId="1E60AFF3" w:rsidR="00531583" w:rsidRDefault="00531583" w:rsidP="00531583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Podíl osob bez vzdělání byl ve všech letech sčítání zanedbatelný. Od roku 1980 došlo k mírnému zvýšení podílu těchto osob mezi obyvatelstvem ve věku 15 a více let (o 0,2 p. b.). Osoby se základním vzděláním včetně těch s neukon</w:t>
      </w:r>
      <w:r w:rsidR="00D20AC1">
        <w:rPr>
          <w:rFonts w:ascii="Arial" w:eastAsia="Times New Roman" w:hAnsi="Arial" w:cs="Arial"/>
          <w:lang w:eastAsia="cs-CZ"/>
        </w:rPr>
        <w:t>čeným bylo v roce 1980 celkem 31</w:t>
      </w:r>
      <w:r w:rsidR="005471BE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%, od té doby jejich zastoupení setrvale klesalo až k hodnotě 8,3 %. Pokles byl významný – o 22,7 p. b. Opačným směrem a téměř shodně vzrostl podíl vysokoškoláků. V roce 1980 jich bylo v populaci Prahy 12,3 %, v roce 2021 již 35,9 % a růst zastoupení tak byl </w:t>
      </w:r>
      <w:r w:rsidR="005471BE">
        <w:rPr>
          <w:rFonts w:ascii="Arial" w:eastAsia="Times New Roman" w:hAnsi="Arial" w:cs="Arial"/>
          <w:lang w:eastAsia="cs-CZ"/>
        </w:rPr>
        <w:t>o 23,5 p. b</w:t>
      </w:r>
      <w:r>
        <w:rPr>
          <w:rFonts w:ascii="Arial" w:eastAsia="Times New Roman" w:hAnsi="Arial" w:cs="Arial"/>
          <w:lang w:eastAsia="cs-CZ"/>
        </w:rPr>
        <w:t xml:space="preserve">. Podobným tempem, ale různými směry se pak ubíral podíl osob se středním vzděláním bez maturity a osob s maturitou. O 13,5 p. b. </w:t>
      </w:r>
      <w:proofErr w:type="gramStart"/>
      <w:r>
        <w:rPr>
          <w:rFonts w:ascii="Arial" w:eastAsia="Times New Roman" w:hAnsi="Arial" w:cs="Arial"/>
          <w:lang w:eastAsia="cs-CZ"/>
        </w:rPr>
        <w:t>poklesl</w:t>
      </w:r>
      <w:proofErr w:type="gramEnd"/>
      <w:r>
        <w:rPr>
          <w:rFonts w:ascii="Arial" w:eastAsia="Times New Roman" w:hAnsi="Arial" w:cs="Arial"/>
          <w:lang w:eastAsia="cs-CZ"/>
        </w:rPr>
        <w:t xml:space="preserve"> podíl osob se středním vzděláním bez maturity. Zahrnuti jsou do této skupiny také vyučené osoby. Naopak o 12,4 p. b. </w:t>
      </w:r>
      <w:proofErr w:type="gramStart"/>
      <w:r>
        <w:rPr>
          <w:rFonts w:ascii="Arial" w:eastAsia="Times New Roman" w:hAnsi="Arial" w:cs="Arial"/>
          <w:lang w:eastAsia="cs-CZ"/>
        </w:rPr>
        <w:t>vzrostlo</w:t>
      </w:r>
      <w:proofErr w:type="gramEnd"/>
      <w:r>
        <w:rPr>
          <w:rFonts w:ascii="Arial" w:eastAsia="Times New Roman" w:hAnsi="Arial" w:cs="Arial"/>
          <w:lang w:eastAsia="cs-CZ"/>
        </w:rPr>
        <w:t xml:space="preserve"> zastoupení osob se vzděláním středním ukončeným maturitou. </w:t>
      </w:r>
    </w:p>
    <w:p w14:paraId="7AE1E24F" w14:textId="46B3DE8B" w:rsidR="00531583" w:rsidRDefault="00531583" w:rsidP="00531583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7D6D5F6C" w14:textId="6E8C304B" w:rsidR="00531583" w:rsidRDefault="00042A9C" w:rsidP="00531583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Otázka na náboženskou víru </w:t>
      </w:r>
      <w:r w:rsidR="005471BE">
        <w:rPr>
          <w:rFonts w:ascii="Arial" w:eastAsia="Times New Roman" w:hAnsi="Arial" w:cs="Arial"/>
          <w:lang w:eastAsia="cs-CZ"/>
        </w:rPr>
        <w:t xml:space="preserve">nebyla </w:t>
      </w:r>
      <w:r>
        <w:rPr>
          <w:rFonts w:ascii="Arial" w:eastAsia="Times New Roman" w:hAnsi="Arial" w:cs="Arial"/>
          <w:lang w:eastAsia="cs-CZ"/>
        </w:rPr>
        <w:t>před rokem 198</w:t>
      </w:r>
      <w:r w:rsidR="005471BE">
        <w:rPr>
          <w:rFonts w:ascii="Arial" w:eastAsia="Times New Roman" w:hAnsi="Arial" w:cs="Arial"/>
          <w:lang w:eastAsia="cs-CZ"/>
        </w:rPr>
        <w:t>9 součástí sčítacích formulářů</w:t>
      </w:r>
      <w:r>
        <w:rPr>
          <w:rFonts w:ascii="Arial" w:eastAsia="Times New Roman" w:hAnsi="Arial" w:cs="Arial"/>
          <w:lang w:eastAsia="cs-CZ"/>
        </w:rPr>
        <w:t>. Opět se do obsahu Sčítání lidu dostala v roce 1991. Odpovědi na tuto otázku jsou dobrovolné, osoba v odpovědi deklaruje svůj postoj k víře. Z důvodu dobrovolnosti (dobrovolná byla a je ještě otázka na národnost) bývají otázky na náboženskou víru odpovězeny jen určitým podílem osob, výrazná část osob využije práva na otázku neodpovídat. V jednotlivých sčítáních se tak liší míra odpovědí na tuto otázku. V</w:t>
      </w:r>
      <w:r w:rsidR="00CC4E50">
        <w:rPr>
          <w:rFonts w:ascii="Arial" w:eastAsia="Times New Roman" w:hAnsi="Arial" w:cs="Arial"/>
          <w:lang w:eastAsia="cs-CZ"/>
        </w:rPr>
        <w:t xml:space="preserve"> roce 2001 neodpovědělo na tuto otázku jen 8,2 % osob, největší podíl nezjištěných odpovědí byl v roce 2011, kdy neodpovědělo 44,1 % osob. Struktura </w:t>
      </w:r>
      <w:r w:rsidR="005471BE">
        <w:rPr>
          <w:rFonts w:ascii="Arial" w:eastAsia="Times New Roman" w:hAnsi="Arial" w:cs="Arial"/>
          <w:lang w:eastAsia="cs-CZ"/>
        </w:rPr>
        <w:t xml:space="preserve">obyvatel podle náboženské víry </w:t>
      </w:r>
      <w:r w:rsidR="00CC4E50">
        <w:rPr>
          <w:rFonts w:ascii="Arial" w:eastAsia="Times New Roman" w:hAnsi="Arial" w:cs="Arial"/>
          <w:lang w:eastAsia="cs-CZ"/>
        </w:rPr>
        <w:t>j</w:t>
      </w:r>
      <w:r w:rsidR="005471BE">
        <w:rPr>
          <w:rFonts w:ascii="Arial" w:eastAsia="Times New Roman" w:hAnsi="Arial" w:cs="Arial"/>
          <w:lang w:eastAsia="cs-CZ"/>
        </w:rPr>
        <w:t>e</w:t>
      </w:r>
      <w:r w:rsidR="00CC4E50">
        <w:rPr>
          <w:rFonts w:ascii="Arial" w:eastAsia="Times New Roman" w:hAnsi="Arial" w:cs="Arial"/>
          <w:lang w:eastAsia="cs-CZ"/>
        </w:rPr>
        <w:t xml:space="preserve"> uvedena v následujícím grafu, kt</w:t>
      </w:r>
      <w:r w:rsidR="00B564F8">
        <w:rPr>
          <w:rFonts w:ascii="Arial" w:eastAsia="Times New Roman" w:hAnsi="Arial" w:cs="Arial"/>
          <w:lang w:eastAsia="cs-CZ"/>
        </w:rPr>
        <w:t>erý pracuje i s údajem „neuvede</w:t>
      </w:r>
      <w:r w:rsidR="00CC4E50">
        <w:rPr>
          <w:rFonts w:ascii="Arial" w:eastAsia="Times New Roman" w:hAnsi="Arial" w:cs="Arial"/>
          <w:lang w:eastAsia="cs-CZ"/>
        </w:rPr>
        <w:t>no“.</w:t>
      </w:r>
    </w:p>
    <w:p w14:paraId="5BB40991" w14:textId="77777777" w:rsidR="005471BE" w:rsidRDefault="005471BE" w:rsidP="00531583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01F90D45" w14:textId="7DEA5E18" w:rsidR="00CC4E50" w:rsidRPr="00CC4E50" w:rsidRDefault="00CC4E50" w:rsidP="00531583">
      <w:pPr>
        <w:spacing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CC4E50">
        <w:rPr>
          <w:rFonts w:ascii="Arial" w:eastAsia="Times New Roman" w:hAnsi="Arial" w:cs="Arial"/>
          <w:b/>
          <w:lang w:eastAsia="cs-CZ"/>
        </w:rPr>
        <w:t>Graf 8.3 Obyvatelstvo podle náboženské víry - Praha a ČR</w:t>
      </w:r>
    </w:p>
    <w:p w14:paraId="778CEE1D" w14:textId="6EB143F8" w:rsidR="00CC4E50" w:rsidRDefault="00CC4E50" w:rsidP="00531583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 w:rsidRPr="00CC4E50">
        <w:rPr>
          <w:rFonts w:ascii="Arial" w:eastAsia="Times New Roman" w:hAnsi="Arial" w:cs="Arial"/>
          <w:noProof/>
          <w:lang w:eastAsia="cs-CZ"/>
        </w:rPr>
        <w:drawing>
          <wp:inline distT="0" distB="0" distL="0" distR="0" wp14:anchorId="434E90E1" wp14:editId="44957588">
            <wp:extent cx="5759450" cy="2639421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3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87CE3" w14:textId="30CC302E" w:rsidR="00531583" w:rsidRDefault="00CC4E50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 w:rsidRPr="00CC4E50">
        <w:rPr>
          <w:rFonts w:ascii="Arial" w:eastAsia="Times New Roman" w:hAnsi="Arial" w:cs="Arial"/>
          <w:lang w:eastAsia="cs-CZ"/>
        </w:rPr>
        <w:t xml:space="preserve">Pokud se podíváme jen na obyvatelstvo, které vyjádřilo nějaký postoj k otázce na náboženskou víru, pak </w:t>
      </w:r>
      <w:r>
        <w:rPr>
          <w:rFonts w:ascii="Arial" w:eastAsia="Times New Roman" w:hAnsi="Arial" w:cs="Arial"/>
          <w:lang w:eastAsia="cs-CZ"/>
        </w:rPr>
        <w:t xml:space="preserve">v roce 1991 bylo věřících 41 % obyvatel z těch, kteří na otázku odpověděli, v roce </w:t>
      </w:r>
      <w:r w:rsidR="00771DE0">
        <w:rPr>
          <w:rFonts w:ascii="Arial" w:eastAsia="Times New Roman" w:hAnsi="Arial" w:cs="Arial"/>
          <w:lang w:eastAsia="cs-CZ"/>
        </w:rPr>
        <w:t>2011 to bylo 34 </w:t>
      </w:r>
      <w:r>
        <w:rPr>
          <w:rFonts w:ascii="Arial" w:eastAsia="Times New Roman" w:hAnsi="Arial" w:cs="Arial"/>
          <w:lang w:eastAsia="cs-CZ"/>
        </w:rPr>
        <w:t xml:space="preserve">% </w:t>
      </w:r>
      <w:r w:rsidR="00771DE0">
        <w:rPr>
          <w:rFonts w:ascii="Arial" w:eastAsia="Times New Roman" w:hAnsi="Arial" w:cs="Arial"/>
          <w:lang w:eastAsia="cs-CZ"/>
        </w:rPr>
        <w:t xml:space="preserve">a </w:t>
      </w:r>
      <w:r>
        <w:rPr>
          <w:rFonts w:ascii="Arial" w:eastAsia="Times New Roman" w:hAnsi="Arial" w:cs="Arial"/>
          <w:lang w:eastAsia="cs-CZ"/>
        </w:rPr>
        <w:t xml:space="preserve">v roce </w:t>
      </w:r>
      <w:r w:rsidR="00771DE0">
        <w:rPr>
          <w:rFonts w:ascii="Arial" w:eastAsia="Times New Roman" w:hAnsi="Arial" w:cs="Arial"/>
          <w:lang w:eastAsia="cs-CZ"/>
        </w:rPr>
        <w:t>2021</w:t>
      </w:r>
      <w:r>
        <w:rPr>
          <w:rFonts w:ascii="Arial" w:eastAsia="Times New Roman" w:hAnsi="Arial" w:cs="Arial"/>
          <w:lang w:eastAsia="cs-CZ"/>
        </w:rPr>
        <w:t xml:space="preserve"> se jednalo o 31 % věřících. Osob, které uvedly, že jsou bez náboženské víry, bylo v roce 1991 </w:t>
      </w:r>
      <w:r w:rsidR="00771DE0">
        <w:rPr>
          <w:rFonts w:ascii="Arial" w:eastAsia="Times New Roman" w:hAnsi="Arial" w:cs="Arial"/>
          <w:lang w:eastAsia="cs-CZ"/>
        </w:rPr>
        <w:t xml:space="preserve">celkem </w:t>
      </w:r>
      <w:r>
        <w:rPr>
          <w:rFonts w:ascii="Arial" w:eastAsia="Times New Roman" w:hAnsi="Arial" w:cs="Arial"/>
          <w:lang w:eastAsia="cs-CZ"/>
        </w:rPr>
        <w:t>59 % a v roce 2021 už 69 %.</w:t>
      </w:r>
      <w:r w:rsidR="00771DE0">
        <w:rPr>
          <w:rFonts w:ascii="Arial" w:eastAsia="Times New Roman" w:hAnsi="Arial" w:cs="Arial"/>
          <w:lang w:eastAsia="cs-CZ"/>
        </w:rPr>
        <w:t xml:space="preserve"> V roce 2011 i 2021 lidé mohli přímo deklarovat, že jsou věřící, ale bez příslušnosti ke konkrétní církvi. Takových osob bylo ve sčítání 2021 celkem 15 %, v roce 2011 pak 14 % osob.</w:t>
      </w:r>
    </w:p>
    <w:p w14:paraId="4BEAE955" w14:textId="0E063BDF" w:rsidR="00CC4E50" w:rsidRDefault="00CC4E50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1A470E8F" w14:textId="338651B9" w:rsidR="000958D9" w:rsidRPr="00653462" w:rsidRDefault="000958D9" w:rsidP="00D93899">
      <w:pPr>
        <w:spacing w:after="240" w:line="288" w:lineRule="auto"/>
        <w:jc w:val="both"/>
        <w:rPr>
          <w:rFonts w:ascii="Arial" w:eastAsia="MS Gothic" w:hAnsi="Arial"/>
          <w:b/>
          <w:bCs/>
          <w:color w:val="BC091B"/>
          <w:sz w:val="28"/>
          <w:szCs w:val="26"/>
          <w:lang w:eastAsia="cs-CZ"/>
        </w:rPr>
      </w:pPr>
      <w:r w:rsidRPr="00653462">
        <w:rPr>
          <w:rFonts w:ascii="Arial" w:eastAsia="MS Gothic" w:hAnsi="Arial"/>
          <w:b/>
          <w:bCs/>
          <w:color w:val="BC091B"/>
          <w:sz w:val="28"/>
          <w:szCs w:val="26"/>
          <w:lang w:eastAsia="cs-CZ"/>
        </w:rPr>
        <w:t>8.2 Ekonomická aktivita</w:t>
      </w:r>
    </w:p>
    <w:p w14:paraId="549C4D73" w14:textId="626374FC" w:rsidR="000958D9" w:rsidRDefault="00EB74D9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Podle údajů z jednotlivých sčítání od roku 1980 se počet osob, které představují pracovní sílu (dříve ekonomicky aktivní) neustále zvyšuje.</w:t>
      </w:r>
      <w:r w:rsidR="001615E5">
        <w:rPr>
          <w:rFonts w:ascii="Arial" w:eastAsia="Times New Roman" w:hAnsi="Arial" w:cs="Arial"/>
          <w:lang w:eastAsia="cs-CZ"/>
        </w:rPr>
        <w:t xml:space="preserve"> Při přepočtu na počet obyvatel </w:t>
      </w:r>
      <w:r w:rsidR="006F4EB9">
        <w:rPr>
          <w:rFonts w:ascii="Arial" w:eastAsia="Times New Roman" w:hAnsi="Arial" w:cs="Arial"/>
          <w:lang w:eastAsia="cs-CZ"/>
        </w:rPr>
        <w:t>připadalo na 100 obyvatel nejvíce osob zařazených mezi pracovní sílu při Sčítání 2021. Tehdy to bylo necelé dvě třetiny (60 %) všech obyvatel. Podíl prac</w:t>
      </w:r>
      <w:r w:rsidR="005471BE">
        <w:rPr>
          <w:rFonts w:ascii="Arial" w:eastAsia="Times New Roman" w:hAnsi="Arial" w:cs="Arial"/>
          <w:lang w:eastAsia="cs-CZ"/>
        </w:rPr>
        <w:t xml:space="preserve">ovní síly na počtu obyvatel se </w:t>
      </w:r>
      <w:r w:rsidR="006F4EB9">
        <w:rPr>
          <w:rFonts w:ascii="Arial" w:eastAsia="Times New Roman" w:hAnsi="Arial" w:cs="Arial"/>
          <w:lang w:eastAsia="cs-CZ"/>
        </w:rPr>
        <w:t>o</w:t>
      </w:r>
      <w:r w:rsidR="005471BE">
        <w:rPr>
          <w:rFonts w:ascii="Arial" w:eastAsia="Times New Roman" w:hAnsi="Arial" w:cs="Arial"/>
          <w:lang w:eastAsia="cs-CZ"/>
        </w:rPr>
        <w:t>d</w:t>
      </w:r>
      <w:r w:rsidR="006F4EB9">
        <w:rPr>
          <w:rFonts w:ascii="Arial" w:eastAsia="Times New Roman" w:hAnsi="Arial" w:cs="Arial"/>
          <w:lang w:eastAsia="cs-CZ"/>
        </w:rPr>
        <w:t xml:space="preserve"> sčítání 1980 neustále zvyšuje, v roce 1980 dosáhl hodnoty téměř 54 %</w:t>
      </w:r>
      <w:r w:rsidR="00451C88">
        <w:rPr>
          <w:rFonts w:ascii="Arial" w:eastAsia="Times New Roman" w:hAnsi="Arial" w:cs="Arial"/>
          <w:lang w:eastAsia="cs-CZ"/>
        </w:rPr>
        <w:t>, v roce 2021 téměř 60 %</w:t>
      </w:r>
      <w:r w:rsidR="006F4EB9">
        <w:rPr>
          <w:rFonts w:ascii="Arial" w:eastAsia="Times New Roman" w:hAnsi="Arial" w:cs="Arial"/>
          <w:lang w:eastAsia="cs-CZ"/>
        </w:rPr>
        <w:t>. Naopak podíl osob ekonomicky neaktivních, které nejsou mezi pracovní sílu zařazeny, se od</w:t>
      </w:r>
      <w:r w:rsidR="005471BE">
        <w:rPr>
          <w:rFonts w:ascii="Arial" w:eastAsia="Times New Roman" w:hAnsi="Arial" w:cs="Arial"/>
          <w:lang w:eastAsia="cs-CZ"/>
        </w:rPr>
        <w:t xml:space="preserve"> sčítání 1980 setrvale snižoval</w:t>
      </w:r>
      <w:r w:rsidR="006F4EB9">
        <w:rPr>
          <w:rFonts w:ascii="Arial" w:eastAsia="Times New Roman" w:hAnsi="Arial" w:cs="Arial"/>
          <w:lang w:eastAsia="cs-CZ"/>
        </w:rPr>
        <w:t>. Při posledním cenzu v roce 2021 byl podíl osob mimo pracovní sílu na počtu obyvatel 40%, v roce 1980 pak 46%.</w:t>
      </w:r>
    </w:p>
    <w:p w14:paraId="06EBED46" w14:textId="072F6DD3" w:rsidR="00EB74D9" w:rsidRDefault="00EB74D9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4194E2E3" w14:textId="640EDA89" w:rsidR="006F4EB9" w:rsidRDefault="00B85CDE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Počet osob mimo pracovní sílu byl v roce 1980 v Praze na úrovni 547,3 tisíc osob, jejich počet v následujících 40 letech kolísal. Mezi </w:t>
      </w:r>
      <w:r w:rsidR="00D93899">
        <w:rPr>
          <w:rFonts w:ascii="Arial" w:eastAsia="Times New Roman" w:hAnsi="Arial" w:cs="Arial"/>
          <w:lang w:eastAsia="cs-CZ"/>
        </w:rPr>
        <w:t>sčítáním 2011 a 2021 počet osob</w:t>
      </w:r>
      <w:r>
        <w:rPr>
          <w:rFonts w:ascii="Arial" w:eastAsia="Times New Roman" w:hAnsi="Arial" w:cs="Arial"/>
          <w:lang w:eastAsia="cs-CZ"/>
        </w:rPr>
        <w:t xml:space="preserve"> mimo pracovní sílu vzrostl z 500,9 tisíc na 512,7 tisíc osob. Jejich podíl na počtu obyvatel se ale snížil (snižuje se plynule od roku 1980). Mezi osoby mimo pracovní sílu patřili ve všech sčítáních i nepracující důchodci. Jejich počet se od roku 1991 snižoval. Jejich zastoupení na počtu osob zařazených mimo pracovní sílu bylo v roce 1980 stejné jako v ro</w:t>
      </w:r>
      <w:r w:rsidR="00451C88">
        <w:rPr>
          <w:rFonts w:ascii="Arial" w:eastAsia="Times New Roman" w:hAnsi="Arial" w:cs="Arial"/>
          <w:lang w:eastAsia="cs-CZ"/>
        </w:rPr>
        <w:t>ce 2021 (41 %). V letech sčítání 1991 až 2011</w:t>
      </w:r>
      <w:r>
        <w:rPr>
          <w:rFonts w:ascii="Arial" w:eastAsia="Times New Roman" w:hAnsi="Arial" w:cs="Arial"/>
          <w:lang w:eastAsia="cs-CZ"/>
        </w:rPr>
        <w:t xml:space="preserve"> byl</w:t>
      </w:r>
      <w:r w:rsidR="00B564F8">
        <w:rPr>
          <w:rFonts w:ascii="Arial" w:eastAsia="Times New Roman" w:hAnsi="Arial" w:cs="Arial"/>
          <w:lang w:eastAsia="cs-CZ"/>
        </w:rPr>
        <w:t xml:space="preserve"> jejich podíl vyšší než 44 %</w:t>
      </w:r>
      <w:r>
        <w:rPr>
          <w:rFonts w:ascii="Arial" w:eastAsia="Times New Roman" w:hAnsi="Arial" w:cs="Arial"/>
          <w:lang w:eastAsia="cs-CZ"/>
        </w:rPr>
        <w:t>.</w:t>
      </w:r>
    </w:p>
    <w:p w14:paraId="28E2AF69" w14:textId="77777777" w:rsidR="00451C88" w:rsidRDefault="00451C88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20073604" w14:textId="4BEB63EC" w:rsidR="00B85CDE" w:rsidRDefault="00B85CDE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Co se týče struktury osob mimo pracovní sílu podle pohlaví, v roce 2011 a 2021</w:t>
      </w:r>
      <w:r w:rsidR="00D9389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zde dominovaly ženy</w:t>
      </w:r>
      <w:r w:rsidR="00D93899">
        <w:rPr>
          <w:rFonts w:ascii="Arial" w:eastAsia="Times New Roman" w:hAnsi="Arial" w:cs="Arial"/>
          <w:lang w:eastAsia="cs-CZ"/>
        </w:rPr>
        <w:t xml:space="preserve"> (59, resp. 58 %). Také v předchozích letech, kdy se konalo sčítání, byl podíl žen podobný (57 až 59</w:t>
      </w:r>
      <w:r w:rsidR="005471BE">
        <w:rPr>
          <w:rFonts w:ascii="Arial" w:eastAsia="Times New Roman" w:hAnsi="Arial" w:cs="Arial"/>
          <w:lang w:eastAsia="cs-CZ"/>
        </w:rPr>
        <w:t xml:space="preserve"> </w:t>
      </w:r>
      <w:r w:rsidR="00D93899">
        <w:rPr>
          <w:rFonts w:ascii="Arial" w:eastAsia="Times New Roman" w:hAnsi="Arial" w:cs="Arial"/>
          <w:lang w:eastAsia="cs-CZ"/>
        </w:rPr>
        <w:t>%) jako v současnosti. Ženy také převládaly mezi nepracujícími důchodci, když v roce 2021 jejich zastoupení dosáhlo na téměř 63 %. V předchozích letech však zastoupení žen mezi nimi bylo vyšší (například před deseti lety jich byl 64% podíl a v roce 1980 dokonce téměř 67% podíl.</w:t>
      </w:r>
    </w:p>
    <w:p w14:paraId="46A0C92A" w14:textId="58718DE7" w:rsidR="005E6B89" w:rsidRDefault="005E6B89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084027CF" w14:textId="3348AAF6" w:rsidR="00320750" w:rsidRDefault="0004498E" w:rsidP="005471BE">
      <w:pPr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Tab. 8.2.1</w:t>
      </w:r>
      <w:r w:rsidR="00EB74D9" w:rsidRPr="00EB74D9">
        <w:rPr>
          <w:rFonts w:ascii="Arial" w:eastAsia="Times New Roman" w:hAnsi="Arial" w:cs="Arial"/>
          <w:b/>
          <w:lang w:eastAsia="cs-CZ"/>
        </w:rPr>
        <w:t xml:space="preserve"> Ekonomická aktivita obyvatelstva v hl. m. Praze (Sčítání 1980 až 2021)</w:t>
      </w:r>
    </w:p>
    <w:p w14:paraId="6EC6832B" w14:textId="36D93DB8" w:rsidR="00EB74D9" w:rsidRPr="00EB74D9" w:rsidRDefault="00B85CDE" w:rsidP="00653462">
      <w:pPr>
        <w:spacing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B85CDE">
        <w:rPr>
          <w:rFonts w:ascii="Arial" w:eastAsia="Times New Roman" w:hAnsi="Arial" w:cs="Arial"/>
          <w:b/>
          <w:noProof/>
          <w:lang w:eastAsia="cs-CZ"/>
        </w:rPr>
        <w:drawing>
          <wp:inline distT="0" distB="0" distL="0" distR="0" wp14:anchorId="22CA44A3" wp14:editId="5E1983F2">
            <wp:extent cx="5759450" cy="354579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0D17F" w14:textId="21523976" w:rsidR="00EB74D9" w:rsidRDefault="00EB74D9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5C75DB16" w14:textId="77777777" w:rsidR="005E6B89" w:rsidRDefault="005E6B89" w:rsidP="005E6B89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Co se týče rozdělení osob v pracovní síle na zaměstnané a nezaměstnané, rok 1980 se v údajích vymyká. V roce 1980 bylo podle oficiálních statistik 100 % osob zaměstnaných, nikdo nebyl nezaměstnaný. Každý člověk měl povinnost pracovat. V roce 1991 bylo v celkovém objemu pracovní síly 97 % zaměstnaných a 3 % nezaměstnaných. V roce 2011, ve sčítání, které těsně následovalo po hospodářské krizi z roku 2009, byl podíl nezaměstnaných výraznější (7 % z pracovní síly) a podíl zaměstnaných byl na úrovni 93 %. Také v absolutních počtech bylo v roce 2011 v porovnání s ostatními sčítáními počet zaměstnaných nejnižší (600,7 tisíc osob) a počet nezaměstnaných nejvyšší (43,9 tisíc osob. Při posledním sčítání v roce 2021 byl poměr mezi zaměstnanými a nezaměstnanými 96 ku 4.</w:t>
      </w:r>
    </w:p>
    <w:p w14:paraId="6A73183D" w14:textId="77285872" w:rsidR="005E6B89" w:rsidRDefault="005E6B89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61D60E70" w14:textId="70DD2A45" w:rsidR="00720BE3" w:rsidRDefault="00A869D9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Možnosti s</w:t>
      </w:r>
      <w:r w:rsidR="00720BE3">
        <w:rPr>
          <w:rFonts w:ascii="Arial" w:eastAsia="Times New Roman" w:hAnsi="Arial" w:cs="Arial"/>
          <w:lang w:eastAsia="cs-CZ"/>
        </w:rPr>
        <w:t xml:space="preserve">rovnání </w:t>
      </w:r>
      <w:r w:rsidR="00F0373D">
        <w:rPr>
          <w:rFonts w:ascii="Arial" w:eastAsia="Times New Roman" w:hAnsi="Arial" w:cs="Arial"/>
          <w:lang w:eastAsia="cs-CZ"/>
        </w:rPr>
        <w:t xml:space="preserve">s rokem </w:t>
      </w:r>
      <w:r>
        <w:rPr>
          <w:rFonts w:ascii="Arial" w:eastAsia="Times New Roman" w:hAnsi="Arial" w:cs="Arial"/>
          <w:lang w:eastAsia="cs-CZ"/>
        </w:rPr>
        <w:t>1980 i rokem 1991 jsou</w:t>
      </w:r>
      <w:r w:rsidR="00F0373D">
        <w:rPr>
          <w:rFonts w:ascii="Arial" w:eastAsia="Times New Roman" w:hAnsi="Arial" w:cs="Arial"/>
          <w:lang w:eastAsia="cs-CZ"/>
        </w:rPr>
        <w:t xml:space="preserve"> omezené</w:t>
      </w:r>
      <w:r>
        <w:rPr>
          <w:rFonts w:ascii="Arial" w:eastAsia="Times New Roman" w:hAnsi="Arial" w:cs="Arial"/>
          <w:lang w:eastAsia="cs-CZ"/>
        </w:rPr>
        <w:t>, zejména proto, že před rokem 1989 nebylo časté zaměstnávání cizích státních příslušníků a ti také nebyli ve větší míře zahrnuti do počtu obyvatel. Od roku 2001 byly do počtu obyvatel započteny ve větší míře i osoby s cizím státním občanstvím. Také se zvětšil objem mezinárodní migrace z pracovních důvodů, Praha se stala magnetem pro cizí státní pří</w:t>
      </w:r>
      <w:r w:rsidR="007766E4">
        <w:rPr>
          <w:rFonts w:ascii="Arial" w:eastAsia="Times New Roman" w:hAnsi="Arial" w:cs="Arial"/>
          <w:lang w:eastAsia="cs-CZ"/>
        </w:rPr>
        <w:t>slušníky, kteří se sem stěhovali (a stále stěhují)</w:t>
      </w:r>
      <w:r>
        <w:rPr>
          <w:rFonts w:ascii="Arial" w:eastAsia="Times New Roman" w:hAnsi="Arial" w:cs="Arial"/>
          <w:lang w:eastAsia="cs-CZ"/>
        </w:rPr>
        <w:t xml:space="preserve"> </w:t>
      </w:r>
      <w:r w:rsidR="004B00E5">
        <w:rPr>
          <w:rFonts w:ascii="Arial" w:eastAsia="Times New Roman" w:hAnsi="Arial" w:cs="Arial"/>
          <w:lang w:eastAsia="cs-CZ"/>
        </w:rPr>
        <w:t>za prací.</w:t>
      </w:r>
      <w:r>
        <w:rPr>
          <w:rFonts w:ascii="Arial" w:eastAsia="Times New Roman" w:hAnsi="Arial" w:cs="Arial"/>
          <w:lang w:eastAsia="cs-CZ"/>
        </w:rPr>
        <w:t xml:space="preserve"> V současné době je zastoupení cizích státních příslušníků v populaci i pracovní síle mnohe</w:t>
      </w:r>
      <w:r w:rsidR="007766E4">
        <w:rPr>
          <w:rFonts w:ascii="Arial" w:eastAsia="Times New Roman" w:hAnsi="Arial" w:cs="Arial"/>
          <w:lang w:eastAsia="cs-CZ"/>
        </w:rPr>
        <w:t>m vyšší než tomu bylo před sč</w:t>
      </w:r>
      <w:r>
        <w:rPr>
          <w:rFonts w:ascii="Arial" w:eastAsia="Times New Roman" w:hAnsi="Arial" w:cs="Arial"/>
          <w:lang w:eastAsia="cs-CZ"/>
        </w:rPr>
        <w:t>ítáním 2001</w:t>
      </w:r>
      <w:r w:rsidR="007766E4">
        <w:rPr>
          <w:rFonts w:ascii="Arial" w:eastAsia="Times New Roman" w:hAnsi="Arial" w:cs="Arial"/>
          <w:lang w:eastAsia="cs-CZ"/>
        </w:rPr>
        <w:t>.</w:t>
      </w:r>
    </w:p>
    <w:p w14:paraId="2AE13078" w14:textId="77777777" w:rsidR="00720BE3" w:rsidRDefault="00720BE3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264C366C" w14:textId="429E4C20" w:rsidR="000958D9" w:rsidRPr="00653462" w:rsidRDefault="000958D9" w:rsidP="00AB3EB8">
      <w:pPr>
        <w:spacing w:after="240" w:line="288" w:lineRule="auto"/>
        <w:jc w:val="both"/>
        <w:rPr>
          <w:rFonts w:ascii="Arial" w:eastAsia="MS Gothic" w:hAnsi="Arial"/>
          <w:b/>
          <w:bCs/>
          <w:color w:val="BC091B"/>
          <w:sz w:val="28"/>
          <w:szCs w:val="26"/>
          <w:lang w:eastAsia="cs-CZ"/>
        </w:rPr>
      </w:pPr>
      <w:r w:rsidRPr="00653462">
        <w:rPr>
          <w:rFonts w:ascii="Arial" w:eastAsia="MS Gothic" w:hAnsi="Arial"/>
          <w:b/>
          <w:bCs/>
          <w:color w:val="BC091B"/>
          <w:sz w:val="28"/>
          <w:szCs w:val="26"/>
          <w:lang w:eastAsia="cs-CZ"/>
        </w:rPr>
        <w:t>8.3 Hospodařící domácnosti</w:t>
      </w:r>
    </w:p>
    <w:p w14:paraId="343FE3DF" w14:textId="32775744" w:rsidR="000958D9" w:rsidRDefault="0004498E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Srovnání údajů o hospodařících domácnostech od roku 1980 jsme omezili pouze na srovnání celkového počtu a </w:t>
      </w:r>
      <w:r w:rsidR="00B564F8">
        <w:rPr>
          <w:rFonts w:ascii="Arial" w:eastAsia="Times New Roman" w:hAnsi="Arial" w:cs="Arial"/>
          <w:lang w:eastAsia="cs-CZ"/>
        </w:rPr>
        <w:t xml:space="preserve">srovnání </w:t>
      </w:r>
      <w:r>
        <w:rPr>
          <w:rFonts w:ascii="Arial" w:eastAsia="Times New Roman" w:hAnsi="Arial" w:cs="Arial"/>
          <w:lang w:eastAsia="cs-CZ"/>
        </w:rPr>
        <w:t>domácností tvořených jednotlivci a jednou rodinou. Porovnání podrobnějších charakteristik</w:t>
      </w:r>
      <w:r w:rsidR="005471BE">
        <w:rPr>
          <w:rFonts w:ascii="Arial" w:eastAsia="Times New Roman" w:hAnsi="Arial" w:cs="Arial"/>
          <w:lang w:eastAsia="cs-CZ"/>
        </w:rPr>
        <w:t xml:space="preserve"> domácností</w:t>
      </w:r>
      <w:r>
        <w:rPr>
          <w:rFonts w:ascii="Arial" w:eastAsia="Times New Roman" w:hAnsi="Arial" w:cs="Arial"/>
          <w:lang w:eastAsia="cs-CZ"/>
        </w:rPr>
        <w:t xml:space="preserve"> je </w:t>
      </w:r>
      <w:r w:rsidR="005471BE">
        <w:rPr>
          <w:rFonts w:ascii="Arial" w:eastAsia="Times New Roman" w:hAnsi="Arial" w:cs="Arial"/>
          <w:lang w:eastAsia="cs-CZ"/>
        </w:rPr>
        <w:t>problematické</w:t>
      </w:r>
      <w:r>
        <w:rPr>
          <w:rFonts w:ascii="Arial" w:eastAsia="Times New Roman" w:hAnsi="Arial" w:cs="Arial"/>
          <w:lang w:eastAsia="cs-CZ"/>
        </w:rPr>
        <w:t>, proto se u podrobnějších údajů v textu věnujeme pouze sčítáním 2011 a 2021. Také údaje o domácnostech jsou ovlivněny koncept</w:t>
      </w:r>
      <w:r w:rsidR="005471BE">
        <w:rPr>
          <w:rFonts w:ascii="Arial" w:eastAsia="Times New Roman" w:hAnsi="Arial" w:cs="Arial"/>
          <w:lang w:eastAsia="cs-CZ"/>
        </w:rPr>
        <w:t xml:space="preserve">em </w:t>
      </w:r>
      <w:r w:rsidR="00B564F8">
        <w:rPr>
          <w:rFonts w:ascii="Arial" w:eastAsia="Times New Roman" w:hAnsi="Arial" w:cs="Arial"/>
          <w:lang w:eastAsia="cs-CZ"/>
        </w:rPr>
        <w:t>obvyklého</w:t>
      </w:r>
      <w:r w:rsidR="005471BE">
        <w:rPr>
          <w:rFonts w:ascii="Arial" w:eastAsia="Times New Roman" w:hAnsi="Arial" w:cs="Arial"/>
          <w:lang w:eastAsia="cs-CZ"/>
        </w:rPr>
        <w:t xml:space="preserve"> bydliště, který ČSÚ začal</w:t>
      </w:r>
      <w:r>
        <w:rPr>
          <w:rFonts w:ascii="Arial" w:eastAsia="Times New Roman" w:hAnsi="Arial" w:cs="Arial"/>
          <w:lang w:eastAsia="cs-CZ"/>
        </w:rPr>
        <w:t xml:space="preserve"> používat až ve sčítání roku 2011. Přitom obzvláště u domácností je potřeba vědět, kd</w:t>
      </w:r>
      <w:r w:rsidR="005471BE">
        <w:rPr>
          <w:rFonts w:ascii="Arial" w:eastAsia="Times New Roman" w:hAnsi="Arial" w:cs="Arial"/>
          <w:lang w:eastAsia="cs-CZ"/>
        </w:rPr>
        <w:t>e lidé obvykle (skutečně) žijí. R</w:t>
      </w:r>
      <w:r>
        <w:rPr>
          <w:rFonts w:ascii="Arial" w:eastAsia="Times New Roman" w:hAnsi="Arial" w:cs="Arial"/>
          <w:lang w:eastAsia="cs-CZ"/>
        </w:rPr>
        <w:t>odinná uspořádání jsou různá, lidé mnohem častěji žijí i v neformálních svazcích, bez ohledu na své trvalé bydliště.</w:t>
      </w:r>
    </w:p>
    <w:p w14:paraId="5087BDB3" w14:textId="255A0585" w:rsidR="0004498E" w:rsidRDefault="0004498E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0992744B" w14:textId="30BFFF7F" w:rsidR="0004498E" w:rsidRDefault="0004498E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roce 1980 bylo v Praze 501,0 tisíc domácností, které zde měly trvalé bydliště, jejich počet se neustále zvyšuje. V roce 2001 zde bylo takových domácností 5</w:t>
      </w:r>
      <w:r w:rsidR="005471BE">
        <w:rPr>
          <w:rFonts w:ascii="Arial" w:eastAsia="Times New Roman" w:hAnsi="Arial" w:cs="Arial"/>
          <w:lang w:eastAsia="cs-CZ"/>
        </w:rPr>
        <w:t>44,6 tisíc a nárůst tedy činil</w:t>
      </w:r>
      <w:r>
        <w:rPr>
          <w:rFonts w:ascii="Arial" w:eastAsia="Times New Roman" w:hAnsi="Arial" w:cs="Arial"/>
          <w:lang w:eastAsia="cs-CZ"/>
        </w:rPr>
        <w:t xml:space="preserve"> 8,7 %. V roce 2011 </w:t>
      </w:r>
      <w:r w:rsidR="00AB4996">
        <w:rPr>
          <w:rFonts w:ascii="Arial" w:eastAsia="Times New Roman" w:hAnsi="Arial" w:cs="Arial"/>
          <w:lang w:eastAsia="cs-CZ"/>
        </w:rPr>
        <w:t xml:space="preserve">mělo v Praze obvyklé bydliště </w:t>
      </w:r>
      <w:r>
        <w:rPr>
          <w:rFonts w:ascii="Arial" w:eastAsia="Times New Roman" w:hAnsi="Arial" w:cs="Arial"/>
          <w:lang w:eastAsia="cs-CZ"/>
        </w:rPr>
        <w:t>579,5 tisíc domácností a v roce 2021 o 13,5 % víc.</w:t>
      </w:r>
    </w:p>
    <w:p w14:paraId="5FC786FC" w14:textId="4324D325" w:rsidR="00AB3EB8" w:rsidRDefault="00AB3EB8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průběhu času postupně dochází k tomu, že se zvyšuje zastoupení domácností jednotlivců. V roce 1980 jich bylo mezi domácnostmi 30 %, v roce 2001 už 37 %. Mezi lety 2011 a 2021 se jejich nárůst zvýšil </w:t>
      </w:r>
      <w:r w:rsidR="004B00E5">
        <w:rPr>
          <w:rFonts w:ascii="Arial" w:eastAsia="Times New Roman" w:hAnsi="Arial" w:cs="Arial"/>
          <w:lang w:eastAsia="cs-CZ"/>
        </w:rPr>
        <w:t>-</w:t>
      </w:r>
      <w:r>
        <w:rPr>
          <w:rFonts w:ascii="Arial" w:eastAsia="Times New Roman" w:hAnsi="Arial" w:cs="Arial"/>
          <w:lang w:eastAsia="cs-CZ"/>
        </w:rPr>
        <w:t xml:space="preserve"> o téměř 8 p. b.</w:t>
      </w:r>
      <w:r w:rsidR="00AB4996">
        <w:rPr>
          <w:rFonts w:ascii="Arial" w:eastAsia="Times New Roman" w:hAnsi="Arial" w:cs="Arial"/>
          <w:lang w:eastAsia="cs-CZ"/>
        </w:rPr>
        <w:t xml:space="preserve"> </w:t>
      </w:r>
      <w:r w:rsidR="004B00E5">
        <w:rPr>
          <w:rFonts w:ascii="Arial" w:eastAsia="Times New Roman" w:hAnsi="Arial" w:cs="Arial"/>
          <w:lang w:eastAsia="cs-CZ"/>
        </w:rPr>
        <w:t xml:space="preserve">- </w:t>
      </w:r>
      <w:r w:rsidR="00AB4996">
        <w:rPr>
          <w:rFonts w:ascii="Arial" w:eastAsia="Times New Roman" w:hAnsi="Arial" w:cs="Arial"/>
          <w:lang w:eastAsia="cs-CZ"/>
        </w:rPr>
        <w:t>a jejich podíl tak dosáhl na 47 %.</w:t>
      </w:r>
      <w:r>
        <w:rPr>
          <w:rFonts w:ascii="Arial" w:eastAsia="Times New Roman" w:hAnsi="Arial" w:cs="Arial"/>
          <w:lang w:eastAsia="cs-CZ"/>
        </w:rPr>
        <w:t xml:space="preserve"> Zastoupení domácností tvořených jednou rodinou se snižuje a to zejm</w:t>
      </w:r>
      <w:r w:rsidR="00AB4996">
        <w:rPr>
          <w:rFonts w:ascii="Arial" w:eastAsia="Times New Roman" w:hAnsi="Arial" w:cs="Arial"/>
          <w:lang w:eastAsia="cs-CZ"/>
        </w:rPr>
        <w:t>éna právě v důsledku</w:t>
      </w:r>
      <w:r>
        <w:rPr>
          <w:rFonts w:ascii="Arial" w:eastAsia="Times New Roman" w:hAnsi="Arial" w:cs="Arial"/>
          <w:lang w:eastAsia="cs-CZ"/>
        </w:rPr>
        <w:t xml:space="preserve"> zvyšování podílu jednotlivců mezi domácnostmi.</w:t>
      </w:r>
    </w:p>
    <w:p w14:paraId="262D8036" w14:textId="77777777" w:rsidR="0004498E" w:rsidRDefault="0004498E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17F69D4E" w14:textId="089104DF" w:rsidR="00277A77" w:rsidRDefault="0004498E" w:rsidP="00653462">
      <w:pPr>
        <w:spacing w:line="288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Tab. 8.3.1</w:t>
      </w:r>
      <w:r w:rsidRPr="0004498E">
        <w:rPr>
          <w:rFonts w:ascii="Arial" w:eastAsia="Times New Roman" w:hAnsi="Arial" w:cs="Arial"/>
          <w:b/>
          <w:lang w:eastAsia="cs-CZ"/>
        </w:rPr>
        <w:t xml:space="preserve"> Domácnosti v hl. m. Praze (Sčítání 1980 až 2021)</w:t>
      </w:r>
    </w:p>
    <w:p w14:paraId="34CA2D72" w14:textId="0152AB8D" w:rsidR="0004498E" w:rsidRDefault="00157D2D" w:rsidP="00653462">
      <w:pPr>
        <w:spacing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157D2D">
        <w:rPr>
          <w:rFonts w:ascii="Arial" w:eastAsia="Times New Roman" w:hAnsi="Arial" w:cs="Arial"/>
          <w:b/>
          <w:noProof/>
          <w:lang w:eastAsia="cs-CZ"/>
        </w:rPr>
        <w:drawing>
          <wp:inline distT="0" distB="0" distL="0" distR="0" wp14:anchorId="0220A75B" wp14:editId="518C40C2">
            <wp:extent cx="5759450" cy="2731553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B64FF" w14:textId="38BB0BF0" w:rsidR="0004498E" w:rsidRDefault="0004498E" w:rsidP="00653462">
      <w:pPr>
        <w:spacing w:line="288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7AC5C78E" w14:textId="4818338A" w:rsidR="00095F46" w:rsidRDefault="00095F46" w:rsidP="00095F46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095F46">
        <w:rPr>
          <w:rFonts w:ascii="Arial" w:eastAsia="Times New Roman" w:hAnsi="Arial" w:cs="Arial"/>
          <w:lang w:eastAsia="cs-CZ"/>
        </w:rPr>
        <w:t>Mezi rokem 2011 a 2021 se zvýšil p</w:t>
      </w:r>
      <w:r w:rsidR="00A66BFD">
        <w:rPr>
          <w:rFonts w:ascii="Arial" w:eastAsia="Times New Roman" w:hAnsi="Arial" w:cs="Arial"/>
          <w:lang w:eastAsia="cs-CZ"/>
        </w:rPr>
        <w:t>očet i zastoupení úplných rodin</w:t>
      </w:r>
      <w:r w:rsidRPr="00095F46">
        <w:rPr>
          <w:rFonts w:ascii="Arial" w:eastAsia="Times New Roman" w:hAnsi="Arial" w:cs="Arial"/>
          <w:lang w:eastAsia="cs-CZ"/>
        </w:rPr>
        <w:t xml:space="preserve"> a snížil </w:t>
      </w:r>
      <w:r w:rsidR="00A66BFD">
        <w:rPr>
          <w:rFonts w:ascii="Arial" w:eastAsia="Times New Roman" w:hAnsi="Arial" w:cs="Arial"/>
          <w:lang w:eastAsia="cs-CZ"/>
        </w:rPr>
        <w:t xml:space="preserve">se </w:t>
      </w:r>
      <w:r w:rsidRPr="00095F46">
        <w:rPr>
          <w:rFonts w:ascii="Arial" w:eastAsia="Times New Roman" w:hAnsi="Arial" w:cs="Arial"/>
          <w:lang w:eastAsia="cs-CZ"/>
        </w:rPr>
        <w:t xml:space="preserve">počet (a zastoupení) neúplných rodin. </w:t>
      </w:r>
      <w:r>
        <w:rPr>
          <w:rFonts w:ascii="Arial" w:eastAsia="Times New Roman" w:hAnsi="Arial" w:cs="Arial"/>
          <w:lang w:eastAsia="cs-CZ"/>
        </w:rPr>
        <w:t>Neúplné rodiny tvořily v roce 2011 čtvrtinu domácností tvořených jednou rodinou</w:t>
      </w:r>
      <w:r w:rsidR="00C0588C">
        <w:rPr>
          <w:rFonts w:ascii="Arial" w:eastAsia="Times New Roman" w:hAnsi="Arial" w:cs="Arial"/>
          <w:lang w:eastAsia="cs-CZ"/>
        </w:rPr>
        <w:t>, v roce 2021 pak více než</w:t>
      </w:r>
      <w:r w:rsidR="00AB4996">
        <w:rPr>
          <w:rFonts w:ascii="Arial" w:eastAsia="Times New Roman" w:hAnsi="Arial" w:cs="Arial"/>
          <w:lang w:eastAsia="cs-CZ"/>
        </w:rPr>
        <w:t xml:space="preserve"> pětinu. </w:t>
      </w:r>
      <w:r>
        <w:rPr>
          <w:rFonts w:ascii="Arial" w:eastAsia="Times New Roman" w:hAnsi="Arial" w:cs="Arial"/>
          <w:lang w:eastAsia="cs-CZ"/>
        </w:rPr>
        <w:t>Mezi úplnými rodinami převládaly ty bez závislých dětí (jednalo se tedy o sezdaný nebo nesezdaný pár, který spolu žije, buď s žádný</w:t>
      </w:r>
      <w:r w:rsidR="00277A77">
        <w:rPr>
          <w:rFonts w:ascii="Arial" w:eastAsia="Times New Roman" w:hAnsi="Arial" w:cs="Arial"/>
          <w:lang w:eastAsia="cs-CZ"/>
        </w:rPr>
        <w:t>m</w:t>
      </w:r>
      <w:r>
        <w:rPr>
          <w:rFonts w:ascii="Arial" w:eastAsia="Times New Roman" w:hAnsi="Arial" w:cs="Arial"/>
          <w:lang w:eastAsia="cs-CZ"/>
        </w:rPr>
        <w:t xml:space="preserve"> závislým dítětem, nebo s d</w:t>
      </w:r>
      <w:r w:rsidR="00C0588C">
        <w:rPr>
          <w:rFonts w:ascii="Arial" w:eastAsia="Times New Roman" w:hAnsi="Arial" w:cs="Arial"/>
          <w:lang w:eastAsia="cs-CZ"/>
        </w:rPr>
        <w:t>ítětem nezávislým). Jejich podíl byl v roce 2021 celkem 56,3%,</w:t>
      </w:r>
      <w:r>
        <w:rPr>
          <w:rFonts w:ascii="Arial" w:eastAsia="Times New Roman" w:hAnsi="Arial" w:cs="Arial"/>
          <w:lang w:eastAsia="cs-CZ"/>
        </w:rPr>
        <w:t xml:space="preserve"> od roku 2011 snížil</w:t>
      </w:r>
      <w:r w:rsidR="00C0588C">
        <w:rPr>
          <w:rFonts w:ascii="Arial" w:eastAsia="Times New Roman" w:hAnsi="Arial" w:cs="Arial"/>
          <w:lang w:eastAsia="cs-CZ"/>
        </w:rPr>
        <w:t xml:space="preserve"> o 5,5 p. b</w:t>
      </w:r>
      <w:r>
        <w:rPr>
          <w:rFonts w:ascii="Arial" w:eastAsia="Times New Roman" w:hAnsi="Arial" w:cs="Arial"/>
          <w:lang w:eastAsia="cs-CZ"/>
        </w:rPr>
        <w:t xml:space="preserve">. </w:t>
      </w:r>
      <w:r w:rsidR="00A66BFD">
        <w:rPr>
          <w:rFonts w:ascii="Arial" w:eastAsia="Times New Roman" w:hAnsi="Arial" w:cs="Arial"/>
          <w:lang w:eastAsia="cs-CZ"/>
        </w:rPr>
        <w:t xml:space="preserve">Naopak se </w:t>
      </w:r>
      <w:r>
        <w:rPr>
          <w:rFonts w:ascii="Arial" w:eastAsia="Times New Roman" w:hAnsi="Arial" w:cs="Arial"/>
          <w:lang w:eastAsia="cs-CZ"/>
        </w:rPr>
        <w:t>zvýšilo zastoupení úplných rodin se závislými dětmi z 38,2 % na 43,7 %.</w:t>
      </w:r>
    </w:p>
    <w:p w14:paraId="73D50FBE" w14:textId="7AABA586" w:rsidR="00095F46" w:rsidRPr="00095F46" w:rsidRDefault="00277A77" w:rsidP="00653462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 neúplných rodin j</w:t>
      </w:r>
      <w:r w:rsidR="00095F46">
        <w:rPr>
          <w:rFonts w:ascii="Arial" w:eastAsia="Times New Roman" w:hAnsi="Arial" w:cs="Arial"/>
          <w:lang w:eastAsia="cs-CZ"/>
        </w:rPr>
        <w:t>e situace jiná – většinu tvoří rodiny se závislými dětmi. Od roku 2011 do roku 2021 se zvýšilo zastoupení neúplných rodin se z</w:t>
      </w:r>
      <w:r>
        <w:rPr>
          <w:rFonts w:ascii="Arial" w:eastAsia="Times New Roman" w:hAnsi="Arial" w:cs="Arial"/>
          <w:lang w:eastAsia="cs-CZ"/>
        </w:rPr>
        <w:t>á</w:t>
      </w:r>
      <w:r w:rsidR="00095F46">
        <w:rPr>
          <w:rFonts w:ascii="Arial" w:eastAsia="Times New Roman" w:hAnsi="Arial" w:cs="Arial"/>
          <w:lang w:eastAsia="cs-CZ"/>
        </w:rPr>
        <w:t>vislými dětmi</w:t>
      </w:r>
      <w:r>
        <w:rPr>
          <w:rFonts w:ascii="Arial" w:eastAsia="Times New Roman" w:hAnsi="Arial" w:cs="Arial"/>
          <w:lang w:eastAsia="cs-CZ"/>
        </w:rPr>
        <w:t xml:space="preserve"> </w:t>
      </w:r>
      <w:r w:rsidR="00B564F8">
        <w:rPr>
          <w:rFonts w:ascii="Arial" w:eastAsia="Times New Roman" w:hAnsi="Arial" w:cs="Arial"/>
          <w:lang w:eastAsia="cs-CZ"/>
        </w:rPr>
        <w:t xml:space="preserve">na celkovém počtu neúplných rodin </w:t>
      </w:r>
      <w:r>
        <w:rPr>
          <w:rFonts w:ascii="Arial" w:eastAsia="Times New Roman" w:hAnsi="Arial" w:cs="Arial"/>
          <w:lang w:eastAsia="cs-CZ"/>
        </w:rPr>
        <w:t xml:space="preserve">z 51,7 % na 61,2 %, tedy o téměř 10 p. b. </w:t>
      </w:r>
    </w:p>
    <w:p w14:paraId="6F871E0E" w14:textId="258BFD58" w:rsidR="00A66BFD" w:rsidRDefault="00A66BFD">
      <w:pPr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br w:type="page"/>
      </w:r>
    </w:p>
    <w:p w14:paraId="651C9FA7" w14:textId="684AE523" w:rsidR="000958D9" w:rsidRDefault="000958D9" w:rsidP="00974F30">
      <w:pPr>
        <w:spacing w:after="240" w:line="288" w:lineRule="auto"/>
        <w:jc w:val="both"/>
        <w:rPr>
          <w:rFonts w:ascii="Arial" w:eastAsia="MS Gothic" w:hAnsi="Arial"/>
          <w:b/>
          <w:bCs/>
          <w:color w:val="BC091B"/>
          <w:sz w:val="28"/>
          <w:szCs w:val="26"/>
          <w:lang w:eastAsia="cs-CZ"/>
        </w:rPr>
      </w:pPr>
      <w:r w:rsidRPr="00653462">
        <w:rPr>
          <w:rFonts w:ascii="Arial" w:eastAsia="MS Gothic" w:hAnsi="Arial"/>
          <w:b/>
          <w:bCs/>
          <w:color w:val="BC091B"/>
          <w:sz w:val="28"/>
          <w:szCs w:val="26"/>
          <w:lang w:eastAsia="cs-CZ"/>
        </w:rPr>
        <w:t>8.4 Domovní a bytový fond</w:t>
      </w:r>
    </w:p>
    <w:p w14:paraId="27601E06" w14:textId="0DB0E8F1" w:rsidR="00974F30" w:rsidRDefault="00E11BAA" w:rsidP="00974F30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Údaje o domech a bytech ze Sčítání lidu </w:t>
      </w:r>
      <w:r w:rsidR="00B564F8">
        <w:rPr>
          <w:rFonts w:ascii="Arial" w:eastAsia="Times New Roman" w:hAnsi="Arial" w:cs="Arial"/>
          <w:lang w:eastAsia="cs-CZ"/>
        </w:rPr>
        <w:t>se týkají domů</w:t>
      </w:r>
      <w:r>
        <w:rPr>
          <w:rFonts w:ascii="Arial" w:eastAsia="Times New Roman" w:hAnsi="Arial" w:cs="Arial"/>
          <w:lang w:eastAsia="cs-CZ"/>
        </w:rPr>
        <w:t xml:space="preserve"> podléhající</w:t>
      </w:r>
      <w:r w:rsidR="00B564F8">
        <w:rPr>
          <w:rFonts w:ascii="Arial" w:eastAsia="Times New Roman" w:hAnsi="Arial" w:cs="Arial"/>
          <w:lang w:eastAsia="cs-CZ"/>
        </w:rPr>
        <w:t>ch</w:t>
      </w:r>
      <w:r>
        <w:rPr>
          <w:rFonts w:ascii="Arial" w:eastAsia="Times New Roman" w:hAnsi="Arial" w:cs="Arial"/>
          <w:lang w:eastAsia="cs-CZ"/>
        </w:rPr>
        <w:t xml:space="preserve"> sčítání, což jsou </w:t>
      </w:r>
      <w:r w:rsidRPr="004749AB">
        <w:rPr>
          <w:rFonts w:ascii="Arial" w:eastAsia="Times New Roman" w:hAnsi="Arial" w:cs="Arial"/>
          <w:lang w:eastAsia="cs-CZ"/>
        </w:rPr>
        <w:t>všechny domy určené k bydlení (obydlené i neobydlené), objekty s byty (bytem) a ubytovací zařízení bez bytu, pokud slouží k bydlení. Do počtu domů tak patří kromě rodinných a bytových domů i různá zařízení určená k bydlení – např. domovy mládeže, internáty, dětské domovy, ústavy sociální péče, domovy důchodců, penziony pro důchodce, kláštery a konventy, azylová zařízení pro cizince, provozní budovy s bytem (např. škola s bytem) apod.</w:t>
      </w:r>
    </w:p>
    <w:p w14:paraId="5169ECFE" w14:textId="2F9B86C5" w:rsidR="0078388B" w:rsidRDefault="0078388B" w:rsidP="00974F30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Co se týče srovnatelnosti s předchozími sčítáními, omezující je především </w:t>
      </w:r>
      <w:r w:rsidR="001E6DD2">
        <w:rPr>
          <w:rFonts w:ascii="Arial" w:eastAsia="Times New Roman" w:hAnsi="Arial" w:cs="Arial"/>
          <w:lang w:eastAsia="cs-CZ"/>
        </w:rPr>
        <w:t>to</w:t>
      </w:r>
      <w:r>
        <w:rPr>
          <w:rFonts w:ascii="Arial" w:eastAsia="Times New Roman" w:hAnsi="Arial" w:cs="Arial"/>
          <w:lang w:eastAsia="cs-CZ"/>
        </w:rPr>
        <w:t>, že do roku 2001 (včetně) byly do údajů o domech a bytech zahrnuty ty, kde</w:t>
      </w:r>
      <w:r w:rsidR="001E6DD2">
        <w:rPr>
          <w:rFonts w:ascii="Arial" w:eastAsia="Times New Roman" w:hAnsi="Arial" w:cs="Arial"/>
          <w:lang w:eastAsia="cs-CZ"/>
        </w:rPr>
        <w:t xml:space="preserve"> měly osoby trvalý pobyt, zatím</w:t>
      </w:r>
      <w:r>
        <w:rPr>
          <w:rFonts w:ascii="Arial" w:eastAsia="Times New Roman" w:hAnsi="Arial" w:cs="Arial"/>
          <w:lang w:eastAsia="cs-CZ"/>
        </w:rPr>
        <w:t>co od roku 2011 to byly domy, kde měla alespoň jedna osoba obvyklý pobyt. Pro obyvatele to bylo v některých případech matoucí, mohli se z různých důvodů identifikovat jako obvykle bydlící tam, kde měly trvalý pobyt. Od roku 1980 se tak</w:t>
      </w:r>
      <w:r w:rsidR="001E6DD2">
        <w:rPr>
          <w:rFonts w:ascii="Arial" w:eastAsia="Times New Roman" w:hAnsi="Arial" w:cs="Arial"/>
          <w:lang w:eastAsia="cs-CZ"/>
        </w:rPr>
        <w:t>é měnila náplň jednotlivých ukazatelů souvisejících zejména s charakteristikami domů a bytů (jako například vydefinování toho, co je obytná místnost, jak se posuzuje způsob vytápění atd.).</w:t>
      </w:r>
    </w:p>
    <w:p w14:paraId="7C8DFF04" w14:textId="6E7D3948" w:rsidR="001E6DD2" w:rsidRDefault="001E6DD2" w:rsidP="00974F30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550B70AC" w14:textId="0F68EAC2" w:rsidR="001E6DD2" w:rsidRPr="001E6DD2" w:rsidRDefault="001E6DD2" w:rsidP="001E6DD2">
      <w:pPr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1E6DD2">
        <w:rPr>
          <w:rFonts w:ascii="Arial" w:eastAsia="Times New Roman" w:hAnsi="Arial" w:cs="Arial"/>
          <w:b/>
          <w:lang w:eastAsia="cs-CZ"/>
        </w:rPr>
        <w:t>Tab. 8.4.1 Domovní fond v hl. m. Praze (Sčítání 1980 až 2021)</w:t>
      </w:r>
    </w:p>
    <w:p w14:paraId="4702C6C1" w14:textId="137318F0" w:rsidR="001E6DD2" w:rsidRDefault="00466186" w:rsidP="00974F30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 w:rsidRPr="00466186">
        <w:rPr>
          <w:rFonts w:ascii="Arial" w:eastAsia="Times New Roman" w:hAnsi="Arial" w:cs="Arial"/>
          <w:noProof/>
          <w:lang w:eastAsia="cs-CZ"/>
        </w:rPr>
        <w:drawing>
          <wp:inline distT="0" distB="0" distL="0" distR="0" wp14:anchorId="4DBF9C73" wp14:editId="7868ACCA">
            <wp:extent cx="5759450" cy="2293216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9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17804" w14:textId="5EC36B95" w:rsidR="001E6DD2" w:rsidRDefault="001E6DD2" w:rsidP="00974F30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3B111139" w14:textId="6D217D8A" w:rsidR="001E4AD4" w:rsidRDefault="00466186" w:rsidP="001E4AD4">
      <w:pPr>
        <w:spacing w:line="288" w:lineRule="auto"/>
        <w:jc w:val="both"/>
        <w:rPr>
          <w:rFonts w:ascii="Arial" w:eastAsia="Times New Roman" w:hAnsi="Arial" w:cs="Arial"/>
          <w:noProof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roce 1980 bylo v Praze celkem 77,8 tisíc domů, z toho 2 tisíce neobydlených. Počet domů pomalu roste, největší dynamiku měl růst mezi lety 2001 a 2011, kdy dosáhl 13 %. Naopak nejmenší růst počtu domů mezi jednotlivými sčítáními </w:t>
      </w:r>
      <w:r w:rsidR="00A66BFD">
        <w:rPr>
          <w:rFonts w:ascii="Arial" w:eastAsia="Times New Roman" w:hAnsi="Arial" w:cs="Arial"/>
          <w:lang w:eastAsia="cs-CZ"/>
        </w:rPr>
        <w:t>byl</w:t>
      </w:r>
      <w:r w:rsidR="00FC1B46">
        <w:rPr>
          <w:rFonts w:ascii="Arial" w:eastAsia="Times New Roman" w:hAnsi="Arial" w:cs="Arial"/>
          <w:lang w:eastAsia="cs-CZ"/>
        </w:rPr>
        <w:t xml:space="preserve"> v roce 2001 (růst o 6</w:t>
      </w:r>
      <w:r>
        <w:rPr>
          <w:rFonts w:ascii="Arial" w:eastAsia="Times New Roman" w:hAnsi="Arial" w:cs="Arial"/>
          <w:lang w:eastAsia="cs-CZ"/>
        </w:rPr>
        <w:t xml:space="preserve"> % oproti roku 1991)</w:t>
      </w:r>
      <w:r w:rsidR="001E4AD4">
        <w:rPr>
          <w:rFonts w:ascii="Arial" w:eastAsia="Times New Roman" w:hAnsi="Arial" w:cs="Arial"/>
          <w:lang w:eastAsia="cs-CZ"/>
        </w:rPr>
        <w:t>, kdy přibylo do domovního fondu Prahy nejméně bytů za 10 let</w:t>
      </w:r>
      <w:r>
        <w:rPr>
          <w:rFonts w:ascii="Arial" w:eastAsia="Times New Roman" w:hAnsi="Arial" w:cs="Arial"/>
          <w:lang w:eastAsia="cs-CZ"/>
        </w:rPr>
        <w:t xml:space="preserve">. </w:t>
      </w:r>
      <w:r w:rsidR="001E4AD4">
        <w:rPr>
          <w:rFonts w:ascii="Arial" w:eastAsia="Times New Roman" w:hAnsi="Arial" w:cs="Arial"/>
          <w:noProof/>
          <w:lang w:eastAsia="cs-CZ"/>
        </w:rPr>
        <w:t>V Praze byla během posledních 40 let rozdílná intenzita výstavby domů, nárůsty počtu domů</w:t>
      </w:r>
      <w:r w:rsidR="00A66BFD">
        <w:rPr>
          <w:rFonts w:ascii="Arial" w:eastAsia="Times New Roman" w:hAnsi="Arial" w:cs="Arial"/>
          <w:noProof/>
          <w:lang w:eastAsia="cs-CZ"/>
        </w:rPr>
        <w:t xml:space="preserve"> </w:t>
      </w:r>
      <w:r w:rsidR="001E4AD4">
        <w:rPr>
          <w:rFonts w:ascii="Arial" w:eastAsia="Times New Roman" w:hAnsi="Arial" w:cs="Arial"/>
          <w:noProof/>
          <w:lang w:eastAsia="cs-CZ"/>
        </w:rPr>
        <w:t xml:space="preserve">mezi sčítáními tomu odpovídají. </w:t>
      </w:r>
    </w:p>
    <w:p w14:paraId="2155C044" w14:textId="77777777" w:rsidR="00A66BFD" w:rsidRPr="00974F30" w:rsidRDefault="00A66BFD" w:rsidP="001E4AD4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192E7C7D" w14:textId="4C8DA837" w:rsidR="00466186" w:rsidRDefault="00466186" w:rsidP="00974F30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Podíl neobydlených </w:t>
      </w:r>
      <w:r w:rsidR="00FC1B46">
        <w:rPr>
          <w:rFonts w:ascii="Arial" w:eastAsia="Times New Roman" w:hAnsi="Arial" w:cs="Arial"/>
          <w:lang w:eastAsia="cs-CZ"/>
        </w:rPr>
        <w:t>domů</w:t>
      </w:r>
      <w:r>
        <w:rPr>
          <w:rFonts w:ascii="Arial" w:eastAsia="Times New Roman" w:hAnsi="Arial" w:cs="Arial"/>
          <w:lang w:eastAsia="cs-CZ"/>
        </w:rPr>
        <w:t xml:space="preserve"> v roce 2021 dosahoval v Praze 7,5 %, ve sčítání roku 1980 to bylo 2,6 %.</w:t>
      </w:r>
      <w:r w:rsidR="00A66BFD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V Praze je sice méně bytových domů, jedná se ale vesměs o větší domy, například činžovní domy v centru Prahy nebo sídliště na okrajích města a tak počet bytů v bytových domech naopak počet bytů v rodinných domech výrazně převyšuje. Mezi obydlenými domy podléhajícími sčítání, bylo v roce 2021 celkem </w:t>
      </w:r>
      <w:r w:rsidR="00FC1B46">
        <w:rPr>
          <w:rFonts w:ascii="Arial" w:eastAsia="Times New Roman" w:hAnsi="Arial" w:cs="Arial"/>
          <w:lang w:eastAsia="cs-CZ"/>
        </w:rPr>
        <w:t>35 % bytových domů a většina (62</w:t>
      </w:r>
      <w:r>
        <w:rPr>
          <w:rFonts w:ascii="Arial" w:eastAsia="Times New Roman" w:hAnsi="Arial" w:cs="Arial"/>
          <w:lang w:eastAsia="cs-CZ"/>
        </w:rPr>
        <w:t xml:space="preserve"> %) rodinných domů. </w:t>
      </w:r>
    </w:p>
    <w:p w14:paraId="6A08BE84" w14:textId="62B9B3A6" w:rsidR="00466186" w:rsidRDefault="00466186" w:rsidP="00974F30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092DC14C" w14:textId="7C8571B0" w:rsidR="00466186" w:rsidRDefault="00466186" w:rsidP="00974F30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Výrazně se od roku 1980 změnila struktura domů podle jejich vlastníka. Pře</w:t>
      </w:r>
      <w:r w:rsidR="00012F01">
        <w:rPr>
          <w:rFonts w:ascii="Arial" w:eastAsia="Times New Roman" w:hAnsi="Arial" w:cs="Arial"/>
          <w:lang w:eastAsia="cs-CZ"/>
        </w:rPr>
        <w:t>d rokem 2011</w:t>
      </w:r>
      <w:r>
        <w:rPr>
          <w:rFonts w:ascii="Arial" w:eastAsia="Times New Roman" w:hAnsi="Arial" w:cs="Arial"/>
          <w:lang w:eastAsia="cs-CZ"/>
        </w:rPr>
        <w:t xml:space="preserve"> domy ve spoluvla</w:t>
      </w:r>
      <w:r w:rsidR="00AB4996">
        <w:rPr>
          <w:rFonts w:ascii="Arial" w:eastAsia="Times New Roman" w:hAnsi="Arial" w:cs="Arial"/>
          <w:lang w:eastAsia="cs-CZ"/>
        </w:rPr>
        <w:t>stnictví vlastníků bytů de facto</w:t>
      </w:r>
      <w:r>
        <w:rPr>
          <w:rFonts w:ascii="Arial" w:eastAsia="Times New Roman" w:hAnsi="Arial" w:cs="Arial"/>
          <w:lang w:eastAsia="cs-CZ"/>
        </w:rPr>
        <w:t xml:space="preserve"> neexistovaly</w:t>
      </w:r>
      <w:r w:rsidR="00012F01">
        <w:rPr>
          <w:rFonts w:ascii="Arial" w:eastAsia="Times New Roman" w:hAnsi="Arial" w:cs="Arial"/>
          <w:lang w:eastAsia="cs-CZ"/>
        </w:rPr>
        <w:t>. Tato fo</w:t>
      </w:r>
      <w:r w:rsidR="005917A5">
        <w:rPr>
          <w:rFonts w:ascii="Arial" w:eastAsia="Times New Roman" w:hAnsi="Arial" w:cs="Arial"/>
          <w:lang w:eastAsia="cs-CZ"/>
        </w:rPr>
        <w:t>rma vlastnictví však do roku 202</w:t>
      </w:r>
      <w:r w:rsidR="00012F01">
        <w:rPr>
          <w:rFonts w:ascii="Arial" w:eastAsia="Times New Roman" w:hAnsi="Arial" w:cs="Arial"/>
          <w:lang w:eastAsia="cs-CZ"/>
        </w:rPr>
        <w:t>1 nabyla na významu, když v roce 2011 tvořily takové domy pouze cca jednu desetinu obydleného bytového fondu a v roce 2021 už jednu pětinu.</w:t>
      </w:r>
    </w:p>
    <w:p w14:paraId="54BE6046" w14:textId="414B7A05" w:rsidR="00012F01" w:rsidRDefault="00012F01" w:rsidP="00974F30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Suverénně největší a zároveň nejstálejší složkou obydleného bytového fondu v Praze jsou domy ve vlastnictví fyzické osoby. V roce 1980 až 2021 tvořily přibližně 61 až 68 % obydlených domů v Praze. Obydlených domů ve vlastnictví obce nebo státu bylo nejvíce v roce 1980 (31 %) a nejméně při posledním sčítání 2021 (1 %).</w:t>
      </w:r>
      <w:r w:rsidR="00AB4996">
        <w:rPr>
          <w:rFonts w:ascii="Arial" w:eastAsia="Times New Roman" w:hAnsi="Arial" w:cs="Arial"/>
          <w:lang w:eastAsia="cs-CZ"/>
        </w:rPr>
        <w:t xml:space="preserve"> Byty ve vlastnictví státu či města, nebo také byty družstevní často přešly do spoluvlastnictví vlastníků bytových jednotek.</w:t>
      </w:r>
    </w:p>
    <w:p w14:paraId="2D4862E1" w14:textId="4D060E65" w:rsidR="00012F01" w:rsidRDefault="00012F01" w:rsidP="00974F30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7C630C4F" w14:textId="1CE507DF" w:rsidR="00012F01" w:rsidRDefault="00012F01" w:rsidP="00E451D2">
      <w:pPr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E451D2">
        <w:rPr>
          <w:rFonts w:ascii="Arial" w:eastAsia="Times New Roman" w:hAnsi="Arial" w:cs="Arial"/>
          <w:b/>
          <w:lang w:eastAsia="cs-CZ"/>
        </w:rPr>
        <w:t>Tab. 8.4.2 Bytový fond v hl. m. Praze (Sčítání 1980 až 2021)</w:t>
      </w:r>
    </w:p>
    <w:p w14:paraId="62F162FF" w14:textId="3999690C" w:rsidR="00E451D2" w:rsidRDefault="00647068" w:rsidP="00974F30">
      <w:pPr>
        <w:spacing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647068">
        <w:rPr>
          <w:rFonts w:ascii="Arial" w:eastAsia="Times New Roman" w:hAnsi="Arial" w:cs="Arial"/>
          <w:b/>
          <w:noProof/>
          <w:lang w:eastAsia="cs-CZ"/>
        </w:rPr>
        <w:drawing>
          <wp:inline distT="0" distB="0" distL="0" distR="0" wp14:anchorId="33C46C3C" wp14:editId="16CD0E19">
            <wp:extent cx="5759450" cy="1586637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8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ED6D" w14:textId="77777777" w:rsidR="00E451D2" w:rsidRPr="00E451D2" w:rsidRDefault="00E451D2" w:rsidP="00974F30">
      <w:pPr>
        <w:spacing w:line="288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5F8B05C5" w14:textId="5B334D27" w:rsidR="00012F01" w:rsidRDefault="001E4AD4" w:rsidP="00974F30">
      <w:pPr>
        <w:spacing w:line="288" w:lineRule="auto"/>
        <w:jc w:val="both"/>
        <w:rPr>
          <w:rFonts w:ascii="Arial" w:eastAsia="Times New Roman" w:hAnsi="Arial" w:cs="Arial"/>
          <w:noProof/>
          <w:lang w:eastAsia="cs-CZ"/>
        </w:rPr>
      </w:pPr>
      <w:r>
        <w:rPr>
          <w:rFonts w:ascii="Arial" w:eastAsia="Times New Roman" w:hAnsi="Arial" w:cs="Arial"/>
          <w:noProof/>
          <w:lang w:eastAsia="cs-CZ"/>
        </w:rPr>
        <w:t>Podobný vývoj, tedy stálý růst, se týkal počtu bytů. I když v případě bytů docházelo k tomu, že zvláště po roce 1989 se byty přeměnily na kanceláře a jiné prostory pro komerční využití. Část bytů se také přeměnila na ordinace lékařů. Na základě údajů ze sčítání 1980 víme, že bylo tehdy v Praze 461,9 tisíc bytů a do roku 1991 se jejich počet zvýšil</w:t>
      </w:r>
      <w:r w:rsidR="006F7756">
        <w:rPr>
          <w:rFonts w:ascii="Arial" w:eastAsia="Times New Roman" w:hAnsi="Arial" w:cs="Arial"/>
          <w:noProof/>
          <w:lang w:eastAsia="cs-CZ"/>
        </w:rPr>
        <w:t xml:space="preserve"> o téměř 12 %. </w:t>
      </w:r>
      <w:r w:rsidR="00A66BFD">
        <w:rPr>
          <w:rFonts w:ascii="Arial" w:eastAsia="Times New Roman" w:hAnsi="Arial" w:cs="Arial"/>
          <w:noProof/>
          <w:lang w:eastAsia="cs-CZ"/>
        </w:rPr>
        <w:t>Bylo t</w:t>
      </w:r>
      <w:r w:rsidR="00AB4996">
        <w:rPr>
          <w:rFonts w:ascii="Arial" w:eastAsia="Times New Roman" w:hAnsi="Arial" w:cs="Arial"/>
          <w:noProof/>
          <w:lang w:eastAsia="cs-CZ"/>
        </w:rPr>
        <w:t xml:space="preserve">o důsledkem probíhající sídlištní výstavby. </w:t>
      </w:r>
      <w:r w:rsidR="00CC4117">
        <w:rPr>
          <w:rFonts w:ascii="Arial" w:eastAsia="Times New Roman" w:hAnsi="Arial" w:cs="Arial"/>
          <w:noProof/>
          <w:lang w:eastAsia="cs-CZ"/>
        </w:rPr>
        <w:t>Nejme</w:t>
      </w:r>
      <w:r w:rsidR="006F7756">
        <w:rPr>
          <w:rFonts w:ascii="Arial" w:eastAsia="Times New Roman" w:hAnsi="Arial" w:cs="Arial"/>
          <w:noProof/>
          <w:lang w:eastAsia="cs-CZ"/>
        </w:rPr>
        <w:t>nší nárůsty počtu bytů zaznamenala Praha v období 1</w:t>
      </w:r>
      <w:r w:rsidR="00647068">
        <w:rPr>
          <w:rFonts w:ascii="Arial" w:eastAsia="Times New Roman" w:hAnsi="Arial" w:cs="Arial"/>
          <w:noProof/>
          <w:lang w:eastAsia="cs-CZ"/>
        </w:rPr>
        <w:t>991-2001 a také 2001-2011 (o cca 7 %). Mezi lety 2011 a 2021 byl nárůst počtu bytů 22%.</w:t>
      </w:r>
    </w:p>
    <w:p w14:paraId="6AD3D2DA" w14:textId="0C78B780" w:rsidR="00647068" w:rsidRDefault="00647068" w:rsidP="00974F30">
      <w:pPr>
        <w:spacing w:line="288" w:lineRule="auto"/>
        <w:jc w:val="both"/>
        <w:rPr>
          <w:rFonts w:ascii="Arial" w:eastAsia="Times New Roman" w:hAnsi="Arial" w:cs="Arial"/>
          <w:noProof/>
          <w:lang w:eastAsia="cs-CZ"/>
        </w:rPr>
      </w:pPr>
      <w:r>
        <w:rPr>
          <w:rFonts w:ascii="Arial" w:eastAsia="Times New Roman" w:hAnsi="Arial" w:cs="Arial"/>
          <w:noProof/>
          <w:lang w:eastAsia="cs-CZ"/>
        </w:rPr>
        <w:t>Z celkového počtu obydlených bytů je stabilně kolem 86 až 88 % v bytových domech, 12 až 13 % v rodinných domech a 1 % v ostatních bytovách.</w:t>
      </w:r>
    </w:p>
    <w:p w14:paraId="0E24740F" w14:textId="27850CA9" w:rsidR="00647068" w:rsidRDefault="00647068" w:rsidP="00974F30">
      <w:pPr>
        <w:spacing w:line="288" w:lineRule="auto"/>
        <w:jc w:val="both"/>
        <w:rPr>
          <w:rFonts w:ascii="Arial" w:eastAsia="Times New Roman" w:hAnsi="Arial" w:cs="Arial"/>
          <w:noProof/>
          <w:lang w:eastAsia="cs-CZ"/>
        </w:rPr>
      </w:pPr>
    </w:p>
    <w:p w14:paraId="3643857D" w14:textId="7E868E12" w:rsidR="00647068" w:rsidRDefault="00647068" w:rsidP="00463AD0">
      <w:pPr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647068">
        <w:rPr>
          <w:rFonts w:ascii="Arial" w:eastAsia="Times New Roman" w:hAnsi="Arial" w:cs="Arial"/>
          <w:b/>
          <w:lang w:eastAsia="cs-CZ"/>
        </w:rPr>
        <w:t>Tab. 8.4.3 Bytový fond v hl. m. Praze (Sčítání 1980 až 2021)</w:t>
      </w:r>
    </w:p>
    <w:p w14:paraId="4A1ADCE6" w14:textId="3363C66E" w:rsidR="00647068" w:rsidRDefault="004B00E5" w:rsidP="00974F30">
      <w:pPr>
        <w:spacing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4B00E5">
        <w:rPr>
          <w:rFonts w:ascii="Arial" w:eastAsia="Times New Roman" w:hAnsi="Arial" w:cs="Arial"/>
          <w:b/>
          <w:noProof/>
          <w:lang w:eastAsia="cs-CZ"/>
        </w:rPr>
        <w:drawing>
          <wp:inline distT="0" distB="0" distL="0" distR="0" wp14:anchorId="3BC995B9" wp14:editId="494834E8">
            <wp:extent cx="5759450" cy="2271756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7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CAB83" w14:textId="32BC8EBE" w:rsidR="00463AD0" w:rsidRDefault="00463AD0" w:rsidP="00974F30">
      <w:pPr>
        <w:spacing w:line="288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06BCD3D0" w14:textId="0C39BA60" w:rsidR="00463AD0" w:rsidRDefault="00E915FB" w:rsidP="00974F30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 w:rsidRPr="00E915FB">
        <w:rPr>
          <w:rFonts w:ascii="Arial" w:eastAsia="Times New Roman" w:hAnsi="Arial" w:cs="Arial"/>
          <w:lang w:eastAsia="cs-CZ"/>
        </w:rPr>
        <w:t xml:space="preserve">Výrazně se proměnila vlastnická struktura </w:t>
      </w:r>
      <w:r w:rsidR="00020BF9">
        <w:rPr>
          <w:rFonts w:ascii="Arial" w:eastAsia="Times New Roman" w:hAnsi="Arial" w:cs="Arial"/>
          <w:lang w:eastAsia="cs-CZ"/>
        </w:rPr>
        <w:t xml:space="preserve">obydlených </w:t>
      </w:r>
      <w:r w:rsidRPr="00E915FB">
        <w:rPr>
          <w:rFonts w:ascii="Arial" w:eastAsia="Times New Roman" w:hAnsi="Arial" w:cs="Arial"/>
          <w:lang w:eastAsia="cs-CZ"/>
        </w:rPr>
        <w:t>bytů (v terminologii sčítání právní důvod užívání bytů)</w:t>
      </w:r>
      <w:r>
        <w:rPr>
          <w:rFonts w:ascii="Arial" w:eastAsia="Times New Roman" w:hAnsi="Arial" w:cs="Arial"/>
          <w:lang w:eastAsia="cs-CZ"/>
        </w:rPr>
        <w:t>. V roce 1980 osobní vlastnictví bytů téměř neexistovalo (2 % trvale obydlených bytů), v roce 2001 už jich bylo 11 % trvale obydlených a v roce 2021 celkem 35 % obvykle obydlených bytů. Výrazně se snížilo zastoupení bytů v nájmu či pronájmu z 68 % na 32 % mezi lety 1980 a 2021. Také zastoupení bytů ve vlastním domě (- 2 p. b.) a v družstevním vlastnictví (-</w:t>
      </w:r>
      <w:r w:rsidR="00020BF9">
        <w:rPr>
          <w:rFonts w:ascii="Arial" w:eastAsia="Times New Roman" w:hAnsi="Arial" w:cs="Arial"/>
          <w:lang w:eastAsia="cs-CZ"/>
        </w:rPr>
        <w:t>8 p. b.)</w:t>
      </w:r>
      <w:r>
        <w:rPr>
          <w:rFonts w:ascii="Arial" w:eastAsia="Times New Roman" w:hAnsi="Arial" w:cs="Arial"/>
          <w:lang w:eastAsia="cs-CZ"/>
        </w:rPr>
        <w:t xml:space="preserve"> se </w:t>
      </w:r>
      <w:r w:rsidRPr="00CC4117">
        <w:rPr>
          <w:rFonts w:ascii="Arial" w:eastAsia="Times New Roman" w:hAnsi="Arial" w:cs="Arial"/>
          <w:lang w:eastAsia="cs-CZ"/>
        </w:rPr>
        <w:t>snížilo</w:t>
      </w:r>
      <w:r>
        <w:rPr>
          <w:rFonts w:ascii="Arial" w:eastAsia="Times New Roman" w:hAnsi="Arial" w:cs="Arial"/>
          <w:lang w:eastAsia="cs-CZ"/>
        </w:rPr>
        <w:t>.</w:t>
      </w:r>
      <w:r w:rsidR="00020BF9">
        <w:rPr>
          <w:rFonts w:ascii="Arial" w:eastAsia="Times New Roman" w:hAnsi="Arial" w:cs="Arial"/>
          <w:lang w:eastAsia="cs-CZ"/>
        </w:rPr>
        <w:t xml:space="preserve"> V kategorii jiný důvod a nezjištěno bylo v roce 1980 zhruba 4 % trvale obydlených bytů a v roce 2021 už 17 % obvykle obydlených bytů. </w:t>
      </w:r>
    </w:p>
    <w:p w14:paraId="1DAFB790" w14:textId="09E05EEB" w:rsidR="00E0586D" w:rsidRDefault="00E0586D" w:rsidP="00974F30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7FA61B42" w14:textId="2270B488" w:rsidR="00A66BFD" w:rsidRDefault="00A66BFD" w:rsidP="00974F30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58CA7B21" w14:textId="06821255" w:rsidR="00A66BFD" w:rsidRDefault="00A66BFD" w:rsidP="00974F30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4705F81B" w14:textId="77777777" w:rsidR="00CC4117" w:rsidRDefault="00CC4117" w:rsidP="00974F30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23062558" w14:textId="57E6B5C1" w:rsidR="00E0586D" w:rsidRDefault="00E0586D" w:rsidP="00974F30">
      <w:pPr>
        <w:spacing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E0586D">
        <w:rPr>
          <w:rFonts w:ascii="Arial" w:eastAsia="Times New Roman" w:hAnsi="Arial" w:cs="Arial"/>
          <w:b/>
          <w:lang w:eastAsia="cs-CZ"/>
        </w:rPr>
        <w:t>Graf 8.4 Obydlené byty podle právního důvodu užívání bytu - Praha a ČR</w:t>
      </w:r>
    </w:p>
    <w:p w14:paraId="48D788FA" w14:textId="6FB40DF8" w:rsidR="00E0586D" w:rsidRPr="00E0586D" w:rsidRDefault="00E0586D" w:rsidP="00974F30">
      <w:pPr>
        <w:spacing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E0586D">
        <w:rPr>
          <w:rFonts w:ascii="Arial" w:eastAsia="Times New Roman" w:hAnsi="Arial" w:cs="Arial"/>
          <w:b/>
          <w:noProof/>
          <w:lang w:eastAsia="cs-CZ"/>
        </w:rPr>
        <w:drawing>
          <wp:inline distT="0" distB="0" distL="0" distR="0" wp14:anchorId="3B0C5EDD" wp14:editId="2EBEB3BC">
            <wp:extent cx="5759450" cy="2865653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6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C0661" w14:textId="2360D62D" w:rsidR="00020BF9" w:rsidRDefault="00020BF9" w:rsidP="00974F30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</w:p>
    <w:p w14:paraId="550553B7" w14:textId="0101F3FD" w:rsidR="00241340" w:rsidRPr="00E915FB" w:rsidRDefault="00241340" w:rsidP="00974F30">
      <w:pPr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 celkového počtu obydlených bytů mělo v roce 2021 v Praze nejvíce ústřední dálkové nebo ústřední domovní vytápění (415,4 tisíc obydlených bytů, 66 %). V porovnání s předchozími sčítáními to bylo druhé největší zastoupení. V roce 2011 se jednalo o 391,7 tisíc domů (72 %) s tímto typem vytápění. Když půjdeme zpátky v čase, pak zastoupení ústředního dálkového nebo domovního </w:t>
      </w:r>
      <w:r w:rsidR="00A66BFD">
        <w:rPr>
          <w:rFonts w:ascii="Arial" w:eastAsia="Times New Roman" w:hAnsi="Arial" w:cs="Arial"/>
          <w:lang w:eastAsia="cs-CZ"/>
        </w:rPr>
        <w:t>bylo</w:t>
      </w:r>
      <w:r>
        <w:rPr>
          <w:rFonts w:ascii="Arial" w:eastAsia="Times New Roman" w:hAnsi="Arial" w:cs="Arial"/>
          <w:lang w:eastAsia="cs-CZ"/>
        </w:rPr>
        <w:t xml:space="preserve"> před rokem 2011 výrazně menší. V roce 1980 sem patřilo pouze 46 % trvale obydlených bytů. Od roku 1980 se naopak drasticky snížil počet i podíl bytů, které k vytápění využívaly lokální topidla (například kamna). Snížení ze</w:t>
      </w:r>
      <w:r w:rsidR="00CC4117">
        <w:rPr>
          <w:rFonts w:ascii="Arial" w:eastAsia="Times New Roman" w:hAnsi="Arial" w:cs="Arial"/>
          <w:lang w:eastAsia="cs-CZ"/>
        </w:rPr>
        <w:t> 45 % v roce 1980 na 9</w:t>
      </w:r>
      <w:r>
        <w:rPr>
          <w:rFonts w:ascii="Arial" w:eastAsia="Times New Roman" w:hAnsi="Arial" w:cs="Arial"/>
          <w:lang w:eastAsia="cs-CZ"/>
        </w:rPr>
        <w:t xml:space="preserve"> % v roce </w:t>
      </w:r>
      <w:r w:rsidR="00A66BFD">
        <w:rPr>
          <w:rFonts w:ascii="Arial" w:eastAsia="Times New Roman" w:hAnsi="Arial" w:cs="Arial"/>
          <w:lang w:eastAsia="cs-CZ"/>
        </w:rPr>
        <w:t>2021 bylo</w:t>
      </w:r>
      <w:r>
        <w:rPr>
          <w:rFonts w:ascii="Arial" w:eastAsia="Times New Roman" w:hAnsi="Arial" w:cs="Arial"/>
          <w:lang w:eastAsia="cs-CZ"/>
        </w:rPr>
        <w:t xml:space="preserve"> </w:t>
      </w:r>
      <w:r w:rsidR="00986E1D">
        <w:rPr>
          <w:rFonts w:ascii="Arial" w:eastAsia="Times New Roman" w:hAnsi="Arial" w:cs="Arial"/>
          <w:lang w:eastAsia="cs-CZ"/>
        </w:rPr>
        <w:t>velmi výrazné. Bytů, které měly ústřední vytápění s vlastním zdrojem (v bytě), bylo v roce 1980 cca 35,5 tisíc, což představovalo 8 % trvale obydlených bytů. Při poslední sčítání v roce 2021 bylo takových bytů sečteno 115,3 tisíc</w:t>
      </w:r>
      <w:r w:rsidR="00A66BFD">
        <w:rPr>
          <w:rFonts w:ascii="Arial" w:eastAsia="Times New Roman" w:hAnsi="Arial" w:cs="Arial"/>
          <w:lang w:eastAsia="cs-CZ"/>
        </w:rPr>
        <w:t>, tedy 18 </w:t>
      </w:r>
      <w:r w:rsidR="00986E1D">
        <w:rPr>
          <w:rFonts w:ascii="Arial" w:eastAsia="Times New Roman" w:hAnsi="Arial" w:cs="Arial"/>
          <w:lang w:eastAsia="cs-CZ"/>
        </w:rPr>
        <w:t>% z obvykle obydlených.</w:t>
      </w:r>
    </w:p>
    <w:sectPr w:rsidR="00241340" w:rsidRPr="00E915FB" w:rsidSect="003C64FC">
      <w:head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1D9F7" w14:textId="77777777" w:rsidR="00017BED" w:rsidRDefault="00017BED" w:rsidP="006E01C1">
      <w:r>
        <w:separator/>
      </w:r>
    </w:p>
  </w:endnote>
  <w:endnote w:type="continuationSeparator" w:id="0">
    <w:p w14:paraId="6AAE8A6B" w14:textId="77777777" w:rsidR="00017BED" w:rsidRDefault="00017BED" w:rsidP="006E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F57C6" w14:textId="77777777" w:rsidR="00017BED" w:rsidRDefault="00017BED" w:rsidP="006E01C1">
      <w:r>
        <w:separator/>
      </w:r>
    </w:p>
  </w:footnote>
  <w:footnote w:type="continuationSeparator" w:id="0">
    <w:p w14:paraId="4D4C3495" w14:textId="77777777" w:rsidR="00017BED" w:rsidRDefault="00017BED" w:rsidP="006E0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A36E8" w14:textId="490FE34D" w:rsidR="00077F8E" w:rsidRPr="003C64FC" w:rsidRDefault="003C64FC">
    <w:pPr>
      <w:pStyle w:val="Zhlav"/>
      <w:rPr>
        <w:rFonts w:ascii="Arial" w:hAnsi="Arial" w:cs="Arial"/>
        <w:sz w:val="16"/>
        <w:szCs w:val="16"/>
      </w:rPr>
    </w:pPr>
    <w:r w:rsidRPr="003C64FC">
      <w:rPr>
        <w:rFonts w:ascii="Arial" w:hAnsi="Arial" w:cs="Arial"/>
        <w:sz w:val="16"/>
        <w:szCs w:val="16"/>
      </w:rPr>
      <w:t>Sčítání lidu, domů a bytů - Hl. m. Praha - analýza výsledků - 2021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C1"/>
    <w:rsid w:val="00006707"/>
    <w:rsid w:val="00012F01"/>
    <w:rsid w:val="00013B1A"/>
    <w:rsid w:val="00017BED"/>
    <w:rsid w:val="00020BF9"/>
    <w:rsid w:val="00042A9C"/>
    <w:rsid w:val="0004498E"/>
    <w:rsid w:val="00077F8E"/>
    <w:rsid w:val="000958D9"/>
    <w:rsid w:val="00095F46"/>
    <w:rsid w:val="000A1F95"/>
    <w:rsid w:val="000A302C"/>
    <w:rsid w:val="000B42A7"/>
    <w:rsid w:val="000C02A5"/>
    <w:rsid w:val="001267F0"/>
    <w:rsid w:val="00147599"/>
    <w:rsid w:val="00157D2D"/>
    <w:rsid w:val="001615E5"/>
    <w:rsid w:val="00193CBF"/>
    <w:rsid w:val="001E4AD4"/>
    <w:rsid w:val="001E6DD2"/>
    <w:rsid w:val="001F0029"/>
    <w:rsid w:val="00206E4F"/>
    <w:rsid w:val="00214BE3"/>
    <w:rsid w:val="00217B0E"/>
    <w:rsid w:val="00241340"/>
    <w:rsid w:val="00251F40"/>
    <w:rsid w:val="00277A77"/>
    <w:rsid w:val="0028658F"/>
    <w:rsid w:val="002A695B"/>
    <w:rsid w:val="002B1A44"/>
    <w:rsid w:val="0030634A"/>
    <w:rsid w:val="0031467C"/>
    <w:rsid w:val="00320750"/>
    <w:rsid w:val="00321C35"/>
    <w:rsid w:val="00373205"/>
    <w:rsid w:val="00385DC0"/>
    <w:rsid w:val="003C6238"/>
    <w:rsid w:val="003C64FC"/>
    <w:rsid w:val="003F08EA"/>
    <w:rsid w:val="00431E47"/>
    <w:rsid w:val="00451C88"/>
    <w:rsid w:val="00463AD0"/>
    <w:rsid w:val="00466186"/>
    <w:rsid w:val="004749AB"/>
    <w:rsid w:val="004B00E5"/>
    <w:rsid w:val="004B14F1"/>
    <w:rsid w:val="004B25D4"/>
    <w:rsid w:val="004D2DAE"/>
    <w:rsid w:val="00503137"/>
    <w:rsid w:val="005306DC"/>
    <w:rsid w:val="00531583"/>
    <w:rsid w:val="00531A8A"/>
    <w:rsid w:val="005358FF"/>
    <w:rsid w:val="005471BE"/>
    <w:rsid w:val="005479B9"/>
    <w:rsid w:val="005701BD"/>
    <w:rsid w:val="00574A2C"/>
    <w:rsid w:val="005917A5"/>
    <w:rsid w:val="005E6B89"/>
    <w:rsid w:val="005F4F22"/>
    <w:rsid w:val="0061317B"/>
    <w:rsid w:val="00645A17"/>
    <w:rsid w:val="00647068"/>
    <w:rsid w:val="00653462"/>
    <w:rsid w:val="00672DF2"/>
    <w:rsid w:val="006C0EC7"/>
    <w:rsid w:val="006E01C1"/>
    <w:rsid w:val="006E3A59"/>
    <w:rsid w:val="006F4EB9"/>
    <w:rsid w:val="006F7756"/>
    <w:rsid w:val="00703A5F"/>
    <w:rsid w:val="00711A45"/>
    <w:rsid w:val="00720BE3"/>
    <w:rsid w:val="007278AD"/>
    <w:rsid w:val="00771DE0"/>
    <w:rsid w:val="007748D8"/>
    <w:rsid w:val="007766E4"/>
    <w:rsid w:val="00777578"/>
    <w:rsid w:val="0078388B"/>
    <w:rsid w:val="00783CB4"/>
    <w:rsid w:val="00796EC9"/>
    <w:rsid w:val="007A4989"/>
    <w:rsid w:val="007A737D"/>
    <w:rsid w:val="007C2784"/>
    <w:rsid w:val="007D4972"/>
    <w:rsid w:val="00805B58"/>
    <w:rsid w:val="00876244"/>
    <w:rsid w:val="00893B1E"/>
    <w:rsid w:val="00894BB4"/>
    <w:rsid w:val="0089773B"/>
    <w:rsid w:val="008B1F58"/>
    <w:rsid w:val="008E56D1"/>
    <w:rsid w:val="00931D5B"/>
    <w:rsid w:val="00973C69"/>
    <w:rsid w:val="00974F30"/>
    <w:rsid w:val="00986E1D"/>
    <w:rsid w:val="009C4AF8"/>
    <w:rsid w:val="009D429B"/>
    <w:rsid w:val="009E525A"/>
    <w:rsid w:val="00A045E8"/>
    <w:rsid w:val="00A30571"/>
    <w:rsid w:val="00A3095D"/>
    <w:rsid w:val="00A33071"/>
    <w:rsid w:val="00A44E4E"/>
    <w:rsid w:val="00A66BFD"/>
    <w:rsid w:val="00A70D33"/>
    <w:rsid w:val="00A8279A"/>
    <w:rsid w:val="00A869D9"/>
    <w:rsid w:val="00A96588"/>
    <w:rsid w:val="00AB3EB8"/>
    <w:rsid w:val="00AB4996"/>
    <w:rsid w:val="00AF2FEC"/>
    <w:rsid w:val="00B0125C"/>
    <w:rsid w:val="00B26281"/>
    <w:rsid w:val="00B564F8"/>
    <w:rsid w:val="00B56C15"/>
    <w:rsid w:val="00B57AEF"/>
    <w:rsid w:val="00B85CDE"/>
    <w:rsid w:val="00B86256"/>
    <w:rsid w:val="00BE01AE"/>
    <w:rsid w:val="00BF130C"/>
    <w:rsid w:val="00C0588C"/>
    <w:rsid w:val="00C1658D"/>
    <w:rsid w:val="00C23451"/>
    <w:rsid w:val="00C52F95"/>
    <w:rsid w:val="00C72994"/>
    <w:rsid w:val="00C930AC"/>
    <w:rsid w:val="00CA52DC"/>
    <w:rsid w:val="00CA5412"/>
    <w:rsid w:val="00CC4117"/>
    <w:rsid w:val="00CC4E50"/>
    <w:rsid w:val="00D20AC1"/>
    <w:rsid w:val="00D64F07"/>
    <w:rsid w:val="00D65B16"/>
    <w:rsid w:val="00D93899"/>
    <w:rsid w:val="00DC2979"/>
    <w:rsid w:val="00DC677F"/>
    <w:rsid w:val="00DF179D"/>
    <w:rsid w:val="00E0586D"/>
    <w:rsid w:val="00E11BAA"/>
    <w:rsid w:val="00E372D7"/>
    <w:rsid w:val="00E44CF3"/>
    <w:rsid w:val="00E451D2"/>
    <w:rsid w:val="00E915FB"/>
    <w:rsid w:val="00E917B8"/>
    <w:rsid w:val="00E92A14"/>
    <w:rsid w:val="00EA49DF"/>
    <w:rsid w:val="00EB74D9"/>
    <w:rsid w:val="00ED4463"/>
    <w:rsid w:val="00EF0DBE"/>
    <w:rsid w:val="00F0373D"/>
    <w:rsid w:val="00F40754"/>
    <w:rsid w:val="00F83FA4"/>
    <w:rsid w:val="00F968A5"/>
    <w:rsid w:val="00F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BAF4"/>
  <w15:chartTrackingRefBased/>
  <w15:docId w15:val="{0625FC39-064E-4184-A369-DB4F5DA9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CB4"/>
  </w:style>
  <w:style w:type="paragraph" w:styleId="Nadpis1">
    <w:name w:val="heading 1"/>
    <w:next w:val="Normln"/>
    <w:link w:val="Nadpis1Char"/>
    <w:uiPriority w:val="9"/>
    <w:qFormat/>
    <w:rsid w:val="00E44CF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Nadpis2">
    <w:name w:val="R Nadpis 2"/>
    <w:basedOn w:val="Normln"/>
    <w:next w:val="Normln"/>
    <w:rsid w:val="006E01C1"/>
    <w:pPr>
      <w:spacing w:after="120"/>
      <w:ind w:left="624" w:hanging="624"/>
    </w:pPr>
    <w:rPr>
      <w:rFonts w:ascii="Arial" w:eastAsia="Times New Roman" w:hAnsi="Arial"/>
      <w:b/>
      <w:lang w:eastAsia="cs-CZ"/>
    </w:rPr>
  </w:style>
  <w:style w:type="character" w:styleId="Hypertextovodkaz">
    <w:name w:val="Hyperlink"/>
    <w:basedOn w:val="Standardnpsmoodstavce"/>
    <w:uiPriority w:val="99"/>
    <w:rsid w:val="006E01C1"/>
    <w:rPr>
      <w:color w:val="0000FF"/>
      <w:u w:val="single"/>
    </w:rPr>
  </w:style>
  <w:style w:type="character" w:styleId="Znakapoznpodarou">
    <w:name w:val="footnote reference"/>
    <w:basedOn w:val="Standardnpsmoodstavce"/>
    <w:uiPriority w:val="99"/>
    <w:semiHidden/>
    <w:rsid w:val="006E01C1"/>
    <w:rPr>
      <w:vertAlign w:val="superscript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semiHidden/>
    <w:rsid w:val="006E01C1"/>
    <w:pPr>
      <w:spacing w:before="120"/>
      <w:jc w:val="both"/>
    </w:pPr>
    <w:rPr>
      <w:rFonts w:ascii="Arial" w:eastAsia="Times New Roman" w:hAnsi="Arial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uiPriority w:val="99"/>
    <w:semiHidden/>
    <w:rsid w:val="006E01C1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9773B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44CF3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5B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5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5B5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5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5B5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B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B5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77F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7F8E"/>
  </w:style>
  <w:style w:type="paragraph" w:styleId="Zpat">
    <w:name w:val="footer"/>
    <w:basedOn w:val="Normln"/>
    <w:link w:val="ZpatChar"/>
    <w:uiPriority w:val="99"/>
    <w:unhideWhenUsed/>
    <w:rsid w:val="00077F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7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332B-5D21-40B0-8F87-49503AA2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10</Pages>
  <Words>2823</Words>
  <Characters>16662</Characters>
  <Application>Microsoft Office Word</Application>
  <DocSecurity>0</DocSecurity>
  <Lines>138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2. Dlouhodobý vývoj</vt:lpstr>
    </vt:vector>
  </TitlesOfParts>
  <Company>ČSÚ</Company>
  <LinksUpToDate>false</LinksUpToDate>
  <CharactersWithSpaces>19447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Podhorská Jana</dc:creator>
  <cp:keywords/>
  <dc:description/>
  <cp:lastModifiedBy>Podhorská Jana</cp:lastModifiedBy>
  <cp:revision>18</cp:revision>
  <cp:lastPrinted>2023-10-26T09:56:00Z</cp:lastPrinted>
  <dcterms:created xsi:type="dcterms:W3CDTF">2023-11-30T06:13:00Z</dcterms:created>
  <dcterms:modified xsi:type="dcterms:W3CDTF">2023-12-22T10:30:00Z</dcterms:modified>
</cp:coreProperties>
</file>