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086BE5" w14:textId="77777777" w:rsidR="00CE6C75" w:rsidRDefault="00CE6C75" w:rsidP="00E000BC">
      <w:pPr>
        <w:pStyle w:val="Nadpis1"/>
      </w:pPr>
      <w:bookmarkStart w:id="0" w:name="_Toc145675429"/>
      <w:r w:rsidRPr="00175AA4">
        <w:t>Domy a byty</w:t>
      </w:r>
      <w:bookmarkEnd w:id="0"/>
    </w:p>
    <w:p w14:paraId="3A1FF31A" w14:textId="77777777" w:rsidR="00134DF4" w:rsidRDefault="00134DF4" w:rsidP="00134DF4">
      <w:pPr>
        <w:rPr>
          <w:rFonts w:cs="Arial"/>
          <w:szCs w:val="20"/>
        </w:rPr>
      </w:pPr>
    </w:p>
    <w:p w14:paraId="76BE0E26" w14:textId="77777777" w:rsidR="00134DF4" w:rsidRPr="007A1C52" w:rsidRDefault="00134DF4" w:rsidP="00134DF4">
      <w:pPr>
        <w:rPr>
          <w:rFonts w:cs="Arial"/>
          <w:szCs w:val="20"/>
        </w:rPr>
      </w:pPr>
      <w:r w:rsidRPr="007A1C52">
        <w:rPr>
          <w:rFonts w:cs="Arial"/>
          <w:szCs w:val="20"/>
        </w:rPr>
        <w:t>Sčítání lidu, domů a bytů 20</w:t>
      </w:r>
      <w:r>
        <w:rPr>
          <w:rFonts w:cs="Arial"/>
          <w:szCs w:val="20"/>
        </w:rPr>
        <w:t>2</w:t>
      </w:r>
      <w:r w:rsidRPr="007A1C52">
        <w:rPr>
          <w:rFonts w:cs="Arial"/>
          <w:szCs w:val="20"/>
        </w:rPr>
        <w:t xml:space="preserve">1 podléhají všechny domy, které jsou určeny k </w:t>
      </w:r>
      <w:r>
        <w:rPr>
          <w:rFonts w:cs="Arial"/>
          <w:szCs w:val="20"/>
        </w:rPr>
        <w:t xml:space="preserve">bydlení (např. rodinné, bytové </w:t>
      </w:r>
      <w:r w:rsidRPr="007A1C52">
        <w:rPr>
          <w:rFonts w:cs="Arial"/>
          <w:szCs w:val="20"/>
        </w:rPr>
        <w:t xml:space="preserve">domy), ubytovací zařízení určená k bydlení (domovy důchodců, penziony </w:t>
      </w:r>
      <w:r>
        <w:rPr>
          <w:rFonts w:cs="Arial"/>
          <w:szCs w:val="20"/>
        </w:rPr>
        <w:t xml:space="preserve">pro důchodce, ubytovny, ústavy </w:t>
      </w:r>
      <w:r w:rsidRPr="007A1C52">
        <w:rPr>
          <w:rFonts w:cs="Arial"/>
          <w:szCs w:val="20"/>
        </w:rPr>
        <w:t>sociální péče, kláštery a konventy apod.), nebo budovy sloužící primárně</w:t>
      </w:r>
      <w:r>
        <w:rPr>
          <w:rFonts w:cs="Arial"/>
          <w:szCs w:val="20"/>
        </w:rPr>
        <w:t xml:space="preserve"> k jiným účelům, ale je v nich </w:t>
      </w:r>
      <w:r w:rsidRPr="007A1C52">
        <w:rPr>
          <w:rFonts w:cs="Arial"/>
          <w:szCs w:val="20"/>
        </w:rPr>
        <w:t xml:space="preserve">minimálně jeden byt (např. škola s bytem). </w:t>
      </w:r>
    </w:p>
    <w:p w14:paraId="7431C29C" w14:textId="77777777" w:rsidR="00134DF4" w:rsidRPr="007A1C52" w:rsidRDefault="00134DF4" w:rsidP="00134DF4">
      <w:pPr>
        <w:rPr>
          <w:rFonts w:cs="Arial"/>
          <w:szCs w:val="20"/>
        </w:rPr>
      </w:pPr>
      <w:r w:rsidRPr="007A1C52">
        <w:rPr>
          <w:rFonts w:cs="Arial"/>
          <w:szCs w:val="20"/>
        </w:rPr>
        <w:t>Za obydlený dům je při sčítání 20</w:t>
      </w:r>
      <w:r>
        <w:rPr>
          <w:rFonts w:cs="Arial"/>
          <w:szCs w:val="20"/>
        </w:rPr>
        <w:t>2</w:t>
      </w:r>
      <w:r w:rsidRPr="007A1C52">
        <w:rPr>
          <w:rFonts w:cs="Arial"/>
          <w:szCs w:val="20"/>
        </w:rPr>
        <w:t>1 považován dům, ve kterém je alespoň je</w:t>
      </w:r>
      <w:r>
        <w:rPr>
          <w:rFonts w:cs="Arial"/>
          <w:szCs w:val="20"/>
        </w:rPr>
        <w:t xml:space="preserve">den obydlený byt nebo je v něm </w:t>
      </w:r>
      <w:r w:rsidRPr="007A1C52">
        <w:rPr>
          <w:rFonts w:cs="Arial"/>
          <w:szCs w:val="20"/>
        </w:rPr>
        <w:t xml:space="preserve">umístěno zařízení pro hromadné ubytování osob alespoň s jednou obvykle bydlící osobou. </w:t>
      </w:r>
    </w:p>
    <w:p w14:paraId="3403CFC9" w14:textId="77777777" w:rsidR="00134DF4" w:rsidRPr="007A1C52" w:rsidRDefault="00134DF4" w:rsidP="00134DF4">
      <w:pPr>
        <w:rPr>
          <w:rFonts w:cs="Arial"/>
          <w:szCs w:val="20"/>
        </w:rPr>
      </w:pPr>
      <w:r w:rsidRPr="007A1C52">
        <w:rPr>
          <w:rFonts w:cs="Arial"/>
          <w:szCs w:val="20"/>
        </w:rPr>
        <w:t>Do sčítání spadají i neobydlené domy, kterými jsou domy určené k bydlení, v</w:t>
      </w:r>
      <w:r>
        <w:rPr>
          <w:rFonts w:cs="Arial"/>
          <w:szCs w:val="20"/>
        </w:rPr>
        <w:t xml:space="preserve">e kterých nebyla sečtena žádná </w:t>
      </w:r>
      <w:r w:rsidRPr="007A1C52">
        <w:rPr>
          <w:rFonts w:cs="Arial"/>
          <w:szCs w:val="20"/>
        </w:rPr>
        <w:t>osoba s obvyklým pobytem. Do počtu neobydlených domů jsou zahrnuty všec</w:t>
      </w:r>
      <w:r>
        <w:rPr>
          <w:rFonts w:cs="Arial"/>
          <w:szCs w:val="20"/>
        </w:rPr>
        <w:t xml:space="preserve">hny domy s byty a všechny domy </w:t>
      </w:r>
      <w:r w:rsidRPr="007A1C52">
        <w:rPr>
          <w:rFonts w:cs="Arial"/>
          <w:szCs w:val="20"/>
        </w:rPr>
        <w:t>s ubytovacím zařízením bez bytu, pokud jsou určeny k bydlení. Neobydlené objekt</w:t>
      </w:r>
      <w:r>
        <w:rPr>
          <w:rFonts w:cs="Arial"/>
          <w:szCs w:val="20"/>
        </w:rPr>
        <w:t xml:space="preserve">y bez bytů, příp. se zařízením </w:t>
      </w:r>
      <w:r w:rsidRPr="007A1C52">
        <w:rPr>
          <w:rFonts w:cs="Arial"/>
          <w:szCs w:val="20"/>
        </w:rPr>
        <w:t>sloužícím pouze ke krátkodobému ubytování (hotely, turistické ubytovny, nemocnice, apod.) nejsou do počtu</w:t>
      </w:r>
      <w:r>
        <w:rPr>
          <w:rFonts w:cs="Arial"/>
          <w:szCs w:val="20"/>
        </w:rPr>
        <w:t xml:space="preserve"> </w:t>
      </w:r>
      <w:r w:rsidRPr="007A1C52">
        <w:rPr>
          <w:rFonts w:cs="Arial"/>
          <w:szCs w:val="20"/>
        </w:rPr>
        <w:t xml:space="preserve">neobydlených domů zahrnuty. </w:t>
      </w:r>
    </w:p>
    <w:p w14:paraId="11472844" w14:textId="77777777" w:rsidR="00134DF4" w:rsidRPr="007A1C52" w:rsidRDefault="00134DF4" w:rsidP="00134DF4">
      <w:pPr>
        <w:rPr>
          <w:rFonts w:cs="Arial"/>
          <w:szCs w:val="20"/>
        </w:rPr>
      </w:pPr>
      <w:r w:rsidRPr="007A1C52">
        <w:rPr>
          <w:rFonts w:cs="Arial"/>
          <w:szCs w:val="20"/>
        </w:rPr>
        <w:t>V domech podléhají sčítání všechny byty, ať obydlené nebo neobydlené. Oby</w:t>
      </w:r>
      <w:r>
        <w:rPr>
          <w:rFonts w:cs="Arial"/>
          <w:szCs w:val="20"/>
        </w:rPr>
        <w:t xml:space="preserve">dlený byt je byt, ve kterém má </w:t>
      </w:r>
      <w:r w:rsidRPr="007A1C52">
        <w:rPr>
          <w:rFonts w:cs="Arial"/>
          <w:szCs w:val="20"/>
        </w:rPr>
        <w:t>alespoň jedna osoba obvyklý pobyt. Neobydlený byt je byt, ve kterém</w:t>
      </w:r>
      <w:r>
        <w:rPr>
          <w:rFonts w:cs="Arial"/>
          <w:szCs w:val="20"/>
        </w:rPr>
        <w:t xml:space="preserve"> nebyla žádná osoba s obvyklým </w:t>
      </w:r>
      <w:r w:rsidRPr="007A1C52">
        <w:rPr>
          <w:rFonts w:cs="Arial"/>
          <w:szCs w:val="20"/>
        </w:rPr>
        <w:t>pobytem. Byty se nacházejí v rodinných a bytových domech, ale i v b</w:t>
      </w:r>
      <w:r>
        <w:rPr>
          <w:rFonts w:cs="Arial"/>
          <w:szCs w:val="20"/>
        </w:rPr>
        <w:t xml:space="preserve">udovách, které nejsou primárně </w:t>
      </w:r>
      <w:r w:rsidRPr="007A1C52">
        <w:rPr>
          <w:rFonts w:cs="Arial"/>
          <w:szCs w:val="20"/>
        </w:rPr>
        <w:t xml:space="preserve">určené k bydlení, ale byt se zde z různých důvodů nachází. </w:t>
      </w:r>
    </w:p>
    <w:p w14:paraId="71E06ECC" w14:textId="77777777" w:rsidR="00134DF4" w:rsidRDefault="00134DF4" w:rsidP="00134DF4">
      <w:pPr>
        <w:rPr>
          <w:rFonts w:cs="Arial"/>
          <w:szCs w:val="20"/>
        </w:rPr>
      </w:pPr>
      <w:r w:rsidRPr="007A1C52">
        <w:rPr>
          <w:rFonts w:cs="Arial"/>
          <w:szCs w:val="20"/>
        </w:rPr>
        <w:t>Důležitým výsledkem všech cenzů jsou ukazatele hodnotící úroveň b</w:t>
      </w:r>
      <w:r>
        <w:rPr>
          <w:rFonts w:cs="Arial"/>
          <w:szCs w:val="20"/>
        </w:rPr>
        <w:t xml:space="preserve">ydlení. Tyto ukazatele, pomocí </w:t>
      </w:r>
      <w:r w:rsidRPr="007A1C52">
        <w:rPr>
          <w:rFonts w:cs="Arial"/>
          <w:szCs w:val="20"/>
        </w:rPr>
        <w:t xml:space="preserve">kterých úroveň bydlení charakterizujeme, vycházejí z kombinace </w:t>
      </w:r>
      <w:r>
        <w:rPr>
          <w:rFonts w:cs="Arial"/>
          <w:szCs w:val="20"/>
        </w:rPr>
        <w:t xml:space="preserve">dat o domech a bytech, zejména </w:t>
      </w:r>
      <w:r w:rsidRPr="007A1C52">
        <w:rPr>
          <w:rFonts w:cs="Arial"/>
          <w:szCs w:val="20"/>
        </w:rPr>
        <w:t>o velikosti, obydlenosti, technické vybavenosti a dalších. K nejdůležitějš</w:t>
      </w:r>
      <w:r>
        <w:rPr>
          <w:rFonts w:cs="Arial"/>
          <w:szCs w:val="20"/>
        </w:rPr>
        <w:t xml:space="preserve">ím charakteristikám, které nám </w:t>
      </w:r>
      <w:r w:rsidRPr="007A1C52">
        <w:rPr>
          <w:rFonts w:cs="Arial"/>
          <w:szCs w:val="20"/>
        </w:rPr>
        <w:t>pomáhají hodnotit úroveň bydlení, zcela jistě patří řada relativních ukazate</w:t>
      </w:r>
      <w:r>
        <w:rPr>
          <w:rFonts w:cs="Arial"/>
          <w:szCs w:val="20"/>
        </w:rPr>
        <w:t xml:space="preserve">lů, jako jsou obytná plocha </w:t>
      </w:r>
      <w:r w:rsidRPr="007A1C52">
        <w:rPr>
          <w:rFonts w:cs="Arial"/>
          <w:szCs w:val="20"/>
        </w:rPr>
        <w:t>na byt, obytná plocha na osobu, počet osob na byt, na obytnou mí</w:t>
      </w:r>
      <w:r>
        <w:rPr>
          <w:rFonts w:cs="Arial"/>
          <w:szCs w:val="20"/>
        </w:rPr>
        <w:t xml:space="preserve">stnost atd. Prakticky výhradně </w:t>
      </w:r>
      <w:r w:rsidRPr="007A1C52">
        <w:rPr>
          <w:rFonts w:cs="Arial"/>
          <w:szCs w:val="20"/>
        </w:rPr>
        <w:t>z výsledků pravidelných cenzů máme k dispozici údaje, v nichž jsou propo</w:t>
      </w:r>
      <w:r>
        <w:rPr>
          <w:rFonts w:cs="Arial"/>
          <w:szCs w:val="20"/>
        </w:rPr>
        <w:t xml:space="preserve">jeny tyto jednotlivé ukazatele </w:t>
      </w:r>
      <w:r w:rsidRPr="007A1C52">
        <w:rPr>
          <w:rFonts w:cs="Arial"/>
          <w:szCs w:val="20"/>
        </w:rPr>
        <w:t>úrovně bydlení s obydleností bytů a s charakteristikami domácností či osob</w:t>
      </w:r>
      <w:r>
        <w:rPr>
          <w:rFonts w:cs="Arial"/>
          <w:szCs w:val="20"/>
        </w:rPr>
        <w:t xml:space="preserve">, které v těchto bytech bydlí. </w:t>
      </w:r>
      <w:r w:rsidRPr="007A1C52">
        <w:rPr>
          <w:rFonts w:cs="Arial"/>
          <w:szCs w:val="20"/>
        </w:rPr>
        <w:t>V tomto komplexním pohledu lze dalšími analytickými metodami získat cel</w:t>
      </w:r>
      <w:r>
        <w:rPr>
          <w:rFonts w:cs="Arial"/>
          <w:szCs w:val="20"/>
        </w:rPr>
        <w:t xml:space="preserve">ou řadu podkladů pro hodnocení </w:t>
      </w:r>
      <w:r w:rsidRPr="007A1C52">
        <w:rPr>
          <w:rFonts w:cs="Arial"/>
          <w:szCs w:val="20"/>
        </w:rPr>
        <w:t>vývoje životní úrovně v územním členění.</w:t>
      </w:r>
    </w:p>
    <w:p w14:paraId="4A078DDB" w14:textId="77777777" w:rsidR="00710EB3" w:rsidRPr="00710EB3" w:rsidRDefault="00710EB3" w:rsidP="005F3C01"/>
    <w:p w14:paraId="1ED9ED3E" w14:textId="77777777" w:rsidR="00CE6C75" w:rsidRDefault="00CE6C75" w:rsidP="00AC2A17">
      <w:pPr>
        <w:pStyle w:val="Nadpis2"/>
      </w:pPr>
      <w:bookmarkStart w:id="1" w:name="_Toc145675430"/>
      <w:r w:rsidRPr="00175AA4">
        <w:t>Charakteristika domovního fondu</w:t>
      </w:r>
      <w:bookmarkEnd w:id="1"/>
    </w:p>
    <w:p w14:paraId="296F1F78" w14:textId="77777777" w:rsidR="00710EB3" w:rsidRDefault="00710EB3" w:rsidP="005F3C01"/>
    <w:p w14:paraId="2716FE0F" w14:textId="77777777" w:rsidR="00264F6C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>Na základě</w:t>
      </w:r>
      <w:r w:rsidRPr="00A1194C">
        <w:rPr>
          <w:rFonts w:cs="Arial"/>
          <w:szCs w:val="20"/>
        </w:rPr>
        <w:t xml:space="preserve"> SLDB 20</w:t>
      </w:r>
      <w:r>
        <w:rPr>
          <w:rFonts w:cs="Arial"/>
          <w:szCs w:val="20"/>
        </w:rPr>
        <w:t>2</w:t>
      </w:r>
      <w:r w:rsidRPr="00A1194C">
        <w:rPr>
          <w:rFonts w:cs="Arial"/>
          <w:szCs w:val="20"/>
        </w:rPr>
        <w:t>1 b</w:t>
      </w:r>
      <w:r>
        <w:rPr>
          <w:rFonts w:cs="Arial"/>
          <w:szCs w:val="20"/>
        </w:rPr>
        <w:t xml:space="preserve">ylo k 26. 3. 2021 v Praze </w:t>
      </w:r>
      <w:r w:rsidRPr="00A1194C">
        <w:rPr>
          <w:rFonts w:cs="Arial"/>
          <w:szCs w:val="20"/>
        </w:rPr>
        <w:t xml:space="preserve">sečteno </w:t>
      </w:r>
      <w:r>
        <w:rPr>
          <w:rFonts w:cs="Arial"/>
          <w:szCs w:val="20"/>
        </w:rPr>
        <w:t>celkem 106 154</w:t>
      </w:r>
      <w:r w:rsidRPr="00A1194C">
        <w:rPr>
          <w:rFonts w:cs="Arial"/>
          <w:szCs w:val="20"/>
        </w:rPr>
        <w:t xml:space="preserve"> domů. </w:t>
      </w:r>
      <w:r>
        <w:rPr>
          <w:rFonts w:cs="Arial"/>
          <w:szCs w:val="20"/>
        </w:rPr>
        <w:t>V naprosté většině šlo o obydlené domy (98 217 domů), z nichž 62,3 % byly rodinné domy a 35 % bytové domy. Neobydlených domů pak bylo 7,5 %.</w:t>
      </w:r>
    </w:p>
    <w:p w14:paraId="381D5985" w14:textId="77777777" w:rsidR="00264F6C" w:rsidRDefault="00264F6C" w:rsidP="00264F6C">
      <w:pPr>
        <w:rPr>
          <w:rFonts w:cs="Arial"/>
          <w:szCs w:val="20"/>
        </w:rPr>
      </w:pPr>
    </w:p>
    <w:p w14:paraId="59001583" w14:textId="29ACDEF6" w:rsidR="00931B05" w:rsidRPr="00931B05" w:rsidRDefault="00916790" w:rsidP="00264F6C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Tab. 7.1.1 Domovní fond v h</w:t>
      </w:r>
      <w:r w:rsidR="00931B05" w:rsidRPr="00931B05">
        <w:rPr>
          <w:rFonts w:cs="Arial"/>
          <w:b/>
          <w:szCs w:val="20"/>
        </w:rPr>
        <w:t>l. m. Praze, Středočeském kraji a České republice</w:t>
      </w:r>
    </w:p>
    <w:p w14:paraId="73462664" w14:textId="77777777" w:rsidR="00264F6C" w:rsidRDefault="00D33A90" w:rsidP="00264F6C">
      <w:pPr>
        <w:jc w:val="center"/>
        <w:rPr>
          <w:rFonts w:cs="Arial"/>
          <w:szCs w:val="20"/>
        </w:rPr>
      </w:pPr>
      <w:r w:rsidRPr="00D33A90">
        <w:rPr>
          <w:rFonts w:cs="Arial"/>
          <w:noProof/>
          <w:szCs w:val="20"/>
        </w:rPr>
        <w:drawing>
          <wp:inline distT="0" distB="0" distL="0" distR="0" wp14:anchorId="1DB44C17" wp14:editId="28D7C25C">
            <wp:extent cx="6120130" cy="1425496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BC86E" w14:textId="77777777" w:rsidR="00264F6C" w:rsidRDefault="00264F6C" w:rsidP="00264F6C">
      <w:pPr>
        <w:rPr>
          <w:rFonts w:cs="Arial"/>
          <w:szCs w:val="20"/>
        </w:rPr>
      </w:pPr>
    </w:p>
    <w:p w14:paraId="418518C6" w14:textId="77777777" w:rsidR="00264F6C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lastRenderedPageBreak/>
        <w:t xml:space="preserve">Zástavba </w:t>
      </w:r>
      <w:r w:rsidRPr="007F43CB">
        <w:rPr>
          <w:rFonts w:cs="Arial"/>
          <w:szCs w:val="20"/>
        </w:rPr>
        <w:t xml:space="preserve">Prahy má ve srovnání s ostatními kraji </w:t>
      </w:r>
      <w:r>
        <w:rPr>
          <w:rFonts w:cs="Arial"/>
          <w:szCs w:val="20"/>
        </w:rPr>
        <w:t>specifický</w:t>
      </w:r>
      <w:r w:rsidRPr="007F43CB">
        <w:rPr>
          <w:rFonts w:cs="Arial"/>
          <w:szCs w:val="20"/>
        </w:rPr>
        <w:t xml:space="preserve"> chara</w:t>
      </w:r>
      <w:r>
        <w:rPr>
          <w:rFonts w:cs="Arial"/>
          <w:szCs w:val="20"/>
        </w:rPr>
        <w:t>kter. Tato neobvyklost</w:t>
      </w:r>
      <w:r w:rsidRPr="007F43CB">
        <w:rPr>
          <w:rFonts w:cs="Arial"/>
          <w:szCs w:val="20"/>
        </w:rPr>
        <w:t xml:space="preserve"> je způsobena tím, že </w:t>
      </w:r>
      <w:r>
        <w:rPr>
          <w:rFonts w:cs="Arial"/>
          <w:szCs w:val="20"/>
        </w:rPr>
        <w:t>většinu</w:t>
      </w:r>
      <w:r w:rsidRPr="007F43CB">
        <w:rPr>
          <w:rFonts w:cs="Arial"/>
          <w:szCs w:val="20"/>
        </w:rPr>
        <w:t xml:space="preserve"> území kra</w:t>
      </w:r>
      <w:r>
        <w:rPr>
          <w:rFonts w:cs="Arial"/>
          <w:szCs w:val="20"/>
        </w:rPr>
        <w:t xml:space="preserve">je tvoří městská zástavba. Z toho vyplývá </w:t>
      </w:r>
      <w:r w:rsidRPr="007F43CB">
        <w:rPr>
          <w:rFonts w:cs="Arial"/>
          <w:szCs w:val="20"/>
        </w:rPr>
        <w:t>složení domovního fondu, souvisí s ní</w:t>
      </w:r>
      <w:r>
        <w:rPr>
          <w:rFonts w:cs="Arial"/>
          <w:szCs w:val="20"/>
        </w:rPr>
        <w:t xml:space="preserve"> míra obydlenosti domů a další </w:t>
      </w:r>
      <w:r w:rsidRPr="007F43CB">
        <w:rPr>
          <w:rFonts w:cs="Arial"/>
          <w:szCs w:val="20"/>
        </w:rPr>
        <w:t>charakteristiky.</w:t>
      </w:r>
    </w:p>
    <w:p w14:paraId="2A144497" w14:textId="77777777" w:rsidR="00264F6C" w:rsidRDefault="00264F6C" w:rsidP="00264F6C">
      <w:pPr>
        <w:rPr>
          <w:rFonts w:cs="Arial"/>
          <w:szCs w:val="20"/>
        </w:rPr>
      </w:pPr>
    </w:p>
    <w:p w14:paraId="66981478" w14:textId="77777777" w:rsidR="00264F6C" w:rsidRDefault="00264F6C" w:rsidP="00264F6C">
      <w:pPr>
        <w:rPr>
          <w:rFonts w:cs="Arial"/>
          <w:szCs w:val="20"/>
        </w:rPr>
      </w:pPr>
      <w:r w:rsidRPr="0026765A">
        <w:rPr>
          <w:rFonts w:cs="Arial"/>
          <w:szCs w:val="20"/>
        </w:rPr>
        <w:t>V třídění podle druhu domu bylo v Praz</w:t>
      </w:r>
      <w:r>
        <w:rPr>
          <w:rFonts w:cs="Arial"/>
          <w:szCs w:val="20"/>
        </w:rPr>
        <w:t xml:space="preserve">e ve srovnání s ostatními kraji </w:t>
      </w:r>
      <w:r w:rsidRPr="0026765A">
        <w:rPr>
          <w:rFonts w:cs="Arial"/>
          <w:szCs w:val="20"/>
        </w:rPr>
        <w:t xml:space="preserve">i s celorepublikovým průměrem výrazně </w:t>
      </w:r>
      <w:r>
        <w:rPr>
          <w:rFonts w:cs="Arial"/>
          <w:szCs w:val="20"/>
        </w:rPr>
        <w:t xml:space="preserve">vyšší zastoupení bytových domů, </w:t>
      </w:r>
      <w:r w:rsidRPr="0026765A">
        <w:rPr>
          <w:rFonts w:cs="Arial"/>
          <w:szCs w:val="20"/>
        </w:rPr>
        <w:t xml:space="preserve">kterých byla v Praze </w:t>
      </w:r>
      <w:r>
        <w:rPr>
          <w:rFonts w:cs="Arial"/>
          <w:szCs w:val="20"/>
        </w:rPr>
        <w:t>více než</w:t>
      </w:r>
      <w:r w:rsidRPr="0026765A">
        <w:rPr>
          <w:rFonts w:cs="Arial"/>
          <w:szCs w:val="20"/>
        </w:rPr>
        <w:t xml:space="preserve"> třetina. V ČR cel</w:t>
      </w:r>
      <w:r>
        <w:rPr>
          <w:rFonts w:cs="Arial"/>
          <w:szCs w:val="20"/>
        </w:rPr>
        <w:t xml:space="preserve">kem byla bytových domů desetina (10,6 %) </w:t>
      </w:r>
      <w:r w:rsidRPr="0026765A">
        <w:rPr>
          <w:rFonts w:cs="Arial"/>
          <w:szCs w:val="20"/>
        </w:rPr>
        <w:t xml:space="preserve">a v sousedním Středočeském kraji </w:t>
      </w:r>
      <w:r>
        <w:rPr>
          <w:rFonts w:cs="Arial"/>
          <w:szCs w:val="20"/>
        </w:rPr>
        <w:t>dosáhlo</w:t>
      </w:r>
      <w:r w:rsidRPr="0026765A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zastoupení bytových domů pouze 5,9 %</w:t>
      </w:r>
      <w:r w:rsidRPr="0026765A">
        <w:rPr>
          <w:rFonts w:cs="Arial"/>
          <w:szCs w:val="20"/>
        </w:rPr>
        <w:t>. Oproti celorepublikové hodnotě je</w:t>
      </w:r>
      <w:r>
        <w:rPr>
          <w:rFonts w:cs="Arial"/>
          <w:szCs w:val="20"/>
        </w:rPr>
        <w:t xml:space="preserve"> </w:t>
      </w:r>
      <w:r w:rsidRPr="0026765A">
        <w:rPr>
          <w:rFonts w:cs="Arial"/>
          <w:szCs w:val="20"/>
        </w:rPr>
        <w:t xml:space="preserve">v Praze zvýšený i podíl ostatních budov, kterých zde bylo </w:t>
      </w:r>
      <w:r>
        <w:rPr>
          <w:rFonts w:cs="Arial"/>
          <w:szCs w:val="20"/>
        </w:rPr>
        <w:t>2,7</w:t>
      </w:r>
      <w:r w:rsidRPr="0026765A">
        <w:rPr>
          <w:rFonts w:cs="Arial"/>
          <w:szCs w:val="20"/>
        </w:rPr>
        <w:t xml:space="preserve"> % ze všech domů</w:t>
      </w:r>
      <w:r>
        <w:rPr>
          <w:rFonts w:cs="Arial"/>
          <w:szCs w:val="20"/>
        </w:rPr>
        <w:t xml:space="preserve"> </w:t>
      </w:r>
      <w:r w:rsidRPr="0026765A">
        <w:rPr>
          <w:rFonts w:cs="Arial"/>
          <w:szCs w:val="20"/>
        </w:rPr>
        <w:t xml:space="preserve">podléhajících sčítání. To je o </w:t>
      </w:r>
      <w:r>
        <w:rPr>
          <w:rFonts w:cs="Arial"/>
          <w:szCs w:val="20"/>
        </w:rPr>
        <w:t>0,9 procentního bodu více</w:t>
      </w:r>
      <w:r w:rsidRPr="0026765A">
        <w:rPr>
          <w:rFonts w:cs="Arial"/>
          <w:szCs w:val="20"/>
        </w:rPr>
        <w:t xml:space="preserve"> než</w:t>
      </w:r>
      <w:r>
        <w:rPr>
          <w:rFonts w:cs="Arial"/>
          <w:szCs w:val="20"/>
        </w:rPr>
        <w:t xml:space="preserve"> v ČR celkem a o 1,2 p. b. </w:t>
      </w:r>
      <w:proofErr w:type="gramStart"/>
      <w:r>
        <w:rPr>
          <w:rFonts w:cs="Arial"/>
          <w:szCs w:val="20"/>
        </w:rPr>
        <w:t>více</w:t>
      </w:r>
      <w:proofErr w:type="gramEnd"/>
      <w:r>
        <w:rPr>
          <w:rFonts w:cs="Arial"/>
          <w:szCs w:val="20"/>
        </w:rPr>
        <w:t>, než ve Středočeském kraji.</w:t>
      </w:r>
    </w:p>
    <w:p w14:paraId="73562199" w14:textId="77777777" w:rsidR="00264F6C" w:rsidRDefault="00264F6C" w:rsidP="00264F6C">
      <w:pPr>
        <w:rPr>
          <w:rFonts w:cs="Arial"/>
          <w:szCs w:val="20"/>
        </w:rPr>
      </w:pPr>
    </w:p>
    <w:p w14:paraId="4A53DAE6" w14:textId="0EEC75BB" w:rsidR="00264F6C" w:rsidRPr="00D3368C" w:rsidRDefault="00264F6C" w:rsidP="00264F6C">
      <w:pPr>
        <w:rPr>
          <w:rFonts w:cs="Arial"/>
          <w:b/>
          <w:szCs w:val="20"/>
        </w:rPr>
      </w:pPr>
      <w:r w:rsidRPr="00D3368C">
        <w:rPr>
          <w:rFonts w:cs="Arial"/>
          <w:b/>
          <w:szCs w:val="20"/>
        </w:rPr>
        <w:t>Graf 7.1 Obydlené domy podle období výstavby ne</w:t>
      </w:r>
      <w:r w:rsidR="00916790">
        <w:rPr>
          <w:rFonts w:cs="Arial"/>
          <w:b/>
          <w:szCs w:val="20"/>
        </w:rPr>
        <w:t>bo rekonstrukce a druhu domu v h</w:t>
      </w:r>
      <w:r w:rsidRPr="00D3368C">
        <w:rPr>
          <w:rFonts w:cs="Arial"/>
          <w:b/>
          <w:szCs w:val="20"/>
        </w:rPr>
        <w:t>l. m. Praze</w:t>
      </w:r>
    </w:p>
    <w:p w14:paraId="0E018E30" w14:textId="77777777" w:rsidR="00264F6C" w:rsidRPr="0061344D" w:rsidRDefault="00264F6C" w:rsidP="00264F6C">
      <w:pPr>
        <w:jc w:val="center"/>
        <w:rPr>
          <w:rFonts w:cs="Arial"/>
          <w:b/>
          <w:szCs w:val="20"/>
        </w:rPr>
      </w:pPr>
      <w:r w:rsidRPr="0061344D">
        <w:rPr>
          <w:rFonts w:cs="Arial"/>
          <w:b/>
          <w:noProof/>
          <w:szCs w:val="20"/>
        </w:rPr>
        <w:drawing>
          <wp:inline distT="0" distB="0" distL="0" distR="0" wp14:anchorId="7847F924" wp14:editId="7C2DE358">
            <wp:extent cx="5753100" cy="1933575"/>
            <wp:effectExtent l="0" t="0" r="0" b="952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878BD" w14:textId="77777777" w:rsidR="00264F6C" w:rsidRDefault="00264F6C" w:rsidP="00264F6C">
      <w:pPr>
        <w:rPr>
          <w:rFonts w:cs="Arial"/>
          <w:szCs w:val="20"/>
        </w:rPr>
      </w:pPr>
    </w:p>
    <w:p w14:paraId="7BFCD86D" w14:textId="49B4887C" w:rsidR="00264F6C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>V Praze se nachází obydlené domy s byty (97 925), jež mají různé období své výstavby. K největšímu stavebnímu rozvoji Prahy došlo v letech 1920-1945</w:t>
      </w:r>
      <w:r w:rsidR="00414CD9" w:rsidRPr="009518F6">
        <w:rPr>
          <w:rFonts w:cs="Arial"/>
          <w:szCs w:val="20"/>
        </w:rPr>
        <w:t>. Z této doby máme v bytovém fondu Prahy</w:t>
      </w:r>
      <w:r w:rsidRPr="009518F6">
        <w:rPr>
          <w:rFonts w:cs="Arial"/>
          <w:szCs w:val="20"/>
        </w:rPr>
        <w:t xml:space="preserve"> </w:t>
      </w:r>
      <w:r w:rsidR="00414CD9" w:rsidRPr="009518F6">
        <w:rPr>
          <w:rFonts w:cs="Arial"/>
          <w:szCs w:val="20"/>
        </w:rPr>
        <w:t xml:space="preserve">celkem </w:t>
      </w:r>
      <w:r w:rsidRPr="009518F6">
        <w:rPr>
          <w:rFonts w:cs="Arial"/>
          <w:szCs w:val="20"/>
        </w:rPr>
        <w:t>24</w:t>
      </w:r>
      <w:r w:rsidR="00414CD9" w:rsidRPr="009518F6">
        <w:rPr>
          <w:rFonts w:cs="Arial"/>
          <w:szCs w:val="20"/>
        </w:rPr>
        <w:t> </w:t>
      </w:r>
      <w:r w:rsidRPr="009518F6">
        <w:rPr>
          <w:rFonts w:cs="Arial"/>
          <w:szCs w:val="20"/>
        </w:rPr>
        <w:t>599</w:t>
      </w:r>
      <w:r w:rsidR="00414CD9" w:rsidRPr="009518F6">
        <w:rPr>
          <w:rFonts w:cs="Arial"/>
          <w:szCs w:val="20"/>
        </w:rPr>
        <w:t xml:space="preserve"> domů</w:t>
      </w:r>
      <w:r w:rsidRPr="009518F6">
        <w:rPr>
          <w:rFonts w:cs="Arial"/>
          <w:szCs w:val="20"/>
        </w:rPr>
        <w:t>, což tvoří plnou čtvrtinu (25,8 %) všech obydlených budov v Praze. Druhá nejrozsáhlejší výstavba byla zaznamenána v letech 2001-2010, kdy bylo postaveno</w:t>
      </w:r>
      <w:r>
        <w:rPr>
          <w:rFonts w:cs="Arial"/>
          <w:szCs w:val="20"/>
        </w:rPr>
        <w:t xml:space="preserve"> 13 367 budov (14 %). Naopak nejmenší výstavby proběhly v letech 2011 a později, kdy bylo zbudováno 8 303 budov (8,7 %), a zároveň v letech 1981-1990, kdy to bylo 8 332 budov (8,7 %). V případě obydlených rodinných domů s byty je situace obdobná. Nejvíce budov bylo vystavěno v obdobích 1920-1945 (16 335 budov, 27,4 %) a 2001-2010 (10 094 budov, 16,9 %). Nejmenší výstavba proběhla před rokem 1919 (3 040 budov, 5,1 %) a v let</w:t>
      </w:r>
      <w:r w:rsidR="00916790">
        <w:rPr>
          <w:rFonts w:cs="Arial"/>
          <w:szCs w:val="20"/>
        </w:rPr>
        <w:t>ech 1981-1990 (4 448 budov, 7,5 </w:t>
      </w:r>
      <w:r>
        <w:rPr>
          <w:rFonts w:cs="Arial"/>
          <w:szCs w:val="20"/>
        </w:rPr>
        <w:t>%). U obydlených domů s byty v bytových domech je situace trochu odlišná. Nejintenzivnější výstavba proběhla v letech 1920-1945 (7 995 budov, 23,5 %) a v letech 1946-1970 (5 950 budov, 17,5 %). Nejmenší naopak byla v letech 1991-2000 (2 167 budov, 6,4 %) a od roku 2011 (1 736 budov, 5,1 %). V období před rokem 1945 bylo celkově zbudováno 33 889 domů s byty (35,5 %). V období tzv. Třetí republiky a období komunistické vlády v letech 1946-1990 bylo celkem vystavěno 30 833 domů s byty (32,3 %). V porevolučních letech</w:t>
      </w:r>
      <w:r w:rsidR="00F15718">
        <w:rPr>
          <w:rFonts w:cs="Arial"/>
          <w:szCs w:val="20"/>
        </w:rPr>
        <w:t xml:space="preserve"> od roku 1991</w:t>
      </w:r>
      <w:r w:rsidR="00BA610E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bylo vystavěno 30 739 domů s byty (32,2 %). Hlavním podstatným rozdílem však je, že zatímco v prvních dvou výše zmíněných epochách byla výstavba mnohem více zaměřena i na obydlené bytové domy s byty (19 375 domů v RD na 13 905 domů v BD, respektive 17 044 domů v RD na 13 282 domů v BD), tak v případě výstavby po roce 1991 byla výstavba jednoznačně realizována zejména u obydlených rodinných domů s byty (23 160 domů v RD na 6 835 domů v BD). V případě obydlených domů s byty v ostatních budovách proběhla největší výstavba v letech 2001-2010 (341 budov, 18,3 %) a před rokem 1919, kdy to bylo 340 budov (18,3 %). Nejméně jich pak bylo postaveno v letech 1971-1980 (143 budov, 7,7 %) a od roku 2011 (170 budov, 9,1 %). Průměrné stáří obydlených domů v Praze činilo 56,7 let. U rodinných domů to pak bylo 51,4 let a u bytových domů 66 let.</w:t>
      </w:r>
    </w:p>
    <w:p w14:paraId="2E07D1D9" w14:textId="77777777" w:rsidR="00264F6C" w:rsidRDefault="00264F6C" w:rsidP="00264F6C">
      <w:pPr>
        <w:rPr>
          <w:rFonts w:cs="Arial"/>
          <w:szCs w:val="20"/>
        </w:rPr>
      </w:pPr>
    </w:p>
    <w:p w14:paraId="7D0A3C3C" w14:textId="77777777" w:rsidR="00EA33E3" w:rsidRPr="00EA33E3" w:rsidRDefault="00EA33E3" w:rsidP="00264F6C">
      <w:pPr>
        <w:rPr>
          <w:rFonts w:cs="Arial"/>
          <w:b/>
          <w:szCs w:val="20"/>
        </w:rPr>
      </w:pPr>
      <w:r w:rsidRPr="00EA33E3">
        <w:rPr>
          <w:rFonts w:cs="Arial"/>
          <w:b/>
          <w:szCs w:val="20"/>
        </w:rPr>
        <w:t>Tab. 7.1.2 Obydlené domy s byty podle stáří a druhu domu</w:t>
      </w:r>
    </w:p>
    <w:p w14:paraId="0CB5B1CD" w14:textId="199134F0" w:rsidR="00264F6C" w:rsidRDefault="00E86432" w:rsidP="00264F6C">
      <w:pPr>
        <w:jc w:val="center"/>
        <w:rPr>
          <w:rFonts w:cs="Arial"/>
          <w:szCs w:val="20"/>
        </w:rPr>
      </w:pPr>
      <w:r w:rsidRPr="00E86432">
        <w:rPr>
          <w:rFonts w:cs="Arial"/>
          <w:noProof/>
          <w:szCs w:val="20"/>
        </w:rPr>
        <w:drawing>
          <wp:inline distT="0" distB="0" distL="0" distR="0" wp14:anchorId="07779E2F" wp14:editId="12FC2441">
            <wp:extent cx="6120130" cy="2812979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1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89F12" w14:textId="77777777" w:rsidR="00301FDD" w:rsidRDefault="00301FDD" w:rsidP="00264F6C">
      <w:pPr>
        <w:jc w:val="center"/>
        <w:rPr>
          <w:rFonts w:cs="Arial"/>
          <w:szCs w:val="20"/>
        </w:rPr>
      </w:pPr>
    </w:p>
    <w:p w14:paraId="6D25224A" w14:textId="0F98DEE3" w:rsidR="00301FDD" w:rsidRPr="00301FDD" w:rsidRDefault="00301FDD" w:rsidP="00301FDD">
      <w:pPr>
        <w:spacing w:after="0"/>
        <w:jc w:val="left"/>
        <w:rPr>
          <w:rFonts w:cs="Arial"/>
          <w:b/>
          <w:szCs w:val="20"/>
        </w:rPr>
      </w:pPr>
      <w:r w:rsidRPr="00301FDD">
        <w:rPr>
          <w:rFonts w:cs="Arial"/>
          <w:b/>
          <w:szCs w:val="20"/>
        </w:rPr>
        <w:t>Kartogram 7.1 Obydlené domy s obdobím výstavby nebo rekonstrukce mezi lety 2001-2010 v městských částech hl. m. Prahy</w:t>
      </w:r>
    </w:p>
    <w:p w14:paraId="19DA8C31" w14:textId="77777777" w:rsidR="00B834E6" w:rsidRDefault="00B834E6" w:rsidP="00301FDD">
      <w:pPr>
        <w:jc w:val="left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6E078769" wp14:editId="68944560">
            <wp:extent cx="6028841" cy="4356642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my2001_1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8" t="7879" r="7043" b="2931"/>
                    <a:stretch/>
                  </pic:blipFill>
                  <pic:spPr bwMode="auto">
                    <a:xfrm>
                      <a:off x="0" y="0"/>
                      <a:ext cx="6045020" cy="436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47C84" w14:textId="5C73ABA0" w:rsidR="00016ED4" w:rsidRDefault="00016ED4" w:rsidP="00016ED4">
      <w:pPr>
        <w:rPr>
          <w:szCs w:val="20"/>
        </w:rPr>
      </w:pPr>
      <w:r>
        <w:rPr>
          <w:szCs w:val="20"/>
        </w:rPr>
        <w:t>Nejvyšší procentuální podíly obydlených domů postavených nebo zrekonstruovaných v letech 2001-2010 můžeme v Praze najít v městských částech Praha</w:t>
      </w:r>
      <w:r w:rsidR="00414CD9">
        <w:rPr>
          <w:szCs w:val="20"/>
        </w:rPr>
        <w:t>-Křeslice (57,8 %), Praha-Satalice (44,6 %), Praha-Šeberov (38,2 %) a dalších okrajových částech Prahy.</w:t>
      </w:r>
      <w:r>
        <w:rPr>
          <w:szCs w:val="20"/>
        </w:rPr>
        <w:t xml:space="preserve"> Naopak nejméně jich najdeme v historických částech Prahy, jako jsou Praha 1 </w:t>
      </w:r>
      <w:r w:rsidR="00414CD9">
        <w:rPr>
          <w:szCs w:val="20"/>
        </w:rPr>
        <w:t>(2,7 %), Praha 2 (3,5 %) a Praha 3 (4,4 %).</w:t>
      </w:r>
    </w:p>
    <w:p w14:paraId="43A7373D" w14:textId="58F6F167" w:rsidR="00301FDD" w:rsidRPr="00916790" w:rsidRDefault="00301FDD" w:rsidP="00916790">
      <w:pPr>
        <w:spacing w:before="0" w:after="0" w:line="240" w:lineRule="auto"/>
        <w:jc w:val="left"/>
        <w:rPr>
          <w:szCs w:val="20"/>
        </w:rPr>
      </w:pPr>
      <w:r>
        <w:rPr>
          <w:szCs w:val="20"/>
        </w:rPr>
        <w:br w:type="page"/>
      </w:r>
      <w:r w:rsidRPr="00301FDD">
        <w:rPr>
          <w:rFonts w:cs="Arial"/>
          <w:b/>
          <w:szCs w:val="20"/>
        </w:rPr>
        <w:t>Kartogram 7.2 Obydlené domy s obdobím výstavby nebo rekonstrukce po roce 2011 v městských částech hl. m. Prahy</w:t>
      </w:r>
    </w:p>
    <w:p w14:paraId="14F98C3A" w14:textId="77777777" w:rsidR="00B834E6" w:rsidRDefault="00B834E6" w:rsidP="00301FDD">
      <w:pPr>
        <w:jc w:val="left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60ADD99E" wp14:editId="4C2FF8D3">
            <wp:extent cx="6058990" cy="4186157"/>
            <wp:effectExtent l="0" t="0" r="0" b="508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my201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8613" r="6778" b="5609"/>
                    <a:stretch/>
                  </pic:blipFill>
                  <pic:spPr bwMode="auto">
                    <a:xfrm>
                      <a:off x="0" y="0"/>
                      <a:ext cx="6071999" cy="419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8913E" w14:textId="1D32A793" w:rsidR="00016ED4" w:rsidRDefault="00016ED4" w:rsidP="00264F6C">
      <w:pPr>
        <w:rPr>
          <w:szCs w:val="20"/>
        </w:rPr>
      </w:pPr>
      <w:r>
        <w:rPr>
          <w:szCs w:val="20"/>
        </w:rPr>
        <w:t>V případě obydlených domů postavených nebo zrekonstruovaných po roce 2011 je situace podobná. Největší podíly připadaly na periferní městské části</w:t>
      </w:r>
      <w:r w:rsidR="00EA1217">
        <w:rPr>
          <w:szCs w:val="20"/>
        </w:rPr>
        <w:t>,</w:t>
      </w:r>
      <w:r>
        <w:rPr>
          <w:szCs w:val="20"/>
        </w:rPr>
        <w:t xml:space="preserve"> jako jsou </w:t>
      </w:r>
      <w:r w:rsidR="00EA1217">
        <w:rPr>
          <w:szCs w:val="20"/>
        </w:rPr>
        <w:t>Praha-Březiněves (36,8 %), Praha-Královice (31,8 %), Praha-Řeporyje (25,0 %) a další okrajové městské části.</w:t>
      </w:r>
      <w:r>
        <w:rPr>
          <w:szCs w:val="20"/>
        </w:rPr>
        <w:t xml:space="preserve"> Nejmenší podíly byly zaznamenány </w:t>
      </w:r>
      <w:r w:rsidR="00916790">
        <w:rPr>
          <w:szCs w:val="20"/>
        </w:rPr>
        <w:t>v</w:t>
      </w:r>
      <w:r>
        <w:rPr>
          <w:szCs w:val="20"/>
        </w:rPr>
        <w:t xml:space="preserve"> Praze 1</w:t>
      </w:r>
      <w:r w:rsidR="00916790">
        <w:rPr>
          <w:szCs w:val="20"/>
        </w:rPr>
        <w:t xml:space="preserve"> (1,1 </w:t>
      </w:r>
      <w:r w:rsidR="00EA1217">
        <w:rPr>
          <w:szCs w:val="20"/>
        </w:rPr>
        <w:t>%), Praze 2 (1,8 %)</w:t>
      </w:r>
      <w:r w:rsidR="008C697A">
        <w:rPr>
          <w:szCs w:val="20"/>
        </w:rPr>
        <w:t xml:space="preserve"> a</w:t>
      </w:r>
      <w:r w:rsidR="00EA1217">
        <w:rPr>
          <w:szCs w:val="20"/>
        </w:rPr>
        <w:t xml:space="preserve"> Praze 17 (2,2 %, sídliště Řepy)</w:t>
      </w:r>
      <w:r>
        <w:rPr>
          <w:szCs w:val="20"/>
        </w:rPr>
        <w:t>.</w:t>
      </w:r>
    </w:p>
    <w:p w14:paraId="4B98DDBA" w14:textId="77777777" w:rsidR="00016ED4" w:rsidRDefault="00016ED4" w:rsidP="00264F6C">
      <w:pPr>
        <w:rPr>
          <w:rFonts w:cs="Arial"/>
          <w:szCs w:val="20"/>
        </w:rPr>
      </w:pPr>
    </w:p>
    <w:p w14:paraId="255B5F6A" w14:textId="2B29CE08" w:rsidR="009518F6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 xml:space="preserve">Naprostá většina obydlených domů s byty je </w:t>
      </w:r>
      <w:r w:rsidR="00EA1217">
        <w:rPr>
          <w:rFonts w:cs="Arial"/>
          <w:szCs w:val="20"/>
        </w:rPr>
        <w:t xml:space="preserve">ve </w:t>
      </w:r>
      <w:r>
        <w:rPr>
          <w:rFonts w:cs="Arial"/>
          <w:szCs w:val="20"/>
        </w:rPr>
        <w:t>vlastnictví fyzické osoby (68,1 %), případně ve spoluvlastnictví vlastníků bytů, neboli jednotek (21,9 %). V těchto dvou formách vlastnictví je v Praze 90 % obydlených domů s byty. Zbytek zahrnuje vlastnictví bytového družstva, obce, státu, jiné právnické osoby nebo kombinace vlastníků. U rodinných domů tvoří dominantní podíl vlastníků fyzická osoba (95,5 %). Naopak v případě bytových domů výrazně převažuje spoluvlastnictví vlastníků bytů (60,2 % všech bytů v bytových domech), zatímco fyzické osoby vlastnily pouze 21,9 %. Největší podíl vlastníků jako fyzické osoby je u domů z let 1920-1945 (29,7 %). Spoluvlastnictví vlastníků bytů (jednotek) je pak nejčastěji u domů vystavěných v letech 1946-1970 (20,6 %). Obec a stát má největší podíl v domech z období před skončením druhé světové války (v roce 1919 a dříve to bylo 26,9 % a v letech 1920-1945 to bylo 23,4 %), zatímco kombinace vlastníků je pak nejčastějším jevem u novějších domů z let 2001-2010 (21,8 %), následovanými opět domy postavený</w:t>
      </w:r>
      <w:r w:rsidR="00EA1217">
        <w:rPr>
          <w:rFonts w:cs="Arial"/>
          <w:szCs w:val="20"/>
        </w:rPr>
        <w:t>mi</w:t>
      </w:r>
      <w:r>
        <w:rPr>
          <w:rFonts w:cs="Arial"/>
          <w:szCs w:val="20"/>
        </w:rPr>
        <w:t xml:space="preserve"> před skončením druhé světové války.</w:t>
      </w:r>
    </w:p>
    <w:p w14:paraId="7DD1E357" w14:textId="0C247856" w:rsidR="00F90EF0" w:rsidRDefault="00F90EF0">
      <w:pPr>
        <w:spacing w:before="0" w:after="0" w:line="240" w:lineRule="auto"/>
        <w:jc w:val="left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2AAF8159" w14:textId="16F55C88" w:rsidR="00EA33E3" w:rsidRPr="00EA33E3" w:rsidRDefault="00EA33E3" w:rsidP="00264F6C">
      <w:pPr>
        <w:rPr>
          <w:rFonts w:cs="Arial"/>
          <w:b/>
          <w:szCs w:val="20"/>
        </w:rPr>
      </w:pPr>
      <w:r w:rsidRPr="00EA33E3">
        <w:rPr>
          <w:rFonts w:cs="Arial"/>
          <w:b/>
          <w:szCs w:val="20"/>
        </w:rPr>
        <w:t>Tab. 7.1.3 Obydlené domy s byty podle druhu, stáří a vlastníka domu</w:t>
      </w:r>
    </w:p>
    <w:p w14:paraId="2A0204A2" w14:textId="77777777" w:rsidR="00264F6C" w:rsidRDefault="00A276FB" w:rsidP="00264F6C">
      <w:pPr>
        <w:jc w:val="center"/>
        <w:rPr>
          <w:rFonts w:cs="Arial"/>
          <w:szCs w:val="20"/>
        </w:rPr>
      </w:pPr>
      <w:r w:rsidRPr="00A276FB">
        <w:rPr>
          <w:rFonts w:cs="Arial"/>
          <w:noProof/>
          <w:szCs w:val="20"/>
        </w:rPr>
        <w:drawing>
          <wp:inline distT="0" distB="0" distL="0" distR="0" wp14:anchorId="0D24B5CF" wp14:editId="545F7999">
            <wp:extent cx="6120130" cy="225228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5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87167" w14:textId="77777777" w:rsidR="00264F6C" w:rsidRDefault="00264F6C" w:rsidP="00264F6C">
      <w:pPr>
        <w:rPr>
          <w:rFonts w:cs="Arial"/>
          <w:szCs w:val="20"/>
        </w:rPr>
      </w:pPr>
    </w:p>
    <w:p w14:paraId="69A338E2" w14:textId="5B457D1D" w:rsidR="00264F6C" w:rsidRPr="00530E67" w:rsidRDefault="00264F6C" w:rsidP="00264F6C">
      <w:pPr>
        <w:rPr>
          <w:rFonts w:cs="Arial"/>
          <w:b/>
          <w:szCs w:val="20"/>
        </w:rPr>
      </w:pPr>
      <w:r w:rsidRPr="00530E67">
        <w:rPr>
          <w:rFonts w:cs="Arial"/>
          <w:b/>
          <w:szCs w:val="20"/>
        </w:rPr>
        <w:t>Graf 7.2 Obydle</w:t>
      </w:r>
      <w:r w:rsidR="00916790">
        <w:rPr>
          <w:rFonts w:cs="Arial"/>
          <w:b/>
          <w:szCs w:val="20"/>
        </w:rPr>
        <w:t>né domy podle vlastníka domu v h</w:t>
      </w:r>
      <w:r w:rsidRPr="00530E67">
        <w:rPr>
          <w:rFonts w:cs="Arial"/>
          <w:b/>
          <w:szCs w:val="20"/>
        </w:rPr>
        <w:t>l. m. Praze a ČR</w:t>
      </w:r>
    </w:p>
    <w:p w14:paraId="35CA2658" w14:textId="77777777" w:rsidR="00264F6C" w:rsidRPr="0061344D" w:rsidRDefault="00264F6C" w:rsidP="00264F6C">
      <w:pPr>
        <w:jc w:val="center"/>
        <w:rPr>
          <w:rFonts w:cs="Arial"/>
          <w:szCs w:val="20"/>
        </w:rPr>
      </w:pPr>
      <w:r w:rsidRPr="0061344D">
        <w:rPr>
          <w:rFonts w:cs="Arial"/>
          <w:noProof/>
          <w:szCs w:val="20"/>
        </w:rPr>
        <w:drawing>
          <wp:inline distT="0" distB="0" distL="0" distR="0" wp14:anchorId="6DC8D3A5" wp14:editId="4C6C64D1">
            <wp:extent cx="5762625" cy="2057400"/>
            <wp:effectExtent l="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DDB8E" w14:textId="77777777" w:rsidR="00264F6C" w:rsidRDefault="00264F6C" w:rsidP="00264F6C">
      <w:pPr>
        <w:rPr>
          <w:rFonts w:cs="Arial"/>
          <w:szCs w:val="20"/>
        </w:rPr>
      </w:pPr>
    </w:p>
    <w:p w14:paraId="254CAB68" w14:textId="728CC54E" w:rsidR="00264F6C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>Na výstavbu obydlených domů s byty byl nejčastěji použit kámen, cihly nebo tvárnice. Konkrétně takto bylo postaveno 75 925 domů, což představuje 77,5 % všech domů. Dále se také za účelem stavby používaly stěnové panely</w:t>
      </w:r>
      <w:r w:rsidR="00EA1217">
        <w:rPr>
          <w:rFonts w:cs="Arial"/>
          <w:szCs w:val="20"/>
        </w:rPr>
        <w:t>. Tento materiál byl použit u</w:t>
      </w:r>
      <w:r>
        <w:rPr>
          <w:rFonts w:cs="Arial"/>
          <w:szCs w:val="20"/>
        </w:rPr>
        <w:t xml:space="preserve"> 10 778 domů. Ostatní materiály jako například dřevo nebo nepálené cihly představovaly pouze zanedbatelný podíl. Kámen, cihly a tvárnice se využívaly zejména na výstavbu rodinných domů, zatímco stěnové panely se využívaly více na výstavbu bytových domů. Co se týče užívání materiálu v jednotlivých obdobích, tak před rokem 1945 se především využíval kámen, cihly nebo tvárnice (tento materiál byl ze 42,8 % využit právě v tomto období). V této době měly velmi vysoký podíl i domy z nepálených cihel (86,3 %), i když jejich celkové využití v absolutních číslech byl</w:t>
      </w:r>
      <w:r w:rsidR="00916790">
        <w:rPr>
          <w:rFonts w:cs="Arial"/>
          <w:szCs w:val="20"/>
        </w:rPr>
        <w:t>o nepatrné</w:t>
      </w:r>
      <w:r>
        <w:rPr>
          <w:rFonts w:cs="Arial"/>
          <w:szCs w:val="20"/>
        </w:rPr>
        <w:t>. Stěnové panely se jako stavební materiál využívaly zejména v období komunistické vlády, tedy v době, kdy byl</w:t>
      </w:r>
      <w:r w:rsidR="00EA1217">
        <w:rPr>
          <w:rFonts w:cs="Arial"/>
          <w:szCs w:val="20"/>
        </w:rPr>
        <w:t>a</w:t>
      </w:r>
      <w:r>
        <w:rPr>
          <w:rFonts w:cs="Arial"/>
          <w:szCs w:val="20"/>
        </w:rPr>
        <w:t xml:space="preserve"> v Praze budován</w:t>
      </w:r>
      <w:r w:rsidR="00EA1217">
        <w:rPr>
          <w:rFonts w:cs="Arial"/>
          <w:szCs w:val="20"/>
        </w:rPr>
        <w:t>a</w:t>
      </w:r>
      <w:r>
        <w:rPr>
          <w:rFonts w:cs="Arial"/>
          <w:szCs w:val="20"/>
        </w:rPr>
        <w:t xml:space="preserve"> rozsáhlá sídliště jako například Jižní Město na Chodově s tzv. panelovými domy. Toto období let 1946-1990 zahrnovalo 82,7 % všech domů postavených z tohoto typu materiálu. Od roku 1991 pak roste podíl domů vystavěných ze dřeva, nicméně jejich celkový počet je stále zanedbatelný. U domů z tohoto období je významná část domů postavena z ostatních materiálů a kombinace materiálů a z kamene, cihel a tvárnic.</w:t>
      </w:r>
    </w:p>
    <w:p w14:paraId="5B3DD32F" w14:textId="486C654C" w:rsidR="00F90EF0" w:rsidRDefault="00F90EF0">
      <w:pPr>
        <w:spacing w:before="0" w:after="0" w:line="240" w:lineRule="auto"/>
        <w:jc w:val="left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6DDB888A" w14:textId="5C3F0B59" w:rsidR="00EA33E3" w:rsidRPr="00EA33E3" w:rsidRDefault="00EA33E3" w:rsidP="00264F6C">
      <w:pPr>
        <w:rPr>
          <w:rFonts w:cs="Arial"/>
          <w:b/>
          <w:szCs w:val="20"/>
        </w:rPr>
      </w:pPr>
      <w:r w:rsidRPr="00EA33E3">
        <w:rPr>
          <w:rFonts w:cs="Arial"/>
          <w:b/>
          <w:szCs w:val="20"/>
        </w:rPr>
        <w:t>Tab. 7.1.4 Obydlené domy s byty podle druhu, stáří domu a materiálu nosných zdí</w:t>
      </w:r>
    </w:p>
    <w:p w14:paraId="1A120781" w14:textId="77777777" w:rsidR="00264F6C" w:rsidRDefault="00CF133F" w:rsidP="00264F6C">
      <w:pPr>
        <w:jc w:val="center"/>
        <w:rPr>
          <w:rFonts w:cs="Arial"/>
          <w:szCs w:val="20"/>
        </w:rPr>
      </w:pPr>
      <w:r w:rsidRPr="00CF133F">
        <w:rPr>
          <w:rFonts w:cs="Arial"/>
          <w:noProof/>
          <w:szCs w:val="20"/>
        </w:rPr>
        <w:drawing>
          <wp:inline distT="0" distB="0" distL="0" distR="0" wp14:anchorId="756473C6" wp14:editId="29BA6892">
            <wp:extent cx="6120130" cy="221427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1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68C99" w14:textId="77777777" w:rsidR="00264F6C" w:rsidRDefault="00264F6C" w:rsidP="00264F6C">
      <w:pPr>
        <w:rPr>
          <w:rFonts w:cs="Arial"/>
          <w:szCs w:val="20"/>
        </w:rPr>
      </w:pPr>
    </w:p>
    <w:p w14:paraId="363C8DEB" w14:textId="2A68AE2F" w:rsidR="00264F6C" w:rsidRPr="00530E67" w:rsidRDefault="00264F6C" w:rsidP="00264F6C">
      <w:pPr>
        <w:rPr>
          <w:rFonts w:cs="Arial"/>
          <w:b/>
          <w:szCs w:val="20"/>
        </w:rPr>
      </w:pPr>
      <w:r w:rsidRPr="00530E67">
        <w:rPr>
          <w:rFonts w:cs="Arial"/>
          <w:b/>
          <w:szCs w:val="20"/>
        </w:rPr>
        <w:t>Graf 7.3 Obydlené domy podle materi</w:t>
      </w:r>
      <w:r w:rsidR="00916790">
        <w:rPr>
          <w:rFonts w:cs="Arial"/>
          <w:b/>
          <w:szCs w:val="20"/>
        </w:rPr>
        <w:t>álu nosných zdí a druhu domu v h</w:t>
      </w:r>
      <w:r w:rsidRPr="00530E67">
        <w:rPr>
          <w:rFonts w:cs="Arial"/>
          <w:b/>
          <w:szCs w:val="20"/>
        </w:rPr>
        <w:t>l. m. Praze</w:t>
      </w:r>
    </w:p>
    <w:p w14:paraId="4C1D3D06" w14:textId="77777777" w:rsidR="00264F6C" w:rsidRDefault="00264F6C" w:rsidP="00264F6C">
      <w:pPr>
        <w:jc w:val="center"/>
        <w:rPr>
          <w:rFonts w:cs="Arial"/>
          <w:szCs w:val="20"/>
        </w:rPr>
      </w:pPr>
      <w:r w:rsidRPr="007A0F1D">
        <w:rPr>
          <w:rFonts w:cs="Arial"/>
          <w:noProof/>
          <w:szCs w:val="20"/>
        </w:rPr>
        <w:drawing>
          <wp:inline distT="0" distB="0" distL="0" distR="0" wp14:anchorId="6F4A6368" wp14:editId="13D479BB">
            <wp:extent cx="5753100" cy="27432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E20E" w14:textId="77777777" w:rsidR="00134DF4" w:rsidRPr="00710EB3" w:rsidRDefault="00134DF4" w:rsidP="005F3C01"/>
    <w:p w14:paraId="547EE284" w14:textId="77777777" w:rsidR="00CE6C75" w:rsidRDefault="00CE6C75" w:rsidP="00AC2A17">
      <w:pPr>
        <w:pStyle w:val="Nadpis2"/>
      </w:pPr>
      <w:bookmarkStart w:id="2" w:name="_Toc145675431"/>
      <w:r w:rsidRPr="00175AA4">
        <w:t>Charakteristika bytového fondu</w:t>
      </w:r>
      <w:bookmarkEnd w:id="2"/>
    </w:p>
    <w:p w14:paraId="22C4BAF8" w14:textId="77777777" w:rsidR="00710EB3" w:rsidRDefault="00710EB3" w:rsidP="005F3C01"/>
    <w:p w14:paraId="487CCB1C" w14:textId="5B525835" w:rsidR="00F90EF0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>Na základě</w:t>
      </w:r>
      <w:r w:rsidRPr="00A1194C">
        <w:rPr>
          <w:rFonts w:cs="Arial"/>
          <w:szCs w:val="20"/>
        </w:rPr>
        <w:t xml:space="preserve"> SLDB 20</w:t>
      </w:r>
      <w:r>
        <w:rPr>
          <w:rFonts w:cs="Arial"/>
          <w:szCs w:val="20"/>
        </w:rPr>
        <w:t>2</w:t>
      </w:r>
      <w:r w:rsidRPr="00A1194C">
        <w:rPr>
          <w:rFonts w:cs="Arial"/>
          <w:szCs w:val="20"/>
        </w:rPr>
        <w:t>1 b</w:t>
      </w:r>
      <w:r>
        <w:rPr>
          <w:rFonts w:cs="Arial"/>
          <w:szCs w:val="20"/>
        </w:rPr>
        <w:t xml:space="preserve">ylo k 26. 3. 2021 v Praze </w:t>
      </w:r>
      <w:r w:rsidRPr="00A1194C">
        <w:rPr>
          <w:rFonts w:cs="Arial"/>
          <w:szCs w:val="20"/>
        </w:rPr>
        <w:t xml:space="preserve">sečteno </w:t>
      </w:r>
      <w:r>
        <w:rPr>
          <w:rFonts w:cs="Arial"/>
          <w:szCs w:val="20"/>
        </w:rPr>
        <w:t>celkem 721 332 bytů</w:t>
      </w:r>
      <w:r w:rsidRPr="00A1194C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Z toho bylo 627 705 bytů obydleno a 93 627 bytů neobydleno. V procentuálním vyjádření jich bylo obydleno 87 %. V případě obydlených bytů představovalo 86,4 % z nich byty v bytových domech. U neobydlených bytů to bylo 79 % bytů v bytových domech. V Praze tak rozhodně převažují byty v bytových domech nad byty v rodinných domech. To je zcela opačný stav, než v případě sousedního Středočeského kraje, ve kterém převažuje počet bytů v rodinných domech nad byty v bytových domech. V tomto kraji představovaly byty v bytových domech pouze 36,6 % v obydlených domech, respektive 17,3 % v neobydlených domech. Praha má dále menší podíl neobydlených bytů než právě Středočeský kraj i celá Česká republika. Celkově v České republice, stejně jako v Praze, převažují byty v bytových dom</w:t>
      </w:r>
      <w:r w:rsidR="00F90EF0">
        <w:rPr>
          <w:rFonts w:cs="Arial"/>
          <w:szCs w:val="20"/>
        </w:rPr>
        <w:t>ech nad byty v rodinných domech.</w:t>
      </w:r>
    </w:p>
    <w:p w14:paraId="010EC14C" w14:textId="77777777" w:rsidR="00F90EF0" w:rsidRDefault="00F90EF0">
      <w:pPr>
        <w:spacing w:before="0" w:after="0" w:line="240" w:lineRule="auto"/>
        <w:jc w:val="left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7688D7BF" w14:textId="50894F80" w:rsidR="004D085C" w:rsidRPr="004D085C" w:rsidRDefault="00916790" w:rsidP="00264F6C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Tab. 7.2.1 Bytový fond v h</w:t>
      </w:r>
      <w:r w:rsidR="004D085C" w:rsidRPr="004D085C">
        <w:rPr>
          <w:rFonts w:cs="Arial"/>
          <w:b/>
          <w:szCs w:val="20"/>
        </w:rPr>
        <w:t>l. m. Praze, Středočeském kraji a České republice</w:t>
      </w:r>
    </w:p>
    <w:p w14:paraId="261C7AA5" w14:textId="5C7F7451" w:rsidR="00264F6C" w:rsidRDefault="000D19DF" w:rsidP="009518F6">
      <w:pPr>
        <w:jc w:val="center"/>
        <w:rPr>
          <w:rFonts w:cs="Arial"/>
          <w:szCs w:val="20"/>
        </w:rPr>
      </w:pPr>
      <w:r w:rsidRPr="000D19DF">
        <w:rPr>
          <w:rFonts w:cs="Arial"/>
          <w:noProof/>
          <w:szCs w:val="20"/>
        </w:rPr>
        <w:drawing>
          <wp:inline distT="0" distB="0" distL="0" distR="0" wp14:anchorId="594EB29B" wp14:editId="3B26BC93">
            <wp:extent cx="6120130" cy="1425496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E2FCE" w14:textId="4003110A" w:rsidR="00301FDD" w:rsidRPr="00301FDD" w:rsidRDefault="00301FDD" w:rsidP="00301FDD">
      <w:pPr>
        <w:spacing w:after="0"/>
        <w:jc w:val="left"/>
        <w:rPr>
          <w:rFonts w:cs="Arial"/>
          <w:b/>
          <w:szCs w:val="20"/>
        </w:rPr>
      </w:pPr>
      <w:r w:rsidRPr="00301FDD">
        <w:rPr>
          <w:rFonts w:cs="Arial"/>
          <w:b/>
          <w:szCs w:val="20"/>
        </w:rPr>
        <w:t>Kartogram 7.3 Byty v bytových domech v městských částech hl. m. Prahy</w:t>
      </w:r>
    </w:p>
    <w:p w14:paraId="2D99CD35" w14:textId="77777777" w:rsidR="00486654" w:rsidRDefault="00486654" w:rsidP="00301FDD">
      <w:pPr>
        <w:jc w:val="left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581D2C31" wp14:editId="2FF8731D">
            <wp:extent cx="6052088" cy="4460419"/>
            <wp:effectExtent l="0" t="0" r="635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yty_BD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5" t="8955" r="7285" b="3636"/>
                    <a:stretch/>
                  </pic:blipFill>
                  <pic:spPr bwMode="auto">
                    <a:xfrm>
                      <a:off x="0" y="0"/>
                      <a:ext cx="6064810" cy="446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225C0" w14:textId="0FB99A59" w:rsidR="00301FDD" w:rsidRDefault="00486654" w:rsidP="00264F6C">
      <w:pPr>
        <w:rPr>
          <w:szCs w:val="20"/>
        </w:rPr>
      </w:pPr>
      <w:r>
        <w:rPr>
          <w:szCs w:val="20"/>
        </w:rPr>
        <w:t>Největší podíly bytů v bytových domech na celkovém počtu bytů v Praze lze najít především v</w:t>
      </w:r>
      <w:r w:rsidR="00CE1741">
        <w:rPr>
          <w:szCs w:val="20"/>
        </w:rPr>
        <w:t> </w:t>
      </w:r>
      <w:r>
        <w:rPr>
          <w:szCs w:val="20"/>
        </w:rPr>
        <w:t>centr</w:t>
      </w:r>
      <w:r w:rsidR="00CE1741">
        <w:rPr>
          <w:szCs w:val="20"/>
        </w:rPr>
        <w:t>álních částech Prahy</w:t>
      </w:r>
      <w:r>
        <w:rPr>
          <w:szCs w:val="20"/>
        </w:rPr>
        <w:t xml:space="preserve">, konkrétně v městských částech Praha </w:t>
      </w:r>
      <w:r w:rsidR="00CE1741">
        <w:rPr>
          <w:szCs w:val="20"/>
        </w:rPr>
        <w:t>7 (99,2 %)</w:t>
      </w:r>
      <w:r>
        <w:rPr>
          <w:szCs w:val="20"/>
        </w:rPr>
        <w:t>,</w:t>
      </w:r>
      <w:r w:rsidR="00CE1741">
        <w:rPr>
          <w:szCs w:val="20"/>
        </w:rPr>
        <w:t xml:space="preserve"> Praha 2 (98,5 %) a Praha 3 (97,0 %). </w:t>
      </w:r>
      <w:r>
        <w:rPr>
          <w:szCs w:val="20"/>
        </w:rPr>
        <w:t xml:space="preserve"> Naopak nejvyšší podíly bytů v rodinných domech na celkovém počtu bytů v Praze byly zaznamenány na periferiích města, zejména v městských částech </w:t>
      </w:r>
      <w:r w:rsidR="00CE1741">
        <w:rPr>
          <w:szCs w:val="20"/>
        </w:rPr>
        <w:t>Praha-Křeslice (96,2 %), Praha-Přední Kopanina a Praha-Nebušice (obě shodně 93,6 %) či Praha-Benice (92,6 %)</w:t>
      </w:r>
      <w:r>
        <w:rPr>
          <w:szCs w:val="20"/>
        </w:rPr>
        <w:t>.</w:t>
      </w:r>
    </w:p>
    <w:p w14:paraId="5E630326" w14:textId="77777777" w:rsidR="00301FDD" w:rsidRDefault="00301FDD">
      <w:pPr>
        <w:spacing w:before="0" w:after="0" w:line="240" w:lineRule="auto"/>
        <w:jc w:val="left"/>
        <w:rPr>
          <w:szCs w:val="20"/>
        </w:rPr>
      </w:pPr>
      <w:r>
        <w:rPr>
          <w:szCs w:val="20"/>
        </w:rPr>
        <w:br w:type="page"/>
      </w:r>
    </w:p>
    <w:p w14:paraId="3ECE69B2" w14:textId="6732D03B" w:rsidR="00486654" w:rsidRPr="00301FDD" w:rsidRDefault="00301FDD" w:rsidP="00301FDD">
      <w:pPr>
        <w:spacing w:after="0"/>
        <w:rPr>
          <w:rFonts w:cs="Arial"/>
          <w:b/>
          <w:szCs w:val="20"/>
        </w:rPr>
      </w:pPr>
      <w:r w:rsidRPr="00301FDD">
        <w:rPr>
          <w:rFonts w:cs="Arial"/>
          <w:b/>
          <w:szCs w:val="20"/>
        </w:rPr>
        <w:t>Kartogram 7.4 Byty v rodinných domech v městských částech hl. m. Prahy</w:t>
      </w:r>
    </w:p>
    <w:p w14:paraId="504EF2C4" w14:textId="77777777" w:rsidR="00486654" w:rsidRDefault="00486654" w:rsidP="00301FDD">
      <w:pPr>
        <w:jc w:val="left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7E8C0E15" wp14:editId="4EC26887">
            <wp:extent cx="6028841" cy="440283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yty_RD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7" t="9492" r="7170" b="3644"/>
                    <a:stretch/>
                  </pic:blipFill>
                  <pic:spPr bwMode="auto">
                    <a:xfrm>
                      <a:off x="0" y="0"/>
                      <a:ext cx="6040525" cy="441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87C56" w14:textId="4346ABA4" w:rsidR="00264F6C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 xml:space="preserve">Nadpoloviční většina (61,4 %) všech obydlených bytů se nachází ve spoluvlastnictví vlastníků </w:t>
      </w:r>
      <w:proofErr w:type="gramStart"/>
      <w:r>
        <w:rPr>
          <w:rFonts w:cs="Arial"/>
          <w:szCs w:val="20"/>
        </w:rPr>
        <w:t>bytů, neboli</w:t>
      </w:r>
      <w:proofErr w:type="gramEnd"/>
      <w:r>
        <w:rPr>
          <w:rFonts w:cs="Arial"/>
          <w:szCs w:val="20"/>
        </w:rPr>
        <w:t xml:space="preserve"> jednotek. Týká se to především obydlených bytů v bytových domech, kde tento</w:t>
      </w:r>
      <w:r w:rsidR="00916790">
        <w:rPr>
          <w:rFonts w:cs="Arial"/>
          <w:szCs w:val="20"/>
        </w:rPr>
        <w:t xml:space="preserve"> podíl vyšplhal dokonce na 70,6 </w:t>
      </w:r>
      <w:r>
        <w:rPr>
          <w:rFonts w:cs="Arial"/>
          <w:szCs w:val="20"/>
        </w:rPr>
        <w:t>%. V Praze je pak 12,5 % obydlených bytů v bytových domech ve vlastnictví fyzické osoby. Jiná situace je v případě obydlených bytů v rodinných domech, kde je 95 % ve vlastnictví fyzické osoby, zatímco podíly jiných typů vlastníků představují jenom zanedbatelnou část. Celkově je potom 23 % všech obydlených bytů ve vlastnictví fyzické osoby. Podíl bytových družstev jakožto vlastníka domu tvořil 8 % všech obydlených bytů, přičemž naprostou většinu z nich tvořily byty v bytových domech. U obydlených bytů v ostatních budovách je nejčastějším vlastníkem jiná právnická osoba (51,6 %).</w:t>
      </w:r>
    </w:p>
    <w:p w14:paraId="4EA6BD18" w14:textId="77777777" w:rsidR="00264F6C" w:rsidRDefault="00264F6C" w:rsidP="00264F6C">
      <w:pPr>
        <w:rPr>
          <w:rFonts w:cs="Arial"/>
          <w:szCs w:val="20"/>
        </w:rPr>
      </w:pPr>
    </w:p>
    <w:p w14:paraId="6DB110FE" w14:textId="77777777" w:rsidR="004D085C" w:rsidRPr="004D085C" w:rsidRDefault="004D085C" w:rsidP="00264F6C">
      <w:pPr>
        <w:rPr>
          <w:rFonts w:cs="Arial"/>
          <w:b/>
          <w:szCs w:val="20"/>
        </w:rPr>
      </w:pPr>
      <w:r w:rsidRPr="004D085C">
        <w:rPr>
          <w:rFonts w:cs="Arial"/>
          <w:b/>
          <w:szCs w:val="20"/>
        </w:rPr>
        <w:t>Tab. 7.2.2 Obydlené byty podle druhu a vlastnictví domu</w:t>
      </w:r>
    </w:p>
    <w:p w14:paraId="3CE5C0DB" w14:textId="77777777" w:rsidR="00264F6C" w:rsidRDefault="008C096C" w:rsidP="00264F6C">
      <w:pPr>
        <w:jc w:val="center"/>
        <w:rPr>
          <w:rFonts w:cs="Arial"/>
          <w:szCs w:val="20"/>
        </w:rPr>
      </w:pPr>
      <w:r w:rsidRPr="008C096C">
        <w:rPr>
          <w:rFonts w:cs="Arial"/>
          <w:noProof/>
          <w:szCs w:val="20"/>
        </w:rPr>
        <w:drawing>
          <wp:inline distT="0" distB="0" distL="0" distR="0" wp14:anchorId="07514919" wp14:editId="546E0079">
            <wp:extent cx="6120130" cy="2258281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470A4" w14:textId="77777777" w:rsidR="00264F6C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>Z hlediska právního důvodu užívání bytu je nejvíce obydlených bytů v osobním vlastnictví (38,3 %) nebo v nájmu / pronájmu (35,1 %). V menší míře pak ve vlastním domě (11 %) a v družstvu (6,1 %). V případě obydlených bytů v rodinných domech převažuje vlastnictví ve vlastním domě (73,9 %), zatímco u bytů v bytových domech je nejvíce přítomno osobní vlastnictví (44,4 %) nebo nájemní / pronajaté bydlení (38,4 %). Nájemní byty také tvoří většinu (70,9 %) obydlených bytů v ostatních budovách.</w:t>
      </w:r>
    </w:p>
    <w:p w14:paraId="720230AC" w14:textId="77777777" w:rsidR="00264F6C" w:rsidRDefault="00264F6C" w:rsidP="00264F6C">
      <w:pPr>
        <w:rPr>
          <w:rFonts w:cs="Arial"/>
          <w:szCs w:val="20"/>
        </w:rPr>
      </w:pPr>
    </w:p>
    <w:p w14:paraId="5912224E" w14:textId="77777777" w:rsidR="004D085C" w:rsidRPr="004D085C" w:rsidRDefault="004D085C" w:rsidP="009518F6">
      <w:pPr>
        <w:spacing w:after="0"/>
        <w:rPr>
          <w:rFonts w:cs="Arial"/>
          <w:b/>
          <w:szCs w:val="20"/>
        </w:rPr>
      </w:pPr>
      <w:r w:rsidRPr="004D085C">
        <w:rPr>
          <w:rFonts w:cs="Arial"/>
          <w:b/>
          <w:szCs w:val="20"/>
        </w:rPr>
        <w:t>Tab. 7.2.3 Obydlené byty podle druhu domu a právního důvodu užívání bytu</w:t>
      </w:r>
    </w:p>
    <w:p w14:paraId="27BAF2DD" w14:textId="77777777" w:rsidR="00264F6C" w:rsidRDefault="008C096C" w:rsidP="00264F6C">
      <w:pPr>
        <w:jc w:val="center"/>
        <w:rPr>
          <w:rFonts w:cs="Arial"/>
          <w:szCs w:val="20"/>
        </w:rPr>
      </w:pPr>
      <w:r w:rsidRPr="008C096C">
        <w:rPr>
          <w:rFonts w:cs="Arial"/>
          <w:noProof/>
          <w:szCs w:val="20"/>
        </w:rPr>
        <w:drawing>
          <wp:inline distT="0" distB="0" distL="0" distR="0" wp14:anchorId="1B150B3C" wp14:editId="115CB825">
            <wp:extent cx="6120130" cy="2280794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8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3CAAC" w14:textId="77777777" w:rsidR="00264F6C" w:rsidRDefault="00264F6C" w:rsidP="00264F6C">
      <w:pPr>
        <w:rPr>
          <w:rFonts w:cs="Arial"/>
          <w:b/>
          <w:sz w:val="18"/>
          <w:szCs w:val="18"/>
        </w:rPr>
      </w:pPr>
    </w:p>
    <w:p w14:paraId="0E82FFC7" w14:textId="36CADE68" w:rsidR="00264F6C" w:rsidRPr="001F6BA8" w:rsidRDefault="00264F6C" w:rsidP="00264F6C">
      <w:pPr>
        <w:rPr>
          <w:rFonts w:cs="Arial"/>
          <w:b/>
          <w:szCs w:val="20"/>
        </w:rPr>
      </w:pPr>
      <w:r w:rsidRPr="001F6BA8">
        <w:rPr>
          <w:rFonts w:cs="Arial"/>
          <w:b/>
          <w:szCs w:val="20"/>
        </w:rPr>
        <w:t>Graf 7.4 Obydlené byty podle právního důvo</w:t>
      </w:r>
      <w:r w:rsidR="00916790">
        <w:rPr>
          <w:rFonts w:cs="Arial"/>
          <w:b/>
          <w:szCs w:val="20"/>
        </w:rPr>
        <w:t>du užívání bytu a druhu domu v h</w:t>
      </w:r>
      <w:r w:rsidRPr="001F6BA8">
        <w:rPr>
          <w:rFonts w:cs="Arial"/>
          <w:b/>
          <w:szCs w:val="20"/>
        </w:rPr>
        <w:t xml:space="preserve">l. m. Praze a ČR </w:t>
      </w:r>
      <w:r w:rsidRPr="001F6BA8">
        <w:rPr>
          <w:rFonts w:cs="Arial"/>
          <w:szCs w:val="20"/>
        </w:rPr>
        <w:t>(ze zjištěných hodnot)</w:t>
      </w:r>
    </w:p>
    <w:p w14:paraId="529B4038" w14:textId="77777777" w:rsidR="00264F6C" w:rsidRDefault="00264F6C" w:rsidP="00264F6C">
      <w:pPr>
        <w:jc w:val="center"/>
        <w:rPr>
          <w:rFonts w:cs="Arial"/>
          <w:szCs w:val="20"/>
        </w:rPr>
      </w:pPr>
      <w:r w:rsidRPr="000D6B2D">
        <w:rPr>
          <w:rFonts w:cs="Arial"/>
          <w:noProof/>
          <w:szCs w:val="20"/>
        </w:rPr>
        <w:drawing>
          <wp:inline distT="0" distB="0" distL="0" distR="0" wp14:anchorId="2D111186" wp14:editId="02DA105C">
            <wp:extent cx="5762625" cy="2143125"/>
            <wp:effectExtent l="0" t="0" r="9525" b="9525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B96C3" w14:textId="77777777" w:rsidR="00264F6C" w:rsidRDefault="00264F6C" w:rsidP="00264F6C">
      <w:pPr>
        <w:rPr>
          <w:rFonts w:cs="Arial"/>
          <w:szCs w:val="20"/>
        </w:rPr>
      </w:pPr>
    </w:p>
    <w:p w14:paraId="56D37853" w14:textId="46EB3EA8" w:rsidR="006E1949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>V kategorii rozdělení obydlených bytů podle stáří a druhu domu byl zaznamenán největší počet obydlených bytů v rozmezí let 1920-1945. Z tohoto období bylo k datu sčítání v Praze 127 199 bytů, což představovalo 20,3 % všech obydlených bytů. Druhé období s největší bytovou výstavbou byly roky 1946-1970, ve kterých bylo postaveno celkem 95 172 bytů (15,2 %). Naopak k nejmenší výstavbě došlo v letech 1991-2000, kdy bylo postaveno 43 677 bytů (7 % z celkového počtu vystavěných bytů) a od roku 2011 a později, kdy to bylo 48 552 bytů (7,7 %). U obydlených bytů v rodinných domech z období 1920-1945 byl jejich podíl dokonce 29,6 % a u obydlených bytů v bytových domech 19 %. Naopak největší podíl obydlených bytů v ostatních budovách byl v rozmezí let 2001-2010, kdy dosáhl hodnoty 16,5 %. Nej</w:t>
      </w:r>
      <w:r w:rsidR="00916790">
        <w:rPr>
          <w:rFonts w:cs="Arial"/>
          <w:szCs w:val="20"/>
        </w:rPr>
        <w:t xml:space="preserve">menší podíly byly zaznamenány </w:t>
      </w:r>
      <w:r>
        <w:rPr>
          <w:rFonts w:cs="Arial"/>
          <w:szCs w:val="20"/>
        </w:rPr>
        <w:t>před rokem 1919 v případě obydlených bytů v rodinných domech (5,5 %), v období 1991-2000 v případě obydlených bytů v bytových domech (6,4 %) a v letech 1946-1970 u obydlených bytů v ostatních budovách (6,4 %).</w:t>
      </w:r>
    </w:p>
    <w:p w14:paraId="09BBFEEB" w14:textId="77777777" w:rsidR="00784B65" w:rsidRDefault="00784B65" w:rsidP="00264F6C">
      <w:pPr>
        <w:rPr>
          <w:rFonts w:cs="Arial"/>
          <w:szCs w:val="20"/>
        </w:rPr>
      </w:pPr>
    </w:p>
    <w:p w14:paraId="0C2F2D07" w14:textId="77777777" w:rsidR="004D085C" w:rsidRPr="004D085C" w:rsidRDefault="004D085C" w:rsidP="00F90EF0">
      <w:pPr>
        <w:spacing w:after="0"/>
        <w:rPr>
          <w:rFonts w:cs="Arial"/>
          <w:b/>
          <w:szCs w:val="20"/>
        </w:rPr>
      </w:pPr>
      <w:r w:rsidRPr="004D085C">
        <w:rPr>
          <w:rFonts w:cs="Arial"/>
          <w:b/>
          <w:szCs w:val="20"/>
        </w:rPr>
        <w:t>Tab. 7.2.4 Obydlené byty podle stáří a druhu domu</w:t>
      </w:r>
    </w:p>
    <w:p w14:paraId="08DF2D1A" w14:textId="77777777" w:rsidR="00264F6C" w:rsidRDefault="00A92177" w:rsidP="00264F6C">
      <w:pPr>
        <w:jc w:val="center"/>
        <w:rPr>
          <w:rFonts w:cs="Arial"/>
          <w:szCs w:val="20"/>
        </w:rPr>
      </w:pPr>
      <w:r w:rsidRPr="00A92177">
        <w:rPr>
          <w:rFonts w:cs="Arial"/>
          <w:noProof/>
          <w:szCs w:val="20"/>
        </w:rPr>
        <w:drawing>
          <wp:inline distT="0" distB="0" distL="0" distR="0" wp14:anchorId="02B24243" wp14:editId="0BA4B799">
            <wp:extent cx="6120130" cy="2641919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203D3" w14:textId="77777777" w:rsidR="00264F6C" w:rsidRDefault="00264F6C" w:rsidP="00264F6C">
      <w:pPr>
        <w:rPr>
          <w:rFonts w:cs="Arial"/>
          <w:szCs w:val="20"/>
        </w:rPr>
      </w:pPr>
    </w:p>
    <w:p w14:paraId="37E9BD80" w14:textId="3DF54D0D" w:rsidR="00264F6C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>Většina obydlených bytů v rodinných domech má více obytných místností s plochou nad 4 m</w:t>
      </w:r>
      <w:r>
        <w:rPr>
          <w:rFonts w:cs="Arial"/>
          <w:szCs w:val="20"/>
          <w:vertAlign w:val="superscript"/>
        </w:rPr>
        <w:t>2</w:t>
      </w:r>
      <w:r>
        <w:rPr>
          <w:rFonts w:cs="Arial"/>
          <w:szCs w:val="20"/>
        </w:rPr>
        <w:t xml:space="preserve">. Obecně platí, že bydlení v rodinných domech zpravidla umožňuje využití mnohem větších prostor a většího počtu obytných místností v bytech, než v případě bytových domů. Proto je také velmi mnoho bytů v rodinných domech, které mají 5 a více obytných místností (50,5 % ze všech bytů v RD), přičemž s úbytkem obytných místností pak klesá i počet těchto typů bytů. Podíl obydlených bytů v rodinných domech s 1 obytnou místností v žádném ze sledovaných období nepřesáhl 3 %. </w:t>
      </w:r>
      <w:r w:rsidR="00BA610E">
        <w:rPr>
          <w:rFonts w:cs="Arial"/>
          <w:szCs w:val="20"/>
        </w:rPr>
        <w:t>Naopak byty s 5 a více obytnými místnostmi měly od roku 1971 nadpoloviční zastoupení na všech bytech v rodinných dom</w:t>
      </w:r>
      <w:r w:rsidR="00916790">
        <w:rPr>
          <w:rFonts w:cs="Arial"/>
          <w:szCs w:val="20"/>
        </w:rPr>
        <w:t>ech postavených v tomto období</w:t>
      </w:r>
      <w:r>
        <w:rPr>
          <w:rFonts w:cs="Arial"/>
          <w:szCs w:val="20"/>
        </w:rPr>
        <w:t>. Největší podíly bytů v rodinných domech s 5 a více obytnými místnostmi byl</w:t>
      </w:r>
      <w:r w:rsidR="00916790">
        <w:rPr>
          <w:rFonts w:cs="Arial"/>
          <w:szCs w:val="20"/>
        </w:rPr>
        <w:t>y</w:t>
      </w:r>
      <w:r>
        <w:rPr>
          <w:rFonts w:cs="Arial"/>
          <w:szCs w:val="20"/>
        </w:rPr>
        <w:t xml:space="preserve"> zaznamenány v porevolučních letech, konkrétně v obdobích 1991-2000 (62,6 %), 2001-2010 (63 %) a od roku 2011 (60,6 %). Naopak nejméně těchto velkých bytů bylo postaveno před rokem 1919 (37,1 %). Podíl obydlených bytů v rodinných domech s</w:t>
      </w:r>
      <w:r w:rsidR="00B543FB">
        <w:rPr>
          <w:rFonts w:cs="Arial"/>
          <w:szCs w:val="20"/>
        </w:rPr>
        <w:t>e</w:t>
      </w:r>
      <w:r>
        <w:rPr>
          <w:rFonts w:cs="Arial"/>
          <w:szCs w:val="20"/>
        </w:rPr>
        <w:t> 4 obytnými místnostmi se v jednotlivých obdobích zhruba pohyboval mezi 19-31 % a v případě bytů se 3 obytnými místnostmi podíl po roce 1945 setrvale klesal.</w:t>
      </w:r>
    </w:p>
    <w:p w14:paraId="1D17971E" w14:textId="77777777" w:rsidR="00264F6C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>V případě obydlených bytů v bytových domech je situace odlišná. Zde největší skupinu napříč všemi obdobími tvoří byty se 2 až 4 obytnými místnostmi. Byty s 1 obytnou místností jsou spíše fenoménem posledních dvou dekád od roku 2001, zatímco byty s 5 a více místnostmi překročily podíl 10 % na počtu obydlených bytů v bytových domech v letech 1981-1990 a 1991-2000. V bytovém fondu Prahy se nachází nejvíce bytů se 3 obytnými místnostmi, s tím, že v letech 1946-1970 podíl těchto bytů dosáhl dokonce 42,7 %. Před rokem 1945 tento typ bytů rovněž převažoval. V obdobích 1971-1980, 1981-1990, 1991-2000 pak největší podíl tvořily byty se 4 obytnými místnostmi, když dosáhl hodnoty 37,7 %, respektive 39,8 % a 32,9 %. Od roku 2001 pak převažují byty se 2 a 3 obytnými místnostmi.</w:t>
      </w:r>
    </w:p>
    <w:p w14:paraId="6C7CC580" w14:textId="6D650BF4" w:rsidR="00F90EF0" w:rsidRDefault="00F90EF0">
      <w:pPr>
        <w:spacing w:before="0" w:after="0" w:line="240" w:lineRule="auto"/>
        <w:jc w:val="left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09B1C028" w14:textId="3C923B7D" w:rsidR="004D085C" w:rsidRPr="004D085C" w:rsidRDefault="004D085C" w:rsidP="009518F6">
      <w:pPr>
        <w:spacing w:after="0"/>
        <w:rPr>
          <w:rFonts w:cs="Arial"/>
          <w:b/>
          <w:szCs w:val="20"/>
        </w:rPr>
      </w:pPr>
      <w:r w:rsidRPr="004D085C">
        <w:rPr>
          <w:rFonts w:cs="Arial"/>
          <w:b/>
          <w:szCs w:val="20"/>
        </w:rPr>
        <w:t>Tab. 7.2.5 Obydlené byty podle stáří, druhu domu a podle počtu obytných místností*)</w:t>
      </w:r>
    </w:p>
    <w:p w14:paraId="03256D5E" w14:textId="77777777" w:rsidR="00264F6C" w:rsidRDefault="00741D29" w:rsidP="00264F6C">
      <w:pPr>
        <w:jc w:val="center"/>
        <w:rPr>
          <w:rFonts w:cs="Arial"/>
          <w:szCs w:val="20"/>
        </w:rPr>
      </w:pPr>
      <w:r w:rsidRPr="00741D29">
        <w:rPr>
          <w:rFonts w:cs="Arial"/>
          <w:noProof/>
          <w:szCs w:val="20"/>
        </w:rPr>
        <w:drawing>
          <wp:inline distT="0" distB="0" distL="0" distR="0" wp14:anchorId="492415FC" wp14:editId="086C399D">
            <wp:extent cx="6120130" cy="3732711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3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6E539" w14:textId="10E5A8ED" w:rsidR="00264F6C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>Při porovnání Prahy se sousedním Středočeským krajem a Českou republikou jsou patrné určité rozdíly mezi počty obytných místností v bytech. Nejvíce bytů v Praze mělo 3 obytné místnosti, konkrétně 162 641 bytů, což je o 53,4 % více než ve Středočeském kraji. V tomto kraji naopak dominovaly byty s 5 a více obytnými místnostmi</w:t>
      </w:r>
      <w:r w:rsidRPr="007A1D3D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a dále byty se 4 obytnými místnostmi. Je to dáno tím, že v rozlehlém Středočeském kraji </w:t>
      </w:r>
      <w:r w:rsidR="00916790">
        <w:rPr>
          <w:rFonts w:cs="Arial"/>
          <w:szCs w:val="20"/>
        </w:rPr>
        <w:t xml:space="preserve">bylo </w:t>
      </w:r>
      <w:r>
        <w:rPr>
          <w:rFonts w:cs="Arial"/>
          <w:szCs w:val="20"/>
        </w:rPr>
        <w:t xml:space="preserve">nesrovnatelně více možností pro výstavbu rodinných domů, zatímco </w:t>
      </w:r>
      <w:r w:rsidR="00916790">
        <w:rPr>
          <w:rFonts w:cs="Arial"/>
          <w:szCs w:val="20"/>
        </w:rPr>
        <w:t>nová výstavba v Praze je limitována zastavěností a specifickým městským charakterem Prahy.</w:t>
      </w:r>
      <w:r>
        <w:rPr>
          <w:rFonts w:cs="Arial"/>
          <w:szCs w:val="20"/>
        </w:rPr>
        <w:t xml:space="preserve"> Nejmenší počet bytů je s 1 obytnou místností, a to jak v Praze, tak i ve Středočeském kraji. V tomto ohledu jsou si oba kraje podobné. Přesto je v Praze více než 3krát větší počet takto malých bytů než ve Středočeském kraji. V celé České republice je potom podobná bytová struktura jako v případě Středočeského kraje. I zde převládaly obydlené byty se 4 a s 5 a více obytnými místnostmi, a naopak nejméně bylo bytů s 1 obytnou místností.</w:t>
      </w:r>
    </w:p>
    <w:p w14:paraId="1C837FC1" w14:textId="5F8AE698" w:rsidR="004D085C" w:rsidRPr="004D085C" w:rsidRDefault="004D085C" w:rsidP="00264F6C">
      <w:pPr>
        <w:rPr>
          <w:rFonts w:cs="Arial"/>
          <w:b/>
          <w:szCs w:val="20"/>
        </w:rPr>
      </w:pPr>
      <w:r w:rsidRPr="004D085C">
        <w:rPr>
          <w:rFonts w:cs="Arial"/>
          <w:b/>
          <w:szCs w:val="20"/>
        </w:rPr>
        <w:t>Tab. 7.2.6 Obydlené byty podle počtu obytných místností</w:t>
      </w:r>
    </w:p>
    <w:p w14:paraId="7BC8C116" w14:textId="77777777" w:rsidR="00264F6C" w:rsidRDefault="00C119C7" w:rsidP="00264F6C">
      <w:pPr>
        <w:jc w:val="center"/>
        <w:rPr>
          <w:rFonts w:cs="Arial"/>
          <w:szCs w:val="20"/>
        </w:rPr>
      </w:pPr>
      <w:r w:rsidRPr="00C119C7">
        <w:rPr>
          <w:rFonts w:cs="Arial"/>
          <w:noProof/>
          <w:szCs w:val="20"/>
        </w:rPr>
        <w:drawing>
          <wp:inline distT="0" distB="0" distL="0" distR="0" wp14:anchorId="3AEAEDDD" wp14:editId="61B4091B">
            <wp:extent cx="6120130" cy="12069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6F1D" w14:textId="77777777" w:rsidR="00264F6C" w:rsidRDefault="00264F6C" w:rsidP="00264F6C">
      <w:pPr>
        <w:rPr>
          <w:rFonts w:cs="Arial"/>
          <w:szCs w:val="20"/>
        </w:rPr>
      </w:pPr>
    </w:p>
    <w:p w14:paraId="1211E955" w14:textId="77777777" w:rsidR="009518F6" w:rsidRDefault="009518F6">
      <w:pPr>
        <w:spacing w:before="0" w:after="0" w:line="240" w:lineRule="auto"/>
        <w:jc w:val="left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5D5C6513" w14:textId="305CA414" w:rsidR="00264F6C" w:rsidRPr="00E86273" w:rsidRDefault="00264F6C" w:rsidP="00264F6C">
      <w:pPr>
        <w:rPr>
          <w:rFonts w:cs="Arial"/>
          <w:b/>
          <w:szCs w:val="20"/>
        </w:rPr>
      </w:pPr>
      <w:r w:rsidRPr="00E86273">
        <w:rPr>
          <w:rFonts w:cs="Arial"/>
          <w:b/>
          <w:szCs w:val="20"/>
        </w:rPr>
        <w:t>Graf 7.5 Obydlené byty podle pol</w:t>
      </w:r>
      <w:r w:rsidR="00916790">
        <w:rPr>
          <w:rFonts w:cs="Arial"/>
          <w:b/>
          <w:szCs w:val="20"/>
        </w:rPr>
        <w:t>ohy bytu v domě a druhu domu v h</w:t>
      </w:r>
      <w:r w:rsidRPr="00E86273">
        <w:rPr>
          <w:rFonts w:cs="Arial"/>
          <w:b/>
          <w:szCs w:val="20"/>
        </w:rPr>
        <w:t>l. m. Praze a ČR</w:t>
      </w:r>
    </w:p>
    <w:p w14:paraId="3C9E64A4" w14:textId="77777777" w:rsidR="00264F6C" w:rsidRDefault="003820CB" w:rsidP="00264F6C">
      <w:pPr>
        <w:jc w:val="center"/>
        <w:rPr>
          <w:rFonts w:cs="Arial"/>
          <w:szCs w:val="20"/>
        </w:rPr>
      </w:pPr>
      <w:r w:rsidRPr="003820CB">
        <w:rPr>
          <w:rFonts w:cs="Arial"/>
          <w:noProof/>
          <w:szCs w:val="20"/>
        </w:rPr>
        <w:drawing>
          <wp:inline distT="0" distB="0" distL="0" distR="0" wp14:anchorId="52CE3822" wp14:editId="4C4C5CB3">
            <wp:extent cx="6120130" cy="205649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319BE" w14:textId="54AE8100" w:rsidR="00264F6C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>Z hlediska technické vybavenosti je v pražských obydlených bytech v rodinných domech z 81,8 % zaveden plyn do bytu, z 95,4 % se v bytě nachází vodovod (z toho 91,8 % pochází z veřejné sítě) a 88,4 % bytů je napojeno na kanalizaci. V menší míře mají obydlené byty v rodinných domech v Praze žumpu nebo jímku (9</w:t>
      </w:r>
      <w:r w:rsidR="00B543FB">
        <w:rPr>
          <w:rFonts w:cs="Arial"/>
          <w:szCs w:val="20"/>
        </w:rPr>
        <w:t> </w:t>
      </w:r>
      <w:r>
        <w:rPr>
          <w:rFonts w:cs="Arial"/>
          <w:szCs w:val="20"/>
        </w:rPr>
        <w:t>%) a minimum bytů také vlastní čističku odpadních vod (0,4 %). V porovnání se</w:t>
      </w:r>
      <w:r w:rsidR="00916790">
        <w:rPr>
          <w:rFonts w:cs="Arial"/>
          <w:szCs w:val="20"/>
        </w:rPr>
        <w:t xml:space="preserve"> sousedním Středočeským krajem j</w:t>
      </w:r>
      <w:r>
        <w:rPr>
          <w:rFonts w:cs="Arial"/>
          <w:szCs w:val="20"/>
        </w:rPr>
        <w:t>e zde přibližně stejný podíl bytů napojených na vodovod (93,1 %), nicméně v ostatních ukazatelích dochází k odlišnostem. Plyn je v sousedním kraji zaveden zhruba v polovině (49,7 %) všech bytů v rodinných domech a pouze z 68 % je vodovod napájen z veřejné sítě. Je zde také menší míra připojení na kanalizaci (58</w:t>
      </w:r>
      <w:r w:rsidR="00B543FB">
        <w:rPr>
          <w:rFonts w:cs="Arial"/>
          <w:szCs w:val="20"/>
        </w:rPr>
        <w:t> </w:t>
      </w:r>
      <w:r>
        <w:rPr>
          <w:rFonts w:cs="Arial"/>
          <w:szCs w:val="20"/>
        </w:rPr>
        <w:t>%) a byty mají ve větší míře žumpu či jímku (33,6 %). Celorepublikové podíly pak vykazují podobné hodnoty jako v případě Středočeského kraje.</w:t>
      </w:r>
    </w:p>
    <w:p w14:paraId="085F60BF" w14:textId="3B02BF48" w:rsidR="00264F6C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 xml:space="preserve">V obydlených bytech v bytových domech </w:t>
      </w:r>
      <w:r w:rsidR="00916790">
        <w:rPr>
          <w:rFonts w:cs="Arial"/>
          <w:szCs w:val="20"/>
        </w:rPr>
        <w:t xml:space="preserve">byl </w:t>
      </w:r>
      <w:r>
        <w:rPr>
          <w:rFonts w:cs="Arial"/>
          <w:szCs w:val="20"/>
        </w:rPr>
        <w:t>ze 71,6 % zaveden plyn do bytu, z 90,7 % se v bytě nachází vodovod (z čehož 90,4 % pochází z veřejné sítě) a 98,2 % bytů je napojeno na kanalizaci. Byty v bytových domech tak mají méně často zavedený plyn a vodovod do bytu, mají ovšem častěji napojení na kanalizaci. Žumpu, jímku (0,3 %) nebo vlastní čističku odpadních vod (0,1 %) má v Praze pouze zcela marginální část bytových domů. V sousedním Středočeském kraji má plyn zavedeno 66,8 % bytů v bytových domech, vodovod v bytě 89,5 % a připojení na kanalizaci 91,7 % bytů. V porovnání s Prahou mají byty ve Středočeském kraji častěji žumpu nebo jímku (5,8 %). Celorepublikové podíly dosáhly 75,8 % v případě zavedení plynu do bytu, 91 % v případě vodovodu (z toho 90 % pouze z veřejné sítě) a připojení na kanalizaci mělo 95,4 % obydlených bytů v bytových domech.</w:t>
      </w:r>
    </w:p>
    <w:p w14:paraId="4E0F473E" w14:textId="77777777" w:rsidR="00264F6C" w:rsidRDefault="00264F6C" w:rsidP="00264F6C">
      <w:pPr>
        <w:rPr>
          <w:rFonts w:cs="Arial"/>
          <w:szCs w:val="20"/>
        </w:rPr>
      </w:pPr>
    </w:p>
    <w:p w14:paraId="3B2CF6C8" w14:textId="77777777" w:rsidR="00170C38" w:rsidRPr="00170C38" w:rsidRDefault="00170C38" w:rsidP="00264F6C">
      <w:pPr>
        <w:rPr>
          <w:rFonts w:cs="Arial"/>
          <w:b/>
          <w:szCs w:val="20"/>
        </w:rPr>
      </w:pPr>
      <w:r w:rsidRPr="00170C38">
        <w:rPr>
          <w:rFonts w:cs="Arial"/>
          <w:b/>
          <w:szCs w:val="20"/>
        </w:rPr>
        <w:t>Tab. 7.2.7 Obydlené byty podle technické vybavenosti a druhu domu</w:t>
      </w:r>
    </w:p>
    <w:p w14:paraId="470427A7" w14:textId="77777777" w:rsidR="00264F6C" w:rsidRDefault="00726347" w:rsidP="00264F6C">
      <w:pPr>
        <w:jc w:val="center"/>
        <w:rPr>
          <w:rFonts w:cs="Arial"/>
          <w:szCs w:val="20"/>
        </w:rPr>
      </w:pPr>
      <w:r w:rsidRPr="00726347">
        <w:rPr>
          <w:rFonts w:cs="Arial"/>
          <w:noProof/>
          <w:szCs w:val="20"/>
        </w:rPr>
        <w:drawing>
          <wp:inline distT="0" distB="0" distL="0" distR="0" wp14:anchorId="288D0B88" wp14:editId="46002557">
            <wp:extent cx="6120130" cy="1945229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4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21913" w14:textId="77777777" w:rsidR="00264F6C" w:rsidRDefault="00264F6C" w:rsidP="00264F6C">
      <w:pPr>
        <w:rPr>
          <w:rFonts w:cs="Arial"/>
          <w:szCs w:val="20"/>
        </w:rPr>
      </w:pPr>
    </w:p>
    <w:p w14:paraId="0538947F" w14:textId="77777777" w:rsidR="006E1949" w:rsidRDefault="006E1949" w:rsidP="00264F6C">
      <w:pPr>
        <w:rPr>
          <w:rFonts w:cs="Arial"/>
          <w:szCs w:val="20"/>
        </w:rPr>
      </w:pPr>
    </w:p>
    <w:p w14:paraId="66D5636A" w14:textId="77777777" w:rsidR="00BE1B91" w:rsidRDefault="00BE1B91" w:rsidP="00264F6C">
      <w:pPr>
        <w:rPr>
          <w:rFonts w:cs="Arial"/>
          <w:b/>
          <w:szCs w:val="20"/>
        </w:rPr>
      </w:pPr>
    </w:p>
    <w:p w14:paraId="66A56E27" w14:textId="54F84385" w:rsidR="00264F6C" w:rsidRPr="00E0157C" w:rsidRDefault="00264F6C" w:rsidP="00264F6C">
      <w:pPr>
        <w:rPr>
          <w:rFonts w:cs="Arial"/>
          <w:b/>
          <w:szCs w:val="20"/>
        </w:rPr>
      </w:pPr>
      <w:r w:rsidRPr="00E0157C">
        <w:rPr>
          <w:rFonts w:cs="Arial"/>
          <w:b/>
          <w:szCs w:val="20"/>
        </w:rPr>
        <w:t xml:space="preserve">Graf 7.6 Obydlené byty podle způsobu odvádění odpadních vod z domu a druhu domu v </w:t>
      </w:r>
      <w:r w:rsidR="00916790">
        <w:rPr>
          <w:rFonts w:cs="Arial"/>
          <w:b/>
          <w:szCs w:val="20"/>
        </w:rPr>
        <w:t>h</w:t>
      </w:r>
      <w:r w:rsidRPr="00E0157C">
        <w:rPr>
          <w:rFonts w:cs="Arial"/>
          <w:b/>
          <w:szCs w:val="20"/>
        </w:rPr>
        <w:t>l. m. Praze</w:t>
      </w:r>
    </w:p>
    <w:p w14:paraId="737FB9D6" w14:textId="77777777" w:rsidR="00264F6C" w:rsidRDefault="00264F6C" w:rsidP="00264F6C">
      <w:pPr>
        <w:jc w:val="center"/>
        <w:rPr>
          <w:rFonts w:cs="Arial"/>
          <w:szCs w:val="20"/>
        </w:rPr>
      </w:pPr>
      <w:r w:rsidRPr="00BB346A">
        <w:rPr>
          <w:rFonts w:cs="Arial"/>
          <w:noProof/>
          <w:szCs w:val="20"/>
        </w:rPr>
        <w:drawing>
          <wp:inline distT="0" distB="0" distL="0" distR="0" wp14:anchorId="0EA558A5" wp14:editId="784663D7">
            <wp:extent cx="5753100" cy="2743200"/>
            <wp:effectExtent l="0" t="0" r="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D626C" w14:textId="0232FCCD" w:rsidR="00264F6C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 xml:space="preserve">Obydlené byty využívají různý způsob vytápění a také různé hlavní zdroje energie. V případě obydlených bytů v rodinných domech v Praze převládalo ústřední vytápění s vlastním zdrojem (55,8 %), zatímco v případě bytových domů převažovalo ústřední dálkové topení (58,3 %). U bytů v ostatních budovách byly největší podíly v případě ústředního domovního topení (40 %) a ústředního dálkového </w:t>
      </w:r>
      <w:r w:rsidR="00B543FB">
        <w:rPr>
          <w:rFonts w:cs="Arial"/>
          <w:szCs w:val="20"/>
        </w:rPr>
        <w:t xml:space="preserve">topení </w:t>
      </w:r>
      <w:r>
        <w:rPr>
          <w:rFonts w:cs="Arial"/>
          <w:szCs w:val="20"/>
        </w:rPr>
        <w:t>(32,8 %). Častým způsobem vytápění v bytech v rodinných domech se také stalo ústřední domovní topení (34,8 %).</w:t>
      </w:r>
    </w:p>
    <w:p w14:paraId="7585A3E5" w14:textId="77777777" w:rsidR="00264F6C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 xml:space="preserve">Hlavním zdrojem energie používaného vytápění byl v případě bytů v rodinných domech plyn (76,3 %). Jiná situace je však v případě bytů v bytových domech, kde plyn představoval podíl pouze 30,1 %, zatímco hlavním zdrojem v tomto typu bytu byly kotelny mimo dům (61,3 %). Ty se často objevují zejména v sídlištní zástavbě. V obydlených bytech v ostatních budovách byly nejčastějšími druhy vytápění jak plyn (44,2 %), tak kotelna mimo dům (35,5 %). Elektřina k vytápění byla využívána ze 14,4 % u bytů v rodinných domech, z 8,2 % v případě bytů v bytových domech a </w:t>
      </w:r>
      <w:proofErr w:type="gramStart"/>
      <w:r>
        <w:rPr>
          <w:rFonts w:cs="Arial"/>
          <w:szCs w:val="20"/>
        </w:rPr>
        <w:t>ze</w:t>
      </w:r>
      <w:proofErr w:type="gramEnd"/>
      <w:r>
        <w:rPr>
          <w:rFonts w:cs="Arial"/>
          <w:szCs w:val="20"/>
        </w:rPr>
        <w:t xml:space="preserve"> 16,7 % v bytech v ostatních budovách.</w:t>
      </w:r>
    </w:p>
    <w:p w14:paraId="22ED8027" w14:textId="77777777" w:rsidR="005B6FE2" w:rsidRDefault="005B6FE2" w:rsidP="00264F6C">
      <w:pPr>
        <w:rPr>
          <w:rFonts w:cs="Arial"/>
          <w:szCs w:val="20"/>
        </w:rPr>
      </w:pPr>
    </w:p>
    <w:p w14:paraId="0C5A2AAB" w14:textId="77777777" w:rsidR="005B6FE2" w:rsidRPr="005B6FE2" w:rsidRDefault="005B6FE2" w:rsidP="00264F6C">
      <w:pPr>
        <w:rPr>
          <w:rFonts w:cs="Arial"/>
          <w:b/>
          <w:szCs w:val="20"/>
        </w:rPr>
      </w:pPr>
      <w:r w:rsidRPr="005B6FE2">
        <w:rPr>
          <w:rFonts w:cs="Arial"/>
          <w:b/>
          <w:szCs w:val="20"/>
        </w:rPr>
        <w:t>Tab. 7.2.8 Obydlené byty podle způsobu vytápění, používané energie k vytápění a druhu domu</w:t>
      </w:r>
    </w:p>
    <w:p w14:paraId="7A239512" w14:textId="77777777" w:rsidR="00264F6C" w:rsidRDefault="00726347" w:rsidP="00264F6C">
      <w:pPr>
        <w:jc w:val="center"/>
        <w:rPr>
          <w:rFonts w:cs="Arial"/>
          <w:szCs w:val="20"/>
        </w:rPr>
      </w:pPr>
      <w:r w:rsidRPr="00726347">
        <w:rPr>
          <w:rFonts w:cs="Arial"/>
          <w:noProof/>
          <w:szCs w:val="20"/>
        </w:rPr>
        <w:drawing>
          <wp:inline distT="0" distB="0" distL="0" distR="0" wp14:anchorId="3F712E42" wp14:editId="74087D41">
            <wp:extent cx="6120130" cy="3078954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AC129" w14:textId="17075582" w:rsidR="00264F6C" w:rsidRPr="00E0157C" w:rsidRDefault="00264F6C" w:rsidP="00264F6C">
      <w:pPr>
        <w:rPr>
          <w:rFonts w:cs="Arial"/>
          <w:b/>
          <w:szCs w:val="20"/>
        </w:rPr>
      </w:pPr>
      <w:r w:rsidRPr="00E0157C">
        <w:rPr>
          <w:rFonts w:cs="Arial"/>
          <w:b/>
          <w:szCs w:val="20"/>
        </w:rPr>
        <w:t>Graf 7.7 Obydlené byty podle hlavního zdroje energie používa</w:t>
      </w:r>
      <w:r w:rsidR="00916790">
        <w:rPr>
          <w:rFonts w:cs="Arial"/>
          <w:b/>
          <w:szCs w:val="20"/>
        </w:rPr>
        <w:t>ného k vytápění a druhu domu v h</w:t>
      </w:r>
      <w:r w:rsidRPr="00E0157C">
        <w:rPr>
          <w:rFonts w:cs="Arial"/>
          <w:b/>
          <w:szCs w:val="20"/>
        </w:rPr>
        <w:t>l. m. Praze a ČR</w:t>
      </w:r>
    </w:p>
    <w:p w14:paraId="177111D9" w14:textId="77777777" w:rsidR="00264F6C" w:rsidRDefault="00264F6C" w:rsidP="00264F6C">
      <w:pPr>
        <w:jc w:val="center"/>
        <w:rPr>
          <w:rFonts w:cs="Arial"/>
          <w:szCs w:val="20"/>
        </w:rPr>
      </w:pPr>
      <w:r w:rsidRPr="001524EA">
        <w:rPr>
          <w:rFonts w:cs="Arial"/>
          <w:noProof/>
          <w:szCs w:val="20"/>
        </w:rPr>
        <w:drawing>
          <wp:inline distT="0" distB="0" distL="0" distR="0" wp14:anchorId="04BA1A4E" wp14:editId="728FE731">
            <wp:extent cx="5762625" cy="2143125"/>
            <wp:effectExtent l="0" t="0" r="9525" b="952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61D12" w14:textId="77777777" w:rsidR="00BE1B91" w:rsidRPr="00BE1B91" w:rsidRDefault="00BE1B91" w:rsidP="00264F6C">
      <w:pPr>
        <w:rPr>
          <w:rFonts w:cs="Arial"/>
          <w:sz w:val="16"/>
          <w:szCs w:val="16"/>
        </w:rPr>
      </w:pPr>
    </w:p>
    <w:p w14:paraId="401285EA" w14:textId="2CCEC4F1" w:rsidR="00264F6C" w:rsidRPr="00915E3B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>Praha měla v době SLDB 2021 celkem 1 261 930 osob bydlících v bytech. Z toho žilo 16,2 % v rodinných domech, 83 % v bytových domech a pouze 0,8 % v ostatních budovách. Na 1 byt připadalo celkem 2,01 osob, přičemž nejvíce osob bylo v bytech v rodinných domech (2,58 osob). Obytných místností s plochou 4 m</w:t>
      </w:r>
      <w:r>
        <w:rPr>
          <w:rFonts w:cs="Arial"/>
          <w:szCs w:val="20"/>
          <w:vertAlign w:val="superscript"/>
        </w:rPr>
        <w:t>2</w:t>
      </w:r>
      <w:r>
        <w:rPr>
          <w:rFonts w:cs="Arial"/>
          <w:szCs w:val="20"/>
        </w:rPr>
        <w:t xml:space="preserve"> a více bylo v Praze celkem 1 834 620 a na 1 byt jich připadalo 3,2. Nejvíce obytných místností v Praze bylo v bytových domech (80 %). Průměrný počet osob na 1 obytnou místnost byl v Praze 0,65 a u jednotlivých druhů bytů se tato hodnota téměř nelišila. Celková plocha na 1 byt v Praze dosáhla celkově 71,4 m</w:t>
      </w:r>
      <w:r>
        <w:rPr>
          <w:rFonts w:cs="Arial"/>
          <w:szCs w:val="20"/>
          <w:vertAlign w:val="superscript"/>
        </w:rPr>
        <w:t>2</w:t>
      </w:r>
      <w:r>
        <w:rPr>
          <w:rFonts w:cs="Arial"/>
          <w:szCs w:val="20"/>
        </w:rPr>
        <w:t>. U bytů v rodinných domech to bylo 117,1 m</w:t>
      </w:r>
      <w:r>
        <w:rPr>
          <w:rFonts w:cs="Arial"/>
          <w:szCs w:val="20"/>
          <w:vertAlign w:val="superscript"/>
        </w:rPr>
        <w:t>2</w:t>
      </w:r>
      <w:r>
        <w:rPr>
          <w:rFonts w:cs="Arial"/>
          <w:szCs w:val="20"/>
        </w:rPr>
        <w:t>, což bylo téměř 2x více než v případě bytů v bytových domech a ostatních budovách. Na 1 osobu to pak bylo průměrně 34,4 m</w:t>
      </w:r>
      <w:r>
        <w:rPr>
          <w:rFonts w:cs="Arial"/>
          <w:szCs w:val="20"/>
          <w:vertAlign w:val="superscript"/>
        </w:rPr>
        <w:t>2</w:t>
      </w:r>
      <w:r>
        <w:rPr>
          <w:rFonts w:cs="Arial"/>
          <w:szCs w:val="20"/>
        </w:rPr>
        <w:t xml:space="preserve"> a větší plocha byla zaznamenána v bytech v rodinných domech, než v bytech v bytových nebo ostatních domech.</w:t>
      </w:r>
    </w:p>
    <w:p w14:paraId="21A84B82" w14:textId="77777777" w:rsidR="00FE7537" w:rsidRPr="00BE1B91" w:rsidRDefault="00FE7537" w:rsidP="00264F6C">
      <w:pPr>
        <w:rPr>
          <w:rFonts w:cs="Arial"/>
          <w:sz w:val="16"/>
          <w:szCs w:val="16"/>
        </w:rPr>
      </w:pPr>
    </w:p>
    <w:p w14:paraId="50658A79" w14:textId="77777777" w:rsidR="00FE7537" w:rsidRPr="00FE7537" w:rsidRDefault="00FE7537" w:rsidP="00264F6C">
      <w:pPr>
        <w:rPr>
          <w:rFonts w:cs="Arial"/>
          <w:b/>
          <w:szCs w:val="20"/>
        </w:rPr>
      </w:pPr>
      <w:r w:rsidRPr="00FE7537">
        <w:rPr>
          <w:rFonts w:cs="Arial"/>
          <w:b/>
          <w:szCs w:val="20"/>
        </w:rPr>
        <w:t>Tab. 7.2.9 Charakteristiky úrovně bydlení v obydlených bytech podle druhu domu</w:t>
      </w:r>
    </w:p>
    <w:p w14:paraId="627E3266" w14:textId="77777777" w:rsidR="00264F6C" w:rsidRDefault="000A1A8B" w:rsidP="00264F6C">
      <w:pPr>
        <w:jc w:val="center"/>
        <w:rPr>
          <w:rFonts w:cs="Arial"/>
          <w:szCs w:val="20"/>
        </w:rPr>
      </w:pPr>
      <w:r w:rsidRPr="000A1A8B">
        <w:rPr>
          <w:rFonts w:cs="Arial"/>
          <w:noProof/>
          <w:szCs w:val="20"/>
        </w:rPr>
        <w:drawing>
          <wp:inline distT="0" distB="0" distL="0" distR="0" wp14:anchorId="15A5403C" wp14:editId="7F9DF3F7">
            <wp:extent cx="6120130" cy="1836991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3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B7606" w14:textId="7813F31D" w:rsidR="00264F6C" w:rsidRPr="00E0157C" w:rsidRDefault="00264F6C" w:rsidP="00BE1B91">
      <w:pPr>
        <w:spacing w:before="240"/>
        <w:rPr>
          <w:rFonts w:cs="Arial"/>
          <w:b/>
          <w:szCs w:val="20"/>
        </w:rPr>
      </w:pPr>
      <w:r w:rsidRPr="00E0157C">
        <w:rPr>
          <w:rFonts w:cs="Arial"/>
          <w:b/>
          <w:szCs w:val="20"/>
        </w:rPr>
        <w:t xml:space="preserve">Graf 7.8 Obydlené </w:t>
      </w:r>
      <w:r w:rsidR="00916790">
        <w:rPr>
          <w:rFonts w:cs="Arial"/>
          <w:b/>
          <w:szCs w:val="20"/>
        </w:rPr>
        <w:t>byty podle počtu osob v bytě v h</w:t>
      </w:r>
      <w:r w:rsidRPr="00E0157C">
        <w:rPr>
          <w:rFonts w:cs="Arial"/>
          <w:b/>
          <w:szCs w:val="20"/>
        </w:rPr>
        <w:t>l. m. Praze a ČR</w:t>
      </w:r>
    </w:p>
    <w:p w14:paraId="524BB16D" w14:textId="16A210BD" w:rsidR="00301FDD" w:rsidRDefault="00264F6C" w:rsidP="00264F6C">
      <w:pPr>
        <w:jc w:val="center"/>
        <w:rPr>
          <w:rFonts w:cs="Arial"/>
          <w:szCs w:val="20"/>
        </w:rPr>
      </w:pPr>
      <w:r w:rsidRPr="00CD6AD4">
        <w:rPr>
          <w:rFonts w:cs="Arial"/>
          <w:noProof/>
          <w:szCs w:val="20"/>
        </w:rPr>
        <w:drawing>
          <wp:inline distT="0" distB="0" distL="0" distR="0" wp14:anchorId="69A55772" wp14:editId="07188F0D">
            <wp:extent cx="5762625" cy="1685925"/>
            <wp:effectExtent l="0" t="0" r="9525" b="952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0362" w14:textId="55725D91" w:rsidR="00264F6C" w:rsidRPr="00301FDD" w:rsidRDefault="00301FDD" w:rsidP="00DC12E7">
      <w:pPr>
        <w:spacing w:after="0"/>
        <w:jc w:val="left"/>
        <w:rPr>
          <w:rFonts w:cs="Arial"/>
          <w:b/>
          <w:szCs w:val="20"/>
        </w:rPr>
      </w:pPr>
      <w:r w:rsidRPr="00301FDD">
        <w:rPr>
          <w:rFonts w:cs="Arial"/>
          <w:b/>
          <w:szCs w:val="20"/>
        </w:rPr>
        <w:t>Kartogram 7.5 Průměrný počet osob na obydlený byt v městských částech hl. m. Prahy</w:t>
      </w:r>
    </w:p>
    <w:p w14:paraId="3CE275FE" w14:textId="77777777" w:rsidR="00264F6C" w:rsidRDefault="002C7C65" w:rsidP="00301FDD">
      <w:pPr>
        <w:jc w:val="left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5434A902" wp14:editId="27B8DF91">
            <wp:extent cx="6052088" cy="4375734"/>
            <wp:effectExtent l="0" t="0" r="6350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sobNabyt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2" t="8955" r="6923" b="5055"/>
                    <a:stretch/>
                  </pic:blipFill>
                  <pic:spPr bwMode="auto">
                    <a:xfrm>
                      <a:off x="0" y="0"/>
                      <a:ext cx="6066812" cy="4386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5717B" w14:textId="7E536431" w:rsidR="002C7C65" w:rsidRDefault="002C7C65" w:rsidP="00264F6C">
      <w:pPr>
        <w:rPr>
          <w:szCs w:val="20"/>
        </w:rPr>
      </w:pPr>
      <w:r>
        <w:rPr>
          <w:szCs w:val="20"/>
        </w:rPr>
        <w:t xml:space="preserve">Nejvyšší průměrný počet osob na 1 obydlený byt v Praze najdeme především městských </w:t>
      </w:r>
      <w:proofErr w:type="gramStart"/>
      <w:r>
        <w:rPr>
          <w:szCs w:val="20"/>
        </w:rPr>
        <w:t>částech</w:t>
      </w:r>
      <w:proofErr w:type="gramEnd"/>
      <w:r>
        <w:rPr>
          <w:szCs w:val="20"/>
        </w:rPr>
        <w:t>, které se nacházejí na okraji hlavního města. Konkrétně jde o městské části Praha</w:t>
      </w:r>
      <w:r w:rsidR="00B543FB">
        <w:rPr>
          <w:szCs w:val="20"/>
        </w:rPr>
        <w:t>-Březiněves (2,9 %), Praha-Křeslice (2,8 %) nebo</w:t>
      </w:r>
      <w:r>
        <w:rPr>
          <w:szCs w:val="20"/>
        </w:rPr>
        <w:t xml:space="preserve"> </w:t>
      </w:r>
      <w:r w:rsidR="00B543FB">
        <w:rPr>
          <w:szCs w:val="20"/>
        </w:rPr>
        <w:t>Praha-</w:t>
      </w:r>
      <w:r>
        <w:rPr>
          <w:szCs w:val="20"/>
        </w:rPr>
        <w:t>Koloděje</w:t>
      </w:r>
      <w:r w:rsidR="00B543FB">
        <w:rPr>
          <w:szCs w:val="20"/>
        </w:rPr>
        <w:t xml:space="preserve"> (2,7 %). Patří sem ale i další okrajové městské části</w:t>
      </w:r>
      <w:r>
        <w:rPr>
          <w:szCs w:val="20"/>
        </w:rPr>
        <w:t xml:space="preserve">. </w:t>
      </w:r>
      <w:r w:rsidR="00916790">
        <w:rPr>
          <w:szCs w:val="20"/>
        </w:rPr>
        <w:t>Naopak nejmenší počet osob</w:t>
      </w:r>
      <w:r w:rsidR="008D1784">
        <w:rPr>
          <w:szCs w:val="20"/>
        </w:rPr>
        <w:t xml:space="preserve"> na jeden byt jsme zaznamenali v MČ Praha 1 (1,7 %), Praha 3 a Praha 2 (obě 1,8 %) a Praha 7 (1,9 osob na jeden byt).</w:t>
      </w:r>
    </w:p>
    <w:p w14:paraId="556F5E37" w14:textId="77777777" w:rsidR="002C7C65" w:rsidRDefault="002C7C65" w:rsidP="00264F6C">
      <w:pPr>
        <w:rPr>
          <w:rFonts w:cs="Arial"/>
          <w:szCs w:val="20"/>
        </w:rPr>
      </w:pPr>
    </w:p>
    <w:p w14:paraId="2C7E385A" w14:textId="2E3A9C8B" w:rsidR="00BE1B91" w:rsidRDefault="00264F6C" w:rsidP="00264F6C">
      <w:pPr>
        <w:rPr>
          <w:rFonts w:cs="Arial"/>
          <w:szCs w:val="20"/>
        </w:rPr>
      </w:pPr>
      <w:r>
        <w:rPr>
          <w:rFonts w:cs="Arial"/>
          <w:szCs w:val="20"/>
        </w:rPr>
        <w:t>Nejvíce obydlených bytů mělo v Praze celkovou plochu mezi 60-79,9 m</w:t>
      </w:r>
      <w:r>
        <w:rPr>
          <w:rFonts w:cs="Arial"/>
          <w:szCs w:val="20"/>
          <w:vertAlign w:val="superscript"/>
        </w:rPr>
        <w:t>2</w:t>
      </w:r>
      <w:r>
        <w:rPr>
          <w:rFonts w:cs="Arial"/>
          <w:szCs w:val="20"/>
        </w:rPr>
        <w:t>. Na druhém místě byly byty s 40-59,9 m</w:t>
      </w:r>
      <w:r>
        <w:rPr>
          <w:rFonts w:cs="Arial"/>
          <w:szCs w:val="20"/>
          <w:vertAlign w:val="superscript"/>
        </w:rPr>
        <w:t>2</w:t>
      </w:r>
      <w:r>
        <w:rPr>
          <w:rFonts w:cs="Arial"/>
          <w:szCs w:val="20"/>
        </w:rPr>
        <w:t>. Byty s plochou 40-59,9 a 60-79,9 m</w:t>
      </w:r>
      <w:r>
        <w:rPr>
          <w:rFonts w:cs="Arial"/>
          <w:szCs w:val="20"/>
          <w:vertAlign w:val="superscript"/>
        </w:rPr>
        <w:t>2</w:t>
      </w:r>
      <w:r>
        <w:rPr>
          <w:rFonts w:cs="Arial"/>
          <w:szCs w:val="20"/>
        </w:rPr>
        <w:t xml:space="preserve"> tvoří celkem 61,2 % všech obydlených bytů. V případě bytů v rodinných domech byla nejrozšířenější plocha 150 m</w:t>
      </w:r>
      <w:r>
        <w:rPr>
          <w:rFonts w:cs="Arial"/>
          <w:szCs w:val="20"/>
          <w:vertAlign w:val="superscript"/>
        </w:rPr>
        <w:t>2</w:t>
      </w:r>
      <w:r>
        <w:rPr>
          <w:rFonts w:cs="Arial"/>
          <w:szCs w:val="20"/>
        </w:rPr>
        <w:t xml:space="preserve"> a více. Rodinné domy většinou nabízejí větší prostory než bytové domy, takže jejich celková plocha je zpravidla vyšší. Téměř stejné zastoupení mají byty s plochou 80-99,9 m</w:t>
      </w:r>
      <w:r>
        <w:rPr>
          <w:rFonts w:cs="Arial"/>
          <w:szCs w:val="20"/>
          <w:vertAlign w:val="superscript"/>
        </w:rPr>
        <w:t>2</w:t>
      </w:r>
      <w:r>
        <w:rPr>
          <w:rFonts w:cs="Arial"/>
          <w:szCs w:val="20"/>
        </w:rPr>
        <w:t xml:space="preserve"> a 120-149,9 m</w:t>
      </w:r>
      <w:r>
        <w:rPr>
          <w:rFonts w:cs="Arial"/>
          <w:szCs w:val="20"/>
          <w:vertAlign w:val="superscript"/>
        </w:rPr>
        <w:t>2</w:t>
      </w:r>
      <w:r>
        <w:rPr>
          <w:rFonts w:cs="Arial"/>
          <w:szCs w:val="20"/>
        </w:rPr>
        <w:t>. Naopak rodinných domů, které mají celkovou plochu menší než 60 m</w:t>
      </w:r>
      <w:r>
        <w:rPr>
          <w:rFonts w:cs="Arial"/>
          <w:szCs w:val="20"/>
          <w:vertAlign w:val="superscript"/>
        </w:rPr>
        <w:t>2</w:t>
      </w:r>
      <w:r w:rsidR="00916790" w:rsidRPr="00916790">
        <w:rPr>
          <w:rFonts w:cs="Arial"/>
          <w:szCs w:val="20"/>
        </w:rPr>
        <w:t>,</w:t>
      </w:r>
      <w:r>
        <w:rPr>
          <w:rFonts w:cs="Arial"/>
          <w:szCs w:val="20"/>
        </w:rPr>
        <w:t xml:space="preserve"> je pouze 11,5 %. Jiná situace byla v případě bytů v bytových domech, kde nejčastěji byly již zmíněné plochy 60-79,9 a 40-59,9 m</w:t>
      </w:r>
      <w:r>
        <w:rPr>
          <w:rFonts w:cs="Arial"/>
          <w:szCs w:val="20"/>
          <w:vertAlign w:val="superscript"/>
        </w:rPr>
        <w:t>2</w:t>
      </w:r>
      <w:r>
        <w:rPr>
          <w:rFonts w:cs="Arial"/>
          <w:szCs w:val="20"/>
        </w:rPr>
        <w:t>. U bytů v ostatních budovách byla pak nejrozšířenější celková plocha bytu do 39,9 m</w:t>
      </w:r>
      <w:r>
        <w:rPr>
          <w:rFonts w:cs="Arial"/>
          <w:szCs w:val="20"/>
          <w:vertAlign w:val="superscript"/>
        </w:rPr>
        <w:t>2</w:t>
      </w:r>
      <w:r>
        <w:rPr>
          <w:rFonts w:cs="Arial"/>
          <w:szCs w:val="20"/>
        </w:rPr>
        <w:t>.</w:t>
      </w:r>
    </w:p>
    <w:p w14:paraId="4BA6C36E" w14:textId="77777777" w:rsidR="00BE1B91" w:rsidRDefault="00BE1B91">
      <w:pPr>
        <w:spacing w:before="0" w:after="0" w:line="240" w:lineRule="auto"/>
        <w:jc w:val="left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01449C68" w14:textId="04BC677D" w:rsidR="00FE7537" w:rsidRPr="00FE7537" w:rsidRDefault="00FE7537" w:rsidP="005A10BE">
      <w:pPr>
        <w:spacing w:before="0" w:after="0"/>
        <w:rPr>
          <w:rFonts w:cs="Arial"/>
          <w:b/>
          <w:szCs w:val="20"/>
        </w:rPr>
      </w:pPr>
      <w:r w:rsidRPr="00FE7537">
        <w:rPr>
          <w:rFonts w:cs="Arial"/>
          <w:b/>
          <w:szCs w:val="20"/>
        </w:rPr>
        <w:t xml:space="preserve">Tab. </w:t>
      </w:r>
      <w:proofErr w:type="gramStart"/>
      <w:r w:rsidRPr="00FE7537">
        <w:rPr>
          <w:rFonts w:cs="Arial"/>
          <w:b/>
          <w:szCs w:val="20"/>
        </w:rPr>
        <w:t>7.2.10</w:t>
      </w:r>
      <w:proofErr w:type="gramEnd"/>
      <w:r w:rsidRPr="00FE7537">
        <w:rPr>
          <w:rFonts w:cs="Arial"/>
          <w:b/>
          <w:szCs w:val="20"/>
        </w:rPr>
        <w:t xml:space="preserve"> Obydlené byty podle druhu domu a celkové plochy bytu</w:t>
      </w:r>
    </w:p>
    <w:p w14:paraId="4030EEBD" w14:textId="77777777" w:rsidR="00264F6C" w:rsidRDefault="000A1A8B" w:rsidP="00264F6C">
      <w:pPr>
        <w:jc w:val="center"/>
        <w:rPr>
          <w:rFonts w:cs="Arial"/>
          <w:szCs w:val="20"/>
        </w:rPr>
      </w:pPr>
      <w:r w:rsidRPr="000A1A8B">
        <w:rPr>
          <w:rFonts w:cs="Arial"/>
          <w:noProof/>
          <w:szCs w:val="20"/>
        </w:rPr>
        <w:drawing>
          <wp:inline distT="0" distB="0" distL="0" distR="0" wp14:anchorId="7851C3D8" wp14:editId="73D32C61">
            <wp:extent cx="6120130" cy="2436630"/>
            <wp:effectExtent l="0" t="0" r="0" b="19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3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3A1E7" w14:textId="77777777" w:rsidR="00264F6C" w:rsidRPr="00BE1B91" w:rsidRDefault="00264F6C" w:rsidP="00264F6C">
      <w:pPr>
        <w:rPr>
          <w:rFonts w:cs="Arial"/>
          <w:b/>
          <w:sz w:val="16"/>
          <w:szCs w:val="16"/>
        </w:rPr>
      </w:pPr>
    </w:p>
    <w:p w14:paraId="2DA6E6AC" w14:textId="339A0F8A" w:rsidR="00264F6C" w:rsidRPr="00E0157C" w:rsidRDefault="00264F6C" w:rsidP="005A10BE">
      <w:pPr>
        <w:spacing w:after="0"/>
        <w:rPr>
          <w:rFonts w:cs="Arial"/>
          <w:b/>
          <w:szCs w:val="20"/>
        </w:rPr>
      </w:pPr>
      <w:r w:rsidRPr="00E0157C">
        <w:rPr>
          <w:rFonts w:cs="Arial"/>
          <w:b/>
          <w:szCs w:val="20"/>
        </w:rPr>
        <w:t>Graf 7.9 Obydlené byty podle celkové plochy bytu v m</w:t>
      </w:r>
      <w:r w:rsidRPr="002C7C65">
        <w:rPr>
          <w:rFonts w:cs="Arial"/>
          <w:b/>
          <w:szCs w:val="20"/>
          <w:vertAlign w:val="superscript"/>
        </w:rPr>
        <w:t>2</w:t>
      </w:r>
      <w:r w:rsidR="00916790">
        <w:rPr>
          <w:rFonts w:cs="Arial"/>
          <w:b/>
          <w:szCs w:val="20"/>
        </w:rPr>
        <w:t xml:space="preserve"> a druhu domu v h</w:t>
      </w:r>
      <w:r w:rsidRPr="00E0157C">
        <w:rPr>
          <w:rFonts w:cs="Arial"/>
          <w:b/>
          <w:szCs w:val="20"/>
        </w:rPr>
        <w:t>l. m. Praze a ČR</w:t>
      </w:r>
    </w:p>
    <w:p w14:paraId="76EC2075" w14:textId="77777777" w:rsidR="00AF5CD4" w:rsidRDefault="00793915" w:rsidP="006E1949">
      <w:pPr>
        <w:jc w:val="center"/>
      </w:pPr>
      <w:bookmarkStart w:id="3" w:name="_GoBack"/>
      <w:r w:rsidRPr="00793915">
        <w:rPr>
          <w:noProof/>
        </w:rPr>
        <w:drawing>
          <wp:inline distT="0" distB="0" distL="0" distR="0" wp14:anchorId="075A8033" wp14:editId="35F4DADA">
            <wp:extent cx="6120130" cy="205649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5BA62FC0" w14:textId="77777777" w:rsidR="0066623A" w:rsidRDefault="0066623A" w:rsidP="006E1949">
      <w:pPr>
        <w:jc w:val="center"/>
      </w:pPr>
    </w:p>
    <w:p w14:paraId="46173333" w14:textId="1ABDC8E2" w:rsidR="00301FDD" w:rsidRDefault="00301FDD">
      <w:pPr>
        <w:spacing w:before="0" w:after="0" w:line="240" w:lineRule="auto"/>
        <w:jc w:val="left"/>
        <w:rPr>
          <w:noProof/>
        </w:rPr>
      </w:pPr>
      <w:r>
        <w:rPr>
          <w:noProof/>
        </w:rPr>
        <w:br w:type="page"/>
      </w:r>
    </w:p>
    <w:p w14:paraId="7DD053F3" w14:textId="17FB0D07" w:rsidR="00301FDD" w:rsidRPr="00DC12E7" w:rsidRDefault="00301FDD" w:rsidP="00DC12E7">
      <w:pPr>
        <w:spacing w:after="0"/>
        <w:rPr>
          <w:b/>
          <w:noProof/>
        </w:rPr>
      </w:pPr>
      <w:r w:rsidRPr="00DC12E7">
        <w:rPr>
          <w:b/>
          <w:noProof/>
        </w:rPr>
        <w:t>Kartogram 7.6</w:t>
      </w:r>
      <w:r w:rsidR="00DC12E7" w:rsidRPr="00DC12E7">
        <w:rPr>
          <w:b/>
          <w:noProof/>
        </w:rPr>
        <w:t xml:space="preserve"> Průměrná celková plocha na byt v městských částech hl. m. Prahy</w:t>
      </w:r>
    </w:p>
    <w:p w14:paraId="1182AD59" w14:textId="726C76D1" w:rsidR="0066623A" w:rsidRDefault="0066623A" w:rsidP="00DC12E7">
      <w:pPr>
        <w:jc w:val="left"/>
      </w:pPr>
      <w:r>
        <w:rPr>
          <w:noProof/>
        </w:rPr>
        <w:drawing>
          <wp:inline distT="0" distB="0" distL="0" distR="0" wp14:anchorId="0D7CAB20" wp14:editId="6B241C0A">
            <wp:extent cx="5966848" cy="4231758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lochaNabyt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1" t="9492" r="7440" b="6676"/>
                    <a:stretch/>
                  </pic:blipFill>
                  <pic:spPr bwMode="auto">
                    <a:xfrm>
                      <a:off x="0" y="0"/>
                      <a:ext cx="5978260" cy="423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0E594" w14:textId="5F08B0D8" w:rsidR="0066623A" w:rsidRDefault="0066623A" w:rsidP="0066623A">
      <w:r>
        <w:rPr>
          <w:szCs w:val="20"/>
        </w:rPr>
        <w:t xml:space="preserve">Největší průměrná celková plocha na 1 obydlený byt připadá na městské části </w:t>
      </w:r>
      <w:r w:rsidR="008D1784">
        <w:rPr>
          <w:szCs w:val="20"/>
        </w:rPr>
        <w:t xml:space="preserve">s výrazným podílem rodinných domů </w:t>
      </w:r>
      <w:r w:rsidR="008C697A">
        <w:rPr>
          <w:szCs w:val="20"/>
        </w:rPr>
        <w:t xml:space="preserve">v </w:t>
      </w:r>
      <w:r w:rsidR="008D1784">
        <w:rPr>
          <w:szCs w:val="20"/>
        </w:rPr>
        <w:t xml:space="preserve">domovním fondu. Jde o MČ </w:t>
      </w:r>
      <w:r>
        <w:rPr>
          <w:szCs w:val="20"/>
        </w:rPr>
        <w:t>Praha</w:t>
      </w:r>
      <w:r w:rsidR="008D1784">
        <w:rPr>
          <w:szCs w:val="20"/>
        </w:rPr>
        <w:t>-Křeslice (161,3 m</w:t>
      </w:r>
      <w:r w:rsidR="008D1784" w:rsidRPr="00BA610E">
        <w:rPr>
          <w:szCs w:val="20"/>
          <w:vertAlign w:val="superscript"/>
        </w:rPr>
        <w:t>2</w:t>
      </w:r>
      <w:r w:rsidR="008D1784">
        <w:rPr>
          <w:szCs w:val="20"/>
        </w:rPr>
        <w:t xml:space="preserve"> na byt)</w:t>
      </w:r>
      <w:r>
        <w:rPr>
          <w:szCs w:val="20"/>
        </w:rPr>
        <w:t>,</w:t>
      </w:r>
      <w:r w:rsidR="008D1784">
        <w:rPr>
          <w:szCs w:val="20"/>
        </w:rPr>
        <w:t xml:space="preserve"> Praha-Benice (146,6 m</w:t>
      </w:r>
      <w:r w:rsidR="008D1784" w:rsidRPr="00BA610E">
        <w:rPr>
          <w:szCs w:val="20"/>
          <w:vertAlign w:val="superscript"/>
        </w:rPr>
        <w:t>2</w:t>
      </w:r>
      <w:r w:rsidR="008D1784">
        <w:rPr>
          <w:szCs w:val="20"/>
        </w:rPr>
        <w:t>) a Praha-Koloděje (137,9 m</w:t>
      </w:r>
      <w:r w:rsidR="008D1784" w:rsidRPr="00BA610E">
        <w:rPr>
          <w:szCs w:val="20"/>
          <w:vertAlign w:val="superscript"/>
        </w:rPr>
        <w:t>2</w:t>
      </w:r>
      <w:r w:rsidR="008D1784">
        <w:rPr>
          <w:szCs w:val="20"/>
        </w:rPr>
        <w:t>)</w:t>
      </w:r>
      <w:r>
        <w:rPr>
          <w:szCs w:val="20"/>
        </w:rPr>
        <w:t xml:space="preserve">. Naopak nejmenší plochy byly zaznamenány </w:t>
      </w:r>
      <w:r w:rsidR="008D1784">
        <w:rPr>
          <w:szCs w:val="20"/>
        </w:rPr>
        <w:t>v MČ Praha 9 (62,2 m</w:t>
      </w:r>
      <w:r w:rsidR="008D1784" w:rsidRPr="00BA610E">
        <w:rPr>
          <w:szCs w:val="20"/>
          <w:vertAlign w:val="superscript"/>
        </w:rPr>
        <w:t>2</w:t>
      </w:r>
      <w:r w:rsidR="008D1784">
        <w:rPr>
          <w:szCs w:val="20"/>
        </w:rPr>
        <w:t>), Praha 3 (62,9 m</w:t>
      </w:r>
      <w:r w:rsidR="008D1784" w:rsidRPr="00BA610E">
        <w:rPr>
          <w:szCs w:val="20"/>
          <w:vertAlign w:val="superscript"/>
        </w:rPr>
        <w:t>2</w:t>
      </w:r>
      <w:r w:rsidR="008D1784">
        <w:rPr>
          <w:szCs w:val="20"/>
        </w:rPr>
        <w:t>) či sídlištní Praze 18 (63,4 m</w:t>
      </w:r>
      <w:r w:rsidR="008D1784" w:rsidRPr="00BA610E">
        <w:rPr>
          <w:szCs w:val="20"/>
          <w:vertAlign w:val="superscript"/>
        </w:rPr>
        <w:t>2</w:t>
      </w:r>
      <w:r w:rsidR="008D1784">
        <w:rPr>
          <w:szCs w:val="20"/>
        </w:rPr>
        <w:t>).</w:t>
      </w:r>
    </w:p>
    <w:sectPr w:rsidR="0066623A" w:rsidSect="006F5416">
      <w:headerReference w:type="even" r:id="rId37"/>
      <w:headerReference w:type="default" r:id="rId38"/>
      <w:footerReference w:type="even" r:id="rId39"/>
      <w:footerReference w:type="default" r:id="rId40"/>
      <w:pgSz w:w="11906" w:h="16838" w:code="9"/>
      <w:pgMar w:top="1134" w:right="1134" w:bottom="1418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9319FE" w14:textId="77777777" w:rsidR="00EC01B1" w:rsidRDefault="00EC01B1" w:rsidP="005F3C01">
      <w:r>
        <w:separator/>
      </w:r>
    </w:p>
    <w:p w14:paraId="1E590436" w14:textId="77777777" w:rsidR="00EC01B1" w:rsidRDefault="00EC01B1" w:rsidP="005F3C01"/>
  </w:endnote>
  <w:endnote w:type="continuationSeparator" w:id="0">
    <w:p w14:paraId="10646436" w14:textId="77777777" w:rsidR="00EC01B1" w:rsidRDefault="00EC01B1" w:rsidP="005F3C01">
      <w:r>
        <w:continuationSeparator/>
      </w:r>
    </w:p>
    <w:p w14:paraId="76652CF4" w14:textId="77777777" w:rsidR="00EC01B1" w:rsidRDefault="00EC01B1" w:rsidP="005F3C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64B01" w14:textId="0B26F6B7" w:rsidR="008D1784" w:rsidRDefault="008D1784" w:rsidP="00543343">
    <w:pPr>
      <w:pStyle w:val="Zpat"/>
    </w:pPr>
    <w:r>
      <w:rPr>
        <w:szCs w:val="16"/>
        <w:lang w:eastAsia="cs-CZ"/>
      </w:rPr>
      <w:drawing>
        <wp:anchor distT="0" distB="0" distL="114300" distR="114300" simplePos="0" relativeHeight="251658240" behindDoc="0" locked="0" layoutInCell="1" allowOverlap="1" wp14:anchorId="5E51D135" wp14:editId="03D3CA3B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11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2443">
      <w:rPr>
        <w:szCs w:val="16"/>
      </w:rPr>
      <w:fldChar w:fldCharType="begin"/>
    </w:r>
    <w:r w:rsidRPr="00932443">
      <w:rPr>
        <w:szCs w:val="16"/>
      </w:rPr>
      <w:instrText>PAGE   \* MERGEFORMAT</w:instrText>
    </w:r>
    <w:r w:rsidRPr="00932443">
      <w:rPr>
        <w:szCs w:val="16"/>
      </w:rPr>
      <w:fldChar w:fldCharType="separate"/>
    </w:r>
    <w:r w:rsidR="005A10BE">
      <w:rPr>
        <w:szCs w:val="16"/>
      </w:rPr>
      <w:t>16</w:t>
    </w:r>
    <w:r w:rsidRPr="00932443">
      <w:rPr>
        <w:szCs w:val="16"/>
      </w:rPr>
      <w:fldChar w:fldCharType="end"/>
    </w:r>
    <w:r w:rsidRPr="00932443">
      <w:rPr>
        <w:szCs w:val="16"/>
      </w:rPr>
      <w:tab/>
    </w:r>
    <w:r>
      <w:rPr>
        <w:szCs w:val="16"/>
      </w:rPr>
      <w:t>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8D388" w14:textId="35C432E6" w:rsidR="008D1784" w:rsidRDefault="008D1784" w:rsidP="00543343">
    <w:pPr>
      <w:pStyle w:val="Zpat"/>
    </w:pPr>
    <w:r>
      <w:rPr>
        <w:szCs w:val="16"/>
        <w:lang w:eastAsia="cs-CZ"/>
      </w:rPr>
      <w:drawing>
        <wp:anchor distT="0" distB="0" distL="114300" distR="114300" simplePos="0" relativeHeight="251657216" behindDoc="0" locked="0" layoutInCell="1" allowOverlap="1" wp14:anchorId="6F01E317" wp14:editId="3671E942">
          <wp:simplePos x="0" y="0"/>
          <wp:positionH relativeFrom="column">
            <wp:align>left</wp:align>
          </wp:positionH>
          <wp:positionV relativeFrom="paragraph">
            <wp:posOffset>-122555</wp:posOffset>
          </wp:positionV>
          <wp:extent cx="510540" cy="272415"/>
          <wp:effectExtent l="0" t="0" r="0" b="6985"/>
          <wp:wrapNone/>
          <wp:docPr id="10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2443">
      <w:rPr>
        <w:szCs w:val="16"/>
      </w:rPr>
      <w:tab/>
    </w:r>
    <w:r>
      <w:rPr>
        <w:rStyle w:val="ZpatChar"/>
        <w:szCs w:val="16"/>
      </w:rPr>
      <w:t>2021</w:t>
    </w:r>
    <w:r w:rsidRPr="00932443">
      <w:rPr>
        <w:szCs w:val="16"/>
      </w:rPr>
      <w:tab/>
    </w:r>
    <w:r w:rsidRPr="00932443">
      <w:rPr>
        <w:rStyle w:val="ZpatChar"/>
        <w:szCs w:val="16"/>
      </w:rPr>
      <w:fldChar w:fldCharType="begin"/>
    </w:r>
    <w:r w:rsidRPr="00932443">
      <w:rPr>
        <w:rStyle w:val="ZpatChar"/>
        <w:szCs w:val="16"/>
      </w:rPr>
      <w:instrText>PAGE   \* MERGEFORMAT</w:instrText>
    </w:r>
    <w:r w:rsidRPr="00932443">
      <w:rPr>
        <w:rStyle w:val="ZpatChar"/>
        <w:szCs w:val="16"/>
      </w:rPr>
      <w:fldChar w:fldCharType="separate"/>
    </w:r>
    <w:r w:rsidR="005A10BE">
      <w:rPr>
        <w:rStyle w:val="ZpatChar"/>
        <w:szCs w:val="16"/>
      </w:rPr>
      <w:t>15</w:t>
    </w:r>
    <w:r w:rsidRPr="00932443">
      <w:rPr>
        <w:rStyle w:val="ZpatChar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99E910" w14:textId="77777777" w:rsidR="00EC01B1" w:rsidRDefault="00EC01B1" w:rsidP="005F3C01">
      <w:r>
        <w:separator/>
      </w:r>
    </w:p>
    <w:p w14:paraId="428EC7A8" w14:textId="77777777" w:rsidR="00EC01B1" w:rsidRDefault="00EC01B1" w:rsidP="005F3C01"/>
  </w:footnote>
  <w:footnote w:type="continuationSeparator" w:id="0">
    <w:p w14:paraId="416E6798" w14:textId="77777777" w:rsidR="00EC01B1" w:rsidRDefault="00EC01B1" w:rsidP="005F3C01">
      <w:r>
        <w:continuationSeparator/>
      </w:r>
    </w:p>
    <w:p w14:paraId="438907B6" w14:textId="77777777" w:rsidR="00EC01B1" w:rsidRDefault="00EC01B1" w:rsidP="005F3C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2D514" w14:textId="77777777" w:rsidR="008D1784" w:rsidRPr="00817A7C" w:rsidRDefault="008D1784" w:rsidP="005F3C01">
    <w:pPr>
      <w:rPr>
        <w:sz w:val="16"/>
        <w:szCs w:val="16"/>
      </w:rPr>
    </w:pPr>
    <w:r w:rsidRPr="00817A7C">
      <w:rPr>
        <w:sz w:val="16"/>
        <w:szCs w:val="16"/>
      </w:rPr>
      <w:t xml:space="preserve">Sčítání lidu, domů a bytů </w:t>
    </w:r>
    <w:r>
      <w:rPr>
        <w:sz w:val="16"/>
        <w:szCs w:val="16"/>
      </w:rPr>
      <w:t>- Hl. m. Praha -</w:t>
    </w:r>
    <w:r w:rsidRPr="00817A7C">
      <w:rPr>
        <w:sz w:val="16"/>
        <w:szCs w:val="16"/>
      </w:rPr>
      <w:t xml:space="preserve"> analýza výsledků - 2021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45424" w14:textId="77777777" w:rsidR="008D1784" w:rsidRDefault="008D1784" w:rsidP="005867A4">
    <w:pPr>
      <w:pStyle w:val="Zhlav"/>
    </w:pPr>
    <w:r>
      <w:t xml:space="preserve">Sčítání lidu, domů a bytů - Hl. m. Praha </w:t>
    </w:r>
    <w:r w:rsidRPr="00F3661B">
      <w:t>- analýza výsledků - 2021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FAAF"/>
      </v:shape>
    </w:pict>
  </w:numPicBullet>
  <w:abstractNum w:abstractNumId="0" w15:restartNumberingAfterBreak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F607B6"/>
    <w:multiLevelType w:val="multilevel"/>
    <w:tmpl w:val="2D0C942E"/>
    <w:lvl w:ilvl="0">
      <w:start w:val="7"/>
      <w:numFmt w:val="decimal"/>
      <w:pStyle w:val="Nadpis1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1847027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64EF6"/>
    <w:multiLevelType w:val="hybridMultilevel"/>
    <w:tmpl w:val="D42C4130"/>
    <w:lvl w:ilvl="0" w:tplc="9990CEB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805376"/>
    <w:multiLevelType w:val="hybridMultilevel"/>
    <w:tmpl w:val="3AE02706"/>
    <w:lvl w:ilvl="0" w:tplc="040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7" w15:restartNumberingAfterBreak="0">
    <w:nsid w:val="67544463"/>
    <w:multiLevelType w:val="multilevel"/>
    <w:tmpl w:val="14B4B8B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suff w:val="space"/>
      <w:lvlText w:val="%1.%2."/>
      <w:lvlJc w:val="left"/>
      <w:pPr>
        <w:ind w:left="624" w:hanging="624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suff w:val="space"/>
      <w:lvlText w:val="Tab. 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2"/>
  </w:num>
  <w:num w:numId="13">
    <w:abstractNumId w:val="15"/>
  </w:num>
  <w:num w:numId="14">
    <w:abstractNumId w:val="16"/>
  </w:num>
  <w:num w:numId="15">
    <w:abstractNumId w:val="13"/>
  </w:num>
  <w:num w:numId="16">
    <w:abstractNumId w:val="17"/>
  </w:num>
  <w:num w:numId="17">
    <w:abstractNumId w:val="17"/>
  </w:num>
  <w:num w:numId="18">
    <w:abstractNumId w:val="1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6407"/>
  <w:hyphenationZone w:val="425"/>
  <w:evenAndOddHeaders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171"/>
    <w:rsid w:val="0000209D"/>
    <w:rsid w:val="00004D5A"/>
    <w:rsid w:val="000056D5"/>
    <w:rsid w:val="0000729D"/>
    <w:rsid w:val="0000767A"/>
    <w:rsid w:val="00010702"/>
    <w:rsid w:val="000154C6"/>
    <w:rsid w:val="00016992"/>
    <w:rsid w:val="00016ED4"/>
    <w:rsid w:val="000234D6"/>
    <w:rsid w:val="00023D29"/>
    <w:rsid w:val="00023D40"/>
    <w:rsid w:val="00026389"/>
    <w:rsid w:val="00031AE0"/>
    <w:rsid w:val="000322EF"/>
    <w:rsid w:val="00033FCD"/>
    <w:rsid w:val="00041CEC"/>
    <w:rsid w:val="0004694F"/>
    <w:rsid w:val="000522E4"/>
    <w:rsid w:val="00057DD1"/>
    <w:rsid w:val="000610E1"/>
    <w:rsid w:val="00062EC5"/>
    <w:rsid w:val="00062F22"/>
    <w:rsid w:val="000712B3"/>
    <w:rsid w:val="0008263E"/>
    <w:rsid w:val="00082C19"/>
    <w:rsid w:val="00085395"/>
    <w:rsid w:val="00087634"/>
    <w:rsid w:val="00087F2B"/>
    <w:rsid w:val="000974D1"/>
    <w:rsid w:val="0009799E"/>
    <w:rsid w:val="000A1183"/>
    <w:rsid w:val="000A1A8B"/>
    <w:rsid w:val="000A256D"/>
    <w:rsid w:val="000A3A2C"/>
    <w:rsid w:val="000A76DD"/>
    <w:rsid w:val="000B30FA"/>
    <w:rsid w:val="000C3408"/>
    <w:rsid w:val="000C6AFD"/>
    <w:rsid w:val="000D19DF"/>
    <w:rsid w:val="000D5637"/>
    <w:rsid w:val="000E1E6A"/>
    <w:rsid w:val="000E6DB0"/>
    <w:rsid w:val="000E6FBD"/>
    <w:rsid w:val="00100F5C"/>
    <w:rsid w:val="0010437D"/>
    <w:rsid w:val="00104C4C"/>
    <w:rsid w:val="00107DF9"/>
    <w:rsid w:val="00112147"/>
    <w:rsid w:val="0012192F"/>
    <w:rsid w:val="00125D69"/>
    <w:rsid w:val="00134DF4"/>
    <w:rsid w:val="001405FA"/>
    <w:rsid w:val="001425C3"/>
    <w:rsid w:val="001443AF"/>
    <w:rsid w:val="0016256B"/>
    <w:rsid w:val="00163793"/>
    <w:rsid w:val="00166171"/>
    <w:rsid w:val="001706D6"/>
    <w:rsid w:val="00170C38"/>
    <w:rsid w:val="001714F2"/>
    <w:rsid w:val="00175AA4"/>
    <w:rsid w:val="0018232B"/>
    <w:rsid w:val="00184B08"/>
    <w:rsid w:val="00185010"/>
    <w:rsid w:val="001857F6"/>
    <w:rsid w:val="00185F52"/>
    <w:rsid w:val="001A552F"/>
    <w:rsid w:val="001B2CA9"/>
    <w:rsid w:val="001B3110"/>
    <w:rsid w:val="001B4729"/>
    <w:rsid w:val="001B6C09"/>
    <w:rsid w:val="001B7D99"/>
    <w:rsid w:val="001C05CD"/>
    <w:rsid w:val="001C73A2"/>
    <w:rsid w:val="001D68B2"/>
    <w:rsid w:val="001F4597"/>
    <w:rsid w:val="001F6BA8"/>
    <w:rsid w:val="002118B9"/>
    <w:rsid w:val="002170D1"/>
    <w:rsid w:val="00217C5B"/>
    <w:rsid w:val="0022139E"/>
    <w:rsid w:val="002252E0"/>
    <w:rsid w:val="002255F6"/>
    <w:rsid w:val="00227850"/>
    <w:rsid w:val="00227A53"/>
    <w:rsid w:val="00230C6E"/>
    <w:rsid w:val="00236443"/>
    <w:rsid w:val="002436BA"/>
    <w:rsid w:val="00244603"/>
    <w:rsid w:val="00244A15"/>
    <w:rsid w:val="00247319"/>
    <w:rsid w:val="0024799E"/>
    <w:rsid w:val="00251016"/>
    <w:rsid w:val="00253C0F"/>
    <w:rsid w:val="00264157"/>
    <w:rsid w:val="00264F6C"/>
    <w:rsid w:val="00271465"/>
    <w:rsid w:val="00285412"/>
    <w:rsid w:val="00287A83"/>
    <w:rsid w:val="0029209F"/>
    <w:rsid w:val="00296AF2"/>
    <w:rsid w:val="002A00BE"/>
    <w:rsid w:val="002A16D4"/>
    <w:rsid w:val="002A230C"/>
    <w:rsid w:val="002A5826"/>
    <w:rsid w:val="002A592A"/>
    <w:rsid w:val="002B6284"/>
    <w:rsid w:val="002C43BD"/>
    <w:rsid w:val="002C7C65"/>
    <w:rsid w:val="002D0E59"/>
    <w:rsid w:val="002D5D85"/>
    <w:rsid w:val="002E02A1"/>
    <w:rsid w:val="002E0A99"/>
    <w:rsid w:val="002E3DEA"/>
    <w:rsid w:val="002E4E4C"/>
    <w:rsid w:val="00301FDD"/>
    <w:rsid w:val="00304771"/>
    <w:rsid w:val="003052D4"/>
    <w:rsid w:val="00306C5B"/>
    <w:rsid w:val="00306E71"/>
    <w:rsid w:val="00320148"/>
    <w:rsid w:val="003209D6"/>
    <w:rsid w:val="00321924"/>
    <w:rsid w:val="0032656E"/>
    <w:rsid w:val="0033123A"/>
    <w:rsid w:val="00332190"/>
    <w:rsid w:val="00344668"/>
    <w:rsid w:val="003462D9"/>
    <w:rsid w:val="00360C86"/>
    <w:rsid w:val="003657F3"/>
    <w:rsid w:val="00375817"/>
    <w:rsid w:val="003818DC"/>
    <w:rsid w:val="003820CB"/>
    <w:rsid w:val="00383D12"/>
    <w:rsid w:val="00384327"/>
    <w:rsid w:val="00385D98"/>
    <w:rsid w:val="003A2B4D"/>
    <w:rsid w:val="003A478C"/>
    <w:rsid w:val="003A5028"/>
    <w:rsid w:val="003A5525"/>
    <w:rsid w:val="003A6B38"/>
    <w:rsid w:val="003B337D"/>
    <w:rsid w:val="003B5A32"/>
    <w:rsid w:val="003C3490"/>
    <w:rsid w:val="003D1F8F"/>
    <w:rsid w:val="003D6920"/>
    <w:rsid w:val="003E4C91"/>
    <w:rsid w:val="003E7899"/>
    <w:rsid w:val="003F313C"/>
    <w:rsid w:val="003F4B2C"/>
    <w:rsid w:val="003F551C"/>
    <w:rsid w:val="003F7D23"/>
    <w:rsid w:val="00400D80"/>
    <w:rsid w:val="004071B7"/>
    <w:rsid w:val="00407C13"/>
    <w:rsid w:val="00410638"/>
    <w:rsid w:val="00414CD9"/>
    <w:rsid w:val="0042750A"/>
    <w:rsid w:val="00432A58"/>
    <w:rsid w:val="00433A93"/>
    <w:rsid w:val="00434617"/>
    <w:rsid w:val="00434CCB"/>
    <w:rsid w:val="00440900"/>
    <w:rsid w:val="004441A0"/>
    <w:rsid w:val="0045703B"/>
    <w:rsid w:val="00460FB3"/>
    <w:rsid w:val="00475B69"/>
    <w:rsid w:val="00476240"/>
    <w:rsid w:val="00476439"/>
    <w:rsid w:val="0047735C"/>
    <w:rsid w:val="004776BC"/>
    <w:rsid w:val="0048139F"/>
    <w:rsid w:val="00481E40"/>
    <w:rsid w:val="00484ECE"/>
    <w:rsid w:val="00486654"/>
    <w:rsid w:val="004900FF"/>
    <w:rsid w:val="004915CB"/>
    <w:rsid w:val="004924DC"/>
    <w:rsid w:val="004A01CA"/>
    <w:rsid w:val="004A14E4"/>
    <w:rsid w:val="004A3212"/>
    <w:rsid w:val="004A61C5"/>
    <w:rsid w:val="004A77DF"/>
    <w:rsid w:val="004B1417"/>
    <w:rsid w:val="004B55B7"/>
    <w:rsid w:val="004B6468"/>
    <w:rsid w:val="004C384C"/>
    <w:rsid w:val="004C3867"/>
    <w:rsid w:val="004C4CD0"/>
    <w:rsid w:val="004C70DC"/>
    <w:rsid w:val="004D0211"/>
    <w:rsid w:val="004D0794"/>
    <w:rsid w:val="004D085C"/>
    <w:rsid w:val="004F06F5"/>
    <w:rsid w:val="004F33A0"/>
    <w:rsid w:val="00500A8A"/>
    <w:rsid w:val="005108C0"/>
    <w:rsid w:val="00511873"/>
    <w:rsid w:val="00512A2F"/>
    <w:rsid w:val="005138BF"/>
    <w:rsid w:val="00513B7E"/>
    <w:rsid w:val="00515C74"/>
    <w:rsid w:val="0052007E"/>
    <w:rsid w:val="0052337A"/>
    <w:rsid w:val="00525137"/>
    <w:rsid w:val="005251DD"/>
    <w:rsid w:val="005253C3"/>
    <w:rsid w:val="00530E67"/>
    <w:rsid w:val="00532CE7"/>
    <w:rsid w:val="0053324C"/>
    <w:rsid w:val="00534A28"/>
    <w:rsid w:val="00541508"/>
    <w:rsid w:val="00543343"/>
    <w:rsid w:val="0055599F"/>
    <w:rsid w:val="00556D68"/>
    <w:rsid w:val="00562509"/>
    <w:rsid w:val="005647BF"/>
    <w:rsid w:val="0056613B"/>
    <w:rsid w:val="0057364B"/>
    <w:rsid w:val="00574773"/>
    <w:rsid w:val="005768B2"/>
    <w:rsid w:val="00583FFD"/>
    <w:rsid w:val="005867A4"/>
    <w:rsid w:val="005911BE"/>
    <w:rsid w:val="00593152"/>
    <w:rsid w:val="00597288"/>
    <w:rsid w:val="005A10BE"/>
    <w:rsid w:val="005A10F2"/>
    <w:rsid w:val="005A21E0"/>
    <w:rsid w:val="005A28FF"/>
    <w:rsid w:val="005A36A6"/>
    <w:rsid w:val="005A3DF8"/>
    <w:rsid w:val="005A5549"/>
    <w:rsid w:val="005B121D"/>
    <w:rsid w:val="005B6FE2"/>
    <w:rsid w:val="005C06ED"/>
    <w:rsid w:val="005C6CA0"/>
    <w:rsid w:val="005D5802"/>
    <w:rsid w:val="005D7890"/>
    <w:rsid w:val="005E7C78"/>
    <w:rsid w:val="005F3C01"/>
    <w:rsid w:val="005F3EB1"/>
    <w:rsid w:val="005F5469"/>
    <w:rsid w:val="00604307"/>
    <w:rsid w:val="0060487F"/>
    <w:rsid w:val="00604EAD"/>
    <w:rsid w:val="0060543F"/>
    <w:rsid w:val="006104FB"/>
    <w:rsid w:val="00612A2F"/>
    <w:rsid w:val="00616E05"/>
    <w:rsid w:val="0061795F"/>
    <w:rsid w:val="00624093"/>
    <w:rsid w:val="006404A7"/>
    <w:rsid w:val="006451E4"/>
    <w:rsid w:val="00645B33"/>
    <w:rsid w:val="006516CB"/>
    <w:rsid w:val="00657E87"/>
    <w:rsid w:val="00664803"/>
    <w:rsid w:val="00665BA4"/>
    <w:rsid w:val="0066623A"/>
    <w:rsid w:val="00667AF2"/>
    <w:rsid w:val="006710C9"/>
    <w:rsid w:val="00674D89"/>
    <w:rsid w:val="00675E37"/>
    <w:rsid w:val="0068174E"/>
    <w:rsid w:val="00681DCE"/>
    <w:rsid w:val="0068260E"/>
    <w:rsid w:val="0068654D"/>
    <w:rsid w:val="00695BEF"/>
    <w:rsid w:val="006977F6"/>
    <w:rsid w:val="00697A13"/>
    <w:rsid w:val="006A109C"/>
    <w:rsid w:val="006A3DB9"/>
    <w:rsid w:val="006A3FED"/>
    <w:rsid w:val="006A6F27"/>
    <w:rsid w:val="006B344A"/>
    <w:rsid w:val="006B5B42"/>
    <w:rsid w:val="006B749D"/>
    <w:rsid w:val="006B78D8"/>
    <w:rsid w:val="006C113F"/>
    <w:rsid w:val="006C123E"/>
    <w:rsid w:val="006C2542"/>
    <w:rsid w:val="006C56D4"/>
    <w:rsid w:val="006C6924"/>
    <w:rsid w:val="006C7CA6"/>
    <w:rsid w:val="006D0A76"/>
    <w:rsid w:val="006D3E8A"/>
    <w:rsid w:val="006D5922"/>
    <w:rsid w:val="006D61F6"/>
    <w:rsid w:val="006E1949"/>
    <w:rsid w:val="006E279A"/>
    <w:rsid w:val="006E313B"/>
    <w:rsid w:val="006F5416"/>
    <w:rsid w:val="006F7137"/>
    <w:rsid w:val="00706AD4"/>
    <w:rsid w:val="00710EB3"/>
    <w:rsid w:val="007140BE"/>
    <w:rsid w:val="007211F5"/>
    <w:rsid w:val="00725BB5"/>
    <w:rsid w:val="00726347"/>
    <w:rsid w:val="00730AE8"/>
    <w:rsid w:val="00741493"/>
    <w:rsid w:val="00741D29"/>
    <w:rsid w:val="00741DFB"/>
    <w:rsid w:val="00752180"/>
    <w:rsid w:val="00755202"/>
    <w:rsid w:val="00755D3A"/>
    <w:rsid w:val="00756FDB"/>
    <w:rsid w:val="007578D3"/>
    <w:rsid w:val="007609C6"/>
    <w:rsid w:val="0076175D"/>
    <w:rsid w:val="00761AD2"/>
    <w:rsid w:val="0076521E"/>
    <w:rsid w:val="007661E9"/>
    <w:rsid w:val="0077118F"/>
    <w:rsid w:val="00776169"/>
    <w:rsid w:val="00776527"/>
    <w:rsid w:val="00780EF1"/>
    <w:rsid w:val="00784B65"/>
    <w:rsid w:val="00790764"/>
    <w:rsid w:val="00793915"/>
    <w:rsid w:val="0079453C"/>
    <w:rsid w:val="00794677"/>
    <w:rsid w:val="007B6689"/>
    <w:rsid w:val="007D40DF"/>
    <w:rsid w:val="007D749B"/>
    <w:rsid w:val="007E51D4"/>
    <w:rsid w:val="007E7E61"/>
    <w:rsid w:val="007F0845"/>
    <w:rsid w:val="007F0988"/>
    <w:rsid w:val="007F48B0"/>
    <w:rsid w:val="00807C82"/>
    <w:rsid w:val="00811C65"/>
    <w:rsid w:val="00816905"/>
    <w:rsid w:val="00817A7C"/>
    <w:rsid w:val="00821FF6"/>
    <w:rsid w:val="00825C4D"/>
    <w:rsid w:val="0083143E"/>
    <w:rsid w:val="00831CDE"/>
    <w:rsid w:val="00831EBA"/>
    <w:rsid w:val="00834304"/>
    <w:rsid w:val="00834FAA"/>
    <w:rsid w:val="00836086"/>
    <w:rsid w:val="00840C82"/>
    <w:rsid w:val="0084708F"/>
    <w:rsid w:val="008477C8"/>
    <w:rsid w:val="0085114D"/>
    <w:rsid w:val="00852217"/>
    <w:rsid w:val="00855408"/>
    <w:rsid w:val="00856D65"/>
    <w:rsid w:val="00861B41"/>
    <w:rsid w:val="00863434"/>
    <w:rsid w:val="00865E4C"/>
    <w:rsid w:val="00867CA3"/>
    <w:rsid w:val="008701E4"/>
    <w:rsid w:val="00875A32"/>
    <w:rsid w:val="00876086"/>
    <w:rsid w:val="008873D4"/>
    <w:rsid w:val="00893E85"/>
    <w:rsid w:val="00894031"/>
    <w:rsid w:val="008B7C02"/>
    <w:rsid w:val="008B7D2B"/>
    <w:rsid w:val="008B7DC5"/>
    <w:rsid w:val="008C0049"/>
    <w:rsid w:val="008C096C"/>
    <w:rsid w:val="008C0E88"/>
    <w:rsid w:val="008C697A"/>
    <w:rsid w:val="008C7591"/>
    <w:rsid w:val="008D1147"/>
    <w:rsid w:val="008D1784"/>
    <w:rsid w:val="008D1E6A"/>
    <w:rsid w:val="008D2A16"/>
    <w:rsid w:val="008D675B"/>
    <w:rsid w:val="008E2C57"/>
    <w:rsid w:val="008E31FF"/>
    <w:rsid w:val="008E3ACF"/>
    <w:rsid w:val="008E6F06"/>
    <w:rsid w:val="008F029B"/>
    <w:rsid w:val="008F3FC9"/>
    <w:rsid w:val="008F585B"/>
    <w:rsid w:val="009003A8"/>
    <w:rsid w:val="00901AE3"/>
    <w:rsid w:val="00902500"/>
    <w:rsid w:val="00902EFF"/>
    <w:rsid w:val="00905EBB"/>
    <w:rsid w:val="00906401"/>
    <w:rsid w:val="0091155E"/>
    <w:rsid w:val="00912A92"/>
    <w:rsid w:val="00916790"/>
    <w:rsid w:val="0091728D"/>
    <w:rsid w:val="0092180B"/>
    <w:rsid w:val="00921F14"/>
    <w:rsid w:val="00924AC8"/>
    <w:rsid w:val="0092597A"/>
    <w:rsid w:val="00930D70"/>
    <w:rsid w:val="00931B05"/>
    <w:rsid w:val="00932443"/>
    <w:rsid w:val="00937AE2"/>
    <w:rsid w:val="0094206C"/>
    <w:rsid w:val="0094427A"/>
    <w:rsid w:val="009518F6"/>
    <w:rsid w:val="00952AE6"/>
    <w:rsid w:val="00965DB8"/>
    <w:rsid w:val="00974923"/>
    <w:rsid w:val="00980D3D"/>
    <w:rsid w:val="00987A30"/>
    <w:rsid w:val="00992CF3"/>
    <w:rsid w:val="009956BA"/>
    <w:rsid w:val="009968D6"/>
    <w:rsid w:val="009A1CAB"/>
    <w:rsid w:val="009A60D1"/>
    <w:rsid w:val="009A6592"/>
    <w:rsid w:val="009A7603"/>
    <w:rsid w:val="009B6FD3"/>
    <w:rsid w:val="009C1750"/>
    <w:rsid w:val="009C2E29"/>
    <w:rsid w:val="009C554B"/>
    <w:rsid w:val="009C719E"/>
    <w:rsid w:val="009D0437"/>
    <w:rsid w:val="009D3ACD"/>
    <w:rsid w:val="009E5273"/>
    <w:rsid w:val="009E5DDB"/>
    <w:rsid w:val="009F314E"/>
    <w:rsid w:val="009F3162"/>
    <w:rsid w:val="009F4CA7"/>
    <w:rsid w:val="009F682F"/>
    <w:rsid w:val="00A0486C"/>
    <w:rsid w:val="00A10D66"/>
    <w:rsid w:val="00A14114"/>
    <w:rsid w:val="00A16413"/>
    <w:rsid w:val="00A23E43"/>
    <w:rsid w:val="00A256C6"/>
    <w:rsid w:val="00A276FB"/>
    <w:rsid w:val="00A302FD"/>
    <w:rsid w:val="00A30F65"/>
    <w:rsid w:val="00A32A9C"/>
    <w:rsid w:val="00A418BC"/>
    <w:rsid w:val="00A428A4"/>
    <w:rsid w:val="00A46DE0"/>
    <w:rsid w:val="00A50D73"/>
    <w:rsid w:val="00A52CAD"/>
    <w:rsid w:val="00A53FC7"/>
    <w:rsid w:val="00A6133B"/>
    <w:rsid w:val="00A61C65"/>
    <w:rsid w:val="00A62CE1"/>
    <w:rsid w:val="00A6741E"/>
    <w:rsid w:val="00A75E40"/>
    <w:rsid w:val="00A77D1D"/>
    <w:rsid w:val="00A857C0"/>
    <w:rsid w:val="00A92177"/>
    <w:rsid w:val="00A9292F"/>
    <w:rsid w:val="00AA2996"/>
    <w:rsid w:val="00AA52BF"/>
    <w:rsid w:val="00AA559A"/>
    <w:rsid w:val="00AB2AF1"/>
    <w:rsid w:val="00AC2A17"/>
    <w:rsid w:val="00AD306C"/>
    <w:rsid w:val="00AE09B3"/>
    <w:rsid w:val="00AE1A83"/>
    <w:rsid w:val="00AF5CD4"/>
    <w:rsid w:val="00B00913"/>
    <w:rsid w:val="00B01593"/>
    <w:rsid w:val="00B10A4D"/>
    <w:rsid w:val="00B17B33"/>
    <w:rsid w:val="00B17E71"/>
    <w:rsid w:val="00B17FDE"/>
    <w:rsid w:val="00B2379C"/>
    <w:rsid w:val="00B2541A"/>
    <w:rsid w:val="00B2687D"/>
    <w:rsid w:val="00B32DDB"/>
    <w:rsid w:val="00B34528"/>
    <w:rsid w:val="00B402FC"/>
    <w:rsid w:val="00B46604"/>
    <w:rsid w:val="00B51582"/>
    <w:rsid w:val="00B530CD"/>
    <w:rsid w:val="00B543FB"/>
    <w:rsid w:val="00B55F5E"/>
    <w:rsid w:val="00B5752E"/>
    <w:rsid w:val="00B63A11"/>
    <w:rsid w:val="00B64C24"/>
    <w:rsid w:val="00B6608F"/>
    <w:rsid w:val="00B679FB"/>
    <w:rsid w:val="00B76D1E"/>
    <w:rsid w:val="00B80EC6"/>
    <w:rsid w:val="00B834E6"/>
    <w:rsid w:val="00B92D1D"/>
    <w:rsid w:val="00B938C5"/>
    <w:rsid w:val="00B95940"/>
    <w:rsid w:val="00BA610E"/>
    <w:rsid w:val="00BB46F3"/>
    <w:rsid w:val="00BB4CB1"/>
    <w:rsid w:val="00BB4F98"/>
    <w:rsid w:val="00BC7154"/>
    <w:rsid w:val="00BD366B"/>
    <w:rsid w:val="00BD6D50"/>
    <w:rsid w:val="00BD6D57"/>
    <w:rsid w:val="00BE18B9"/>
    <w:rsid w:val="00BE1B91"/>
    <w:rsid w:val="00BE2495"/>
    <w:rsid w:val="00BE42D9"/>
    <w:rsid w:val="00BF1578"/>
    <w:rsid w:val="00C119C7"/>
    <w:rsid w:val="00C21F94"/>
    <w:rsid w:val="00C2261F"/>
    <w:rsid w:val="00C2295E"/>
    <w:rsid w:val="00C27913"/>
    <w:rsid w:val="00C27ECC"/>
    <w:rsid w:val="00C33A90"/>
    <w:rsid w:val="00C33B68"/>
    <w:rsid w:val="00C36303"/>
    <w:rsid w:val="00C36A79"/>
    <w:rsid w:val="00C405D4"/>
    <w:rsid w:val="00C4513B"/>
    <w:rsid w:val="00C54697"/>
    <w:rsid w:val="00C550AC"/>
    <w:rsid w:val="00C61C8E"/>
    <w:rsid w:val="00C73885"/>
    <w:rsid w:val="00C73C14"/>
    <w:rsid w:val="00C747B1"/>
    <w:rsid w:val="00C82191"/>
    <w:rsid w:val="00C86AB0"/>
    <w:rsid w:val="00C90CF4"/>
    <w:rsid w:val="00C92EB6"/>
    <w:rsid w:val="00C93389"/>
    <w:rsid w:val="00CB4930"/>
    <w:rsid w:val="00CB7C87"/>
    <w:rsid w:val="00CC2E7D"/>
    <w:rsid w:val="00CD10A5"/>
    <w:rsid w:val="00CD1EEB"/>
    <w:rsid w:val="00CD2076"/>
    <w:rsid w:val="00CD34A1"/>
    <w:rsid w:val="00CE1741"/>
    <w:rsid w:val="00CE670B"/>
    <w:rsid w:val="00CE6C75"/>
    <w:rsid w:val="00CF133F"/>
    <w:rsid w:val="00CF51EC"/>
    <w:rsid w:val="00CF73AE"/>
    <w:rsid w:val="00D002C8"/>
    <w:rsid w:val="00D040DD"/>
    <w:rsid w:val="00D13986"/>
    <w:rsid w:val="00D235B7"/>
    <w:rsid w:val="00D2581D"/>
    <w:rsid w:val="00D25F28"/>
    <w:rsid w:val="00D27973"/>
    <w:rsid w:val="00D3368C"/>
    <w:rsid w:val="00D33A90"/>
    <w:rsid w:val="00D50F46"/>
    <w:rsid w:val="00D63BEF"/>
    <w:rsid w:val="00D64DBE"/>
    <w:rsid w:val="00D66223"/>
    <w:rsid w:val="00D72700"/>
    <w:rsid w:val="00D8084C"/>
    <w:rsid w:val="00D91600"/>
    <w:rsid w:val="00D97626"/>
    <w:rsid w:val="00DA7C0C"/>
    <w:rsid w:val="00DB2EC8"/>
    <w:rsid w:val="00DC12E7"/>
    <w:rsid w:val="00DC5B3B"/>
    <w:rsid w:val="00DD129F"/>
    <w:rsid w:val="00DD4E36"/>
    <w:rsid w:val="00DD5D72"/>
    <w:rsid w:val="00DE3C6A"/>
    <w:rsid w:val="00DF42FF"/>
    <w:rsid w:val="00E000BC"/>
    <w:rsid w:val="00E0157C"/>
    <w:rsid w:val="00E01C0E"/>
    <w:rsid w:val="00E03F9A"/>
    <w:rsid w:val="00E04694"/>
    <w:rsid w:val="00E06CD2"/>
    <w:rsid w:val="00E06F53"/>
    <w:rsid w:val="00E12B1E"/>
    <w:rsid w:val="00E1542E"/>
    <w:rsid w:val="00E17262"/>
    <w:rsid w:val="00E253A2"/>
    <w:rsid w:val="00E3309D"/>
    <w:rsid w:val="00E37706"/>
    <w:rsid w:val="00E50156"/>
    <w:rsid w:val="00E5331E"/>
    <w:rsid w:val="00E53470"/>
    <w:rsid w:val="00E539F6"/>
    <w:rsid w:val="00E6519D"/>
    <w:rsid w:val="00E67696"/>
    <w:rsid w:val="00E71A58"/>
    <w:rsid w:val="00E72A7A"/>
    <w:rsid w:val="00E75C94"/>
    <w:rsid w:val="00E826D7"/>
    <w:rsid w:val="00E849C8"/>
    <w:rsid w:val="00E86273"/>
    <w:rsid w:val="00E86432"/>
    <w:rsid w:val="00E877BE"/>
    <w:rsid w:val="00E93820"/>
    <w:rsid w:val="00EA0C68"/>
    <w:rsid w:val="00EA0CD2"/>
    <w:rsid w:val="00EA1217"/>
    <w:rsid w:val="00EA1787"/>
    <w:rsid w:val="00EA32BC"/>
    <w:rsid w:val="00EA33E3"/>
    <w:rsid w:val="00EA7CD1"/>
    <w:rsid w:val="00EB4511"/>
    <w:rsid w:val="00EB4D61"/>
    <w:rsid w:val="00EC01B1"/>
    <w:rsid w:val="00EC03D7"/>
    <w:rsid w:val="00ED62C6"/>
    <w:rsid w:val="00ED64C1"/>
    <w:rsid w:val="00EE3446"/>
    <w:rsid w:val="00EE3E78"/>
    <w:rsid w:val="00EE4B1B"/>
    <w:rsid w:val="00EF150D"/>
    <w:rsid w:val="00EF1F5A"/>
    <w:rsid w:val="00EF47BF"/>
    <w:rsid w:val="00F04811"/>
    <w:rsid w:val="00F0488C"/>
    <w:rsid w:val="00F05F5E"/>
    <w:rsid w:val="00F10F11"/>
    <w:rsid w:val="00F15718"/>
    <w:rsid w:val="00F15AAA"/>
    <w:rsid w:val="00F15BEF"/>
    <w:rsid w:val="00F24407"/>
    <w:rsid w:val="00F24FAA"/>
    <w:rsid w:val="00F3364D"/>
    <w:rsid w:val="00F3661B"/>
    <w:rsid w:val="00F36C72"/>
    <w:rsid w:val="00F437CC"/>
    <w:rsid w:val="00F4636F"/>
    <w:rsid w:val="00F47067"/>
    <w:rsid w:val="00F525EB"/>
    <w:rsid w:val="00F63DDE"/>
    <w:rsid w:val="00F63FB7"/>
    <w:rsid w:val="00F649D2"/>
    <w:rsid w:val="00F6602B"/>
    <w:rsid w:val="00F7260E"/>
    <w:rsid w:val="00F73A0C"/>
    <w:rsid w:val="00F756DB"/>
    <w:rsid w:val="00F85066"/>
    <w:rsid w:val="00F90EF0"/>
    <w:rsid w:val="00FA5D4D"/>
    <w:rsid w:val="00FB02F2"/>
    <w:rsid w:val="00FB0EE2"/>
    <w:rsid w:val="00FB542E"/>
    <w:rsid w:val="00FC0E5F"/>
    <w:rsid w:val="00FC1A95"/>
    <w:rsid w:val="00FC56DE"/>
    <w:rsid w:val="00FC684B"/>
    <w:rsid w:val="00FD3265"/>
    <w:rsid w:val="00FE2F78"/>
    <w:rsid w:val="00FE7537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3275782D"/>
  <w15:docId w15:val="{ABB23CD1-7A59-40B7-9136-ACFFED53C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F3C01"/>
    <w:pPr>
      <w:spacing w:before="60" w:after="120" w:line="288" w:lineRule="auto"/>
      <w:jc w:val="both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4900FF"/>
    <w:pPr>
      <w:keepNext/>
      <w:keepLines/>
      <w:numPr>
        <w:numId w:val="18"/>
      </w:numPr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900FF"/>
    <w:pPr>
      <w:keepNext/>
      <w:keepLines/>
      <w:numPr>
        <w:ilvl w:val="1"/>
        <w:numId w:val="18"/>
      </w:numPr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4900FF"/>
    <w:pPr>
      <w:keepNext/>
      <w:keepLines/>
      <w:numPr>
        <w:ilvl w:val="2"/>
        <w:numId w:val="18"/>
      </w:numPr>
      <w:spacing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numPr>
        <w:ilvl w:val="3"/>
        <w:numId w:val="18"/>
      </w:numPr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AC2A17"/>
    <w:pPr>
      <w:keepNext/>
      <w:keepLines/>
      <w:numPr>
        <w:ilvl w:val="4"/>
        <w:numId w:val="18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C2A17"/>
    <w:pPr>
      <w:keepNext/>
      <w:keepLines/>
      <w:numPr>
        <w:ilvl w:val="5"/>
        <w:numId w:val="18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C2A17"/>
    <w:pPr>
      <w:keepNext/>
      <w:keepLines/>
      <w:numPr>
        <w:ilvl w:val="6"/>
        <w:numId w:val="1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C2A17"/>
    <w:pPr>
      <w:keepNext/>
      <w:keepLines/>
      <w:numPr>
        <w:ilvl w:val="7"/>
        <w:numId w:val="1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numPr>
        <w:ilvl w:val="8"/>
        <w:numId w:val="18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900FF"/>
    <w:rPr>
      <w:rFonts w:ascii="Arial" w:eastAsia="MS Gothic" w:hAnsi="Arial"/>
      <w:b/>
      <w:bCs/>
      <w:color w:val="C00000"/>
      <w:sz w:val="32"/>
      <w:szCs w:val="28"/>
    </w:rPr>
  </w:style>
  <w:style w:type="character" w:customStyle="1" w:styleId="Nadpis2Char">
    <w:name w:val="Nadpis 2 Char"/>
    <w:link w:val="Nadpis2"/>
    <w:uiPriority w:val="9"/>
    <w:rsid w:val="004900FF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uiPriority w:val="9"/>
    <w:rsid w:val="004900FF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B02F2"/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nadpis">
    <w:name w:val="Subtitle"/>
    <w:next w:val="Normln"/>
    <w:link w:val="Podnadpis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nadpisChar">
    <w:name w:val="Podnadpis Char"/>
    <w:link w:val="Podnadpis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paragraph" w:styleId="Nadpisobsahu">
    <w:name w:val="TOC Heading"/>
    <w:basedOn w:val="Nadpis1"/>
    <w:next w:val="Normln"/>
    <w:uiPriority w:val="39"/>
    <w:unhideWhenUsed/>
    <w:qFormat/>
    <w:rsid w:val="00EA1787"/>
    <w:p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</w:rPr>
  </w:style>
  <w:style w:type="character" w:styleId="Odkaznakoment">
    <w:name w:val="annotation reference"/>
    <w:basedOn w:val="Standardnpsmoodstavce"/>
    <w:uiPriority w:val="99"/>
    <w:semiHidden/>
    <w:unhideWhenUsed/>
    <w:rsid w:val="00D64DB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64DBE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64DBE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64DB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64DBE"/>
    <w:rPr>
      <w:rFonts w:ascii="Arial" w:eastAsia="Times New Roman" w:hAnsi="Arial"/>
      <w:b/>
      <w:bCs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C2A17"/>
    <w:rPr>
      <w:rFonts w:asciiTheme="majorHAnsi" w:eastAsiaTheme="majorEastAsia" w:hAnsiTheme="majorHAnsi" w:cstheme="majorBidi"/>
      <w:color w:val="365F91" w:themeColor="accent1" w:themeShade="BF"/>
      <w:szCs w:val="24"/>
      <w:lang w:eastAsia="cs-CZ"/>
    </w:rPr>
  </w:style>
  <w:style w:type="paragraph" w:customStyle="1" w:styleId="Default">
    <w:name w:val="Default"/>
    <w:rsid w:val="00811C6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  <w:style w:type="paragraph" w:customStyle="1" w:styleId="Muj-zakltext3">
    <w:name w:val="Muj-zakl.text3"/>
    <w:basedOn w:val="Normln"/>
    <w:rsid w:val="00811C65"/>
    <w:pPr>
      <w:keepNext/>
      <w:spacing w:after="0" w:line="240" w:lineRule="auto"/>
    </w:pPr>
    <w:rPr>
      <w:rFonts w:cs="Arial"/>
      <w:bCs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C2A17"/>
    <w:rPr>
      <w:rFonts w:asciiTheme="majorHAnsi" w:eastAsiaTheme="majorEastAsia" w:hAnsiTheme="majorHAnsi" w:cstheme="majorBidi"/>
      <w:color w:val="243F60" w:themeColor="accent1" w:themeShade="7F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C2A1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C2A1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paragraph" w:styleId="Odstavecseseznamem">
    <w:name w:val="List Paragraph"/>
    <w:basedOn w:val="Normln"/>
    <w:uiPriority w:val="34"/>
    <w:rsid w:val="005F3C01"/>
    <w:pPr>
      <w:ind w:left="720"/>
      <w:contextualSpacing/>
    </w:pPr>
  </w:style>
  <w:style w:type="paragraph" w:styleId="Revize">
    <w:name w:val="Revision"/>
    <w:hidden/>
    <w:uiPriority w:val="99"/>
    <w:semiHidden/>
    <w:rsid w:val="00414CD9"/>
    <w:rPr>
      <w:rFonts w:ascii="Arial" w:eastAsia="Times New Roman" w:hAnsi="Arial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9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53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g"/><Relationship Id="rId26" Type="http://schemas.openxmlformats.org/officeDocument/2006/relationships/image" Target="media/image20.emf"/><Relationship Id="rId39" Type="http://schemas.openxmlformats.org/officeDocument/2006/relationships/footer" Target="footer1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jpg"/><Relationship Id="rId10" Type="http://schemas.openxmlformats.org/officeDocument/2006/relationships/image" Target="media/image4.emf"/><Relationship Id="rId19" Type="http://schemas.openxmlformats.org/officeDocument/2006/relationships/image" Target="media/image13.jpg"/><Relationship Id="rId31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jpg"/><Relationship Id="rId38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472D2-54C0-4284-8A4A-F24026DF5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17</Pages>
  <Words>3324</Words>
  <Characters>19618</Characters>
  <Application>Microsoft Office Word</Application>
  <DocSecurity>0</DocSecurity>
  <Lines>163</Lines>
  <Paragraphs>45</Paragraphs>
  <ScaleCrop>false</ScaleCrop>
  <HeadingPairs>
    <vt:vector size="8" baseType="variant">
      <vt:variant>
        <vt:lpstr>Název</vt:lpstr>
      </vt:variant>
      <vt:variant>
        <vt:i4>1</vt:i4>
      </vt:variant>
      <vt:variant>
        <vt:lpstr>Nadpisy</vt:lpstr>
      </vt:variant>
      <vt:variant>
        <vt:i4>3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3" baseType="lpstr">
      <vt:lpstr/>
      <vt:lpstr>Domy a byty</vt:lpstr>
      <vt:lpstr>    Charakteristika domovního fondu</vt:lpstr>
      <vt:lpstr>    Charakteristika bytového fondu</vt:lpstr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Manager/>
  <Company>CSU</Company>
  <LinksUpToDate>false</LinksUpToDate>
  <CharactersWithSpaces>22897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Varmužová Věra</dc:creator>
  <cp:keywords/>
  <dc:description/>
  <cp:lastModifiedBy>Podhorská Jana</cp:lastModifiedBy>
  <cp:revision>7</cp:revision>
  <cp:lastPrinted>2023-09-15T10:17:00Z</cp:lastPrinted>
  <dcterms:created xsi:type="dcterms:W3CDTF">2023-11-02T14:05:00Z</dcterms:created>
  <dcterms:modified xsi:type="dcterms:W3CDTF">2023-11-20T12:24:00Z</dcterms:modified>
  <cp:category/>
</cp:coreProperties>
</file>