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E3657" w14:textId="4E4C71B2" w:rsidR="00CE6C75" w:rsidRDefault="00753E5E" w:rsidP="004C454E">
      <w:pPr>
        <w:pStyle w:val="Nadpis1"/>
        <w:spacing w:before="240" w:after="120"/>
      </w:pPr>
      <w:r>
        <w:t>Dojížďka a vyjížďka</w:t>
      </w:r>
      <w:r w:rsidR="00221465">
        <w:t xml:space="preserve"> do zaměstnání a do školy</w:t>
      </w:r>
    </w:p>
    <w:p w14:paraId="0BA9D6A0" w14:textId="7530A730" w:rsidR="00753E5E" w:rsidRDefault="00753E5E" w:rsidP="00A6193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Při</w:t>
      </w:r>
      <w:r w:rsidR="00221465">
        <w:rPr>
          <w:rFonts w:cs="Arial"/>
          <w:szCs w:val="20"/>
        </w:rPr>
        <w:t xml:space="preserve"> sčítání lidu, domů a bytů 2021</w:t>
      </w:r>
      <w:r w:rsidRPr="00024D45">
        <w:rPr>
          <w:rFonts w:cs="Arial"/>
          <w:szCs w:val="20"/>
        </w:rPr>
        <w:t xml:space="preserve">, se stejně jako v minulém sčítání zjišťovalo, kam lidé dojíždí </w:t>
      </w:r>
      <w:r>
        <w:rPr>
          <w:rFonts w:cs="Arial"/>
          <w:szCs w:val="20"/>
        </w:rPr>
        <w:t>do </w:t>
      </w:r>
      <w:r w:rsidRPr="00024D45">
        <w:rPr>
          <w:rFonts w:cs="Arial"/>
          <w:szCs w:val="20"/>
        </w:rPr>
        <w:t xml:space="preserve">zaměstnání a do škol. </w:t>
      </w:r>
      <w:r w:rsidR="00221465">
        <w:rPr>
          <w:rFonts w:cs="Arial"/>
          <w:szCs w:val="20"/>
        </w:rPr>
        <w:t>Na</w:t>
      </w:r>
      <w:r w:rsidR="004C454E">
        <w:rPr>
          <w:rFonts w:cs="Arial"/>
          <w:szCs w:val="20"/>
        </w:rPr>
        <w:t xml:space="preserve"> sčítacím formuláři bylo třeba vyplnit </w:t>
      </w:r>
      <w:r w:rsidR="00221465">
        <w:rPr>
          <w:rFonts w:cs="Arial"/>
          <w:szCs w:val="20"/>
        </w:rPr>
        <w:t xml:space="preserve">místo pracoviště osoby. </w:t>
      </w:r>
      <w:r w:rsidRPr="00024D45">
        <w:rPr>
          <w:rFonts w:cs="Arial"/>
          <w:szCs w:val="20"/>
        </w:rPr>
        <w:t xml:space="preserve">Vyjížďka a dojížďka jsou dva pojmy, které popisují krátkodobý pohyb za prací (nebo do škol) určený směrem. Vyjíždějící jsou osoby směřující ven z určitého územního celku, dojíždějící jsou osoby směřující dovnitř celku. </w:t>
      </w:r>
      <w:r w:rsidRPr="00A24277">
        <w:rPr>
          <w:rFonts w:cs="Arial"/>
          <w:szCs w:val="20"/>
        </w:rPr>
        <w:t xml:space="preserve">Pokud budeme v této publikaci o pohybu za prací či do škol hovořit obecně, budeme používat pouze slovo dojížďka, pokud bude nutné směr nějak upřesnit, </w:t>
      </w:r>
      <w:r>
        <w:rPr>
          <w:rFonts w:cs="Arial"/>
          <w:szCs w:val="20"/>
        </w:rPr>
        <w:t>používáme</w:t>
      </w:r>
      <w:r w:rsidRPr="00A24277">
        <w:rPr>
          <w:rFonts w:cs="Arial"/>
          <w:szCs w:val="20"/>
        </w:rPr>
        <w:t xml:space="preserve"> pojmy vyjížďka a dojížďka. </w:t>
      </w:r>
      <w:r>
        <w:rPr>
          <w:rFonts w:cs="Arial"/>
          <w:szCs w:val="20"/>
        </w:rPr>
        <w:t>Osoby</w:t>
      </w:r>
      <w:r w:rsidRPr="00024D45">
        <w:rPr>
          <w:rFonts w:cs="Arial"/>
          <w:szCs w:val="20"/>
        </w:rPr>
        <w:t xml:space="preserve"> vyjíždějící </w:t>
      </w:r>
      <w:r>
        <w:rPr>
          <w:rFonts w:cs="Arial"/>
          <w:szCs w:val="20"/>
        </w:rPr>
        <w:t>do zaměstnání nebo školy jsou</w:t>
      </w:r>
      <w:r w:rsidRPr="00024D45">
        <w:rPr>
          <w:rFonts w:cs="Arial"/>
          <w:szCs w:val="20"/>
        </w:rPr>
        <w:t xml:space="preserve"> všechny osoby, </w:t>
      </w:r>
      <w:r>
        <w:rPr>
          <w:rFonts w:cs="Arial"/>
          <w:szCs w:val="20"/>
        </w:rPr>
        <w:t>jejichž místo pracoviště</w:t>
      </w:r>
      <w:r w:rsidRPr="00024D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je na jiné adrese</w:t>
      </w:r>
      <w:r w:rsidRPr="00024D45">
        <w:rPr>
          <w:rFonts w:cs="Arial"/>
          <w:szCs w:val="20"/>
        </w:rPr>
        <w:t xml:space="preserve">, než </w:t>
      </w:r>
      <w:r>
        <w:rPr>
          <w:rFonts w:cs="Arial"/>
          <w:szCs w:val="20"/>
        </w:rPr>
        <w:t>jejich</w:t>
      </w:r>
      <w:r w:rsidRPr="00024D45">
        <w:rPr>
          <w:rFonts w:cs="Arial"/>
          <w:szCs w:val="20"/>
        </w:rPr>
        <w:t xml:space="preserve"> místo obvyklého pobytu</w:t>
      </w:r>
      <w:r>
        <w:rPr>
          <w:rStyle w:val="Znakapoznpodarou"/>
          <w:rFonts w:cs="Arial"/>
          <w:szCs w:val="20"/>
        </w:rPr>
        <w:footnoteReference w:id="1"/>
      </w:r>
      <w:r w:rsidRPr="00024D45">
        <w:rPr>
          <w:rFonts w:cs="Arial"/>
          <w:szCs w:val="20"/>
        </w:rPr>
        <w:t xml:space="preserve">. Místem pracoviště se rozumí </w:t>
      </w:r>
      <w:r>
        <w:rPr>
          <w:rFonts w:cs="Arial"/>
          <w:szCs w:val="20"/>
        </w:rPr>
        <w:t xml:space="preserve">adresa </w:t>
      </w:r>
      <w:r w:rsidRPr="00024D45">
        <w:rPr>
          <w:rFonts w:cs="Arial"/>
          <w:szCs w:val="20"/>
        </w:rPr>
        <w:t>míst</w:t>
      </w:r>
      <w:r>
        <w:rPr>
          <w:rFonts w:cs="Arial"/>
          <w:szCs w:val="20"/>
        </w:rPr>
        <w:t>a</w:t>
      </w:r>
      <w:r w:rsidRPr="00024D45">
        <w:rPr>
          <w:rFonts w:cs="Arial"/>
          <w:szCs w:val="20"/>
        </w:rPr>
        <w:t xml:space="preserve"> výkonu práce, nikoliv sídl</w:t>
      </w:r>
      <w:r>
        <w:rPr>
          <w:rFonts w:cs="Arial"/>
          <w:szCs w:val="20"/>
        </w:rPr>
        <w:t>a</w:t>
      </w:r>
      <w:r w:rsidRPr="00024D45">
        <w:rPr>
          <w:rFonts w:cs="Arial"/>
          <w:szCs w:val="20"/>
        </w:rPr>
        <w:t xml:space="preserve"> firmy. </w:t>
      </w:r>
    </w:p>
    <w:p w14:paraId="20AC4B67" w14:textId="35901B16" w:rsidR="00753E5E" w:rsidRDefault="00753E5E" w:rsidP="00A6193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Otázky týkající se dojížďky </w:t>
      </w:r>
      <w:r w:rsidRPr="00024D45">
        <w:rPr>
          <w:rFonts w:cs="Arial"/>
          <w:szCs w:val="20"/>
        </w:rPr>
        <w:t xml:space="preserve">do zaměstnání vyplňovaly osoby </w:t>
      </w:r>
      <w:r w:rsidRPr="004C454E">
        <w:rPr>
          <w:rFonts w:cs="Arial"/>
          <w:szCs w:val="20"/>
        </w:rPr>
        <w:t xml:space="preserve">zaměstnané a </w:t>
      </w:r>
      <w:r w:rsidR="00221465" w:rsidRPr="004C454E">
        <w:rPr>
          <w:rFonts w:cs="Arial"/>
          <w:szCs w:val="20"/>
        </w:rPr>
        <w:t xml:space="preserve">pracující </w:t>
      </w:r>
      <w:r w:rsidRPr="004C454E">
        <w:rPr>
          <w:rFonts w:cs="Arial"/>
          <w:szCs w:val="20"/>
        </w:rPr>
        <w:t xml:space="preserve">žáci, studenti a učni. </w:t>
      </w:r>
      <w:r w:rsidR="00221465" w:rsidRPr="004C454E">
        <w:rPr>
          <w:rFonts w:cs="Arial"/>
          <w:szCs w:val="20"/>
        </w:rPr>
        <w:t>Nepracující studenti a učni uváděli pouze dojížďku do školy</w:t>
      </w:r>
      <w:r w:rsidRPr="004C454E">
        <w:rPr>
          <w:rFonts w:cs="Arial"/>
          <w:szCs w:val="20"/>
        </w:rPr>
        <w:t xml:space="preserve">. </w:t>
      </w:r>
      <w:r w:rsidR="00221465" w:rsidRPr="004C454E">
        <w:rPr>
          <w:rFonts w:cs="Arial"/>
          <w:szCs w:val="20"/>
        </w:rPr>
        <w:t>To je metod</w:t>
      </w:r>
      <w:r w:rsidR="00221465">
        <w:rPr>
          <w:rFonts w:cs="Arial"/>
          <w:szCs w:val="20"/>
        </w:rPr>
        <w:t>ický rozdíl oproti sčítání roku 2011, kdy pracující studenti a učni uváděli dojíž</w:t>
      </w:r>
      <w:r w:rsidR="00FE06F7">
        <w:rPr>
          <w:rFonts w:cs="Arial"/>
          <w:szCs w:val="20"/>
        </w:rPr>
        <w:t>ďku do školy.</w:t>
      </w:r>
    </w:p>
    <w:p w14:paraId="0CD56378" w14:textId="545D8292" w:rsidR="00753E5E" w:rsidRPr="00024D45" w:rsidRDefault="00753E5E" w:rsidP="00A61936">
      <w:pPr>
        <w:jc w:val="both"/>
        <w:rPr>
          <w:rFonts w:cs="Arial"/>
          <w:szCs w:val="20"/>
        </w:rPr>
      </w:pPr>
      <w:r w:rsidRPr="00024D45">
        <w:rPr>
          <w:rFonts w:cs="Arial"/>
          <w:szCs w:val="20"/>
        </w:rPr>
        <w:t>Pokud osoba</w:t>
      </w:r>
      <w:r>
        <w:rPr>
          <w:rFonts w:cs="Arial"/>
          <w:szCs w:val="20"/>
        </w:rPr>
        <w:t xml:space="preserve"> </w:t>
      </w:r>
      <w:r w:rsidRPr="00024D45">
        <w:rPr>
          <w:rFonts w:cs="Arial"/>
          <w:szCs w:val="20"/>
        </w:rPr>
        <w:t>pracovala n</w:t>
      </w:r>
      <w:r>
        <w:rPr>
          <w:rFonts w:cs="Arial"/>
          <w:szCs w:val="20"/>
        </w:rPr>
        <w:t>a stejném místě, na kterém měl</w:t>
      </w:r>
      <w:r w:rsidRPr="00024D45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Pr="00024D45">
        <w:rPr>
          <w:rFonts w:cs="Arial"/>
          <w:szCs w:val="20"/>
        </w:rPr>
        <w:t>místo obvyk</w:t>
      </w:r>
      <w:r>
        <w:rPr>
          <w:rFonts w:cs="Arial"/>
          <w:szCs w:val="20"/>
        </w:rPr>
        <w:t>lého bydliště, není v údajích o vyjíždějících osobách</w:t>
      </w:r>
      <w:r w:rsidRPr="00024D45">
        <w:rPr>
          <w:rFonts w:cs="Arial"/>
          <w:szCs w:val="20"/>
        </w:rPr>
        <w:t xml:space="preserve"> zahrnuta.</w:t>
      </w:r>
      <w:r>
        <w:rPr>
          <w:rFonts w:cs="Arial"/>
          <w:szCs w:val="20"/>
        </w:rPr>
        <w:t xml:space="preserve"> </w:t>
      </w:r>
      <w:r w:rsidR="00FE06F7">
        <w:rPr>
          <w:rFonts w:cs="Arial"/>
          <w:szCs w:val="20"/>
        </w:rPr>
        <w:t>Taktéž nejsou zahrnuty osoby s nestálým a s nezjištěným místem pracoviště. Zaměstnaných, kteří měli</w:t>
      </w:r>
      <w:r>
        <w:rPr>
          <w:rFonts w:cs="Arial"/>
          <w:szCs w:val="20"/>
        </w:rPr>
        <w:t xml:space="preserve"> adresu místa obvyklého pobytu shodnou s adr</w:t>
      </w:r>
      <w:r w:rsidR="00FE06F7">
        <w:rPr>
          <w:rFonts w:cs="Arial"/>
          <w:szCs w:val="20"/>
        </w:rPr>
        <w:t>esou místa pracoviště, bylo v Pr</w:t>
      </w:r>
      <w:r w:rsidR="00740FC7">
        <w:rPr>
          <w:rFonts w:cs="Arial"/>
          <w:szCs w:val="20"/>
        </w:rPr>
        <w:t>aze 141,9 tisíc a studentů a učň</w:t>
      </w:r>
      <w:r w:rsidR="00FE06F7">
        <w:rPr>
          <w:rFonts w:cs="Arial"/>
          <w:szCs w:val="20"/>
        </w:rPr>
        <w:t>ů se stejnou adresou bydliště a pracoviště bylo 96</w:t>
      </w:r>
      <w:r>
        <w:rPr>
          <w:rFonts w:cs="Arial"/>
          <w:szCs w:val="20"/>
        </w:rPr>
        <w:t>.</w:t>
      </w:r>
      <w:r w:rsidRPr="00024D45">
        <w:rPr>
          <w:rFonts w:cs="Arial"/>
          <w:szCs w:val="20"/>
        </w:rPr>
        <w:t xml:space="preserve"> Osoby, které často mění místo výkonu zaměstnání uvedly „zaměstnání bez stálého pracovi</w:t>
      </w:r>
      <w:r w:rsidR="00FE06F7">
        <w:rPr>
          <w:rFonts w:cs="Arial"/>
          <w:szCs w:val="20"/>
        </w:rPr>
        <w:t>ště“ (82,2 tisíc</w:t>
      </w:r>
      <w:r w:rsidRPr="00024D45">
        <w:rPr>
          <w:rFonts w:cs="Arial"/>
          <w:szCs w:val="20"/>
        </w:rPr>
        <w:t xml:space="preserve"> osob</w:t>
      </w:r>
      <w:r>
        <w:rPr>
          <w:rFonts w:cs="Arial"/>
          <w:szCs w:val="20"/>
        </w:rPr>
        <w:t>)</w:t>
      </w:r>
      <w:r w:rsidRPr="00024D45">
        <w:rPr>
          <w:rFonts w:cs="Arial"/>
          <w:szCs w:val="20"/>
        </w:rPr>
        <w:t xml:space="preserve">. </w:t>
      </w:r>
      <w:r w:rsidR="00FE06F7">
        <w:rPr>
          <w:rFonts w:cs="Arial"/>
          <w:szCs w:val="20"/>
        </w:rPr>
        <w:t>U ž</w:t>
      </w:r>
      <w:r w:rsidR="004C454E">
        <w:rPr>
          <w:rFonts w:cs="Arial"/>
          <w:szCs w:val="20"/>
        </w:rPr>
        <w:t>áků a studentů se tato varianta nevyskytovala.</w:t>
      </w:r>
    </w:p>
    <w:p w14:paraId="7155BD25" w14:textId="0845601C" w:rsidR="00753E5E" w:rsidRDefault="00753E5E" w:rsidP="00A6193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Rozbor dojížďky má v případě Prahy oproti jiným krajům svá specifika. Tato kapitola poskytne pouze </w:t>
      </w:r>
      <w:r w:rsidRPr="00024D45">
        <w:rPr>
          <w:rFonts w:cs="Arial"/>
          <w:szCs w:val="20"/>
        </w:rPr>
        <w:t>základní poznat</w:t>
      </w:r>
      <w:r>
        <w:rPr>
          <w:rFonts w:cs="Arial"/>
          <w:szCs w:val="20"/>
        </w:rPr>
        <w:t>ky o dojížďce týkající se Prahy</w:t>
      </w:r>
      <w:r w:rsidRPr="00024D45">
        <w:rPr>
          <w:rFonts w:cs="Arial"/>
          <w:szCs w:val="20"/>
        </w:rPr>
        <w:t>. Vzhledem k r</w:t>
      </w:r>
      <w:r>
        <w:rPr>
          <w:rFonts w:cs="Arial"/>
          <w:szCs w:val="20"/>
        </w:rPr>
        <w:t>ozsahu této publikace zde nemůžeme</w:t>
      </w:r>
      <w:r w:rsidRPr="00024D45">
        <w:rPr>
          <w:rFonts w:cs="Arial"/>
          <w:szCs w:val="20"/>
        </w:rPr>
        <w:t xml:space="preserve"> poskytnout podrobnější informace o vnitroměstské dojížďce, tedy například o dojížďce mezi městskými částmi Prahy.</w:t>
      </w:r>
    </w:p>
    <w:p w14:paraId="579D9E0B" w14:textId="5270DA41" w:rsidR="007336A6" w:rsidRDefault="00A61936" w:rsidP="00A61936">
      <w:pPr>
        <w:pStyle w:val="Nadpis2"/>
        <w:spacing w:after="240"/>
        <w:ind w:left="578" w:hanging="578"/>
      </w:pPr>
      <w:r>
        <w:t>Vyjížďka a dojížďka celkem</w:t>
      </w:r>
    </w:p>
    <w:p w14:paraId="33512EB0" w14:textId="4662C10E" w:rsidR="00A61936" w:rsidRDefault="00A61936" w:rsidP="00A6193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sčítání roku 2021 </w:t>
      </w:r>
      <w:r w:rsidRPr="004C454E">
        <w:rPr>
          <w:rFonts w:cs="Arial"/>
          <w:szCs w:val="20"/>
        </w:rPr>
        <w:t>byla dojížďka a vyjížďka zjišťována z místa obvyklého pobytu, stejně jako v minulém sčítá</w:t>
      </w:r>
      <w:r w:rsidR="004C454E" w:rsidRPr="004C454E">
        <w:rPr>
          <w:rFonts w:cs="Arial"/>
          <w:szCs w:val="20"/>
        </w:rPr>
        <w:t>ní 2011. Možnost porovnat údaje z roku</w:t>
      </w:r>
      <w:r w:rsidRPr="004C454E">
        <w:rPr>
          <w:rFonts w:cs="Arial"/>
          <w:szCs w:val="20"/>
        </w:rPr>
        <w:t xml:space="preserve"> 201</w:t>
      </w:r>
      <w:r w:rsidR="004C454E" w:rsidRPr="004C454E">
        <w:rPr>
          <w:rFonts w:cs="Arial"/>
          <w:szCs w:val="20"/>
        </w:rPr>
        <w:t>1 a 2021 je omezená:</w:t>
      </w:r>
      <w:r w:rsidRPr="004C454E">
        <w:rPr>
          <w:rFonts w:cs="Arial"/>
          <w:szCs w:val="20"/>
        </w:rPr>
        <w:t xml:space="preserve"> srovnání ztěžuje fakt, že v případě vyplňování údajů o dojížďce došlo k tomu, že v roce 2011 byla vysoká nevyplněnost tohoto údaje. V roce 2011 </w:t>
      </w:r>
      <w:r w:rsidR="004C454E" w:rsidRPr="004C454E">
        <w:rPr>
          <w:rFonts w:cs="Arial"/>
          <w:szCs w:val="20"/>
        </w:rPr>
        <w:t>se nez</w:t>
      </w:r>
      <w:r w:rsidRPr="004C454E">
        <w:rPr>
          <w:rFonts w:cs="Arial"/>
          <w:szCs w:val="20"/>
        </w:rPr>
        <w:t>jištěnost u vyj</w:t>
      </w:r>
      <w:r>
        <w:rPr>
          <w:rFonts w:cs="Arial"/>
          <w:szCs w:val="20"/>
        </w:rPr>
        <w:t xml:space="preserve">ížďky do zaměstnání </w:t>
      </w:r>
      <w:r w:rsidR="004C454E">
        <w:rPr>
          <w:rFonts w:cs="Arial"/>
          <w:szCs w:val="20"/>
        </w:rPr>
        <w:t xml:space="preserve">pohybovala na úrovni </w:t>
      </w:r>
      <w:r>
        <w:rPr>
          <w:rFonts w:cs="Arial"/>
          <w:szCs w:val="20"/>
        </w:rPr>
        <w:t xml:space="preserve">33 % a u vyjížďky do škol </w:t>
      </w:r>
      <w:r w:rsidR="004C454E">
        <w:rPr>
          <w:rFonts w:cs="Arial"/>
          <w:szCs w:val="20"/>
        </w:rPr>
        <w:t xml:space="preserve">na úrovni 35 %. V roce 2021 představoval podíl nezjištěných odpovědí </w:t>
      </w:r>
      <w:r>
        <w:rPr>
          <w:rFonts w:cs="Arial"/>
          <w:szCs w:val="20"/>
        </w:rPr>
        <w:t>2 % u obou typů vyjížďky.</w:t>
      </w:r>
    </w:p>
    <w:p w14:paraId="4C78F04D" w14:textId="721AC8AB" w:rsidR="00A61936" w:rsidRPr="00753E5E" w:rsidRDefault="00A61936" w:rsidP="00A61936">
      <w:pPr>
        <w:jc w:val="both"/>
      </w:pPr>
      <w:r>
        <w:rPr>
          <w:rFonts w:cs="Arial"/>
          <w:szCs w:val="20"/>
        </w:rPr>
        <w:t xml:space="preserve">Z celkového počtu 733 840 osob zaměstnaných v Praze nebylo </w:t>
      </w:r>
      <w:r w:rsidR="00537DDB">
        <w:rPr>
          <w:rFonts w:cs="Arial"/>
          <w:szCs w:val="20"/>
        </w:rPr>
        <w:t>zjištěno</w:t>
      </w:r>
      <w:r>
        <w:rPr>
          <w:rFonts w:cs="Arial"/>
          <w:szCs w:val="20"/>
        </w:rPr>
        <w:t xml:space="preserve"> místo pracoviště u 13 300 z </w:t>
      </w:r>
      <w:r w:rsidR="002A5A7A">
        <w:rPr>
          <w:rFonts w:cs="Arial"/>
          <w:szCs w:val="20"/>
        </w:rPr>
        <w:t>nich</w:t>
      </w:r>
      <w:r>
        <w:rPr>
          <w:rFonts w:cs="Arial"/>
          <w:szCs w:val="20"/>
        </w:rPr>
        <w:t xml:space="preserve"> (1,8</w:t>
      </w:r>
      <w:r w:rsidR="004C454E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%). U nepracujících </w:t>
      </w:r>
      <w:r w:rsidR="002A5A7A">
        <w:rPr>
          <w:rFonts w:cs="Arial"/>
          <w:szCs w:val="20"/>
        </w:rPr>
        <w:t xml:space="preserve">žáků, </w:t>
      </w:r>
      <w:r>
        <w:rPr>
          <w:rFonts w:cs="Arial"/>
          <w:szCs w:val="20"/>
        </w:rPr>
        <w:t>studentů</w:t>
      </w:r>
      <w:r w:rsidR="002A5A7A">
        <w:rPr>
          <w:rFonts w:cs="Arial"/>
          <w:szCs w:val="20"/>
        </w:rPr>
        <w:t xml:space="preserve"> a učňů</w:t>
      </w:r>
      <w:r>
        <w:rPr>
          <w:rFonts w:cs="Arial"/>
          <w:szCs w:val="20"/>
        </w:rPr>
        <w:t xml:space="preserve"> (167 620 osob) nebylo uvedeno místo školy v 3 806 případů (2,3</w:t>
      </w:r>
      <w:r w:rsidR="004C454E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%). Další poměrně </w:t>
      </w:r>
      <w:r w:rsidRPr="004C454E">
        <w:rPr>
          <w:rFonts w:cs="Arial"/>
          <w:szCs w:val="20"/>
        </w:rPr>
        <w:t>početnou skupinou</w:t>
      </w:r>
      <w:r w:rsidR="004C454E" w:rsidRPr="004C454E">
        <w:rPr>
          <w:rFonts w:cs="Arial"/>
          <w:szCs w:val="20"/>
        </w:rPr>
        <w:t xml:space="preserve"> jsou lidé,</w:t>
      </w:r>
      <w:r w:rsidRPr="004C454E">
        <w:rPr>
          <w:rFonts w:cs="Arial"/>
          <w:szCs w:val="20"/>
        </w:rPr>
        <w:t xml:space="preserve"> kteří uvedli, že pracují nebo studují v</w:t>
      </w:r>
      <w:r w:rsidR="00537DDB" w:rsidRPr="004C454E">
        <w:rPr>
          <w:rFonts w:cs="Arial"/>
          <w:szCs w:val="20"/>
        </w:rPr>
        <w:t> jiném kraji ČR</w:t>
      </w:r>
      <w:r w:rsidRPr="004C454E">
        <w:rPr>
          <w:rFonts w:cs="Arial"/>
          <w:szCs w:val="20"/>
        </w:rPr>
        <w:t xml:space="preserve">. Těch </w:t>
      </w:r>
      <w:r w:rsidR="004C454E" w:rsidRPr="004C454E">
        <w:rPr>
          <w:rFonts w:cs="Arial"/>
          <w:szCs w:val="20"/>
        </w:rPr>
        <w:t>bylo</w:t>
      </w:r>
      <w:r w:rsidRPr="004C454E">
        <w:rPr>
          <w:rFonts w:cs="Arial"/>
          <w:szCs w:val="20"/>
        </w:rPr>
        <w:t xml:space="preserve"> v Praze 45 072 zaměstnaných osob a 5 333 žáků, studentů a učňů. Pokud hovoříme v textu o vyjíždějících osobách, jsou to tedy pouze osoby, které uvedly, že vyjíždí z místa svého obvyklého bydliště. Tyto osoby </w:t>
      </w:r>
      <w:r w:rsidR="004C454E" w:rsidRPr="004C454E">
        <w:rPr>
          <w:rFonts w:cs="Arial"/>
          <w:szCs w:val="20"/>
        </w:rPr>
        <w:t>mohly</w:t>
      </w:r>
      <w:r w:rsidRPr="004C454E">
        <w:rPr>
          <w:rFonts w:cs="Arial"/>
          <w:szCs w:val="20"/>
        </w:rPr>
        <w:t xml:space="preserve"> vyjíždět na jiné</w:t>
      </w:r>
      <w:r>
        <w:rPr>
          <w:rFonts w:cs="Arial"/>
          <w:szCs w:val="20"/>
        </w:rPr>
        <w:t xml:space="preserve"> místo v Praze, nebo mimo Prahu (tedy do ostatních krajů České republiky) či do zahraničí.</w:t>
      </w:r>
      <w:r w:rsidR="00537DDB">
        <w:rPr>
          <w:rFonts w:cs="Arial"/>
          <w:szCs w:val="20"/>
        </w:rPr>
        <w:t xml:space="preserve"> Do počtu vyjíždějících nejsou zahrnuty osoby pracující na adrese svého obvyklého pobytu, osoby bez stálého pracoviště a osoby s nezjištěnou vyjížďkou. V Praze se liší údaje o vyjíždějících v závislosti na tom, zda hodnotíme vyjížďku mimo Prahu nebo celkovou vyjížďku Pražanů mimo adresu bydliště (tzn. v rámci Prahy).</w:t>
      </w:r>
    </w:p>
    <w:p w14:paraId="4134B159" w14:textId="494E0F60" w:rsidR="00753E5E" w:rsidRDefault="00753E5E" w:rsidP="00753E5E"/>
    <w:p w14:paraId="52B0AC44" w14:textId="58E5CE56" w:rsidR="00A61936" w:rsidRDefault="002A5A7A" w:rsidP="002A5A7A">
      <w:pPr>
        <w:spacing w:after="0"/>
        <w:rPr>
          <w:b/>
        </w:rPr>
      </w:pPr>
      <w:r>
        <w:rPr>
          <w:b/>
        </w:rPr>
        <w:lastRenderedPageBreak/>
        <w:t xml:space="preserve">Graf 5.1 </w:t>
      </w:r>
      <w:r w:rsidR="00537DDB">
        <w:rPr>
          <w:b/>
        </w:rPr>
        <w:t>Zaměstnaní *</w:t>
      </w:r>
      <w:r w:rsidRPr="002A5A7A">
        <w:rPr>
          <w:b/>
        </w:rPr>
        <w:t xml:space="preserve"> a nepracující žáci, studenti a učni bydlící v Praze podle místa pracoviště nebo školy (2021)</w:t>
      </w:r>
    </w:p>
    <w:p w14:paraId="56D00369" w14:textId="7398CAEA" w:rsidR="002A5A7A" w:rsidRDefault="002A5A7A" w:rsidP="002A5A7A">
      <w:pPr>
        <w:spacing w:after="0"/>
        <w:jc w:val="center"/>
        <w:rPr>
          <w:b/>
        </w:rPr>
      </w:pPr>
      <w:r w:rsidRPr="002A5A7A">
        <w:rPr>
          <w:b/>
          <w:noProof/>
        </w:rPr>
        <w:drawing>
          <wp:inline distT="0" distB="0" distL="0" distR="0" wp14:anchorId="0B84EF30" wp14:editId="0250DF72">
            <wp:extent cx="5394960" cy="26822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DC63A" w14:textId="15F7AAD3" w:rsidR="002A5A7A" w:rsidRDefault="006A6AD1" w:rsidP="00991386">
      <w:pPr>
        <w:jc w:val="both"/>
      </w:pPr>
      <w:r>
        <w:t xml:space="preserve">Celkem </w:t>
      </w:r>
      <w:r w:rsidR="002A5A7A" w:rsidRPr="002A5A7A">
        <w:t xml:space="preserve">141,9 tisíc osob bydlících v Praze pracovalo na stejné adrese, na které bydlelo. </w:t>
      </w:r>
      <w:r w:rsidR="00991386">
        <w:t>Je možné, že se zde projevil vliv pandemie</w:t>
      </w:r>
      <w:r>
        <w:t>. V</w:t>
      </w:r>
      <w:r w:rsidR="00991386">
        <w:t> březnu 2021</w:t>
      </w:r>
      <w:r>
        <w:t>,</w:t>
      </w:r>
      <w:r w:rsidR="00991386">
        <w:t xml:space="preserve"> kdy sčítání probíhalo, byla v ČR uplatňována striktní omezení na pohyb osob v území vzhledem k probíhající epidemii covid-19. </w:t>
      </w:r>
      <w:r>
        <w:t>M</w:t>
      </w:r>
      <w:r w:rsidR="00537DDB">
        <w:t xml:space="preserve">etodická doporučení ČSÚ k osobám, které vyplňovaly sčítací formuláře, však směřovala k tomu, aby lidé vyplňovali obvyklý stav (ne stav ovlivněný pandemií). </w:t>
      </w:r>
      <w:r w:rsidR="002A5A7A" w:rsidRPr="002A5A7A">
        <w:t xml:space="preserve">V minulém </w:t>
      </w:r>
      <w:r w:rsidR="00991386">
        <w:t>sčítání 2011 stejné místo pracoviště a bydliště uvedlo</w:t>
      </w:r>
      <w:r w:rsidR="002A5A7A" w:rsidRPr="002A5A7A">
        <w:t xml:space="preserve"> 71,4 tisíc osob.</w:t>
      </w:r>
      <w:r w:rsidR="002A5A7A">
        <w:t xml:space="preserve"> V roce 2011 </w:t>
      </w:r>
      <w:r>
        <w:t xml:space="preserve">tak tyto </w:t>
      </w:r>
      <w:r w:rsidRPr="00A40D8D">
        <w:t xml:space="preserve">osoby </w:t>
      </w:r>
      <w:r w:rsidR="002A5A7A" w:rsidRPr="00A40D8D">
        <w:t>představoval</w:t>
      </w:r>
      <w:r w:rsidRPr="00A40D8D">
        <w:t>y</w:t>
      </w:r>
      <w:r w:rsidR="002A5A7A" w:rsidRPr="00A40D8D">
        <w:t xml:space="preserve"> 18</w:t>
      </w:r>
      <w:r w:rsidR="002A5A7A">
        <w:t xml:space="preserve"> % z těch, co místo pracoviště uvedli. </w:t>
      </w:r>
      <w:r w:rsidR="00A40D8D">
        <w:t xml:space="preserve">V roce 2021 </w:t>
      </w:r>
      <w:r>
        <w:t>bylo mezi zaměstnanými 20 % osob</w:t>
      </w:r>
      <w:r w:rsidR="00A40D8D">
        <w:t>, které</w:t>
      </w:r>
      <w:r w:rsidR="00364D6E">
        <w:t xml:space="preserve"> uvedly</w:t>
      </w:r>
      <w:r>
        <w:t xml:space="preserve"> místo pracoviště stejné jako místo bydliště. </w:t>
      </w:r>
      <w:r w:rsidR="002A5A7A">
        <w:t xml:space="preserve">Tyto dvě hodnoty je však </w:t>
      </w:r>
      <w:r w:rsidR="00537DDB">
        <w:t>problematické</w:t>
      </w:r>
      <w:r w:rsidR="002A5A7A">
        <w:t xml:space="preserve"> porovnávat vzhledem k vysoké </w:t>
      </w:r>
      <w:r w:rsidR="00991386">
        <w:t xml:space="preserve">míře </w:t>
      </w:r>
      <w:r w:rsidR="002A5A7A">
        <w:t>nezjištěnosti místa pracoviště při minulém sčítání.</w:t>
      </w:r>
    </w:p>
    <w:p w14:paraId="2A410D3B" w14:textId="0F3B4CC6" w:rsidR="00991386" w:rsidRDefault="00991386" w:rsidP="00991386">
      <w:pPr>
        <w:jc w:val="both"/>
      </w:pPr>
      <w:r>
        <w:t>Ze všech zaměstnaných (733 840 osob), kteří měli v Praze v roce 2021 obvyklý pobyt</w:t>
      </w:r>
      <w:r w:rsidR="008D13CB">
        <w:t xml:space="preserve"> a u kterých bylo zjištěno místo pracoviště</w:t>
      </w:r>
      <w:r w:rsidR="00E52CBC">
        <w:t>,</w:t>
      </w:r>
      <w:r>
        <w:t xml:space="preserve"> jich valná většina pracovala na jiné ad</w:t>
      </w:r>
      <w:r w:rsidR="008D13CB">
        <w:t>rese v Praze (447 273 osob, 62,1</w:t>
      </w:r>
      <w:r>
        <w:t xml:space="preserve"> %). V jiném kraji mělo místo pracoviště 45 072 osob. Poměrně významná část zaměstnaných neměla stálé pracoviště (82 173 </w:t>
      </w:r>
      <w:r w:rsidR="008D13CB">
        <w:t>osob a představovali 11,4</w:t>
      </w:r>
      <w:r>
        <w:t xml:space="preserve"> % zaměstnaných). Do zahraničí za</w:t>
      </w:r>
      <w:r w:rsidR="008D13CB">
        <w:t xml:space="preserve"> prací dojíždělo 4 076 osob (0,6</w:t>
      </w:r>
      <w:r>
        <w:t xml:space="preserve"> % zaměstnaných).</w:t>
      </w:r>
    </w:p>
    <w:p w14:paraId="08FF4FDF" w14:textId="2C1460A0" w:rsidR="00991386" w:rsidRPr="002A5A7A" w:rsidRDefault="00991386" w:rsidP="00991386">
      <w:pPr>
        <w:jc w:val="both"/>
      </w:pPr>
      <w:r>
        <w:t>Z nepracujících žáků a studentů bydlících v Praze (167 620) jich drtivá většina stu</w:t>
      </w:r>
      <w:r w:rsidR="002632ED">
        <w:t>dovala v Praze (156 189 osob, 95</w:t>
      </w:r>
      <w:r>
        <w:t>,3 %): Vzhledem k tomu, že Praha je centrem nejen vysokého školství, ale je zde také rozsáhlá síť středníc</w:t>
      </w:r>
      <w:r w:rsidR="00537DDB">
        <w:t xml:space="preserve">h a dalších škol, </w:t>
      </w:r>
      <w:r>
        <w:t>pouze 5 333 žáků, studentů nebo u</w:t>
      </w:r>
      <w:r w:rsidR="002632ED">
        <w:t>čňů studovalo v jiném kraji (3,3</w:t>
      </w:r>
      <w:r>
        <w:t xml:space="preserve"> %).</w:t>
      </w:r>
    </w:p>
    <w:p w14:paraId="46F61CAD" w14:textId="4B1A3D5C" w:rsidR="00C92364" w:rsidRPr="00C92364" w:rsidRDefault="00AE78AD" w:rsidP="00AE78AD">
      <w:pPr>
        <w:pStyle w:val="Nadpis2"/>
        <w:spacing w:after="240"/>
        <w:ind w:left="578" w:hanging="578"/>
      </w:pPr>
      <w:r>
        <w:t>Vyjížďka a dojížďka do zaměstnání</w:t>
      </w:r>
    </w:p>
    <w:p w14:paraId="4B3082DB" w14:textId="55722EC4" w:rsidR="00710EB3" w:rsidRDefault="00CB22DE" w:rsidP="00C92364">
      <w:pPr>
        <w:jc w:val="both"/>
      </w:pPr>
      <w:r>
        <w:t>Z celkového počtu zaměstnaných v</w:t>
      </w:r>
      <w:r w:rsidR="00E52CBC">
        <w:t> </w:t>
      </w:r>
      <w:r>
        <w:t>Praze</w:t>
      </w:r>
      <w:r w:rsidR="00E52CBC">
        <w:t xml:space="preserve"> (733 840 osob)</w:t>
      </w:r>
      <w:r>
        <w:t xml:space="preserve"> jich </w:t>
      </w:r>
      <w:r w:rsidRPr="00E52CBC">
        <w:t xml:space="preserve">zde </w:t>
      </w:r>
      <w:r w:rsidR="00E52CBC" w:rsidRPr="00E52CBC">
        <w:t>pracovalo</w:t>
      </w:r>
      <w:r w:rsidRPr="00E52CBC">
        <w:t xml:space="preserve"> celkem 589 219. Jedná se jak</w:t>
      </w:r>
      <w:r w:rsidR="00273FB5" w:rsidRPr="00E52CBC">
        <w:t xml:space="preserve"> o osoby pracující přímo na adrese svého bydliště</w:t>
      </w:r>
      <w:r w:rsidRPr="00E52CBC">
        <w:t xml:space="preserve"> (141,9 tisíc), tak o osoby pracující jinde v Praze (447,3 tisíc). Do jiného kraje </w:t>
      </w:r>
      <w:r w:rsidR="00E52CBC" w:rsidRPr="00E52CBC">
        <w:t>dojíždělo</w:t>
      </w:r>
      <w:r w:rsidRPr="00E52CBC">
        <w:t xml:space="preserve"> 45,1 tisíc osob.</w:t>
      </w:r>
    </w:p>
    <w:p w14:paraId="48FC1E66" w14:textId="3950D8A8" w:rsidR="00CB22DE" w:rsidRDefault="00CB22DE" w:rsidP="00C9236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Dojížďka a vyjížďka je vzhledem k postavení Prahy </w:t>
      </w:r>
      <w:r w:rsidR="0058086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ostatními obcemi </w:t>
      </w:r>
      <w:r w:rsidRPr="00752E50">
        <w:rPr>
          <w:rFonts w:cs="Arial"/>
          <w:szCs w:val="20"/>
        </w:rPr>
        <w:t xml:space="preserve">prakticky nesrovnatelná. Prahu je možné porovnávat pouze s dalšími velkými městy v ČR, </w:t>
      </w:r>
      <w:r>
        <w:rPr>
          <w:rFonts w:cs="Arial"/>
          <w:szCs w:val="20"/>
        </w:rPr>
        <w:t>například s Brnem či</w:t>
      </w:r>
      <w:r w:rsidRPr="00752E50">
        <w:rPr>
          <w:rFonts w:cs="Arial"/>
          <w:szCs w:val="20"/>
        </w:rPr>
        <w:t xml:space="preserve"> Ostravou</w:t>
      </w:r>
      <w:r>
        <w:rPr>
          <w:rFonts w:cs="Arial"/>
          <w:szCs w:val="20"/>
        </w:rPr>
        <w:t>, případně s příměstskými okresy, se kterými jsou velká města intenzivně propojena</w:t>
      </w:r>
      <w:r w:rsidRPr="00752E50">
        <w:rPr>
          <w:rFonts w:cs="Arial"/>
          <w:szCs w:val="20"/>
        </w:rPr>
        <w:t xml:space="preserve">. I když </w:t>
      </w:r>
      <w:r>
        <w:rPr>
          <w:rFonts w:cs="Arial"/>
          <w:szCs w:val="20"/>
        </w:rPr>
        <w:t>struktura nabídky (pracovní síly) i poptávky</w:t>
      </w:r>
      <w:r w:rsidRPr="00752E50">
        <w:rPr>
          <w:rFonts w:cs="Arial"/>
          <w:szCs w:val="20"/>
        </w:rPr>
        <w:t xml:space="preserve"> (pracovní místa) na trhu práce se v těchto městech liší, </w:t>
      </w:r>
      <w:r>
        <w:rPr>
          <w:rFonts w:cs="Arial"/>
          <w:szCs w:val="20"/>
        </w:rPr>
        <w:t>porovnání Prahy s těmito městy</w:t>
      </w:r>
      <w:r w:rsidR="00133030">
        <w:rPr>
          <w:rFonts w:cs="Arial"/>
          <w:szCs w:val="20"/>
        </w:rPr>
        <w:t xml:space="preserve"> či okolními okresy</w:t>
      </w:r>
      <w:r>
        <w:rPr>
          <w:rFonts w:cs="Arial"/>
          <w:szCs w:val="20"/>
        </w:rPr>
        <w:t xml:space="preserve"> je vhodnější</w:t>
      </w:r>
      <w:r w:rsidR="0013303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než porovnání s ostatními kraji.</w:t>
      </w:r>
    </w:p>
    <w:p w14:paraId="1CED486A" w14:textId="4CB60695" w:rsidR="00580861" w:rsidRPr="00133030" w:rsidRDefault="00133030" w:rsidP="00C92364">
      <w:pPr>
        <w:jc w:val="both"/>
      </w:pPr>
      <w:r w:rsidRPr="00133030">
        <w:t xml:space="preserve">Porovnání zaměstnaných podle místa pracoviště </w:t>
      </w:r>
      <w:r>
        <w:t xml:space="preserve">v různých územích Česka </w:t>
      </w:r>
      <w:r w:rsidRPr="00133030">
        <w:t xml:space="preserve">je uvedeno v následující tabulce. Uvedeny jsou údaje jak za Prahu, Středočeský kraj a pro srovnání i ČR, tak za </w:t>
      </w:r>
      <w:r>
        <w:t>druhé nejvýznamnější město Brno a okresy přilehlé k Praze a Brnu.</w:t>
      </w:r>
    </w:p>
    <w:p w14:paraId="2613FE50" w14:textId="611269E5" w:rsidR="00580861" w:rsidRDefault="00580861" w:rsidP="00740FC7">
      <w:pPr>
        <w:spacing w:after="120"/>
        <w:jc w:val="both"/>
        <w:rPr>
          <w:b/>
        </w:rPr>
      </w:pPr>
      <w:r w:rsidRPr="00580861">
        <w:rPr>
          <w:b/>
        </w:rPr>
        <w:t>Tab. 5.2.1 Zaměstnaní podle místa pracoviště - územní srovnání (2021)</w:t>
      </w:r>
    </w:p>
    <w:p w14:paraId="2DC7CE92" w14:textId="0B76DFAE" w:rsidR="00580861" w:rsidRDefault="00740FC7" w:rsidP="00730A28">
      <w:pPr>
        <w:jc w:val="both"/>
        <w:rPr>
          <w:b/>
        </w:rPr>
      </w:pPr>
      <w:r w:rsidRPr="00740FC7">
        <w:rPr>
          <w:b/>
          <w:noProof/>
        </w:rPr>
        <w:drawing>
          <wp:inline distT="0" distB="0" distL="0" distR="0" wp14:anchorId="34BCCA51" wp14:editId="695E9E4E">
            <wp:extent cx="6120130" cy="2165964"/>
            <wp:effectExtent l="0" t="0" r="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F29E1" w14:textId="6135411A" w:rsidR="00730A28" w:rsidRDefault="0055518E" w:rsidP="00730A28">
      <w:pPr>
        <w:jc w:val="both"/>
      </w:pPr>
      <w:r w:rsidRPr="0055518E">
        <w:t xml:space="preserve">V Praze pracovala většina zaměstnaných jinde v Praze (62,1 % zaměstnaných se zjištěným místem pracoviště) a na adrese svého pobytu (19,7 %). V Brně </w:t>
      </w:r>
      <w:r>
        <w:t>byla situace podobná, jinde v Brně taktéž pracovalo 62,1 % zaměstnaných</w:t>
      </w:r>
      <w:r w:rsidRPr="0055518E">
        <w:t xml:space="preserve">. Zaměstnání bez stálého pracoviště mělo v Praze 11,4 % zaměstnaných a v Brně jen 9,4 %. </w:t>
      </w:r>
      <w:r w:rsidR="00730A28">
        <w:t xml:space="preserve">Celkem </w:t>
      </w:r>
      <w:r w:rsidRPr="0055518E">
        <w:t>1,8 % zaměstnaných Brňanů dojíždělo za prací do jiného kraje, v Praze to bylo 6,3</w:t>
      </w:r>
      <w:r w:rsidR="00730A28">
        <w:t xml:space="preserve"> % </w:t>
      </w:r>
      <w:r w:rsidRPr="0055518E">
        <w:t>zaměstnaných Pražanů (bydlících v Praze).</w:t>
      </w:r>
      <w:r>
        <w:t xml:space="preserve"> Pražské příměstské okresy se vyznačovaly vysokým podílem zaměstnaných v jiném kraji (43,5 % Praha-východ a 51,2 % Praha-západ). Většina jich pracovala v Praze. Okres obklopující Brno (Brno-venkov) měl pouze 2</w:t>
      </w:r>
      <w:r w:rsidR="00273FB5">
        <w:t>,</w:t>
      </w:r>
      <w:r>
        <w:t>9 % pracujících v jiném kraji, což je dáno geografickým vymezením Prahy, Středoče</w:t>
      </w:r>
      <w:r w:rsidR="00730A28">
        <w:t>ského a Jihomoravského kraje. P</w:t>
      </w:r>
      <w:r>
        <w:t xml:space="preserve">říměstské okresy </w:t>
      </w:r>
      <w:r w:rsidR="00730A28">
        <w:t xml:space="preserve">Praha-východ a Praha-západ </w:t>
      </w:r>
      <w:r w:rsidR="00B90310">
        <w:t xml:space="preserve">přímo </w:t>
      </w:r>
      <w:r w:rsidR="00730A28">
        <w:t>sousedí s krajem Hl. m. Praha</w:t>
      </w:r>
      <w:r>
        <w:t>), Brno-venkov</w:t>
      </w:r>
      <w:r w:rsidR="00730A28">
        <w:t xml:space="preserve"> a Brno-město patří do stejného kraje. Okres Brno-venkov menší částí své hranice také sousedí s jiným krajem, ale u něj jistě hraje roli výrazná atraktivita Brna.</w:t>
      </w:r>
    </w:p>
    <w:p w14:paraId="19A799F9" w14:textId="36F5F262" w:rsidR="00997127" w:rsidRDefault="00B90310" w:rsidP="00101EA6">
      <w:pPr>
        <w:spacing w:after="120"/>
        <w:jc w:val="both"/>
        <w:rPr>
          <w:b/>
        </w:rPr>
      </w:pPr>
      <w:r>
        <w:rPr>
          <w:b/>
        </w:rPr>
        <w:t>Kartogram 5.1</w:t>
      </w:r>
      <w:r w:rsidR="00997127" w:rsidRPr="00997127">
        <w:rPr>
          <w:b/>
        </w:rPr>
        <w:t xml:space="preserve"> Zaměstnaní podle místa pracoviště v okresech a krajích</w:t>
      </w:r>
    </w:p>
    <w:p w14:paraId="44F0DC56" w14:textId="570936F0" w:rsidR="00997127" w:rsidRPr="00997127" w:rsidRDefault="00EF4658" w:rsidP="0055518E">
      <w:pPr>
        <w:jc w:val="both"/>
        <w:rPr>
          <w:b/>
        </w:rPr>
      </w:pPr>
      <w:r>
        <w:rPr>
          <w:b/>
          <w:noProof/>
        </w:rPr>
        <w:pict w14:anchorId="0105F80C">
          <v:shape id="_x0000_i1026" type="#_x0000_t75" style="width:481.45pt;height:314.9pt">
            <v:imagedata r:id="rId10" o:title="0501_zammisto" croptop="3836f" cropbottom="1106f"/>
          </v:shape>
        </w:pict>
      </w:r>
    </w:p>
    <w:p w14:paraId="58F6980A" w14:textId="18FFF800" w:rsidR="00843D3F" w:rsidRDefault="00843D3F" w:rsidP="00843D3F">
      <w:pPr>
        <w:jc w:val="both"/>
      </w:pPr>
      <w:r>
        <w:t>Podíl</w:t>
      </w:r>
      <w:r w:rsidR="00BE70F0">
        <w:t xml:space="preserve"> osob bez stálého pracoviště i </w:t>
      </w:r>
      <w:r>
        <w:t xml:space="preserve">pracujících na adrese obvyklého </w:t>
      </w:r>
      <w:r w:rsidRPr="00BE70F0">
        <w:t xml:space="preserve">pobytu </w:t>
      </w:r>
      <w:r w:rsidR="004645E6" w:rsidRPr="00BE70F0">
        <w:t xml:space="preserve">byl ve </w:t>
      </w:r>
      <w:r w:rsidRPr="00BE70F0">
        <w:t>všech sledovaných územích</w:t>
      </w:r>
      <w:r w:rsidR="004645E6" w:rsidRPr="00BE70F0">
        <w:t xml:space="preserve"> na podobné úrovni</w:t>
      </w:r>
      <w:r w:rsidRPr="00BE70F0">
        <w:t xml:space="preserve">. </w:t>
      </w:r>
      <w:r w:rsidR="004645E6" w:rsidRPr="00BE70F0">
        <w:t>Mezi</w:t>
      </w:r>
      <w:r w:rsidR="00730A28" w:rsidRPr="00BE70F0">
        <w:t xml:space="preserve"> </w:t>
      </w:r>
      <w:r w:rsidRPr="00BE70F0">
        <w:t xml:space="preserve">9,4 % až 11,7 % </w:t>
      </w:r>
      <w:r w:rsidR="004645E6" w:rsidRPr="00BE70F0">
        <w:t>se pohybovalo</w:t>
      </w:r>
      <w:r w:rsidRPr="00BE70F0">
        <w:t xml:space="preserve"> zastoupení zaměstnaných bez stálého pracoviště ve vybraných územích (hodnoty reprezentují okresy Brno-město a Praha</w:t>
      </w:r>
      <w:r>
        <w:t xml:space="preserve">-východ). A podobně, na adrese obvyklého pobytu pracovalo </w:t>
      </w:r>
      <w:r w:rsidR="004645E6">
        <w:t xml:space="preserve">v různých zájmových územích </w:t>
      </w:r>
      <w:r>
        <w:t>15,1 % až 19,7 % zaměstnaných (hodnoty se vztahují k okresu Brno-venkov a hl. m. Praze).</w:t>
      </w:r>
    </w:p>
    <w:p w14:paraId="7F8729A0" w14:textId="612C3AD9" w:rsidR="00A648E1" w:rsidRDefault="00EF713E" w:rsidP="0055518E">
      <w:pPr>
        <w:jc w:val="both"/>
      </w:pPr>
      <w:r>
        <w:t>Z</w:t>
      </w:r>
      <w:r w:rsidR="009C40E9">
        <w:t>aměstnané osoby, které vyjížděly</w:t>
      </w:r>
      <w:r w:rsidR="00A648E1">
        <w:t xml:space="preserve"> mimo hranice Prahy</w:t>
      </w:r>
      <w:r w:rsidR="00BE70F0">
        <w:t>,</w:t>
      </w:r>
      <w:r w:rsidR="00A648E1">
        <w:t xml:space="preserve"> </w:t>
      </w:r>
      <w:r w:rsidR="00A648E1" w:rsidRPr="00BE70F0">
        <w:t xml:space="preserve">nejčastěji </w:t>
      </w:r>
      <w:r w:rsidR="009C40E9" w:rsidRPr="00BE70F0">
        <w:t>směřovaly</w:t>
      </w:r>
      <w:r w:rsidR="00A648E1" w:rsidRPr="00BE70F0">
        <w:t xml:space="preserve"> do Středočeského kraje (ze 45,1</w:t>
      </w:r>
      <w:r w:rsidR="00BE70F0" w:rsidRPr="00BE70F0">
        <w:t> </w:t>
      </w:r>
      <w:r w:rsidR="00A648E1" w:rsidRPr="00BE70F0">
        <w:t>tisíc osob vyjíždějících z Prahy na jiné místo v ČR jic</w:t>
      </w:r>
      <w:r w:rsidRPr="00BE70F0">
        <w:t xml:space="preserve">h do Středočeského kraje </w:t>
      </w:r>
      <w:r w:rsidR="00BE70F0" w:rsidRPr="00BE70F0">
        <w:t xml:space="preserve">dojíždělo </w:t>
      </w:r>
      <w:r w:rsidR="00A648E1" w:rsidRPr="00BE70F0">
        <w:t>38,4</w:t>
      </w:r>
      <w:r w:rsidR="00A648E1">
        <w:t xml:space="preserve"> tisíc).</w:t>
      </w:r>
    </w:p>
    <w:p w14:paraId="7404161A" w14:textId="6A65F589" w:rsidR="0055518E" w:rsidRDefault="00843D3F" w:rsidP="008F2E79">
      <w:pPr>
        <w:spacing w:after="120"/>
        <w:jc w:val="both"/>
        <w:rPr>
          <w:b/>
        </w:rPr>
      </w:pPr>
      <w:r>
        <w:rPr>
          <w:b/>
        </w:rPr>
        <w:t>Tab</w:t>
      </w:r>
      <w:r w:rsidR="00BE70F0">
        <w:rPr>
          <w:b/>
        </w:rPr>
        <w:t>.</w:t>
      </w:r>
      <w:r>
        <w:rPr>
          <w:b/>
        </w:rPr>
        <w:t xml:space="preserve"> 5.2.2 Vyjížďka</w:t>
      </w:r>
      <w:r w:rsidR="0055518E" w:rsidRPr="0055518E">
        <w:rPr>
          <w:b/>
        </w:rPr>
        <w:t xml:space="preserve"> do zaměstnání z Prahy do krajů ČR</w:t>
      </w:r>
    </w:p>
    <w:p w14:paraId="1BE59455" w14:textId="68129783" w:rsidR="00EF713E" w:rsidRPr="008F2E79" w:rsidRDefault="00BE70F0" w:rsidP="0055518E">
      <w:pPr>
        <w:jc w:val="both"/>
        <w:rPr>
          <w:b/>
        </w:rPr>
      </w:pPr>
      <w:r w:rsidRPr="00BE70F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87AD5B1" wp14:editId="13FE2474">
            <wp:simplePos x="716280" y="2430780"/>
            <wp:positionH relativeFrom="column">
              <wp:align>left</wp:align>
            </wp:positionH>
            <wp:positionV relativeFrom="paragraph">
              <wp:align>top</wp:align>
            </wp:positionV>
            <wp:extent cx="6120130" cy="2948384"/>
            <wp:effectExtent l="0" t="0" r="0" b="444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4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E79">
        <w:rPr>
          <w:b/>
        </w:rPr>
        <w:br w:type="textWrapping" w:clear="all"/>
      </w:r>
      <w:r w:rsidR="00EF713E" w:rsidRPr="00EF713E">
        <w:t>Ze všech vyjíždějících za hranice</w:t>
      </w:r>
      <w:r w:rsidR="00EF713E">
        <w:t xml:space="preserve"> Prahy jich tedy 85,3 %</w:t>
      </w:r>
      <w:r w:rsidR="0027442C">
        <w:t xml:space="preserve"> </w:t>
      </w:r>
      <w:r w:rsidR="00EF713E">
        <w:t>vyjíždělo</w:t>
      </w:r>
      <w:r w:rsidR="00EF713E" w:rsidRPr="00EF713E">
        <w:t xml:space="preserve"> do Středočeského kraje,</w:t>
      </w:r>
      <w:r w:rsidR="00EF713E">
        <w:t xml:space="preserve"> výrazně menší byla</w:t>
      </w:r>
      <w:r w:rsidR="00EF713E" w:rsidRPr="00EF713E">
        <w:t xml:space="preserve"> vyjížďka do Ústeckého kraje, kam </w:t>
      </w:r>
      <w:r w:rsidR="00EF713E">
        <w:t>směřovalo</w:t>
      </w:r>
      <w:r w:rsidR="00EF713E" w:rsidRPr="00EF713E">
        <w:t xml:space="preserve"> 3 % zaměstnaných vyjíždějících mimo Prahu</w:t>
      </w:r>
      <w:r>
        <w:t xml:space="preserve"> (</w:t>
      </w:r>
      <w:r w:rsidR="0027442C">
        <w:t>1 370 osob)</w:t>
      </w:r>
      <w:r>
        <w:t xml:space="preserve">. Vyjížďka u ostatních krajů je </w:t>
      </w:r>
      <w:r w:rsidR="00EF713E" w:rsidRPr="00EF713E">
        <w:t>nevýznamná</w:t>
      </w:r>
      <w:r>
        <w:t>.</w:t>
      </w:r>
    </w:p>
    <w:p w14:paraId="0E2FF473" w14:textId="56FDA6B0" w:rsidR="00EF713E" w:rsidRDefault="00EF713E" w:rsidP="0055518E">
      <w:pPr>
        <w:jc w:val="both"/>
      </w:pPr>
      <w:r>
        <w:t xml:space="preserve">Z pohledu </w:t>
      </w:r>
      <w:r w:rsidR="009C40E9">
        <w:t xml:space="preserve">okresů, kterých se vyjížďka z Prahy </w:t>
      </w:r>
      <w:r w:rsidR="009C40E9" w:rsidRPr="00BE70F0">
        <w:t xml:space="preserve">nejčastěji </w:t>
      </w:r>
      <w:r w:rsidR="00BE70F0" w:rsidRPr="00BE70F0">
        <w:t>týkala</w:t>
      </w:r>
      <w:r w:rsidR="009C40E9" w:rsidRPr="00BE70F0">
        <w:t>,</w:t>
      </w:r>
      <w:r w:rsidR="00BE70F0" w:rsidRPr="00BE70F0">
        <w:t xml:space="preserve"> bylo</w:t>
      </w:r>
      <w:r w:rsidRPr="00BE70F0">
        <w:t xml:space="preserve"> nejvíce</w:t>
      </w:r>
      <w:r>
        <w:t xml:space="preserve"> cest do zaměstnání realizováno z Prahy do okresu Praha-východ (16</w:t>
      </w:r>
      <w:r w:rsidR="0027442C">
        <w:t>,2 tisíc</w:t>
      </w:r>
      <w:r>
        <w:t xml:space="preserve"> osob), Praha-západ (11</w:t>
      </w:r>
      <w:r w:rsidR="0027442C">
        <w:t>,8 tisíc</w:t>
      </w:r>
      <w:r>
        <w:t xml:space="preserve"> osob), Kladno (2</w:t>
      </w:r>
      <w:r w:rsidR="0027442C">
        <w:t>,4 tis.</w:t>
      </w:r>
      <w:r>
        <w:t xml:space="preserve"> os</w:t>
      </w:r>
      <w:r w:rsidR="00B90310">
        <w:t>ob). V ostatních krajích to bylo</w:t>
      </w:r>
      <w:r>
        <w:t xml:space="preserve"> </w:t>
      </w:r>
      <w:r w:rsidR="009C40E9">
        <w:t>Brno-město a</w:t>
      </w:r>
      <w:r w:rsidR="00B71B76">
        <w:t xml:space="preserve"> </w:t>
      </w:r>
      <w:r>
        <w:t>Plzeň-</w:t>
      </w:r>
      <w:r w:rsidR="0027442C">
        <w:t>město (</w:t>
      </w:r>
      <w:r w:rsidR="009C40E9">
        <w:t xml:space="preserve">oba </w:t>
      </w:r>
      <w:r w:rsidR="0027442C">
        <w:t>0,5 tis. osob)</w:t>
      </w:r>
      <w:r w:rsidR="00B71B76">
        <w:t>.</w:t>
      </w:r>
    </w:p>
    <w:p w14:paraId="7BAEEBC1" w14:textId="77777777" w:rsidR="00294438" w:rsidRDefault="00294438" w:rsidP="00294438">
      <w:pPr>
        <w:jc w:val="both"/>
        <w:rPr>
          <w:rFonts w:cs="Arial"/>
          <w:szCs w:val="20"/>
        </w:rPr>
      </w:pPr>
      <w:r>
        <w:t xml:space="preserve">Opačným směrem, tedy z ostatních krajů do Prahy, vyjíždělo celkem 225 320 osob, z toho 173,6 tisíc osob bydlelo ve Středočeském kraji. </w:t>
      </w:r>
      <w:r>
        <w:rPr>
          <w:rFonts w:cs="Arial"/>
          <w:szCs w:val="20"/>
        </w:rPr>
        <w:t xml:space="preserve">Atraktivita pražského trhu práce je jednoznačná - Praha nabízí uplatnění obyvatelům Středočeského kraje i ostatních krajů ČR. Z údajů o stěhování víme, že mezi Prahou a Středočeským krajem probíhá rozsáhlá migrace. Část obyvatel Prahy i během let 2011 až 2021 přesunula své bydliště do zázemí hlavního města, zaměstnání ale stále vykonává v Praze, což se odráží na rozsahu dojížďky. Zároveň pražský trh práce dlouhodobě nabízí volná pracovní místa široké škále uchazečů s různou úrovní vzdělání, kvalifikace i praxe, což zvyšuje jeho atraktivitu nejen pro zázemí Prahy, ale i pro další kraje České republiky. </w:t>
      </w:r>
    </w:p>
    <w:p w14:paraId="291D873C" w14:textId="72B1EF26" w:rsidR="00294438" w:rsidRDefault="00294438">
      <w:pPr>
        <w:spacing w:after="0" w:line="240" w:lineRule="auto"/>
      </w:pPr>
      <w:r>
        <w:br w:type="page"/>
      </w:r>
    </w:p>
    <w:p w14:paraId="38BD9279" w14:textId="61AD6054" w:rsidR="00B71B76" w:rsidRDefault="00B71B76" w:rsidP="00B71B76">
      <w:pPr>
        <w:spacing w:after="120"/>
        <w:jc w:val="both"/>
        <w:rPr>
          <w:b/>
        </w:rPr>
      </w:pPr>
      <w:r w:rsidRPr="00B71B76">
        <w:rPr>
          <w:b/>
        </w:rPr>
        <w:t>T</w:t>
      </w:r>
      <w:r w:rsidR="00843D3F">
        <w:rPr>
          <w:b/>
        </w:rPr>
        <w:t>ab</w:t>
      </w:r>
      <w:r w:rsidR="00364D6E">
        <w:rPr>
          <w:b/>
        </w:rPr>
        <w:t>.</w:t>
      </w:r>
      <w:r w:rsidR="00843D3F">
        <w:rPr>
          <w:b/>
        </w:rPr>
        <w:t xml:space="preserve"> 5.2.3 Dojížďka</w:t>
      </w:r>
      <w:r w:rsidRPr="00B71B76">
        <w:rPr>
          <w:b/>
        </w:rPr>
        <w:t xml:space="preserve"> do zaměstnání do Prahy z krajů ČR</w:t>
      </w:r>
    </w:p>
    <w:p w14:paraId="3BCB3D04" w14:textId="4E495F04" w:rsidR="00B71B76" w:rsidRDefault="00126DDA" w:rsidP="0055518E">
      <w:pPr>
        <w:jc w:val="both"/>
        <w:rPr>
          <w:b/>
        </w:rPr>
      </w:pPr>
      <w:r w:rsidRPr="00126DDA">
        <w:rPr>
          <w:b/>
          <w:noProof/>
        </w:rPr>
        <w:drawing>
          <wp:inline distT="0" distB="0" distL="0" distR="0" wp14:anchorId="713F878B" wp14:editId="4943EF8A">
            <wp:extent cx="6080760" cy="3002280"/>
            <wp:effectExtent l="0" t="0" r="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39E6" w14:textId="5702AC5C" w:rsidR="00B71B76" w:rsidRDefault="002E3495" w:rsidP="0055518E">
      <w:pPr>
        <w:jc w:val="both"/>
      </w:pPr>
      <w:r w:rsidRPr="002E3495">
        <w:t>Z celkového počtu dojíždějících do Prahy jich většina bydlela ve Středočeském kraji (77 %)</w:t>
      </w:r>
      <w:r>
        <w:t>, z ostatních krajů dojíždělo mnohem méně osob. Z celkového počtu dojíždějících do Prahy jich lidé z Ústeckého kraje tvořili pouze 5,5 %. U ostatních krajů se tento podíl pohyboval od 2,0 % (Pardubický kraj) po 0,7 % (Karlovarský kraj). Zastoupení krajů na dojížďce d</w:t>
      </w:r>
      <w:r w:rsidR="0027442C">
        <w:t xml:space="preserve">o Prahy </w:t>
      </w:r>
      <w:r w:rsidR="008F2E79" w:rsidRPr="008F2E79">
        <w:t>bylo</w:t>
      </w:r>
      <w:r w:rsidR="0027442C" w:rsidRPr="008F2E79">
        <w:t xml:space="preserve"> sice podobné jako u</w:t>
      </w:r>
      <w:r w:rsidRPr="008F2E79">
        <w:t xml:space="preserve"> vyjíž</w:t>
      </w:r>
      <w:r w:rsidR="0027442C" w:rsidRPr="008F2E79">
        <w:t>ďky</w:t>
      </w:r>
      <w:r w:rsidRPr="008F2E79">
        <w:t xml:space="preserve"> z Prahy, ale celkové počty </w:t>
      </w:r>
      <w:r w:rsidR="008F2E79" w:rsidRPr="008F2E79">
        <w:t>se pohybovaly na</w:t>
      </w:r>
      <w:r w:rsidRPr="008F2E79">
        <w:t xml:space="preserve"> výrazně </w:t>
      </w:r>
      <w:r w:rsidR="0027442C" w:rsidRPr="008F2E79">
        <w:t>vyšší</w:t>
      </w:r>
      <w:r w:rsidR="008F2E79" w:rsidRPr="008F2E79">
        <w:t xml:space="preserve"> úrovni</w:t>
      </w:r>
      <w:r w:rsidRPr="008F2E79">
        <w:t>.</w:t>
      </w:r>
      <w:r w:rsidR="0027442C" w:rsidRPr="008F2E79">
        <w:t xml:space="preserve"> Ze Středočeského</w:t>
      </w:r>
      <w:r w:rsidR="0027442C">
        <w:t xml:space="preserve"> kraje dojíždělo do Prahy 173,6 tisíc osob, z Ústeckého 12,4 tisíc osob a z Jihočeského 5,9 tisíc osob.</w:t>
      </w:r>
    </w:p>
    <w:p w14:paraId="007AAEEC" w14:textId="7C735F42" w:rsidR="0027442C" w:rsidRDefault="0027442C" w:rsidP="0055518E">
      <w:pPr>
        <w:jc w:val="both"/>
      </w:pPr>
      <w:r>
        <w:t>Okresy, které realizovaly největší dojížďku do Prahy</w:t>
      </w:r>
      <w:r w:rsidR="008F2E79">
        <w:t>,</w:t>
      </w:r>
      <w:r>
        <w:t xml:space="preserve"> byly</w:t>
      </w:r>
      <w:r w:rsidR="009C40E9">
        <w:t xml:space="preserve"> samozřejmě ty přímo sousedící s</w:t>
      </w:r>
      <w:r>
        <w:t xml:space="preserve"> Prahou – z Prahy-východ tak do Prahy dojíždělo 43,9 tisíc osob a z Prahy-západ 42,3 tisíc. </w:t>
      </w:r>
      <w:r w:rsidR="00B90310">
        <w:t xml:space="preserve">V ostatních krajích </w:t>
      </w:r>
      <w:r w:rsidR="008F2E79" w:rsidRPr="008F2E79">
        <w:t>byla</w:t>
      </w:r>
      <w:r>
        <w:t xml:space="preserve"> </w:t>
      </w:r>
      <w:r w:rsidR="00B90310">
        <w:t xml:space="preserve">významná </w:t>
      </w:r>
      <w:r>
        <w:t>vyjížďka z</w:t>
      </w:r>
      <w:r w:rsidR="009C40E9">
        <w:t> </w:t>
      </w:r>
      <w:r>
        <w:t>Mělníka</w:t>
      </w:r>
      <w:r w:rsidR="009C40E9">
        <w:t xml:space="preserve"> (13,8 tisíc osob)</w:t>
      </w:r>
      <w:r>
        <w:t>, Litoměřic</w:t>
      </w:r>
      <w:r w:rsidR="009C40E9">
        <w:t xml:space="preserve"> (4,6 tis. osob)</w:t>
      </w:r>
      <w:r>
        <w:t>, Pardubic</w:t>
      </w:r>
      <w:r w:rsidR="009C40E9">
        <w:t xml:space="preserve"> (2,3 tisíc)</w:t>
      </w:r>
      <w:r>
        <w:t>, nebo Loun</w:t>
      </w:r>
      <w:r w:rsidR="009C40E9">
        <w:t xml:space="preserve"> (2,3 tis)</w:t>
      </w:r>
      <w:r>
        <w:t>.</w:t>
      </w:r>
    </w:p>
    <w:p w14:paraId="76329CBB" w14:textId="2D51B783" w:rsidR="002D47F1" w:rsidRPr="00636970" w:rsidRDefault="002D47F1" w:rsidP="0055518E">
      <w:pPr>
        <w:jc w:val="both"/>
      </w:pPr>
      <w:r w:rsidRPr="00636970">
        <w:rPr>
          <w:b/>
        </w:rPr>
        <w:t>Na závěr krátký pohled do městských částí Prahy</w:t>
      </w:r>
      <w:r w:rsidR="00636970" w:rsidRPr="00636970">
        <w:t>. Na adrese pobytu měly</w:t>
      </w:r>
      <w:r w:rsidRPr="00636970">
        <w:t xml:space="preserve"> místo pracoviště nejčastěji zaměstnaní ve dvou centrálních částech Prahy (MČ </w:t>
      </w:r>
      <w:r w:rsidR="00636970" w:rsidRPr="00636970">
        <w:t>Praha 1 a Praha 2). V Praze 1</w:t>
      </w:r>
      <w:r w:rsidRPr="00636970">
        <w:t xml:space="preserve"> to</w:t>
      </w:r>
      <w:r w:rsidR="00636970" w:rsidRPr="00636970">
        <w:t xml:space="preserve"> bylo</w:t>
      </w:r>
      <w:r w:rsidRPr="00636970">
        <w:t xml:space="preserve"> 28 % zaměstnaných se zjištěným místem pracoviště, v MČ Praha 2 pak 24 %. </w:t>
      </w:r>
      <w:r w:rsidR="00636970" w:rsidRPr="00636970">
        <w:t>Celkem 27 % zaměstnaných pracovalo</w:t>
      </w:r>
      <w:r w:rsidRPr="00636970">
        <w:t xml:space="preserve"> na adrese bydliště ještě v MČ Praha-Troja. Mezi další městské části s vyšším počtem pracujících na adrese bydliště </w:t>
      </w:r>
      <w:r w:rsidR="00636970" w:rsidRPr="00636970">
        <w:t>byly</w:t>
      </w:r>
      <w:r w:rsidRPr="00636970">
        <w:t xml:space="preserve"> Praha-Benice (25 %), Praha-Dolní Počernice, Praha-Klánovice a Praha-Nebušice (všechny 23 %). Nejnižší podíl zaměstnaných pracujících na adrese bydliště byl v Praze-Petrovicích (15 %) a Praze-Lochkově (16 %).</w:t>
      </w:r>
    </w:p>
    <w:p w14:paraId="5F363B1F" w14:textId="23ABB750" w:rsidR="001F041F" w:rsidRPr="00636970" w:rsidRDefault="002D47F1" w:rsidP="001F041F">
      <w:pPr>
        <w:jc w:val="both"/>
      </w:pPr>
      <w:r w:rsidRPr="00636970">
        <w:t xml:space="preserve">Na jiné adrese v Praze </w:t>
      </w:r>
      <w:r w:rsidR="00636970" w:rsidRPr="00636970">
        <w:t>pracovalo</w:t>
      </w:r>
      <w:r w:rsidR="001F041F" w:rsidRPr="00636970">
        <w:t xml:space="preserve"> nejméně zaměstn</w:t>
      </w:r>
      <w:r w:rsidRPr="00636970">
        <w:t>a</w:t>
      </w:r>
      <w:r w:rsidR="001F041F" w:rsidRPr="00636970">
        <w:t>n</w:t>
      </w:r>
      <w:r w:rsidRPr="00636970">
        <w:t>ých v</w:t>
      </w:r>
      <w:r w:rsidR="001F041F" w:rsidRPr="00636970">
        <w:t xml:space="preserve"> </w:t>
      </w:r>
      <w:r w:rsidRPr="00636970">
        <w:t xml:space="preserve">městských částech </w:t>
      </w:r>
      <w:r w:rsidR="001F041F" w:rsidRPr="00636970">
        <w:t>Praha-Nedvězí (48 % ze zaměstnaných se zjištěným místem pracoviště), Praha-Benice (50 %), Prah</w:t>
      </w:r>
      <w:r w:rsidR="00636970" w:rsidRPr="00636970">
        <w:t>a 1 (53 %), Praha-Klánovice (54 </w:t>
      </w:r>
      <w:r w:rsidR="001F041F" w:rsidRPr="00636970">
        <w:t>%) a Praha-Šeberov (56 %). Nejvyšší podíl zaměstnaných pracujících na jiné adrese v Praze pak byl v MČ Praha-Petrovice (67 %), Praha 18 a Praha 15 (obě 65 %), Praha-Čakovice a Praha 13 (obě 64 %). Pro podrobnější analýzu pohybů za prací na úrovni městských částí bohužel není v této publikaci prostor.</w:t>
      </w:r>
    </w:p>
    <w:p w14:paraId="4BEF7020" w14:textId="48D48026" w:rsidR="001F041F" w:rsidRPr="00636970" w:rsidRDefault="00B90310" w:rsidP="0055518E">
      <w:pPr>
        <w:jc w:val="both"/>
      </w:pPr>
      <w:r>
        <w:t>Na konci této kapitoly</w:t>
      </w:r>
      <w:r w:rsidR="001F041F" w:rsidRPr="00636970">
        <w:t xml:space="preserve"> ještě přinášíme </w:t>
      </w:r>
      <w:r w:rsidR="001F041F" w:rsidRPr="00636970">
        <w:rPr>
          <w:b/>
        </w:rPr>
        <w:t xml:space="preserve">porovnání městských částí </w:t>
      </w:r>
      <w:r w:rsidR="001F041F" w:rsidRPr="00636970">
        <w:t>z hlediska jejich celkové vyjížďky z místa bydliště. Kartogram 5.3 ukazuje, ze kterých městských čás</w:t>
      </w:r>
      <w:r w:rsidR="00636970" w:rsidRPr="00636970">
        <w:t>tí nejčastěji zaměstnaní vyj</w:t>
      </w:r>
      <w:r w:rsidR="00DB6E80">
        <w:t>ížděli</w:t>
      </w:r>
      <w:r w:rsidR="001F041F" w:rsidRPr="00636970">
        <w:t xml:space="preserve"> za prací na jiné místo</w:t>
      </w:r>
      <w:r w:rsidR="00636970" w:rsidRPr="00636970">
        <w:t>,</w:t>
      </w:r>
      <w:r w:rsidR="001F041F" w:rsidRPr="00636970">
        <w:t xml:space="preserve"> než je místo bydliště. Zahrnuta je jak vyjížďka v rámci Prahy, mimo ni i do zahraničí.</w:t>
      </w:r>
      <w:r w:rsidR="00636970" w:rsidRPr="00636970">
        <w:t xml:space="preserve"> Části,</w:t>
      </w:r>
      <w:r w:rsidR="005B1043" w:rsidRPr="00636970">
        <w:t xml:space="preserve"> ze kterých vyjíždí za prací zaměstnané osoby nejméně</w:t>
      </w:r>
      <w:r w:rsidR="00636970" w:rsidRPr="00636970">
        <w:t>,</w:t>
      </w:r>
      <w:r w:rsidR="005B1043" w:rsidRPr="00636970">
        <w:t xml:space="preserve"> jsou v centrální Praze</w:t>
      </w:r>
      <w:r w:rsidR="006272E0" w:rsidRPr="00636970">
        <w:t xml:space="preserve"> a pak dvě části na okraji Prahy. Nejméně osob vyjíždělo za prací z městské části Praha 1 (58,6 %). Z části Praha-Benice již vyjíždě</w:t>
      </w:r>
      <w:r w:rsidR="00636970" w:rsidRPr="00636970">
        <w:t>lo více zaměstnaných osob (62,4 </w:t>
      </w:r>
      <w:r w:rsidR="006272E0" w:rsidRPr="00636970">
        <w:t>%). Třetici uzavírá Praha-Troja, ze které do práce vyjíždělo mimo bydliště 62,5 % zaměstnaných se zjištěným místem pracoviště.</w:t>
      </w:r>
    </w:p>
    <w:p w14:paraId="3C07998F" w14:textId="4FD34345" w:rsidR="001F041F" w:rsidRPr="00247963" w:rsidRDefault="00B90310" w:rsidP="001F041F">
      <w:pPr>
        <w:spacing w:after="0"/>
        <w:jc w:val="both"/>
        <w:rPr>
          <w:b/>
        </w:rPr>
      </w:pPr>
      <w:r>
        <w:rPr>
          <w:b/>
        </w:rPr>
        <w:t>Kartogram 5.2</w:t>
      </w:r>
      <w:r w:rsidR="001F041F" w:rsidRPr="00247963">
        <w:rPr>
          <w:b/>
        </w:rPr>
        <w:t xml:space="preserve"> Vyjíždějící za prací v městských částech hl. m. Prahy</w:t>
      </w:r>
    </w:p>
    <w:p w14:paraId="10A5DBFA" w14:textId="1D0C4B35" w:rsidR="001F041F" w:rsidRPr="00247963" w:rsidRDefault="00EF4658" w:rsidP="0055518E">
      <w:pPr>
        <w:jc w:val="both"/>
        <w:rPr>
          <w:b/>
        </w:rPr>
      </w:pPr>
      <w:r>
        <w:rPr>
          <w:b/>
          <w:noProof/>
        </w:rPr>
        <w:pict w14:anchorId="46C82409">
          <v:shape id="_x0000_i1027" type="#_x0000_t75" style="width:471.05pt;height:340.9pt">
            <v:imagedata r:id="rId13" o:title="VyjizdejiciMC" croptop="5760f" cropbottom="3433f" cropleft="5632f" cropright="4750f"/>
          </v:shape>
        </w:pict>
      </w:r>
    </w:p>
    <w:p w14:paraId="3440BE1C" w14:textId="76321D22" w:rsidR="006272E0" w:rsidRPr="006272E0" w:rsidRDefault="006272E0" w:rsidP="0055518E">
      <w:pPr>
        <w:jc w:val="both"/>
      </w:pPr>
      <w:r w:rsidRPr="00247963">
        <w:t>Naopak více jak 70% podíl vyjíždějících mimo místo bydliště byl v 19 městských částech. Nejvyšší jsme zaznamenali v MČ Praha-Petrovice (74,7 %), Praha-Vinoř (73,2 %), Praha 18 (72,4 %) a Praha-Čakovice (71,9 %).</w:t>
      </w:r>
    </w:p>
    <w:p w14:paraId="79475B48" w14:textId="75F9EE91" w:rsidR="00AE78AD" w:rsidRDefault="00AE78AD" w:rsidP="00AE78AD">
      <w:pPr>
        <w:pStyle w:val="Nadpis2"/>
        <w:spacing w:after="240"/>
        <w:ind w:left="578" w:hanging="578"/>
      </w:pPr>
      <w:r>
        <w:t>Vyjížďka a dojížďka do škol</w:t>
      </w:r>
    </w:p>
    <w:p w14:paraId="10422C50" w14:textId="652ED7D3" w:rsidR="00AE78AD" w:rsidRDefault="00FD6ECC" w:rsidP="00FD6ECC">
      <w:pPr>
        <w:jc w:val="both"/>
      </w:pPr>
      <w:r>
        <w:t>V Praze je rozsáhlá síť školských zařízení. Na úrovni mateřských a základních škol dokáže pokrýt potřeby Pražanů. V některých částech Prahy bývají problémy s dostupností škol zejména vzhledem k rozsáhlé bytové výstavbě na území, která není včas doplněna dostatečnou kapacitou škol. Často mají také rodiče kvalitativní nároky na školská zařízení pro své malé děti, které nesplňuje škola spádová, a tak si vyberou školu vzdálenou od bydliště a musí tedy i za vzdělávání</w:t>
      </w:r>
      <w:r w:rsidR="0016250F">
        <w:t>m</w:t>
      </w:r>
      <w:r>
        <w:t xml:space="preserve"> v mateřských a základních školách dojíždět.</w:t>
      </w:r>
    </w:p>
    <w:p w14:paraId="44DE6197" w14:textId="1A2C4312" w:rsidR="00FD6ECC" w:rsidRDefault="00FD6ECC" w:rsidP="00FD6ECC">
      <w:pPr>
        <w:jc w:val="both"/>
        <w:rPr>
          <w:rFonts w:cs="Arial"/>
          <w:szCs w:val="20"/>
        </w:rPr>
      </w:pPr>
      <w:r>
        <w:t xml:space="preserve">Většina rodičů však preferuje školu blízkou bydlišti a tak na nižších úrovních vzdělávacího systému není dojížďka do školy tak významná. </w:t>
      </w:r>
      <w:r w:rsidR="00317EC9">
        <w:rPr>
          <w:rFonts w:cs="Arial"/>
          <w:szCs w:val="20"/>
        </w:rPr>
        <w:t xml:space="preserve">Stejně tak se v dojížďce do škol může projevit koncentrace obyvatel v zázemí Prahy a dojíždění za školami směrem do Prahy. V případě vysokých škol již není návaznost na místo </w:t>
      </w:r>
      <w:r w:rsidR="0016250F">
        <w:rPr>
          <w:rFonts w:cs="Arial"/>
          <w:szCs w:val="20"/>
        </w:rPr>
        <w:t>bydliště studenta tak významná. V</w:t>
      </w:r>
      <w:r w:rsidR="00317EC9">
        <w:rPr>
          <w:rFonts w:cs="Arial"/>
          <w:szCs w:val="20"/>
        </w:rPr>
        <w:t>ysoké školy se specializovanými obory studia jsou rozm</w:t>
      </w:r>
      <w:r w:rsidR="0016250F">
        <w:rPr>
          <w:rFonts w:cs="Arial"/>
          <w:szCs w:val="20"/>
        </w:rPr>
        <w:t xml:space="preserve">ístěny po celé České republice </w:t>
      </w:r>
      <w:r w:rsidR="006711F9">
        <w:rPr>
          <w:rFonts w:cs="Arial"/>
          <w:szCs w:val="20"/>
        </w:rPr>
        <w:t xml:space="preserve">a dojížďka do Prahy a nebo vyjížďka </w:t>
      </w:r>
      <w:r w:rsidR="0016250F">
        <w:rPr>
          <w:rFonts w:cs="Arial"/>
          <w:szCs w:val="20"/>
        </w:rPr>
        <w:t>z Prahy může mít větší intenzitu</w:t>
      </w:r>
      <w:r w:rsidR="006711F9">
        <w:rPr>
          <w:rFonts w:cs="Arial"/>
          <w:szCs w:val="20"/>
        </w:rPr>
        <w:t xml:space="preserve"> než v případě nižších stupňů škol</w:t>
      </w:r>
      <w:r w:rsidR="0016250F">
        <w:rPr>
          <w:rFonts w:cs="Arial"/>
          <w:szCs w:val="20"/>
        </w:rPr>
        <w:t>.</w:t>
      </w:r>
    </w:p>
    <w:p w14:paraId="2F15D9F0" w14:textId="48EB295B" w:rsidR="00294438" w:rsidRDefault="00294438" w:rsidP="00FD6ECC">
      <w:pPr>
        <w:jc w:val="both"/>
        <w:rPr>
          <w:rFonts w:cs="Arial"/>
          <w:szCs w:val="20"/>
        </w:rPr>
      </w:pPr>
      <w:r w:rsidRPr="00E03BE0">
        <w:t>Většina nepracujících žáků, studentů a učňů</w:t>
      </w:r>
      <w:r>
        <w:t>,</w:t>
      </w:r>
      <w:r w:rsidRPr="00E03BE0">
        <w:t xml:space="preserve"> bydlících v Pr</w:t>
      </w:r>
      <w:r>
        <w:t>aze, studovala na školách v Praze</w:t>
      </w:r>
      <w:r w:rsidRPr="00E03BE0">
        <w:t xml:space="preserve"> (95,3 % z jejich počtu). </w:t>
      </w:r>
      <w:r>
        <w:t>Malá</w:t>
      </w:r>
      <w:r w:rsidRPr="00E03BE0">
        <w:t xml:space="preserve"> část studentů a</w:t>
      </w:r>
      <w:r>
        <w:t xml:space="preserve"> žáků studovala v jiném kraji (3</w:t>
      </w:r>
      <w:r w:rsidRPr="00E03BE0">
        <w:t>,3 % studujících).</w:t>
      </w:r>
      <w:r>
        <w:t xml:space="preserve"> Podobné to bylo v Brně. V tomto velkoměstě se také koncentrují školská zařízení a vysoké školy Brna jsou magnetem pro studenty především z Moravy, ale také z Čech. V Brně studovalo 95,1 % žáků, studentů a učňů zde bydlících. V jiném kraji studoval menší podíl studentů (1,9 %) než v Praze. V jiném okrese kraje (Jihomoravského) realizoval svá studia poměrně malý podíl studentů (2,3 %).</w:t>
      </w:r>
    </w:p>
    <w:p w14:paraId="05F3D597" w14:textId="604103E1" w:rsidR="00317EC9" w:rsidRDefault="00317EC9" w:rsidP="00317EC9">
      <w:pPr>
        <w:spacing w:after="120"/>
        <w:jc w:val="both"/>
        <w:rPr>
          <w:b/>
        </w:rPr>
      </w:pPr>
      <w:r w:rsidRPr="00317EC9">
        <w:rPr>
          <w:b/>
        </w:rPr>
        <w:t>Tab. 5.3.1 Nepracující žáci a studenti podle místa školy (2021)</w:t>
      </w:r>
    </w:p>
    <w:p w14:paraId="393EC161" w14:textId="5D126EBC" w:rsidR="00317EC9" w:rsidRDefault="00740FC7" w:rsidP="00FD6ECC">
      <w:pPr>
        <w:jc w:val="both"/>
        <w:rPr>
          <w:b/>
        </w:rPr>
      </w:pPr>
      <w:r w:rsidRPr="00740FC7">
        <w:rPr>
          <w:b/>
          <w:noProof/>
        </w:rPr>
        <w:drawing>
          <wp:inline distT="0" distB="0" distL="0" distR="0" wp14:anchorId="0F6A9751" wp14:editId="348E95B7">
            <wp:extent cx="5986780" cy="217360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25B14" w14:textId="1DD29E16" w:rsidR="00317EC9" w:rsidRDefault="001E124D" w:rsidP="00FD6ECC">
      <w:pPr>
        <w:jc w:val="both"/>
      </w:pPr>
      <w:r>
        <w:t>V</w:t>
      </w:r>
      <w:r w:rsidR="00684ABD">
        <w:t> okrese Praha-východ studenti nejčastěji studovali na jiné adrese</w:t>
      </w:r>
      <w:r w:rsidR="0061065F">
        <w:t xml:space="preserve"> v obci</w:t>
      </w:r>
      <w:r w:rsidR="00684ABD">
        <w:t xml:space="preserve"> pobytu (38,6 % studujících), ale podobně často studovali v jiném kraji (36,0 %). Naopak v okrese Praha-západ se výrazně častěji vyskytovali studenti, žáci a učni dojíždějící do jiného kraje (45,8 % případů), než ti, kteří dojížděli na jinou adresu obce pobytu</w:t>
      </w:r>
      <w:r w:rsidR="0061065F">
        <w:t xml:space="preserve"> (36,1 %)</w:t>
      </w:r>
      <w:r w:rsidR="00684ABD">
        <w:t>.</w:t>
      </w:r>
    </w:p>
    <w:p w14:paraId="20925C70" w14:textId="5CC1A994" w:rsidR="00684ABD" w:rsidRDefault="00A328E4" w:rsidP="00FD6ECC">
      <w:pPr>
        <w:jc w:val="both"/>
      </w:pPr>
      <w:r>
        <w:t>Valná většina žáků, studentů a učňů</w:t>
      </w:r>
      <w:r w:rsidR="006711F9">
        <w:t>,</w:t>
      </w:r>
      <w:r>
        <w:t xml:space="preserve"> bydlících v Praze</w:t>
      </w:r>
      <w:r w:rsidR="006711F9" w:rsidRPr="006711F9">
        <w:t>,</w:t>
      </w:r>
      <w:r w:rsidRPr="006711F9">
        <w:t xml:space="preserve"> </w:t>
      </w:r>
      <w:r w:rsidR="006711F9" w:rsidRPr="006711F9">
        <w:t>měla školu</w:t>
      </w:r>
      <w:r w:rsidRPr="006711F9">
        <w:t xml:space="preserve"> v Praze. Do jakých krajů Česka </w:t>
      </w:r>
      <w:r w:rsidR="00126DDA">
        <w:t>vyjížděli</w:t>
      </w:r>
      <w:r>
        <w:t xml:space="preserve"> do školy </w:t>
      </w:r>
      <w:r w:rsidR="00294438">
        <w:t>ostatní žáci, studenti a učn</w:t>
      </w:r>
      <w:r w:rsidR="00126DDA">
        <w:t>i</w:t>
      </w:r>
      <w:r w:rsidR="00DB6E80">
        <w:t xml:space="preserve"> bydlící</w:t>
      </w:r>
      <w:r>
        <w:t xml:space="preserve"> v Praze je patrné z následující tabulky.</w:t>
      </w:r>
    </w:p>
    <w:p w14:paraId="1518E2DD" w14:textId="6C81D34F" w:rsidR="00A328E4" w:rsidRDefault="00997127" w:rsidP="00126DDA">
      <w:pPr>
        <w:spacing w:after="120"/>
        <w:jc w:val="both"/>
        <w:rPr>
          <w:b/>
        </w:rPr>
      </w:pPr>
      <w:r w:rsidRPr="00843D3F">
        <w:rPr>
          <w:b/>
        </w:rPr>
        <w:t>Tab. 5.3.2</w:t>
      </w:r>
      <w:r w:rsidR="00843D3F" w:rsidRPr="00843D3F">
        <w:rPr>
          <w:b/>
        </w:rPr>
        <w:t xml:space="preserve"> Vyjížďka do školy z Prahy do krajů ČR</w:t>
      </w:r>
    </w:p>
    <w:p w14:paraId="4B945E6E" w14:textId="6762D084" w:rsidR="00843D3F" w:rsidRDefault="00126DDA" w:rsidP="00FD6ECC">
      <w:pPr>
        <w:jc w:val="both"/>
        <w:rPr>
          <w:b/>
        </w:rPr>
      </w:pPr>
      <w:r w:rsidRPr="00126DDA">
        <w:rPr>
          <w:b/>
          <w:noProof/>
        </w:rPr>
        <w:drawing>
          <wp:inline distT="0" distB="0" distL="0" distR="0" wp14:anchorId="669A1816" wp14:editId="03480D74">
            <wp:extent cx="6120130" cy="2839081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22C3" w14:textId="5CA56798" w:rsidR="00843D3F" w:rsidRDefault="00843D3F" w:rsidP="00FD6ECC">
      <w:pPr>
        <w:jc w:val="both"/>
      </w:pPr>
      <w:r w:rsidRPr="00843D3F">
        <w:t xml:space="preserve">Vyjížďka do škol mimo Prahu </w:t>
      </w:r>
      <w:r w:rsidR="00126DDA" w:rsidRPr="00402061">
        <w:t>byla</w:t>
      </w:r>
      <w:r w:rsidRPr="00843D3F">
        <w:t xml:space="preserve"> minimální – z Prahy do ostatních krajů do školy dojíždělo 7 529 osob.</w:t>
      </w:r>
      <w:r>
        <w:t xml:space="preserve"> Největší byla vyjížďka z Prahy do Středočeského kraje, resp. okolních příměstských okresů a do okresu Kladno. Z celkového počtu vyjíždějících z Prahy za učením a studiem představovala vyjížďka do okres</w:t>
      </w:r>
      <w:r w:rsidR="00126DDA">
        <w:t xml:space="preserve">ů </w:t>
      </w:r>
      <w:r>
        <w:t>Praha-východ a Praha-západ 20 % z celkové vyjížďky st</w:t>
      </w:r>
      <w:r w:rsidR="007475D5">
        <w:t>u</w:t>
      </w:r>
      <w:r>
        <w:t>dentů, žáků a učňů.</w:t>
      </w:r>
      <w:r w:rsidR="00B90310">
        <w:t xml:space="preserve"> V</w:t>
      </w:r>
      <w:r w:rsidR="007475D5">
        <w:t xml:space="preserve">ýznamnější školní dojížďka </w:t>
      </w:r>
      <w:r w:rsidR="00B90310">
        <w:t xml:space="preserve">do ostatních krajů </w:t>
      </w:r>
      <w:r w:rsidR="007475D5">
        <w:t>pak směřovala do okresů Brno-město, Kladno, Plzeň-město a Hradec Králové. Všechny tyto okresy včetně příměstských se na celkové vyjížďce pražských žáků, studentů a učňů podílely 35 %.</w:t>
      </w:r>
    </w:p>
    <w:p w14:paraId="624F91B4" w14:textId="23C614C6" w:rsidR="007475D5" w:rsidRDefault="007475D5" w:rsidP="00FD6ECC">
      <w:pPr>
        <w:jc w:val="both"/>
      </w:pPr>
      <w:r>
        <w:t>Co se týče dojížďky studentů, žáků a učňů z jiných krajů do škol</w:t>
      </w:r>
      <w:r w:rsidR="00126DDA">
        <w:t xml:space="preserve"> v Praze, rozsah dojížďky byl výrazně větší.</w:t>
      </w:r>
      <w:r>
        <w:t xml:space="preserve"> Do pražských škol dojíždělo ze všech krajů celkem 54 564 žáků, studentů a učňů. </w:t>
      </w:r>
    </w:p>
    <w:p w14:paraId="739159DB" w14:textId="791417CF" w:rsidR="0061065F" w:rsidRDefault="0061065F" w:rsidP="0061065F">
      <w:pPr>
        <w:jc w:val="both"/>
      </w:pPr>
      <w:r w:rsidRPr="007475D5">
        <w:t>Ze všech dojíždějících žáků, studentů a učňů tvořil</w:t>
      </w:r>
      <w:r w:rsidR="00126DDA">
        <w:t xml:space="preserve">y </w:t>
      </w:r>
      <w:r w:rsidRPr="007475D5">
        <w:t>osoby dojíždějící do Prahy</w:t>
      </w:r>
      <w:r w:rsidR="00126DDA">
        <w:t xml:space="preserve"> ze Středočeského kraje 69 %.</w:t>
      </w:r>
      <w:r>
        <w:t xml:space="preserve"> Školní dojížďka byla významnější ještě z Ústeckého (5,4 % dojíždějících do </w:t>
      </w:r>
      <w:r w:rsidR="00DB6E80">
        <w:t>Prahy) a Jihočeského kraje (4,6 </w:t>
      </w:r>
      <w:r>
        <w:t xml:space="preserve">%). </w:t>
      </w:r>
      <w:r w:rsidRPr="00126DDA">
        <w:t>Z celkového počtu 167,6 tisíc studentů a žáků bydlících v Praze jich pak 95,3 % mělo školu v Praze.</w:t>
      </w:r>
      <w:r>
        <w:t xml:space="preserve"> Z nejčastěji zastoupených okresů pak kromě těch Středočeských dojížděl do Prahy ještě významný počet studentů, žáků a učňů (více jak 500 osob) z okresu České Budějovice, Litoměřice, Liberec, Hradec Králové a Tábor.</w:t>
      </w:r>
    </w:p>
    <w:p w14:paraId="434BC66C" w14:textId="38D4977E" w:rsidR="007475D5" w:rsidRDefault="007475D5" w:rsidP="00294438">
      <w:pPr>
        <w:spacing w:after="120" w:line="240" w:lineRule="auto"/>
        <w:rPr>
          <w:b/>
        </w:rPr>
      </w:pPr>
      <w:r w:rsidRPr="007475D5">
        <w:rPr>
          <w:b/>
        </w:rPr>
        <w:t>Tab</w:t>
      </w:r>
      <w:r w:rsidR="00675FBD">
        <w:rPr>
          <w:b/>
        </w:rPr>
        <w:t>.</w:t>
      </w:r>
      <w:r w:rsidR="00616CA1">
        <w:rPr>
          <w:b/>
        </w:rPr>
        <w:t xml:space="preserve"> 5.3.3 Dojížďka </w:t>
      </w:r>
      <w:r w:rsidRPr="007475D5">
        <w:rPr>
          <w:b/>
        </w:rPr>
        <w:t>do školy do Prahy z krajů ČR</w:t>
      </w:r>
    </w:p>
    <w:p w14:paraId="6354612F" w14:textId="632EE1AC" w:rsidR="007475D5" w:rsidRDefault="007475D5" w:rsidP="00FD6ECC">
      <w:pPr>
        <w:jc w:val="both"/>
        <w:rPr>
          <w:b/>
        </w:rPr>
      </w:pPr>
      <w:r w:rsidRPr="007475D5">
        <w:rPr>
          <w:b/>
          <w:noProof/>
        </w:rPr>
        <w:drawing>
          <wp:inline distT="0" distB="0" distL="0" distR="0" wp14:anchorId="2613080F" wp14:editId="7A6F1AF4">
            <wp:extent cx="6120130" cy="2626092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077B" w14:textId="51CF6B21" w:rsidR="00101EA6" w:rsidRDefault="00101EA6" w:rsidP="00FD6ECC">
      <w:pPr>
        <w:jc w:val="both"/>
        <w:rPr>
          <w:b/>
        </w:rPr>
      </w:pPr>
    </w:p>
    <w:p w14:paraId="581F2039" w14:textId="0F455EF8" w:rsidR="00710EB3" w:rsidRDefault="00455FB6" w:rsidP="00EF4658">
      <w:pPr>
        <w:pStyle w:val="Nadpis2"/>
        <w:spacing w:after="120"/>
        <w:ind w:left="578" w:hanging="578"/>
      </w:pPr>
      <w:r>
        <w:t>Vyjížďka a dojížďka podle dopravního prostředku</w:t>
      </w:r>
      <w:r w:rsidR="00283825">
        <w:t xml:space="preserve"> </w:t>
      </w:r>
      <w:r w:rsidR="00F25C88">
        <w:t>a frekvence vyjížďky</w:t>
      </w:r>
    </w:p>
    <w:p w14:paraId="3095FF75" w14:textId="2F76C857" w:rsidR="00861687" w:rsidRDefault="00861687" w:rsidP="003C036A">
      <w:pPr>
        <w:jc w:val="both"/>
      </w:pPr>
      <w:r>
        <w:t xml:space="preserve">Vzhledem k dosavadnímu intenzivnímu stěhování </w:t>
      </w:r>
      <w:r w:rsidR="003C036A">
        <w:t>zejména z Prahy do Středočeského kraje, jsou tyto oblasti významně propojeny každodenním pohybem obyvatel. Situace, kdy osoby bydlící ve Středočeském kraji vyjíždí za prací do Prahy</w:t>
      </w:r>
      <w:r w:rsidR="00675FBD">
        <w:t>,</w:t>
      </w:r>
      <w:r w:rsidR="003C036A">
        <w:t xml:space="preserve"> se netýká jen obyvatel, kteří se přistěhovali do kraje v rámci tzv. procesu suburbanizace, ale většiny obyvatel Středočeského kraje. Suburbanizací se celková míra dojíždění za prací mezi oběma celky „jen“ výrazně zvýšila. V této kapitole se budeme věnovat zejména využívání</w:t>
      </w:r>
      <w:r w:rsidR="00675FBD">
        <w:t xml:space="preserve"> </w:t>
      </w:r>
      <w:r w:rsidR="003C036A">
        <w:t>dopravních prostředků při cestách do zaměstnání a do škol.</w:t>
      </w:r>
    </w:p>
    <w:p w14:paraId="7CFC2C9B" w14:textId="71AEC588" w:rsidR="003C036A" w:rsidRDefault="003C036A" w:rsidP="003C036A">
      <w:pPr>
        <w:jc w:val="both"/>
      </w:pPr>
      <w:r>
        <w:t>V následujícím grafu vycházíme z celkového počtu obyvatel vyjíždějící</w:t>
      </w:r>
      <w:r w:rsidR="00675FBD">
        <w:t>ch</w:t>
      </w:r>
      <w:r>
        <w:t xml:space="preserve"> z území, tzn. opouštějící</w:t>
      </w:r>
      <w:r w:rsidR="00DB6E80">
        <w:t>ch</w:t>
      </w:r>
      <w:r>
        <w:t xml:space="preserve"> adresu bydliště za prací. Mezi vyjíždějící nejsou tedy započteny osoby, u nichž adresa pobytu je zároveň místem pracoviště, osoby bez stálého pracoviště a osoby s nezjištěným místem pracoviště. V případě Prahy jsou tedy zahrnuty všechny osoby, které tyto podmínky splňují, tzn. v počtu vyjíždějících jsou také ti, kteří vyjíždí na jiné místo v rámci Prahy.</w:t>
      </w:r>
      <w:r w:rsidR="004857AE">
        <w:t xml:space="preserve"> V případě ostatních území to platí obdobně.</w:t>
      </w:r>
    </w:p>
    <w:p w14:paraId="49519794" w14:textId="6F564D09" w:rsidR="00EF4658" w:rsidRDefault="00294438" w:rsidP="003C036A">
      <w:pPr>
        <w:jc w:val="both"/>
      </w:pPr>
      <w:r w:rsidRPr="00240761">
        <w:t xml:space="preserve">Podle </w:t>
      </w:r>
      <w:r>
        <w:t xml:space="preserve">údajů ze Sčítání lidu, domů a </w:t>
      </w:r>
      <w:r w:rsidRPr="00240761">
        <w:t xml:space="preserve">bytů 2021 můžeme konstatovat, že lidé velkých městech při svých cestách do zaměstnání preferovali městskou hromadnou dopravu – </w:t>
      </w:r>
      <w:r>
        <w:t>v Praze ještě více než v Brně (</w:t>
      </w:r>
      <w:r w:rsidRPr="00240761">
        <w:t>viz graf 5.2.).</w:t>
      </w:r>
      <w:r>
        <w:t xml:space="preserve"> V Praze více než polovina zaměstnaných, vyjíždějících ze svého bydliště za prací, používala městskou hromadnou dopravu (z osob, které uvedly, jaký dopravní prostředek používají). V příměstských okresech Prahy a Brna lidé preferovali automobilovou dopravu. Využívalo ji více než 60 % vyjíždějících z těchto okresů za prací.</w:t>
      </w:r>
    </w:p>
    <w:p w14:paraId="5CD656F7" w14:textId="77777777" w:rsidR="00EF4658" w:rsidRDefault="00EF4658">
      <w:pPr>
        <w:spacing w:after="0" w:line="240" w:lineRule="auto"/>
      </w:pPr>
      <w:r>
        <w:br w:type="page"/>
      </w:r>
    </w:p>
    <w:p w14:paraId="3FDE7FC8" w14:textId="331510D6" w:rsidR="00295BB1" w:rsidRDefault="00240761" w:rsidP="00740FC7">
      <w:pPr>
        <w:spacing w:after="120"/>
        <w:jc w:val="both"/>
        <w:rPr>
          <w:b/>
        </w:rPr>
      </w:pPr>
      <w:r w:rsidRPr="00240761">
        <w:rPr>
          <w:b/>
        </w:rPr>
        <w:t>Tab. 5.4.1 Vyjíždějící do zaměstnání podle hlavního dopravního prostř</w:t>
      </w:r>
      <w:r w:rsidR="00DB6E80">
        <w:rPr>
          <w:b/>
        </w:rPr>
        <w:t>edku v Praze a vybraných území</w:t>
      </w:r>
    </w:p>
    <w:p w14:paraId="282C5748" w14:textId="05F5B67C" w:rsidR="00240761" w:rsidRDefault="00740FC7" w:rsidP="003C036A">
      <w:pPr>
        <w:jc w:val="both"/>
        <w:rPr>
          <w:b/>
        </w:rPr>
      </w:pPr>
      <w:r w:rsidRPr="00740FC7">
        <w:rPr>
          <w:b/>
          <w:noProof/>
        </w:rPr>
        <w:drawing>
          <wp:inline distT="0" distB="0" distL="0" distR="0" wp14:anchorId="7E968988" wp14:editId="1AC4AB8B">
            <wp:extent cx="6012815" cy="2113280"/>
            <wp:effectExtent l="0" t="0" r="6985" b="127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88FC6" w14:textId="60C7CE05" w:rsidR="00240761" w:rsidRPr="00240761" w:rsidRDefault="00240761" w:rsidP="00240761">
      <w:pPr>
        <w:jc w:val="both"/>
      </w:pPr>
      <w:r>
        <w:t xml:space="preserve">Doprava autem představuje flexibilní formu dopravy s tím, že člověk si může určit čas odjezdu, může využít nákladový prostor vozidla a další. V neposlední řadě je cestování autem (pokud se naplní kapacita vozidla) ve většině případů levnější než cestování vlakem. </w:t>
      </w:r>
      <w:r w:rsidR="00675FBD">
        <w:t xml:space="preserve">K důvodům, proč lidé preferují při svých cestách auto, patří též nedostatečná nabídka veřejné dopravy, nízká frekvence spojů a z toho plynoucí přeplněnost dopravních prostředků. </w:t>
      </w:r>
      <w:r w:rsidR="00A14E10">
        <w:t>Zhruba u 6 % vyjíždějících z adresy svého bydliště nebyl uveden použitý dopravní prostředek.</w:t>
      </w:r>
    </w:p>
    <w:p w14:paraId="767F874C" w14:textId="2202C2C5" w:rsidR="00240761" w:rsidRDefault="00240761" w:rsidP="00240761">
      <w:pPr>
        <w:spacing w:after="0"/>
        <w:jc w:val="both"/>
        <w:rPr>
          <w:b/>
        </w:rPr>
      </w:pPr>
      <w:r>
        <w:rPr>
          <w:b/>
        </w:rPr>
        <w:t xml:space="preserve">Graf 5.2 </w:t>
      </w:r>
      <w:r w:rsidRPr="00240761">
        <w:rPr>
          <w:b/>
        </w:rPr>
        <w:t>V</w:t>
      </w:r>
      <w:r w:rsidR="000431D8">
        <w:rPr>
          <w:b/>
        </w:rPr>
        <w:t xml:space="preserve">yjíždějící do zaměstnání </w:t>
      </w:r>
      <w:r w:rsidRPr="00240761">
        <w:rPr>
          <w:b/>
        </w:rPr>
        <w:t>podle použitého dopravního prostředku</w:t>
      </w:r>
    </w:p>
    <w:p w14:paraId="3D8D6999" w14:textId="6EEC9771" w:rsidR="00240761" w:rsidRDefault="00240761" w:rsidP="000431D8">
      <w:pPr>
        <w:jc w:val="center"/>
        <w:rPr>
          <w:b/>
        </w:rPr>
      </w:pPr>
      <w:r w:rsidRPr="00240761">
        <w:rPr>
          <w:b/>
          <w:noProof/>
        </w:rPr>
        <w:drawing>
          <wp:inline distT="0" distB="0" distL="0" distR="0" wp14:anchorId="456CDCEA" wp14:editId="02D80B5B">
            <wp:extent cx="4937760" cy="275082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6" b="4592"/>
                    <a:stretch/>
                  </pic:blipFill>
                  <pic:spPr bwMode="auto">
                    <a:xfrm>
                      <a:off x="0" y="0"/>
                      <a:ext cx="49377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A17B4" w14:textId="7ADB9970" w:rsidR="00294438" w:rsidRDefault="000431D8" w:rsidP="000431D8">
      <w:pPr>
        <w:jc w:val="both"/>
      </w:pPr>
      <w:r>
        <w:t>V příměstských okresech Prahy lidé častěji využívali dopravu vlakem, než tomu bylo v příměstském okresu Brna. Naopak v Brně více lidé využívali dopravu autobusem. Pěšky chodilo do práce v Praze téměř 8 % osob, v Brně dokonce více než 10 % osob, které měl</w:t>
      </w:r>
      <w:r w:rsidR="00852F45">
        <w:t>y</w:t>
      </w:r>
      <w:r w:rsidR="00294438">
        <w:t xml:space="preserve"> </w:t>
      </w:r>
      <w:r>
        <w:t>místo pracoviště jiné, než místo bydliště.</w:t>
      </w:r>
    </w:p>
    <w:p w14:paraId="559A5B7E" w14:textId="77777777" w:rsidR="00294438" w:rsidRDefault="00294438">
      <w:pPr>
        <w:spacing w:after="0" w:line="240" w:lineRule="auto"/>
      </w:pPr>
      <w:r>
        <w:br w:type="page"/>
      </w:r>
    </w:p>
    <w:p w14:paraId="057ABDE5" w14:textId="181B70BF" w:rsidR="00240761" w:rsidRDefault="000431D8" w:rsidP="000431D8">
      <w:pPr>
        <w:spacing w:after="120"/>
        <w:jc w:val="both"/>
        <w:rPr>
          <w:b/>
        </w:rPr>
      </w:pPr>
      <w:r w:rsidRPr="000431D8">
        <w:rPr>
          <w:b/>
        </w:rPr>
        <w:t>Tab. 5.4.2 Vyjíždějící do školy podle hlavníh</w:t>
      </w:r>
      <w:r w:rsidR="005B0994">
        <w:rPr>
          <w:b/>
        </w:rPr>
        <w:t>o dopravníh</w:t>
      </w:r>
      <w:r w:rsidR="00DB6E80">
        <w:rPr>
          <w:b/>
        </w:rPr>
        <w:t>o prostředku a vybraných území</w:t>
      </w:r>
    </w:p>
    <w:p w14:paraId="3949C0A9" w14:textId="455E1F19" w:rsidR="000431D8" w:rsidRDefault="00740FC7" w:rsidP="00240761">
      <w:pPr>
        <w:jc w:val="both"/>
        <w:rPr>
          <w:b/>
        </w:rPr>
      </w:pPr>
      <w:r w:rsidRPr="00740FC7">
        <w:rPr>
          <w:b/>
          <w:noProof/>
        </w:rPr>
        <w:drawing>
          <wp:inline distT="0" distB="0" distL="0" distR="0" wp14:anchorId="2A37692C" wp14:editId="59B1D7D1">
            <wp:extent cx="6120130" cy="2060093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6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7EB63" w14:textId="73F78C35" w:rsidR="000431D8" w:rsidRDefault="00A14E10" w:rsidP="00240761">
      <w:pPr>
        <w:jc w:val="both"/>
      </w:pPr>
      <w:r w:rsidRPr="00A14E10">
        <w:t>U žáků, studentů a učňů byla struktura vyjížďky do školy podle dopravního prostředku jiná, větší podíl než v případě zaměstnaných představovala pěší</w:t>
      </w:r>
      <w:r>
        <w:t xml:space="preserve"> docházka do školy, či učiliště a menší podíl naopak zaujímala dojížďka autem.</w:t>
      </w:r>
    </w:p>
    <w:p w14:paraId="7ACACE80" w14:textId="3B163E8B" w:rsidR="00283825" w:rsidRDefault="006E3FE4" w:rsidP="00240761">
      <w:pPr>
        <w:jc w:val="both"/>
      </w:pPr>
      <w:r>
        <w:t>U vyjížď</w:t>
      </w:r>
      <w:r w:rsidR="00852F45">
        <w:t>ky do školy byla vyšší úroveň nezjištěných odpovědí na</w:t>
      </w:r>
      <w:r>
        <w:t xml:space="preserve"> </w:t>
      </w:r>
      <w:r w:rsidR="00852F45">
        <w:t xml:space="preserve">otázku o využívaném </w:t>
      </w:r>
      <w:r>
        <w:t>dopravním prostředku. Dopravní prostředek nevyplnilo 3</w:t>
      </w:r>
      <w:r w:rsidR="00294438">
        <w:t>3</w:t>
      </w:r>
      <w:r w:rsidR="00B90310">
        <w:t xml:space="preserve"> </w:t>
      </w:r>
      <w:r>
        <w:t xml:space="preserve">% z celkového počtu žáků, studentů a učňů, kteří vyjížděli někam do školy. </w:t>
      </w:r>
    </w:p>
    <w:p w14:paraId="51F44836" w14:textId="655DAD83" w:rsidR="00A14E10" w:rsidRDefault="00283825" w:rsidP="00283825">
      <w:pPr>
        <w:spacing w:after="0"/>
        <w:jc w:val="both"/>
        <w:rPr>
          <w:b/>
        </w:rPr>
      </w:pPr>
      <w:r w:rsidRPr="00283825">
        <w:rPr>
          <w:b/>
        </w:rPr>
        <w:t>Graf 5.3 Vyjíždějící do školy podle použitého dopravního prostředku</w:t>
      </w:r>
    </w:p>
    <w:p w14:paraId="0E379E86" w14:textId="6EEB9696" w:rsidR="00283825" w:rsidRDefault="00283825" w:rsidP="00283825">
      <w:pPr>
        <w:jc w:val="center"/>
        <w:rPr>
          <w:b/>
        </w:rPr>
      </w:pPr>
      <w:r w:rsidRPr="00283825">
        <w:rPr>
          <w:b/>
          <w:noProof/>
        </w:rPr>
        <w:drawing>
          <wp:inline distT="0" distB="0" distL="0" distR="0" wp14:anchorId="16EAED69" wp14:editId="7D968C00">
            <wp:extent cx="4937760" cy="26593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 b="4948"/>
                    <a:stretch/>
                  </pic:blipFill>
                  <pic:spPr bwMode="auto">
                    <a:xfrm>
                      <a:off x="0" y="0"/>
                      <a:ext cx="49377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CE01E" w14:textId="2BEDA8DC" w:rsidR="00283825" w:rsidRDefault="00283825" w:rsidP="006E3FE4">
      <w:pPr>
        <w:jc w:val="both"/>
      </w:pPr>
      <w:r w:rsidRPr="00283825">
        <w:t xml:space="preserve">Většina studentů ve velkých </w:t>
      </w:r>
      <w:r w:rsidRPr="00852F45">
        <w:t xml:space="preserve">městech </w:t>
      </w:r>
      <w:r w:rsidR="00852F45" w:rsidRPr="00852F45">
        <w:t>využívala</w:t>
      </w:r>
      <w:r w:rsidRPr="00852F45">
        <w:t xml:space="preserve"> pro své cesty do školy městskou hromadnou dopravu a </w:t>
      </w:r>
      <w:r w:rsidR="00852F45" w:rsidRPr="00852F45">
        <w:t xml:space="preserve">chodila </w:t>
      </w:r>
      <w:r w:rsidRPr="00852F45">
        <w:t xml:space="preserve">do školy pěšky. </w:t>
      </w:r>
      <w:r w:rsidR="006E3FE4" w:rsidRPr="00852F45">
        <w:t xml:space="preserve">Příměstské okresy Prahy se z hlediska využívání dopravních prostředků při cestách do školy </w:t>
      </w:r>
      <w:r w:rsidR="00852F45" w:rsidRPr="00852F45">
        <w:t>odlišovaly</w:t>
      </w:r>
      <w:r w:rsidR="006E3FE4" w:rsidRPr="00852F45">
        <w:t xml:space="preserve"> od příměstského okresu Brna. V okrese Brno-venkov studenti výrazně více vy</w:t>
      </w:r>
      <w:r w:rsidR="00852F45" w:rsidRPr="00852F45">
        <w:t>užívali</w:t>
      </w:r>
      <w:r w:rsidR="00B90310">
        <w:t xml:space="preserve"> autobus (30 </w:t>
      </w:r>
      <w:r w:rsidR="006E3FE4" w:rsidRPr="00852F45">
        <w:t xml:space="preserve">% vyjíždějících z místa bydliště do školy), než studenti z okresu Praha-východ a Praha-západ (13 % resp. téměř 14 %). Zhruba stejný podíl studentů </w:t>
      </w:r>
      <w:r w:rsidR="00852F45" w:rsidRPr="00852F45">
        <w:t>používal</w:t>
      </w:r>
      <w:r w:rsidR="006E3FE4" w:rsidRPr="00852F45">
        <w:t xml:space="preserve"> ke svým cestám automobil (ať už jako řidič, či jako spolujezdec) v Praze a Brně. V příměstských okresech Prahy dokonce většina studentů </w:t>
      </w:r>
      <w:r w:rsidR="00852F45" w:rsidRPr="00852F45">
        <w:t>měla</w:t>
      </w:r>
      <w:r w:rsidR="006E3FE4" w:rsidRPr="00852F45">
        <w:t xml:space="preserve"> automobil jako nejčastější dopravní prostředek při cestách</w:t>
      </w:r>
      <w:r w:rsidR="00852F45" w:rsidRPr="00852F45">
        <w:t xml:space="preserve"> do školy. V okrese Brno-venkov</w:t>
      </w:r>
      <w:r w:rsidR="006E3FE4" w:rsidRPr="00852F45">
        <w:t xml:space="preserve"> to</w:t>
      </w:r>
      <w:r w:rsidR="00852F45" w:rsidRPr="00852F45">
        <w:t xml:space="preserve"> bylo</w:t>
      </w:r>
      <w:r w:rsidR="006E3FE4" w:rsidRPr="00852F45">
        <w:t xml:space="preserve"> jen 18 % studujících, kteří </w:t>
      </w:r>
      <w:r w:rsidR="00852F45" w:rsidRPr="00852F45">
        <w:t>vyjížděli</w:t>
      </w:r>
      <w:r w:rsidR="006E3FE4" w:rsidRPr="00852F45">
        <w:t xml:space="preserve"> do školy z místa svého</w:t>
      </w:r>
      <w:r w:rsidR="006E3FE4">
        <w:t xml:space="preserve"> bydliště.</w:t>
      </w:r>
    </w:p>
    <w:p w14:paraId="05F4775C" w14:textId="77777777" w:rsidR="00F25C88" w:rsidRDefault="00F25C88" w:rsidP="00F25C88">
      <w:r>
        <w:t xml:space="preserve">U vyjížďky do zaměstnání byla dále zjišťována také </w:t>
      </w:r>
      <w:r w:rsidRPr="00F25C88">
        <w:rPr>
          <w:b/>
        </w:rPr>
        <w:t>frekvence vyjížďky, tzn. jak často osoby vyjíždí za prací či do škol.</w:t>
      </w:r>
      <w:r>
        <w:t xml:space="preserve"> V této části se budeme věnovat frekvenci pouze u dojížďky pracovní. </w:t>
      </w:r>
      <w:r w:rsidRPr="00F25C88">
        <w:t xml:space="preserve">Nejobvyklejším typem chování u vyjíždějících do zaměstnání byla ve všech krajích i jednotlivých okresech vyjížďka s frekvencí 5x týdně a častěji, následovala varianta 1x-4x týdně a možnost nepravidelně. </w:t>
      </w:r>
      <w:r w:rsidRPr="00F25C88">
        <w:rPr>
          <w:b/>
        </w:rPr>
        <w:t>V Praze vyjíždělo do zaměstnání 5x týdně a častěji 66,2 % z celkového množství osob, u kterých byla zjištěna frekvence dojížďky</w:t>
      </w:r>
      <w:r w:rsidRPr="00F25C88">
        <w:t xml:space="preserve">. V porovnání krajů jde o nejnižší hodnotu. Podobně vypadala situace ještě v okrese Praha-východ (66,4 %). Frekvenci dojížďky 5x týdně a častěji uváděli nejčastěji respondenti z krajů Zlínský (81,1 %),  Plzeňský (80,3 %) a z Kraje Vysočina a Olomouckého (shodně 80,2 %). Takto častá frekvence dojížďky byla po Praze nejnižší ve Středočeském kraji (73,2 %) a Ústeckém kraji (74,2 %). V Praze vyjíždělo 1x-4x týdně 27 % vyjíždějících do zaměstnání, nepravidelně 4,9 % z nich a pravidelně, ale méně než 1x týdně pouze </w:t>
      </w:r>
      <w:r>
        <w:t xml:space="preserve">0,7 %. </w:t>
      </w:r>
      <w:r w:rsidRPr="00F25C88">
        <w:t>Z dat je patrné, že v Praze je ve firmách a institucích více rozšířena možnost alespoň částečné práce z domova, než je tomu v ostatních krajích</w:t>
      </w:r>
      <w:r>
        <w:t>.</w:t>
      </w:r>
    </w:p>
    <w:p w14:paraId="6B44549E" w14:textId="49F638F9" w:rsidR="00F25C88" w:rsidRDefault="00F25C88" w:rsidP="00F25C88">
      <w:r w:rsidRPr="00F25C88">
        <w:t>Každodenní vyjížďka do zaměstnání dosáhla alespoň na 70 %  u vyjíždějících ze sedmi městských částí hlavního města – Praha-Petrovice (74 %), Praha 17 a Praha-Libuš (shodně 72,1 %), Praha 20 (71 %), Praha 14 (70,9 %), Praha 12 (70,2 %) a Praha 11 (70 %).  Méně často se objevovala frekvence 5x týdně a častěji u obyvatel vyjíždějících z Prahy 1 (60,2 %), z Prahy 2 (60,3 %) a z Prahy 7 (61,7 %). Frekvence dojížďky 1x-4x týdně se v jednotlivých městských částech pohybovala mezi 31,6 % (Praha-Klánovice) a 20,7 % (Praha-Petrovice). Nepravidelnou dojížďku v největší míře využívali vyjíždějící z Prahy-Březiněvsi (7,3 %), Prahy-Šeberova (7 %) a Prahy-Lochkova (6,8 %).</w:t>
      </w:r>
    </w:p>
    <w:p w14:paraId="4A1D7049" w14:textId="6465DD96" w:rsidR="00F25C88" w:rsidRPr="00283825" w:rsidRDefault="00F25C88" w:rsidP="006E3FE4">
      <w:pPr>
        <w:jc w:val="both"/>
      </w:pPr>
    </w:p>
    <w:p w14:paraId="3D2415EE" w14:textId="14790925" w:rsidR="00CE6C75" w:rsidRDefault="000431D8" w:rsidP="00852F45">
      <w:pPr>
        <w:pStyle w:val="Nadpis2"/>
        <w:spacing w:after="240"/>
        <w:ind w:left="578" w:hanging="578"/>
      </w:pPr>
      <w:r>
        <w:t>Úhrnná bilance dojížďky do zaměstnání a do školy</w:t>
      </w:r>
    </w:p>
    <w:p w14:paraId="2982D326" w14:textId="0F1ADE85" w:rsidR="00852F45" w:rsidRDefault="00852F45" w:rsidP="00852F45">
      <w:pPr>
        <w:jc w:val="both"/>
      </w:pPr>
      <w:r>
        <w:t>Dojížďka je prostorový pohyb obyvatel, který je většinou pravidelný. Proto se sleduje dojížďka za prací a do škol. Území</w:t>
      </w:r>
      <w:r w:rsidR="00722556">
        <w:t>,</w:t>
      </w:r>
      <w:r>
        <w:t xml:space="preserve"> jako je Praha a Středočeský kraj</w:t>
      </w:r>
      <w:r w:rsidR="00722556">
        <w:t>, jsou však propojena</w:t>
      </w:r>
      <w:r>
        <w:t xml:space="preserve"> i nedenní dojížďkou. Například dojížďkou za kulturou (velké multiplexy na okraji Prahy</w:t>
      </w:r>
      <w:r w:rsidR="00722556">
        <w:t>, ale také návštěva divadel, muzeí a galerií</w:t>
      </w:r>
      <w:r>
        <w:t>), nebo za nákupy (velká obchodní centra s potravinářským i nepotravinářským zbožím). V neposlední řadě lidé ze Středoč</w:t>
      </w:r>
      <w:r w:rsidR="00722556">
        <w:t>eského kraje do Prahy dojíždí k</w:t>
      </w:r>
      <w:r>
        <w:t xml:space="preserve"> lékaři. V tomto ohledu je Praha zájmovým územím i pro obyvatele ze vzdálenějších krajů, kteří sem dojíždí na operace a další specializované lékařské zákroky, nebo za lékaři-specialisty, kteří v ostatních krajích nejsou.</w:t>
      </w:r>
    </w:p>
    <w:p w14:paraId="1AEB2A7B" w14:textId="77777777" w:rsidR="00852F45" w:rsidRDefault="00852F45" w:rsidP="00852F45">
      <w:pPr>
        <w:jc w:val="both"/>
      </w:pPr>
      <w:r>
        <w:t xml:space="preserve">V této kapitole se stručně zmíníme o pracovní vyjížďce mezi kraji a porovnáme saldo dojížďky Prahy s ostatními kraji a s okresy. Saldo dojížďky je rozdíl mezi počtem dojíždějících do určitého území a počtem vyjíždějících z území. Pro posouzení relativní významnosti salda dojížďky vůči populaci nebo pracovní síle je vhodné saldo vztáhnout na počet obyvatel nebo na počet zaměstnaných. </w:t>
      </w:r>
    </w:p>
    <w:p w14:paraId="4AC963B6" w14:textId="71C2F673" w:rsidR="00852F45" w:rsidRDefault="00852F45" w:rsidP="00852F45">
      <w:pPr>
        <w:jc w:val="both"/>
      </w:pPr>
      <w:r>
        <w:t>Kraje s městy, které mají dostatek pracovních příležitostí,</w:t>
      </w:r>
      <w:r w:rsidR="00704FE2">
        <w:t xml:space="preserve"> měly většinou vyšší podíl osob</w:t>
      </w:r>
      <w:r>
        <w:t xml:space="preserve"> pracujících přímo v kraji a méně jich dojíždělo jinam. Z údajů o dojížďce uvnitř kraje lze usuzovat, že dostatek pracovních příležitostí měly </w:t>
      </w:r>
      <w:r w:rsidR="00704FE2">
        <w:t xml:space="preserve">kromě Prahy </w:t>
      </w:r>
      <w:r>
        <w:t>velké kraje</w:t>
      </w:r>
      <w:r w:rsidR="00704FE2">
        <w:t>,</w:t>
      </w:r>
      <w:r>
        <w:t xml:space="preserve"> jako je například Jihomoravský kraj s jedním dominantním velkoměstem a dalšími menšími městy, nebo Moravskoslezský kraj, kde je více velkých měst. </w:t>
      </w:r>
    </w:p>
    <w:p w14:paraId="2B030B58" w14:textId="70D59CDA" w:rsidR="00852F45" w:rsidRDefault="00852F45" w:rsidP="00852F45">
      <w:pPr>
        <w:jc w:val="both"/>
      </w:pPr>
      <w:r>
        <w:t>Z celkového počtu vyjíždějících v Jihomoravském kraji jich 93,5 % zde pracovalo. U Moravskoslezského kraje to bylo ještě více (94,9 %). Tyto podíly reprezentují vyjíždějící mimo adresu bydliště a to včetně pracujících studentů a učňů, zároveň je do celku vyjíždějících (oproti jiným místům v textu) započítáno také místo pracoviště v zahraničí.</w:t>
      </w:r>
    </w:p>
    <w:p w14:paraId="7318FF04" w14:textId="77777777" w:rsidR="00EF4658" w:rsidRDefault="00EF4658">
      <w:pPr>
        <w:spacing w:after="0" w:line="240" w:lineRule="auto"/>
      </w:pPr>
      <w:r>
        <w:br w:type="page"/>
      </w:r>
    </w:p>
    <w:p w14:paraId="085D5730" w14:textId="64141FE8" w:rsidR="00852F45" w:rsidRDefault="00E00BAF" w:rsidP="00852F45">
      <w:pPr>
        <w:spacing w:after="0"/>
        <w:rPr>
          <w:b/>
        </w:rPr>
      </w:pPr>
      <w:bookmarkStart w:id="0" w:name="_GoBack"/>
      <w:bookmarkEnd w:id="0"/>
      <w:r>
        <w:rPr>
          <w:b/>
        </w:rPr>
        <w:t>Graf 5.4 Vyjíždějící do zaměstnání - porovnání</w:t>
      </w:r>
      <w:r w:rsidR="00852F45" w:rsidRPr="00B61039">
        <w:rPr>
          <w:b/>
        </w:rPr>
        <w:t xml:space="preserve"> </w:t>
      </w:r>
      <w:r w:rsidR="00852F45">
        <w:rPr>
          <w:b/>
        </w:rPr>
        <w:t>kraje</w:t>
      </w:r>
      <w:r w:rsidR="00852F45" w:rsidRPr="00B61039">
        <w:rPr>
          <w:b/>
        </w:rPr>
        <w:t xml:space="preserve"> bydliště a </w:t>
      </w:r>
      <w:r w:rsidR="00852F45">
        <w:rPr>
          <w:b/>
        </w:rPr>
        <w:t>kraje</w:t>
      </w:r>
      <w:r w:rsidR="00852F45" w:rsidRPr="00B61039">
        <w:rPr>
          <w:b/>
        </w:rPr>
        <w:t xml:space="preserve"> pracoviště (kraje a zahraničí)</w:t>
      </w:r>
    </w:p>
    <w:p w14:paraId="7FE686F4" w14:textId="77777777" w:rsidR="00852F45" w:rsidRDefault="00852F45" w:rsidP="00852F45">
      <w:pPr>
        <w:spacing w:after="120"/>
        <w:rPr>
          <w:b/>
        </w:rPr>
      </w:pPr>
      <w:r w:rsidRPr="00905E21">
        <w:rPr>
          <w:b/>
          <w:noProof/>
        </w:rPr>
        <w:drawing>
          <wp:inline distT="0" distB="0" distL="0" distR="0" wp14:anchorId="2FF69E46" wp14:editId="2322A8AA">
            <wp:extent cx="5829300" cy="358902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8"/>
                    <a:stretch/>
                  </pic:blipFill>
                  <pic:spPr bwMode="auto">
                    <a:xfrm>
                      <a:off x="0" y="0"/>
                      <a:ext cx="58293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D43986" w14:textId="36629405" w:rsidR="00852F45" w:rsidRDefault="00852F45" w:rsidP="00852F45">
      <w:pPr>
        <w:jc w:val="both"/>
      </w:pPr>
      <w:r>
        <w:t>V Praze mělo 90</w:t>
      </w:r>
      <w:r w:rsidR="00E00BAF">
        <w:t>,1</w:t>
      </w:r>
      <w:r>
        <w:t xml:space="preserve"> % </w:t>
      </w:r>
      <w:r w:rsidR="00E00BAF">
        <w:t>vyjíždějících</w:t>
      </w:r>
      <w:r>
        <w:t xml:space="preserve"> obyv</w:t>
      </w:r>
      <w:r w:rsidR="00E00BAF">
        <w:t>atel místo pracoviště v Praze. V</w:t>
      </w:r>
      <w:r>
        <w:t>e Středočeském kraji to bylo jen 62 % obyvatel zde bydlících, 34 %</w:t>
      </w:r>
      <w:r w:rsidR="00E00BAF">
        <w:t xml:space="preserve"> obyvatel tohoto kraje</w:t>
      </w:r>
      <w:r>
        <w:t xml:space="preserve"> pracovalo v Praze. U některých krajů </w:t>
      </w:r>
      <w:r w:rsidR="000F397F">
        <w:t>bylo</w:t>
      </w:r>
      <w:r>
        <w:t xml:space="preserve"> také poměrně výrazné zastoupení </w:t>
      </w:r>
      <w:r w:rsidR="00E00BAF">
        <w:t>vyjíždějících</w:t>
      </w:r>
      <w:r>
        <w:t xml:space="preserve"> p</w:t>
      </w:r>
      <w:r w:rsidR="000F397F">
        <w:t>racujících v cizině. Významná se jevila</w:t>
      </w:r>
      <w:r>
        <w:t xml:space="preserve"> tato vyjížďka zejména u krajů sousedících s Německem nebo Rakouskem. Více než 4 % zaměstnaných </w:t>
      </w:r>
      <w:r w:rsidR="00E00BAF">
        <w:t>vyjíždějících obyvatel</w:t>
      </w:r>
      <w:r>
        <w:t xml:space="preserve"> pracovalo v cizině v Karlovarském (13 %), Plzeňském (5 %), Jihočeském a Ústeckém kraji (oba měly </w:t>
      </w:r>
      <w:r w:rsidR="00E00BAF">
        <w:t>shodně 4 % vyjíždějících do</w:t>
      </w:r>
      <w:r w:rsidR="000F397F">
        <w:t> </w:t>
      </w:r>
      <w:r>
        <w:t>zahraničí</w:t>
      </w:r>
      <w:r w:rsidR="000F397F">
        <w:t>)</w:t>
      </w:r>
      <w:r>
        <w:t>.</w:t>
      </w:r>
    </w:p>
    <w:p w14:paraId="6DAF9F52" w14:textId="77777777" w:rsidR="00852F45" w:rsidRDefault="00852F45" w:rsidP="00852F45">
      <w:pPr>
        <w:jc w:val="both"/>
      </w:pPr>
      <w:r>
        <w:t xml:space="preserve">Následující tabulka ilustruje význam Prahy pro ostatní kraje z pohledu dojížďky do zaměstnání. Ve všech krajích Česka byl počet dojíždějících do Prahy z kraje vyšší než počet vyjíždějících z Prahy do daného kraje. Největší zápornou bilanci dojížďky měl Středočeský kraj, kam z Prahy dojíždělo 38,4 tisíc obyvatel, ale opačným směrem jezdilo za prací 173,6 tisíc obyvatel. </w:t>
      </w:r>
    </w:p>
    <w:p w14:paraId="057FFE3C" w14:textId="7D0CB4CC" w:rsidR="00852F45" w:rsidRDefault="00B90310" w:rsidP="00F25C88">
      <w:pPr>
        <w:spacing w:after="0"/>
        <w:rPr>
          <w:b/>
        </w:rPr>
      </w:pPr>
      <w:r>
        <w:rPr>
          <w:b/>
        </w:rPr>
        <w:t>Tab. 5.5.1</w:t>
      </w:r>
      <w:r w:rsidR="00852F45" w:rsidRPr="004E33BB">
        <w:rPr>
          <w:b/>
        </w:rPr>
        <w:t xml:space="preserve"> Bilance vyjížďky krajů s hl. m. Prahou</w:t>
      </w:r>
    </w:p>
    <w:p w14:paraId="6B80EA2C" w14:textId="69B58A31" w:rsidR="00F25C88" w:rsidRDefault="00F25C88" w:rsidP="00F25C88">
      <w:pPr>
        <w:spacing w:after="0"/>
        <w:rPr>
          <w:b/>
        </w:rPr>
      </w:pPr>
      <w:r w:rsidRPr="00F25C88">
        <w:rPr>
          <w:b/>
          <w:noProof/>
        </w:rPr>
        <w:drawing>
          <wp:inline distT="0" distB="0" distL="0" distR="0" wp14:anchorId="12D12916" wp14:editId="7288A89B">
            <wp:extent cx="6120130" cy="2948852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4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10865" w14:textId="2A8811B1" w:rsidR="00852F45" w:rsidRDefault="000F397F" w:rsidP="00852F45">
      <w:pPr>
        <w:jc w:val="both"/>
      </w:pPr>
      <w:r>
        <w:t>Významná vyjížďka do Prahy byla</w:t>
      </w:r>
      <w:r w:rsidR="00852F45">
        <w:t xml:space="preserve"> </w:t>
      </w:r>
      <w:r>
        <w:t>ještě v Ústeckém kraji, který měl</w:t>
      </w:r>
      <w:r w:rsidR="00852F45">
        <w:t xml:space="preserve"> s Prahou negativní bilanci na úrovni 11,1 tisíc osob. Dojížďkou za prací vyjádřeno</w:t>
      </w:r>
      <w:r>
        <w:t>u v absolutních hodnotách ztrácely</w:t>
      </w:r>
      <w:r w:rsidR="00852F45">
        <w:t xml:space="preserve"> více jak 3 tisíce osob ještě</w:t>
      </w:r>
      <w:r w:rsidR="00D078A3">
        <w:t xml:space="preserve"> kraje</w:t>
      </w:r>
      <w:r w:rsidR="00852F45">
        <w:t xml:space="preserve"> Pardubický, Plzeňský, Královéhradecký, Kraj Vysočina ale také vzdálenější Jihomoravský a Moravskoslezský kraj. Při přepočtu salda dojížďky na 1 000 zaměstnaných </w:t>
      </w:r>
      <w:r w:rsidR="00D078A3">
        <w:t>měly</w:t>
      </w:r>
      <w:r>
        <w:t xml:space="preserve"> výraznou negativní bilanci</w:t>
      </w:r>
      <w:r w:rsidR="00852F45">
        <w:t xml:space="preserve"> de facto všechny české kraje</w:t>
      </w:r>
      <w:r>
        <w:t xml:space="preserve"> a Vysočina. Karlovarský kraj byl</w:t>
      </w:r>
      <w:r w:rsidR="00852F45">
        <w:t xml:space="preserve"> výjimkou, zde negativní saldo dojížďky nedo</w:t>
      </w:r>
      <w:r>
        <w:t>sahovalo</w:t>
      </w:r>
      <w:r w:rsidR="00852F45">
        <w:t xml:space="preserve"> ani 10 osob na 1 000 zaměstnaných, což je ovlivněno významnou dojížďkou do zahraničí.</w:t>
      </w:r>
    </w:p>
    <w:p w14:paraId="7EAC00DA" w14:textId="54711C9D" w:rsidR="00852F45" w:rsidRPr="00B90310" w:rsidRDefault="00852F45" w:rsidP="00852F45">
      <w:pPr>
        <w:jc w:val="both"/>
      </w:pPr>
      <w:r w:rsidRPr="00B90310">
        <w:t>Při pohledu na nižší územní úroveň okresů, je zřetelné</w:t>
      </w:r>
      <w:r w:rsidR="00247963" w:rsidRPr="00B90310">
        <w:t>, že všechny okresy v Česku měly</w:t>
      </w:r>
      <w:r w:rsidRPr="00B90310">
        <w:t xml:space="preserve"> bilanci dojížďky s Prahou zápornou,</w:t>
      </w:r>
      <w:r w:rsidR="00247963" w:rsidRPr="00B90310">
        <w:t xml:space="preserve"> tzn. více osob z okresu dojíždělo</w:t>
      </w:r>
      <w:r w:rsidRPr="00B90310">
        <w:t xml:space="preserve"> do Pr</w:t>
      </w:r>
      <w:r w:rsidR="00247963" w:rsidRPr="00B90310">
        <w:t>ahy, než naopak. Nejvíce osob dojíždělo</w:t>
      </w:r>
      <w:r w:rsidRPr="00B90310">
        <w:t xml:space="preserve"> do Prahy (v relativním vyjádření na 1 000 zaměstnaných) z okresu Pra</w:t>
      </w:r>
      <w:r w:rsidR="00247963" w:rsidRPr="00B90310">
        <w:t>ha-západ a Praha-východ. Jejich</w:t>
      </w:r>
      <w:r w:rsidRPr="00B90310">
        <w:t xml:space="preserve"> bil</w:t>
      </w:r>
      <w:r w:rsidR="00247963" w:rsidRPr="00B90310">
        <w:t>ance</w:t>
      </w:r>
      <w:r w:rsidRPr="00B90310">
        <w:t xml:space="preserve"> dojížďky s Prahou </w:t>
      </w:r>
      <w:r w:rsidR="00247963" w:rsidRPr="00B90310">
        <w:t>byla výrazně záporná</w:t>
      </w:r>
      <w:r w:rsidRPr="00B90310">
        <w:t xml:space="preserve"> (362,6 osob resp. 269,5 osob ztrácely dojížďkou ve prospěch Prahy). Zápornou bilanci větší než 200 na 1 000 zaměstnaných mělo ještě Kladno a Mělník. Mezi prvními deseti se pak ještě umístily všechny okresy Středočeského kraje. Zápornou bilanci dojížďky mezi 50 a 100 osobami na 1 000 zaměstnaných měly ještě okresy Litoměřice, Kutná Hora a Louny. Mezi první dvacítku se dostaly i vzdálenější okresy jako Pardubice, Havlíčkův Brod nebo Pelhřimov. U vzdálenějších míst od Prahy hraje roli dopravní dostupnost, ať už autem nebo hromadnou dopravou (autobus nebo vlak).</w:t>
      </w:r>
    </w:p>
    <w:p w14:paraId="7FCBA76E" w14:textId="3D4E9CF3" w:rsidR="00272811" w:rsidRPr="00B90310" w:rsidRDefault="00272811" w:rsidP="00852F45">
      <w:pPr>
        <w:jc w:val="both"/>
      </w:pPr>
      <w:r w:rsidRPr="00B90310">
        <w:t xml:space="preserve">Následující kartogram 5.2 ukazuje saldo dojížďky Prahy s ostatními okresy ČR. </w:t>
      </w:r>
      <w:r w:rsidR="00247963" w:rsidRPr="00B90310">
        <w:t>Ilustruje</w:t>
      </w:r>
      <w:r w:rsidRPr="00B90310">
        <w:t xml:space="preserve"> rozdíl mezi dojíždějícími do Prahy z okresů a vyjíždějícími z Prahy do okresů. Údaj je vztažen na 1 000 zaměstnaných obyvatel</w:t>
      </w:r>
      <w:r w:rsidR="00247963" w:rsidRPr="00B90310">
        <w:t xml:space="preserve"> okresu</w:t>
      </w:r>
      <w:r w:rsidRPr="00B90310">
        <w:t xml:space="preserve">, u kterých bylo zjištěno místo pracoviště. </w:t>
      </w:r>
    </w:p>
    <w:p w14:paraId="27A99645" w14:textId="47970B7F" w:rsidR="00852F45" w:rsidRPr="00B90310" w:rsidRDefault="00B90310" w:rsidP="00101EA6">
      <w:pPr>
        <w:spacing w:after="0"/>
        <w:jc w:val="both"/>
        <w:rPr>
          <w:b/>
        </w:rPr>
      </w:pPr>
      <w:r w:rsidRPr="00B90310">
        <w:rPr>
          <w:b/>
        </w:rPr>
        <w:t>Kartogram 5.3</w:t>
      </w:r>
      <w:r w:rsidR="00852F45" w:rsidRPr="00B90310">
        <w:rPr>
          <w:b/>
        </w:rPr>
        <w:t xml:space="preserve"> Saldo dojížďky okresů ČR s Prahou na 1 000 zaměstnaných</w:t>
      </w:r>
    </w:p>
    <w:p w14:paraId="78326533" w14:textId="57457FB0" w:rsidR="00272811" w:rsidRDefault="00EF4658" w:rsidP="00852F45">
      <w:pPr>
        <w:jc w:val="both"/>
        <w:rPr>
          <w:b/>
        </w:rPr>
      </w:pPr>
      <w:r>
        <w:rPr>
          <w:b/>
          <w:noProof/>
        </w:rPr>
        <w:pict w14:anchorId="3626AADB">
          <v:shape id="_x0000_i1028" type="#_x0000_t75" style="width:480.6pt;height:352.2pt">
            <v:imagedata r:id="rId23" o:title="saldo okresy" croptop="6308f" cropbottom="1914f" cropleft="4943f" cropright="5331f"/>
          </v:shape>
        </w:pict>
      </w:r>
    </w:p>
    <w:p w14:paraId="025508D0" w14:textId="52CCFDC9" w:rsidR="00F25C88" w:rsidRPr="00B90310" w:rsidRDefault="00F25C88" w:rsidP="00852F45">
      <w:pPr>
        <w:jc w:val="both"/>
        <w:rPr>
          <w:b/>
        </w:rPr>
      </w:pPr>
      <w:r w:rsidRPr="00B90310">
        <w:t>Význam pražského trhu práce pro celý Středočeský kraj je jasný. Téměř všechny okresy ve Středočeském kraji měly výrazně vyšší záporné saldo dojížďky s Prahou než ostatní okresy. To znamená, že z okresů do Prahy dojíždělo výrazně více lidí než z Prahy do okresů. Záporné saldo dojížďky měly všechny okresy ČR, včetně těch vzdálenějších, jako je například okres Kroměříž, Zlín, nebo Opava. V některých vzdálenějších okresech však nemusela být dojížďka na denní bázi.</w:t>
      </w:r>
    </w:p>
    <w:p w14:paraId="006A443F" w14:textId="45658C24" w:rsidR="00852F45" w:rsidRPr="00852F45" w:rsidRDefault="00272811" w:rsidP="00DB6E80">
      <w:pPr>
        <w:jc w:val="both"/>
      </w:pPr>
      <w:r w:rsidRPr="00B90310">
        <w:t xml:space="preserve">Nejmenší </w:t>
      </w:r>
      <w:r w:rsidR="00E31A08">
        <w:t xml:space="preserve">záporné </w:t>
      </w:r>
      <w:r w:rsidRPr="00B90310">
        <w:t xml:space="preserve">saldo dojížďky za prací přepočtené na 1 000 zaměstnaných bylo zjištěno jak v moravských krajích, tak v odlehlejších českých okresech – Českém </w:t>
      </w:r>
      <w:r w:rsidR="00EC4A2A" w:rsidRPr="00B90310">
        <w:t>Krumlově a Tachově. Naop</w:t>
      </w:r>
      <w:r w:rsidRPr="00B90310">
        <w:t>a</w:t>
      </w:r>
      <w:r w:rsidR="00EC4A2A" w:rsidRPr="00B90310">
        <w:t>k</w:t>
      </w:r>
      <w:r w:rsidRPr="00B90310">
        <w:t xml:space="preserve"> v</w:t>
      </w:r>
      <w:r w:rsidR="00EC4A2A" w:rsidRPr="00B90310">
        <w:t> okrese Ú</w:t>
      </w:r>
      <w:r w:rsidRPr="00B90310">
        <w:t>stí nad Labem</w:t>
      </w:r>
      <w:r w:rsidR="00DB6E80">
        <w:t xml:space="preserve"> i</w:t>
      </w:r>
      <w:r w:rsidR="00EC4A2A" w:rsidRPr="00B90310">
        <w:t> Havlíčkův Brod je saldo vyjížďky do Prahy poměrně vysoké i přes jejich relativní velkou vzdálenost od Prahy. Zde hrají pochopitelně roli i dopravní možnosti – přítomnost kvalitní veřejné dopravy či dostupnost dálniční sítě či silnic první třídy.</w:t>
      </w:r>
    </w:p>
    <w:sectPr w:rsidR="00852F45" w:rsidRPr="00852F45" w:rsidSect="006F5416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BCD3" w14:textId="77777777" w:rsidR="00437B6E" w:rsidRDefault="00437B6E" w:rsidP="00E71A58">
      <w:r>
        <w:separator/>
      </w:r>
    </w:p>
  </w:endnote>
  <w:endnote w:type="continuationSeparator" w:id="0">
    <w:p w14:paraId="537513EF" w14:textId="77777777" w:rsidR="00437B6E" w:rsidRDefault="00437B6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ESRI NIMA VMAP1&amp;2 PT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78D17" w14:textId="79FDBFA8" w:rsidR="004D7D1F" w:rsidRPr="00932443" w:rsidRDefault="004D7D1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25E8974A" wp14:editId="6700A5A8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F4658">
      <w:rPr>
        <w:szCs w:val="16"/>
      </w:rPr>
      <w:t>14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6297" w14:textId="41C92094" w:rsidR="004D7D1F" w:rsidRPr="00932443" w:rsidRDefault="004D7D1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1EE00B94" wp14:editId="1428F5AD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F4658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E2E03" w14:textId="77777777" w:rsidR="00437B6E" w:rsidRDefault="00437B6E" w:rsidP="00E71A58">
      <w:r>
        <w:separator/>
      </w:r>
    </w:p>
  </w:footnote>
  <w:footnote w:type="continuationSeparator" w:id="0">
    <w:p w14:paraId="65303D90" w14:textId="77777777" w:rsidR="00437B6E" w:rsidRDefault="00437B6E" w:rsidP="00E71A58">
      <w:r>
        <w:continuationSeparator/>
      </w:r>
    </w:p>
  </w:footnote>
  <w:footnote w:id="1">
    <w:p w14:paraId="7BD4A17A" w14:textId="77777777" w:rsidR="00753E5E" w:rsidRPr="00E00BF3" w:rsidRDefault="00753E5E" w:rsidP="00753E5E">
      <w:pPr>
        <w:pStyle w:val="Textpoznpodarou"/>
        <w:rPr>
          <w:rFonts w:cs="Arial"/>
          <w:i/>
          <w:sz w:val="16"/>
          <w:szCs w:val="16"/>
        </w:rPr>
      </w:pPr>
      <w:r w:rsidRPr="00E00BF3">
        <w:rPr>
          <w:rStyle w:val="Znakapoznpodarou"/>
          <w:rFonts w:cs="Arial"/>
          <w:i/>
          <w:szCs w:val="16"/>
        </w:rPr>
        <w:footnoteRef/>
      </w:r>
      <w:r w:rsidRPr="00E00BF3">
        <w:rPr>
          <w:rFonts w:cs="Arial"/>
          <w:i/>
          <w:sz w:val="16"/>
          <w:szCs w:val="16"/>
        </w:rPr>
        <w:t xml:space="preserve"> místem obvyklého pobytu se rozumí místo, kde osoba obvykle tráví období svého každodenního odpočinku bez ohledu na dočasnou nepřítomnost z důvodu rekreace, návštěv, pracovních cest, pobytu ve zdravotnickém zařízení apod. a kde je členem konkrétní domácnosti.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F635" w14:textId="77777777" w:rsidR="004D7D1F" w:rsidRPr="005768B2" w:rsidRDefault="004D7D1F" w:rsidP="00F3661B">
    <w:pPr>
      <w:rPr>
        <w:sz w:val="16"/>
        <w:szCs w:val="16"/>
      </w:rPr>
    </w:pPr>
    <w:r w:rsidRPr="005768B2">
      <w:rPr>
        <w:sz w:val="16"/>
        <w:szCs w:val="16"/>
      </w:rPr>
      <w:t xml:space="preserve">Sčítání lidu, domů a bytů </w:t>
    </w:r>
    <w:r>
      <w:rPr>
        <w:sz w:val="16"/>
        <w:szCs w:val="16"/>
      </w:rPr>
      <w:t>–</w:t>
    </w:r>
    <w:r w:rsidRPr="005768B2">
      <w:rPr>
        <w:sz w:val="16"/>
        <w:szCs w:val="16"/>
      </w:rPr>
      <w:t xml:space="preserve"> </w:t>
    </w:r>
    <w:r>
      <w:rPr>
        <w:sz w:val="16"/>
        <w:szCs w:val="16"/>
      </w:rPr>
      <w:t>hl. m. Praha</w:t>
    </w:r>
    <w:r w:rsidRPr="005768B2">
      <w:rPr>
        <w:sz w:val="16"/>
        <w:szCs w:val="16"/>
      </w:rPr>
      <w:t xml:space="preserve"> - analýza výsledků - 2021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4A1A" w14:textId="77777777" w:rsidR="004D7D1F" w:rsidRPr="00EA1787" w:rsidRDefault="004D7D1F" w:rsidP="00EA1787">
    <w:pPr>
      <w:pStyle w:val="Zhlav"/>
    </w:pPr>
    <w:r w:rsidRPr="00F3661B">
      <w:t xml:space="preserve">Sčítání lidu, domů a bytů </w:t>
    </w:r>
    <w:r>
      <w:t>–</w:t>
    </w:r>
    <w:r w:rsidRPr="00F3661B">
      <w:t xml:space="preserve"> </w:t>
    </w:r>
    <w:r>
      <w:t>hl. m. Praha</w:t>
    </w:r>
    <w:r w:rsidRPr="00F3661B">
      <w:t xml:space="preserve"> - analýza výsledků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4pt;height:10.4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5745"/>
        </w:tabs>
        <w:ind w:left="5745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607B6"/>
    <w:multiLevelType w:val="multilevel"/>
    <w:tmpl w:val="8520C63C"/>
    <w:lvl w:ilvl="0">
      <w:start w:val="5"/>
      <w:numFmt w:val="decimal"/>
      <w:pStyle w:val="Nadpis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184702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64EF6"/>
    <w:multiLevelType w:val="hybridMultilevel"/>
    <w:tmpl w:val="D42C4130"/>
    <w:lvl w:ilvl="0" w:tplc="9990CEB4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05376"/>
    <w:multiLevelType w:val="hybridMultilevel"/>
    <w:tmpl w:val="3AE02706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44463"/>
    <w:multiLevelType w:val="multilevel"/>
    <w:tmpl w:val="14B4B8B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Tab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17"/>
  </w:num>
  <w:num w:numId="17">
    <w:abstractNumId w:val="17"/>
  </w:num>
  <w:num w:numId="18">
    <w:abstractNumId w:val="1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6407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71"/>
    <w:rsid w:val="0000209D"/>
    <w:rsid w:val="00004D5A"/>
    <w:rsid w:val="000056D5"/>
    <w:rsid w:val="0000729D"/>
    <w:rsid w:val="0000767A"/>
    <w:rsid w:val="00010702"/>
    <w:rsid w:val="000154C6"/>
    <w:rsid w:val="00016992"/>
    <w:rsid w:val="000234D6"/>
    <w:rsid w:val="00023D29"/>
    <w:rsid w:val="00026389"/>
    <w:rsid w:val="00031AE0"/>
    <w:rsid w:val="000322EF"/>
    <w:rsid w:val="00033FCD"/>
    <w:rsid w:val="00041CEC"/>
    <w:rsid w:val="00041DA0"/>
    <w:rsid w:val="000431D8"/>
    <w:rsid w:val="000464D4"/>
    <w:rsid w:val="0004694F"/>
    <w:rsid w:val="000522E4"/>
    <w:rsid w:val="00055331"/>
    <w:rsid w:val="00055B3D"/>
    <w:rsid w:val="000572FC"/>
    <w:rsid w:val="00057DD1"/>
    <w:rsid w:val="000610E1"/>
    <w:rsid w:val="000618EE"/>
    <w:rsid w:val="00062EC5"/>
    <w:rsid w:val="00062F22"/>
    <w:rsid w:val="000655D5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3408"/>
    <w:rsid w:val="000C6AFD"/>
    <w:rsid w:val="000D5637"/>
    <w:rsid w:val="000E1E6A"/>
    <w:rsid w:val="000E6DB0"/>
    <w:rsid w:val="000E6FBD"/>
    <w:rsid w:val="000F397F"/>
    <w:rsid w:val="00100F5C"/>
    <w:rsid w:val="00101EA6"/>
    <w:rsid w:val="0010437D"/>
    <w:rsid w:val="00104C4C"/>
    <w:rsid w:val="00107DF9"/>
    <w:rsid w:val="00112147"/>
    <w:rsid w:val="0012192F"/>
    <w:rsid w:val="00125D69"/>
    <w:rsid w:val="00126DDA"/>
    <w:rsid w:val="00133030"/>
    <w:rsid w:val="001405FA"/>
    <w:rsid w:val="0014120F"/>
    <w:rsid w:val="001425C3"/>
    <w:rsid w:val="00143464"/>
    <w:rsid w:val="001443AF"/>
    <w:rsid w:val="0016250F"/>
    <w:rsid w:val="0016256B"/>
    <w:rsid w:val="00163793"/>
    <w:rsid w:val="00166171"/>
    <w:rsid w:val="0016785F"/>
    <w:rsid w:val="001706D6"/>
    <w:rsid w:val="001714F2"/>
    <w:rsid w:val="00175AA4"/>
    <w:rsid w:val="0018360D"/>
    <w:rsid w:val="00184B08"/>
    <w:rsid w:val="00185010"/>
    <w:rsid w:val="001857F6"/>
    <w:rsid w:val="00185F52"/>
    <w:rsid w:val="00196F37"/>
    <w:rsid w:val="001A39ED"/>
    <w:rsid w:val="001A552F"/>
    <w:rsid w:val="001A5FF4"/>
    <w:rsid w:val="001B2CA9"/>
    <w:rsid w:val="001B3110"/>
    <w:rsid w:val="001B4729"/>
    <w:rsid w:val="001B6C09"/>
    <w:rsid w:val="001B7D99"/>
    <w:rsid w:val="001C05CD"/>
    <w:rsid w:val="001D1A2A"/>
    <w:rsid w:val="001D2322"/>
    <w:rsid w:val="001D51E7"/>
    <w:rsid w:val="001D68B2"/>
    <w:rsid w:val="001E124D"/>
    <w:rsid w:val="001E6840"/>
    <w:rsid w:val="001F041F"/>
    <w:rsid w:val="001F40BD"/>
    <w:rsid w:val="001F4597"/>
    <w:rsid w:val="0020135E"/>
    <w:rsid w:val="002118A1"/>
    <w:rsid w:val="002118B9"/>
    <w:rsid w:val="00217C5B"/>
    <w:rsid w:val="0022139E"/>
    <w:rsid w:val="00221465"/>
    <w:rsid w:val="002252E0"/>
    <w:rsid w:val="002255F6"/>
    <w:rsid w:val="00225A24"/>
    <w:rsid w:val="00227850"/>
    <w:rsid w:val="00227A53"/>
    <w:rsid w:val="00230C6E"/>
    <w:rsid w:val="00232BE2"/>
    <w:rsid w:val="00236443"/>
    <w:rsid w:val="00240761"/>
    <w:rsid w:val="002436BA"/>
    <w:rsid w:val="00244A15"/>
    <w:rsid w:val="00247319"/>
    <w:rsid w:val="00247963"/>
    <w:rsid w:val="0024799E"/>
    <w:rsid w:val="002537DC"/>
    <w:rsid w:val="00253C0F"/>
    <w:rsid w:val="002632ED"/>
    <w:rsid w:val="00264157"/>
    <w:rsid w:val="00271465"/>
    <w:rsid w:val="00272811"/>
    <w:rsid w:val="00273FB5"/>
    <w:rsid w:val="0027442C"/>
    <w:rsid w:val="00283825"/>
    <w:rsid w:val="00285412"/>
    <w:rsid w:val="00287A83"/>
    <w:rsid w:val="0029209F"/>
    <w:rsid w:val="00294438"/>
    <w:rsid w:val="00295BB1"/>
    <w:rsid w:val="00296AF2"/>
    <w:rsid w:val="002A00BE"/>
    <w:rsid w:val="002A1214"/>
    <w:rsid w:val="002A16D4"/>
    <w:rsid w:val="002A230C"/>
    <w:rsid w:val="002A51CF"/>
    <w:rsid w:val="002A5826"/>
    <w:rsid w:val="002A592A"/>
    <w:rsid w:val="002A5A7A"/>
    <w:rsid w:val="002B0A52"/>
    <w:rsid w:val="002B2CDE"/>
    <w:rsid w:val="002B6000"/>
    <w:rsid w:val="002B6284"/>
    <w:rsid w:val="002C04BA"/>
    <w:rsid w:val="002C43BD"/>
    <w:rsid w:val="002D0E59"/>
    <w:rsid w:val="002D47F1"/>
    <w:rsid w:val="002D545A"/>
    <w:rsid w:val="002D5D85"/>
    <w:rsid w:val="002E02A1"/>
    <w:rsid w:val="002E3495"/>
    <w:rsid w:val="002E4E4C"/>
    <w:rsid w:val="003009B4"/>
    <w:rsid w:val="00304771"/>
    <w:rsid w:val="003052D4"/>
    <w:rsid w:val="00306C5B"/>
    <w:rsid w:val="00306E71"/>
    <w:rsid w:val="00314996"/>
    <w:rsid w:val="00316DBE"/>
    <w:rsid w:val="00317EC9"/>
    <w:rsid w:val="00320148"/>
    <w:rsid w:val="003209D6"/>
    <w:rsid w:val="00321664"/>
    <w:rsid w:val="00321924"/>
    <w:rsid w:val="0032656E"/>
    <w:rsid w:val="0033123A"/>
    <w:rsid w:val="00332190"/>
    <w:rsid w:val="00340A5D"/>
    <w:rsid w:val="00344668"/>
    <w:rsid w:val="003462D9"/>
    <w:rsid w:val="00360C86"/>
    <w:rsid w:val="00364D6E"/>
    <w:rsid w:val="003657F3"/>
    <w:rsid w:val="00375817"/>
    <w:rsid w:val="00380A79"/>
    <w:rsid w:val="00380BB6"/>
    <w:rsid w:val="003818DC"/>
    <w:rsid w:val="00383D12"/>
    <w:rsid w:val="00384327"/>
    <w:rsid w:val="00385D98"/>
    <w:rsid w:val="00390EA0"/>
    <w:rsid w:val="003A2B4D"/>
    <w:rsid w:val="003A478C"/>
    <w:rsid w:val="003A5525"/>
    <w:rsid w:val="003A65E5"/>
    <w:rsid w:val="003A6B38"/>
    <w:rsid w:val="003A7B9C"/>
    <w:rsid w:val="003B337D"/>
    <w:rsid w:val="003B5A32"/>
    <w:rsid w:val="003C036A"/>
    <w:rsid w:val="003C3490"/>
    <w:rsid w:val="003D0F38"/>
    <w:rsid w:val="003D1F8F"/>
    <w:rsid w:val="003D6920"/>
    <w:rsid w:val="003E4C91"/>
    <w:rsid w:val="003E7899"/>
    <w:rsid w:val="003F313C"/>
    <w:rsid w:val="003F4B2C"/>
    <w:rsid w:val="003F551C"/>
    <w:rsid w:val="003F7D23"/>
    <w:rsid w:val="00400D80"/>
    <w:rsid w:val="00402061"/>
    <w:rsid w:val="00405153"/>
    <w:rsid w:val="004071B7"/>
    <w:rsid w:val="00407C13"/>
    <w:rsid w:val="00410638"/>
    <w:rsid w:val="004179D7"/>
    <w:rsid w:val="0042324B"/>
    <w:rsid w:val="0042750A"/>
    <w:rsid w:val="00432A58"/>
    <w:rsid w:val="00432E27"/>
    <w:rsid w:val="00433A93"/>
    <w:rsid w:val="00434617"/>
    <w:rsid w:val="00437B6E"/>
    <w:rsid w:val="00440900"/>
    <w:rsid w:val="004441A0"/>
    <w:rsid w:val="00455FB6"/>
    <w:rsid w:val="0045703B"/>
    <w:rsid w:val="00460FB3"/>
    <w:rsid w:val="004645E6"/>
    <w:rsid w:val="00466A4B"/>
    <w:rsid w:val="00475B69"/>
    <w:rsid w:val="00476240"/>
    <w:rsid w:val="00476439"/>
    <w:rsid w:val="0047735C"/>
    <w:rsid w:val="004776BC"/>
    <w:rsid w:val="00477EF0"/>
    <w:rsid w:val="0048139F"/>
    <w:rsid w:val="00481E40"/>
    <w:rsid w:val="00484ECE"/>
    <w:rsid w:val="004857AE"/>
    <w:rsid w:val="004900FF"/>
    <w:rsid w:val="0049063D"/>
    <w:rsid w:val="004915CB"/>
    <w:rsid w:val="004924DC"/>
    <w:rsid w:val="00496CA7"/>
    <w:rsid w:val="004A01CA"/>
    <w:rsid w:val="004A14E4"/>
    <w:rsid w:val="004A3212"/>
    <w:rsid w:val="004A61C5"/>
    <w:rsid w:val="004A672C"/>
    <w:rsid w:val="004A77DF"/>
    <w:rsid w:val="004B1417"/>
    <w:rsid w:val="004B55B7"/>
    <w:rsid w:val="004B6468"/>
    <w:rsid w:val="004C384C"/>
    <w:rsid w:val="004C3867"/>
    <w:rsid w:val="004C454E"/>
    <w:rsid w:val="004C4CD0"/>
    <w:rsid w:val="004C70DC"/>
    <w:rsid w:val="004D0211"/>
    <w:rsid w:val="004D0794"/>
    <w:rsid w:val="004D539C"/>
    <w:rsid w:val="004D7D1F"/>
    <w:rsid w:val="004F06F5"/>
    <w:rsid w:val="004F215D"/>
    <w:rsid w:val="004F33A0"/>
    <w:rsid w:val="00500A8A"/>
    <w:rsid w:val="005108C0"/>
    <w:rsid w:val="00511873"/>
    <w:rsid w:val="005118B1"/>
    <w:rsid w:val="00512A2F"/>
    <w:rsid w:val="005138BF"/>
    <w:rsid w:val="00513B7E"/>
    <w:rsid w:val="00514217"/>
    <w:rsid w:val="00515C26"/>
    <w:rsid w:val="00515C74"/>
    <w:rsid w:val="0052007E"/>
    <w:rsid w:val="0052337A"/>
    <w:rsid w:val="00525137"/>
    <w:rsid w:val="005251DD"/>
    <w:rsid w:val="005253C3"/>
    <w:rsid w:val="00532CE7"/>
    <w:rsid w:val="0053324C"/>
    <w:rsid w:val="00534A28"/>
    <w:rsid w:val="00537DDB"/>
    <w:rsid w:val="00541508"/>
    <w:rsid w:val="0055518E"/>
    <w:rsid w:val="0055599F"/>
    <w:rsid w:val="00556D68"/>
    <w:rsid w:val="005647BF"/>
    <w:rsid w:val="0056613B"/>
    <w:rsid w:val="0057364B"/>
    <w:rsid w:val="00574773"/>
    <w:rsid w:val="005768B2"/>
    <w:rsid w:val="00580861"/>
    <w:rsid w:val="0058258C"/>
    <w:rsid w:val="00583FFD"/>
    <w:rsid w:val="00584CA2"/>
    <w:rsid w:val="005911BE"/>
    <w:rsid w:val="00593152"/>
    <w:rsid w:val="00597288"/>
    <w:rsid w:val="005A10F2"/>
    <w:rsid w:val="005A21E0"/>
    <w:rsid w:val="005A28FF"/>
    <w:rsid w:val="005A36A6"/>
    <w:rsid w:val="005A3DF8"/>
    <w:rsid w:val="005A5549"/>
    <w:rsid w:val="005B0994"/>
    <w:rsid w:val="005B1043"/>
    <w:rsid w:val="005B121D"/>
    <w:rsid w:val="005B7F1E"/>
    <w:rsid w:val="005C06ED"/>
    <w:rsid w:val="005C6CA0"/>
    <w:rsid w:val="005D5802"/>
    <w:rsid w:val="005D7890"/>
    <w:rsid w:val="005E7C78"/>
    <w:rsid w:val="005F3EB1"/>
    <w:rsid w:val="005F4939"/>
    <w:rsid w:val="005F5469"/>
    <w:rsid w:val="00604307"/>
    <w:rsid w:val="0060487F"/>
    <w:rsid w:val="00604EAD"/>
    <w:rsid w:val="006104FB"/>
    <w:rsid w:val="0061065F"/>
    <w:rsid w:val="00612A2F"/>
    <w:rsid w:val="00616CA1"/>
    <w:rsid w:val="00616E05"/>
    <w:rsid w:val="0061795F"/>
    <w:rsid w:val="00622BBB"/>
    <w:rsid w:val="00624093"/>
    <w:rsid w:val="006272E0"/>
    <w:rsid w:val="00633619"/>
    <w:rsid w:val="00636970"/>
    <w:rsid w:val="006404A7"/>
    <w:rsid w:val="006451E4"/>
    <w:rsid w:val="00645B33"/>
    <w:rsid w:val="006516CB"/>
    <w:rsid w:val="00655A75"/>
    <w:rsid w:val="00657E87"/>
    <w:rsid w:val="006632E2"/>
    <w:rsid w:val="00664803"/>
    <w:rsid w:val="00665BA4"/>
    <w:rsid w:val="00667AF2"/>
    <w:rsid w:val="006710C9"/>
    <w:rsid w:val="006711F9"/>
    <w:rsid w:val="00674D89"/>
    <w:rsid w:val="00675E37"/>
    <w:rsid w:val="00675FBD"/>
    <w:rsid w:val="0068174E"/>
    <w:rsid w:val="00681DCE"/>
    <w:rsid w:val="0068260E"/>
    <w:rsid w:val="00683C40"/>
    <w:rsid w:val="00684ABD"/>
    <w:rsid w:val="00686729"/>
    <w:rsid w:val="00695BEF"/>
    <w:rsid w:val="006977F6"/>
    <w:rsid w:val="00697A13"/>
    <w:rsid w:val="006A0FF5"/>
    <w:rsid w:val="006A109C"/>
    <w:rsid w:val="006A3DB9"/>
    <w:rsid w:val="006A6AD1"/>
    <w:rsid w:val="006A6F27"/>
    <w:rsid w:val="006B344A"/>
    <w:rsid w:val="006B5B42"/>
    <w:rsid w:val="006B749D"/>
    <w:rsid w:val="006B78D8"/>
    <w:rsid w:val="006C113F"/>
    <w:rsid w:val="006C123E"/>
    <w:rsid w:val="006C56D4"/>
    <w:rsid w:val="006C6924"/>
    <w:rsid w:val="006C7CA6"/>
    <w:rsid w:val="006D14DE"/>
    <w:rsid w:val="006D3E8A"/>
    <w:rsid w:val="006D5922"/>
    <w:rsid w:val="006D61F6"/>
    <w:rsid w:val="006E279A"/>
    <w:rsid w:val="006E313B"/>
    <w:rsid w:val="006E3FE4"/>
    <w:rsid w:val="006F5416"/>
    <w:rsid w:val="006F7137"/>
    <w:rsid w:val="00704FE2"/>
    <w:rsid w:val="00706AD4"/>
    <w:rsid w:val="00707301"/>
    <w:rsid w:val="00710EB3"/>
    <w:rsid w:val="00713A1E"/>
    <w:rsid w:val="007140BE"/>
    <w:rsid w:val="007211F5"/>
    <w:rsid w:val="00722556"/>
    <w:rsid w:val="00725BB5"/>
    <w:rsid w:val="00730A28"/>
    <w:rsid w:val="00730AE8"/>
    <w:rsid w:val="007336A6"/>
    <w:rsid w:val="007343BB"/>
    <w:rsid w:val="00740FC7"/>
    <w:rsid w:val="00741493"/>
    <w:rsid w:val="007475D5"/>
    <w:rsid w:val="00752180"/>
    <w:rsid w:val="00753E5E"/>
    <w:rsid w:val="00755202"/>
    <w:rsid w:val="0075575A"/>
    <w:rsid w:val="00755D3A"/>
    <w:rsid w:val="00756FDB"/>
    <w:rsid w:val="007578D3"/>
    <w:rsid w:val="007609C6"/>
    <w:rsid w:val="0076175D"/>
    <w:rsid w:val="00761AD2"/>
    <w:rsid w:val="0076521E"/>
    <w:rsid w:val="007661E9"/>
    <w:rsid w:val="00776169"/>
    <w:rsid w:val="00776527"/>
    <w:rsid w:val="00780EF1"/>
    <w:rsid w:val="00790764"/>
    <w:rsid w:val="0079453C"/>
    <w:rsid w:val="00794677"/>
    <w:rsid w:val="00795F2C"/>
    <w:rsid w:val="007B6689"/>
    <w:rsid w:val="007C00FC"/>
    <w:rsid w:val="007D40DF"/>
    <w:rsid w:val="007D749B"/>
    <w:rsid w:val="007D7ADE"/>
    <w:rsid w:val="007E12BD"/>
    <w:rsid w:val="007E3F3E"/>
    <w:rsid w:val="007E51D4"/>
    <w:rsid w:val="007E7E61"/>
    <w:rsid w:val="007F0845"/>
    <w:rsid w:val="007F48B0"/>
    <w:rsid w:val="008017BB"/>
    <w:rsid w:val="00806FA4"/>
    <w:rsid w:val="00807C82"/>
    <w:rsid w:val="00810B16"/>
    <w:rsid w:val="00811C65"/>
    <w:rsid w:val="00816905"/>
    <w:rsid w:val="00821FF6"/>
    <w:rsid w:val="00825C4D"/>
    <w:rsid w:val="008271E1"/>
    <w:rsid w:val="0083143E"/>
    <w:rsid w:val="00831CDE"/>
    <w:rsid w:val="00831EBA"/>
    <w:rsid w:val="00834304"/>
    <w:rsid w:val="00834FAA"/>
    <w:rsid w:val="00836086"/>
    <w:rsid w:val="00840C82"/>
    <w:rsid w:val="00843D3F"/>
    <w:rsid w:val="0084708F"/>
    <w:rsid w:val="008477C8"/>
    <w:rsid w:val="0085114D"/>
    <w:rsid w:val="00852217"/>
    <w:rsid w:val="00852F45"/>
    <w:rsid w:val="00855408"/>
    <w:rsid w:val="00856D65"/>
    <w:rsid w:val="00861687"/>
    <w:rsid w:val="00861B41"/>
    <w:rsid w:val="00863434"/>
    <w:rsid w:val="00865E4C"/>
    <w:rsid w:val="008674F7"/>
    <w:rsid w:val="00867CA3"/>
    <w:rsid w:val="008701E4"/>
    <w:rsid w:val="00875A32"/>
    <w:rsid w:val="00876086"/>
    <w:rsid w:val="008873D4"/>
    <w:rsid w:val="00893E85"/>
    <w:rsid w:val="00894031"/>
    <w:rsid w:val="008A3E2E"/>
    <w:rsid w:val="008B7C02"/>
    <w:rsid w:val="008B7D2B"/>
    <w:rsid w:val="008C0049"/>
    <w:rsid w:val="008C0E88"/>
    <w:rsid w:val="008C5CC5"/>
    <w:rsid w:val="008C7591"/>
    <w:rsid w:val="008D13CB"/>
    <w:rsid w:val="008D1E6A"/>
    <w:rsid w:val="008D2A16"/>
    <w:rsid w:val="008D675B"/>
    <w:rsid w:val="008E2C57"/>
    <w:rsid w:val="008E31FF"/>
    <w:rsid w:val="008E3ACF"/>
    <w:rsid w:val="008E52CF"/>
    <w:rsid w:val="008E6F06"/>
    <w:rsid w:val="008F029B"/>
    <w:rsid w:val="008F2E79"/>
    <w:rsid w:val="008F3FC9"/>
    <w:rsid w:val="008F585B"/>
    <w:rsid w:val="009003A8"/>
    <w:rsid w:val="00902500"/>
    <w:rsid w:val="00902EFF"/>
    <w:rsid w:val="00905EBB"/>
    <w:rsid w:val="00906401"/>
    <w:rsid w:val="00906510"/>
    <w:rsid w:val="0091155E"/>
    <w:rsid w:val="00912A92"/>
    <w:rsid w:val="00913B33"/>
    <w:rsid w:val="0091728D"/>
    <w:rsid w:val="0092180B"/>
    <w:rsid w:val="00921F14"/>
    <w:rsid w:val="00924AC8"/>
    <w:rsid w:val="00924DC6"/>
    <w:rsid w:val="0092597A"/>
    <w:rsid w:val="00932443"/>
    <w:rsid w:val="00937693"/>
    <w:rsid w:val="00937AE2"/>
    <w:rsid w:val="0094206C"/>
    <w:rsid w:val="0094427A"/>
    <w:rsid w:val="009503BC"/>
    <w:rsid w:val="00961B57"/>
    <w:rsid w:val="00965DB8"/>
    <w:rsid w:val="00974923"/>
    <w:rsid w:val="00980D3D"/>
    <w:rsid w:val="00982AFC"/>
    <w:rsid w:val="00983104"/>
    <w:rsid w:val="00987A30"/>
    <w:rsid w:val="00991386"/>
    <w:rsid w:val="00992CF3"/>
    <w:rsid w:val="009956BA"/>
    <w:rsid w:val="009968D6"/>
    <w:rsid w:val="00997127"/>
    <w:rsid w:val="009A1CAB"/>
    <w:rsid w:val="009A31D4"/>
    <w:rsid w:val="009A60D1"/>
    <w:rsid w:val="009A6592"/>
    <w:rsid w:val="009B6FD3"/>
    <w:rsid w:val="009C0DB5"/>
    <w:rsid w:val="009C1750"/>
    <w:rsid w:val="009C2D4B"/>
    <w:rsid w:val="009C2E29"/>
    <w:rsid w:val="009C40E9"/>
    <w:rsid w:val="009C554B"/>
    <w:rsid w:val="009C719E"/>
    <w:rsid w:val="009D3ACD"/>
    <w:rsid w:val="009E5273"/>
    <w:rsid w:val="009E5DDB"/>
    <w:rsid w:val="009F314E"/>
    <w:rsid w:val="009F3162"/>
    <w:rsid w:val="009F4AEF"/>
    <w:rsid w:val="009F4CA7"/>
    <w:rsid w:val="009F682F"/>
    <w:rsid w:val="00A10D66"/>
    <w:rsid w:val="00A140C9"/>
    <w:rsid w:val="00A14114"/>
    <w:rsid w:val="00A14E10"/>
    <w:rsid w:val="00A16413"/>
    <w:rsid w:val="00A23E43"/>
    <w:rsid w:val="00A302FD"/>
    <w:rsid w:val="00A30F65"/>
    <w:rsid w:val="00A328E4"/>
    <w:rsid w:val="00A40D8D"/>
    <w:rsid w:val="00A418BC"/>
    <w:rsid w:val="00A428A4"/>
    <w:rsid w:val="00A46DE0"/>
    <w:rsid w:val="00A50D73"/>
    <w:rsid w:val="00A52CAD"/>
    <w:rsid w:val="00A53FC7"/>
    <w:rsid w:val="00A6133B"/>
    <w:rsid w:val="00A61936"/>
    <w:rsid w:val="00A61C65"/>
    <w:rsid w:val="00A62CE1"/>
    <w:rsid w:val="00A648E1"/>
    <w:rsid w:val="00A6741E"/>
    <w:rsid w:val="00A73902"/>
    <w:rsid w:val="00A75E40"/>
    <w:rsid w:val="00A764C5"/>
    <w:rsid w:val="00A7694E"/>
    <w:rsid w:val="00A77D1D"/>
    <w:rsid w:val="00A857C0"/>
    <w:rsid w:val="00A9292F"/>
    <w:rsid w:val="00AA2996"/>
    <w:rsid w:val="00AA52BF"/>
    <w:rsid w:val="00AA559A"/>
    <w:rsid w:val="00AB2AF1"/>
    <w:rsid w:val="00AB7377"/>
    <w:rsid w:val="00AC2A17"/>
    <w:rsid w:val="00AC3835"/>
    <w:rsid w:val="00AD306C"/>
    <w:rsid w:val="00AD71AA"/>
    <w:rsid w:val="00AE09B3"/>
    <w:rsid w:val="00AE1A83"/>
    <w:rsid w:val="00AE2A15"/>
    <w:rsid w:val="00AE300F"/>
    <w:rsid w:val="00AE78AD"/>
    <w:rsid w:val="00AF5CD4"/>
    <w:rsid w:val="00B00913"/>
    <w:rsid w:val="00B01593"/>
    <w:rsid w:val="00B03010"/>
    <w:rsid w:val="00B10A4D"/>
    <w:rsid w:val="00B17140"/>
    <w:rsid w:val="00B17E71"/>
    <w:rsid w:val="00B17FDE"/>
    <w:rsid w:val="00B21BC9"/>
    <w:rsid w:val="00B2379C"/>
    <w:rsid w:val="00B24FCE"/>
    <w:rsid w:val="00B2541A"/>
    <w:rsid w:val="00B2687D"/>
    <w:rsid w:val="00B32DDB"/>
    <w:rsid w:val="00B34528"/>
    <w:rsid w:val="00B402FC"/>
    <w:rsid w:val="00B46604"/>
    <w:rsid w:val="00B51582"/>
    <w:rsid w:val="00B530BB"/>
    <w:rsid w:val="00B530CD"/>
    <w:rsid w:val="00B549C6"/>
    <w:rsid w:val="00B555BE"/>
    <w:rsid w:val="00B55F5E"/>
    <w:rsid w:val="00B5752E"/>
    <w:rsid w:val="00B63A11"/>
    <w:rsid w:val="00B64C24"/>
    <w:rsid w:val="00B6608F"/>
    <w:rsid w:val="00B679FB"/>
    <w:rsid w:val="00B71B76"/>
    <w:rsid w:val="00B728D0"/>
    <w:rsid w:val="00B76D1E"/>
    <w:rsid w:val="00B80EC6"/>
    <w:rsid w:val="00B90310"/>
    <w:rsid w:val="00B92D1D"/>
    <w:rsid w:val="00B938C5"/>
    <w:rsid w:val="00B95940"/>
    <w:rsid w:val="00BA3206"/>
    <w:rsid w:val="00BB355B"/>
    <w:rsid w:val="00BB46F3"/>
    <w:rsid w:val="00BB4CB1"/>
    <w:rsid w:val="00BB4F98"/>
    <w:rsid w:val="00BC7154"/>
    <w:rsid w:val="00BD1699"/>
    <w:rsid w:val="00BD366B"/>
    <w:rsid w:val="00BD6D50"/>
    <w:rsid w:val="00BD6D57"/>
    <w:rsid w:val="00BE18B9"/>
    <w:rsid w:val="00BE2495"/>
    <w:rsid w:val="00BE42D9"/>
    <w:rsid w:val="00BE561A"/>
    <w:rsid w:val="00BE70F0"/>
    <w:rsid w:val="00BF1578"/>
    <w:rsid w:val="00C053C8"/>
    <w:rsid w:val="00C138AF"/>
    <w:rsid w:val="00C218BF"/>
    <w:rsid w:val="00C21F94"/>
    <w:rsid w:val="00C2261F"/>
    <w:rsid w:val="00C2295E"/>
    <w:rsid w:val="00C25D83"/>
    <w:rsid w:val="00C27913"/>
    <w:rsid w:val="00C27ECC"/>
    <w:rsid w:val="00C33A90"/>
    <w:rsid w:val="00C33B68"/>
    <w:rsid w:val="00C36303"/>
    <w:rsid w:val="00C36A79"/>
    <w:rsid w:val="00C405D4"/>
    <w:rsid w:val="00C407CD"/>
    <w:rsid w:val="00C4513B"/>
    <w:rsid w:val="00C50E3D"/>
    <w:rsid w:val="00C54697"/>
    <w:rsid w:val="00C550AC"/>
    <w:rsid w:val="00C62A5B"/>
    <w:rsid w:val="00C7358D"/>
    <w:rsid w:val="00C73885"/>
    <w:rsid w:val="00C73C14"/>
    <w:rsid w:val="00C747B1"/>
    <w:rsid w:val="00C82191"/>
    <w:rsid w:val="00C86AB0"/>
    <w:rsid w:val="00C90CF4"/>
    <w:rsid w:val="00C92364"/>
    <w:rsid w:val="00C92EB6"/>
    <w:rsid w:val="00C93389"/>
    <w:rsid w:val="00CB003F"/>
    <w:rsid w:val="00CB2187"/>
    <w:rsid w:val="00CB22DE"/>
    <w:rsid w:val="00CB4930"/>
    <w:rsid w:val="00CB7C87"/>
    <w:rsid w:val="00CC2E7D"/>
    <w:rsid w:val="00CD10A5"/>
    <w:rsid w:val="00CD1EEB"/>
    <w:rsid w:val="00CD2076"/>
    <w:rsid w:val="00CD34A1"/>
    <w:rsid w:val="00CE670B"/>
    <w:rsid w:val="00CE6C75"/>
    <w:rsid w:val="00CF1754"/>
    <w:rsid w:val="00CF3E5B"/>
    <w:rsid w:val="00CF51EC"/>
    <w:rsid w:val="00CF5621"/>
    <w:rsid w:val="00CF73AE"/>
    <w:rsid w:val="00D002C8"/>
    <w:rsid w:val="00D040DD"/>
    <w:rsid w:val="00D078A3"/>
    <w:rsid w:val="00D13986"/>
    <w:rsid w:val="00D15AB3"/>
    <w:rsid w:val="00D235B7"/>
    <w:rsid w:val="00D25F28"/>
    <w:rsid w:val="00D27973"/>
    <w:rsid w:val="00D34F0D"/>
    <w:rsid w:val="00D4007C"/>
    <w:rsid w:val="00D50F46"/>
    <w:rsid w:val="00D577AE"/>
    <w:rsid w:val="00D63BEF"/>
    <w:rsid w:val="00D64DBE"/>
    <w:rsid w:val="00D66223"/>
    <w:rsid w:val="00D72700"/>
    <w:rsid w:val="00D75738"/>
    <w:rsid w:val="00D800EF"/>
    <w:rsid w:val="00D8084C"/>
    <w:rsid w:val="00D80EF3"/>
    <w:rsid w:val="00D97626"/>
    <w:rsid w:val="00DA5C0D"/>
    <w:rsid w:val="00DA73AF"/>
    <w:rsid w:val="00DA7C0C"/>
    <w:rsid w:val="00DB2EC8"/>
    <w:rsid w:val="00DB6E80"/>
    <w:rsid w:val="00DC5B3B"/>
    <w:rsid w:val="00DD129F"/>
    <w:rsid w:val="00DD4E36"/>
    <w:rsid w:val="00DD5D72"/>
    <w:rsid w:val="00DD6226"/>
    <w:rsid w:val="00DE3C6A"/>
    <w:rsid w:val="00DE5B57"/>
    <w:rsid w:val="00DF42FF"/>
    <w:rsid w:val="00E00BAF"/>
    <w:rsid w:val="00E01C0E"/>
    <w:rsid w:val="00E03BE0"/>
    <w:rsid w:val="00E03F9A"/>
    <w:rsid w:val="00E04694"/>
    <w:rsid w:val="00E053B2"/>
    <w:rsid w:val="00E06CD2"/>
    <w:rsid w:val="00E06F53"/>
    <w:rsid w:val="00E116D7"/>
    <w:rsid w:val="00E125C6"/>
    <w:rsid w:val="00E12B1E"/>
    <w:rsid w:val="00E1542E"/>
    <w:rsid w:val="00E17262"/>
    <w:rsid w:val="00E2051C"/>
    <w:rsid w:val="00E253A2"/>
    <w:rsid w:val="00E31A08"/>
    <w:rsid w:val="00E31A7A"/>
    <w:rsid w:val="00E3309D"/>
    <w:rsid w:val="00E375AA"/>
    <w:rsid w:val="00E37706"/>
    <w:rsid w:val="00E42999"/>
    <w:rsid w:val="00E50156"/>
    <w:rsid w:val="00E52CBC"/>
    <w:rsid w:val="00E5331E"/>
    <w:rsid w:val="00E53470"/>
    <w:rsid w:val="00E539F6"/>
    <w:rsid w:val="00E556EF"/>
    <w:rsid w:val="00E6519D"/>
    <w:rsid w:val="00E6711C"/>
    <w:rsid w:val="00E67696"/>
    <w:rsid w:val="00E71A58"/>
    <w:rsid w:val="00E72A7A"/>
    <w:rsid w:val="00E75C94"/>
    <w:rsid w:val="00E849C8"/>
    <w:rsid w:val="00E877BE"/>
    <w:rsid w:val="00E93820"/>
    <w:rsid w:val="00EA0C68"/>
    <w:rsid w:val="00EA1787"/>
    <w:rsid w:val="00EA32BC"/>
    <w:rsid w:val="00EA7CD1"/>
    <w:rsid w:val="00EB4511"/>
    <w:rsid w:val="00EB4D61"/>
    <w:rsid w:val="00EC03D7"/>
    <w:rsid w:val="00EC4A2A"/>
    <w:rsid w:val="00ED62C6"/>
    <w:rsid w:val="00ED64C1"/>
    <w:rsid w:val="00EE3446"/>
    <w:rsid w:val="00EE3E78"/>
    <w:rsid w:val="00EE4B1B"/>
    <w:rsid w:val="00EF150D"/>
    <w:rsid w:val="00EF1F5A"/>
    <w:rsid w:val="00EF4658"/>
    <w:rsid w:val="00EF47BF"/>
    <w:rsid w:val="00EF713E"/>
    <w:rsid w:val="00F04811"/>
    <w:rsid w:val="00F0488C"/>
    <w:rsid w:val="00F05F5E"/>
    <w:rsid w:val="00F10F11"/>
    <w:rsid w:val="00F15AAA"/>
    <w:rsid w:val="00F15BEF"/>
    <w:rsid w:val="00F2298E"/>
    <w:rsid w:val="00F24407"/>
    <w:rsid w:val="00F24FAA"/>
    <w:rsid w:val="00F25C88"/>
    <w:rsid w:val="00F3364D"/>
    <w:rsid w:val="00F3661B"/>
    <w:rsid w:val="00F36C72"/>
    <w:rsid w:val="00F37889"/>
    <w:rsid w:val="00F437CC"/>
    <w:rsid w:val="00F4636F"/>
    <w:rsid w:val="00F47067"/>
    <w:rsid w:val="00F525EB"/>
    <w:rsid w:val="00F63DDE"/>
    <w:rsid w:val="00F63FB7"/>
    <w:rsid w:val="00F649D2"/>
    <w:rsid w:val="00F6602B"/>
    <w:rsid w:val="00F66213"/>
    <w:rsid w:val="00F7260E"/>
    <w:rsid w:val="00F73A0C"/>
    <w:rsid w:val="00F756DB"/>
    <w:rsid w:val="00F85066"/>
    <w:rsid w:val="00F86435"/>
    <w:rsid w:val="00FA5D4D"/>
    <w:rsid w:val="00FB02F2"/>
    <w:rsid w:val="00FB0EE2"/>
    <w:rsid w:val="00FB212C"/>
    <w:rsid w:val="00FB542E"/>
    <w:rsid w:val="00FB759C"/>
    <w:rsid w:val="00FC0E5F"/>
    <w:rsid w:val="00FC15BF"/>
    <w:rsid w:val="00FC1A95"/>
    <w:rsid w:val="00FC266E"/>
    <w:rsid w:val="00FC56DE"/>
    <w:rsid w:val="00FC684B"/>
    <w:rsid w:val="00FC7827"/>
    <w:rsid w:val="00FD3265"/>
    <w:rsid w:val="00FD54E6"/>
    <w:rsid w:val="00FD6ECC"/>
    <w:rsid w:val="00FE06F7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E66B049"/>
  <w15:docId w15:val="{ABB23CD1-7A59-40B7-9136-ACFFED53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F27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numPr>
        <w:numId w:val="20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numPr>
        <w:ilvl w:val="1"/>
        <w:numId w:val="20"/>
      </w:num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numPr>
        <w:ilvl w:val="2"/>
        <w:numId w:val="20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numPr>
        <w:ilvl w:val="3"/>
        <w:numId w:val="20"/>
      </w:numPr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C2A17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2A17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2A17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2A17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B02F2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next w:val="Normln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unhideWhenUsed/>
    <w:qFormat/>
    <w:rsid w:val="00EA1787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64D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4DB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4DBE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DBE"/>
    <w:rPr>
      <w:rFonts w:ascii="Arial" w:eastAsia="Times New Roman" w:hAnsi="Arial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2A17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customStyle="1" w:styleId="Default">
    <w:name w:val="Default"/>
    <w:rsid w:val="00811C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Muj-zakltext3">
    <w:name w:val="Muj-zakl.text3"/>
    <w:basedOn w:val="Normln"/>
    <w:rsid w:val="00811C65"/>
    <w:pPr>
      <w:keepNext/>
      <w:spacing w:after="0" w:line="240" w:lineRule="auto"/>
      <w:jc w:val="both"/>
    </w:pPr>
    <w:rPr>
      <w:rFonts w:cs="Arial"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2A17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2A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2A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styleId="Zstupntext">
    <w:name w:val="Placeholder Text"/>
    <w:basedOn w:val="Standardnpsmoodstavce"/>
    <w:uiPriority w:val="99"/>
    <w:semiHidden/>
    <w:rsid w:val="00806FA4"/>
    <w:rPr>
      <w:color w:val="808080"/>
    </w:rPr>
  </w:style>
  <w:style w:type="character" w:styleId="Znakapoznpodarou">
    <w:name w:val="footnote reference"/>
    <w:basedOn w:val="Standardnpsmoodstavce"/>
    <w:uiPriority w:val="99"/>
    <w:semiHidden/>
    <w:rsid w:val="00753E5E"/>
    <w:rPr>
      <w:vertAlign w:val="superscript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semiHidden/>
    <w:rsid w:val="00753E5E"/>
    <w:pPr>
      <w:spacing w:before="120"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semiHidden/>
    <w:rsid w:val="00753E5E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5776-BDB4-4E1D-8ACF-3AE5795B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14</Pages>
  <Words>4018</Words>
  <Characters>23713</Characters>
  <Application>Microsoft Office Word</Application>
  <DocSecurity>0</DocSecurity>
  <Lines>197</Lines>
  <Paragraphs>55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6" baseType="lpstr">
      <vt:lpstr/>
      <vt:lpstr>Dojížďka a vyjížďka do zaměstnání a do školy</vt:lpstr>
      <vt:lpstr>    Vyjížďka a dojížďka celkem</vt:lpstr>
      <vt:lpstr>    Vyjížďka a dojížďka do zaměstnání</vt:lpstr>
      <vt:lpstr>    Vyjížďka a dojížďka do škol</vt:lpstr>
      <vt:lpstr>    Vyjížďka a dojížďka podle dopravního prostředku a frekvence vyjížďky </vt:lpstr>
      <vt:lpstr>    Úhrnná bilance dojížďky do zaměstnání a do školy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27676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Varmužová Věra</dc:creator>
  <cp:keywords/>
  <dc:description/>
  <cp:lastModifiedBy>Podhorská Jana</cp:lastModifiedBy>
  <cp:revision>38</cp:revision>
  <cp:lastPrinted>2023-10-30T09:29:00Z</cp:lastPrinted>
  <dcterms:created xsi:type="dcterms:W3CDTF">2023-10-31T04:49:00Z</dcterms:created>
  <dcterms:modified xsi:type="dcterms:W3CDTF">2023-11-29T07:43:00Z</dcterms:modified>
  <cp:category/>
</cp:coreProperties>
</file>