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9E3657" w14:textId="77777777" w:rsidR="00CE6C75" w:rsidRDefault="00CE6C75" w:rsidP="00C50E3D">
      <w:pPr>
        <w:pStyle w:val="Nadpis1"/>
        <w:numPr>
          <w:ilvl w:val="0"/>
          <w:numId w:val="20"/>
        </w:numPr>
      </w:pPr>
      <w:bookmarkStart w:id="0" w:name="_Toc145675414"/>
      <w:bookmarkStart w:id="1" w:name="_GoBack"/>
      <w:bookmarkEnd w:id="1"/>
      <w:r w:rsidRPr="00175AA4">
        <w:t>Ekonomická aktivita obyvatelstva</w:t>
      </w:r>
      <w:bookmarkEnd w:id="0"/>
    </w:p>
    <w:p w14:paraId="4A977E86" w14:textId="77777777" w:rsidR="004179D7" w:rsidRDefault="004179D7" w:rsidP="00041DA0">
      <w:pPr>
        <w:jc w:val="both"/>
        <w:rPr>
          <w:rFonts w:cs="Arial"/>
          <w:szCs w:val="20"/>
        </w:rPr>
      </w:pPr>
      <w:r w:rsidRPr="00887F66">
        <w:rPr>
          <w:rFonts w:cs="Arial"/>
          <w:b/>
          <w:szCs w:val="20"/>
        </w:rPr>
        <w:t>Ekonomická aktivita</w:t>
      </w:r>
      <w:r w:rsidRPr="00887F66">
        <w:rPr>
          <w:rFonts w:cs="Arial"/>
          <w:szCs w:val="20"/>
        </w:rPr>
        <w:t xml:space="preserve"> charakterizuje ekonomické postavení obyvatelstva, jeho členění na pracovní sílu (osoby ekonomicky</w:t>
      </w:r>
      <w:r w:rsidR="00D34F0D">
        <w:rPr>
          <w:rFonts w:cs="Arial"/>
          <w:szCs w:val="20"/>
        </w:rPr>
        <w:t> </w:t>
      </w:r>
      <w:r w:rsidRPr="00887F66">
        <w:rPr>
          <w:rFonts w:cs="Arial"/>
          <w:szCs w:val="20"/>
        </w:rPr>
        <w:t>aktivní)</w:t>
      </w:r>
      <w:r w:rsidR="00D34F0D">
        <w:rPr>
          <w:rFonts w:cs="Arial"/>
          <w:szCs w:val="20"/>
        </w:rPr>
        <w:t> </w:t>
      </w:r>
      <w:r w:rsidRPr="00887F66">
        <w:rPr>
          <w:rFonts w:cs="Arial"/>
          <w:szCs w:val="20"/>
        </w:rPr>
        <w:t>a</w:t>
      </w:r>
      <w:r w:rsidR="00D34F0D">
        <w:rPr>
          <w:rFonts w:cs="Arial"/>
          <w:szCs w:val="20"/>
        </w:rPr>
        <w:t> </w:t>
      </w:r>
      <w:r w:rsidRPr="00887F66">
        <w:rPr>
          <w:rFonts w:cs="Arial"/>
          <w:szCs w:val="20"/>
        </w:rPr>
        <w:t>osoby</w:t>
      </w:r>
      <w:r w:rsidR="00D34F0D">
        <w:rPr>
          <w:rFonts w:cs="Arial"/>
          <w:szCs w:val="20"/>
        </w:rPr>
        <w:t> </w:t>
      </w:r>
      <w:r w:rsidRPr="00887F66">
        <w:rPr>
          <w:rFonts w:cs="Arial"/>
          <w:szCs w:val="20"/>
        </w:rPr>
        <w:t>mimo</w:t>
      </w:r>
      <w:r w:rsidR="00D34F0D">
        <w:rPr>
          <w:rFonts w:cs="Arial"/>
          <w:szCs w:val="20"/>
        </w:rPr>
        <w:t> </w:t>
      </w:r>
      <w:r w:rsidRPr="00887F66">
        <w:rPr>
          <w:rFonts w:cs="Arial"/>
          <w:szCs w:val="20"/>
        </w:rPr>
        <w:t>pracovní</w:t>
      </w:r>
      <w:r w:rsidR="00D34F0D">
        <w:rPr>
          <w:rFonts w:cs="Arial"/>
          <w:szCs w:val="20"/>
        </w:rPr>
        <w:t> </w:t>
      </w:r>
      <w:r w:rsidRPr="00887F66">
        <w:rPr>
          <w:rFonts w:cs="Arial"/>
          <w:szCs w:val="20"/>
        </w:rPr>
        <w:t>sílu</w:t>
      </w:r>
      <w:r w:rsidR="00D34F0D">
        <w:rPr>
          <w:rFonts w:cs="Arial"/>
          <w:szCs w:val="20"/>
        </w:rPr>
        <w:t> </w:t>
      </w:r>
      <w:r w:rsidRPr="00887F66">
        <w:rPr>
          <w:rFonts w:cs="Arial"/>
          <w:szCs w:val="20"/>
        </w:rPr>
        <w:t>(osoby</w:t>
      </w:r>
      <w:r w:rsidR="00D34F0D">
        <w:rPr>
          <w:rFonts w:cs="Arial"/>
          <w:szCs w:val="20"/>
        </w:rPr>
        <w:t> </w:t>
      </w:r>
      <w:r w:rsidRPr="00887F66">
        <w:rPr>
          <w:rFonts w:cs="Arial"/>
          <w:szCs w:val="20"/>
        </w:rPr>
        <w:t>ekonomicky</w:t>
      </w:r>
      <w:r w:rsidR="00D34F0D">
        <w:rPr>
          <w:rFonts w:cs="Arial"/>
          <w:szCs w:val="20"/>
        </w:rPr>
        <w:t> </w:t>
      </w:r>
      <w:r w:rsidRPr="00887F66">
        <w:rPr>
          <w:rFonts w:cs="Arial"/>
          <w:szCs w:val="20"/>
        </w:rPr>
        <w:t xml:space="preserve">neaktivní). </w:t>
      </w:r>
      <w:r w:rsidRPr="00887F66">
        <w:rPr>
          <w:rFonts w:cs="Arial"/>
          <w:szCs w:val="20"/>
        </w:rPr>
        <w:br/>
      </w:r>
      <w:r w:rsidRPr="00921C6E">
        <w:rPr>
          <w:rFonts w:cs="Arial"/>
          <w:b/>
          <w:szCs w:val="20"/>
        </w:rPr>
        <w:t>Pracovní</w:t>
      </w:r>
      <w:r w:rsidR="00D34F0D">
        <w:rPr>
          <w:rFonts w:cs="Arial"/>
          <w:b/>
          <w:szCs w:val="20"/>
        </w:rPr>
        <w:t> </w:t>
      </w:r>
      <w:r w:rsidRPr="00921C6E">
        <w:rPr>
          <w:rFonts w:cs="Arial"/>
          <w:b/>
          <w:szCs w:val="20"/>
        </w:rPr>
        <w:t>sílu</w:t>
      </w:r>
      <w:r w:rsidR="00D34F0D">
        <w:rPr>
          <w:rFonts w:cs="Arial"/>
          <w:b/>
          <w:szCs w:val="20"/>
        </w:rPr>
        <w:t> </w:t>
      </w:r>
      <w:r w:rsidRPr="00887F66">
        <w:rPr>
          <w:rFonts w:cs="Arial"/>
          <w:szCs w:val="20"/>
        </w:rPr>
        <w:t>představují</w:t>
      </w:r>
      <w:r w:rsidR="00D34F0D">
        <w:rPr>
          <w:rFonts w:cs="Arial"/>
          <w:szCs w:val="20"/>
        </w:rPr>
        <w:t> </w:t>
      </w:r>
      <w:r w:rsidRPr="00887F66">
        <w:rPr>
          <w:rFonts w:cs="Arial"/>
          <w:szCs w:val="20"/>
        </w:rPr>
        <w:t>osoby</w:t>
      </w:r>
      <w:r w:rsidR="00D34F0D">
        <w:rPr>
          <w:rFonts w:cs="Arial"/>
          <w:szCs w:val="20"/>
        </w:rPr>
        <w:t> </w:t>
      </w:r>
      <w:r w:rsidRPr="00887F66">
        <w:rPr>
          <w:rFonts w:cs="Arial"/>
          <w:szCs w:val="20"/>
        </w:rPr>
        <w:t>zaměstnané</w:t>
      </w:r>
      <w:r w:rsidR="00D34F0D">
        <w:rPr>
          <w:rFonts w:cs="Arial"/>
          <w:szCs w:val="20"/>
        </w:rPr>
        <w:t> </w:t>
      </w:r>
      <w:r w:rsidRPr="00887F66">
        <w:rPr>
          <w:rFonts w:cs="Arial"/>
          <w:szCs w:val="20"/>
        </w:rPr>
        <w:t>(pracující)</w:t>
      </w:r>
      <w:r w:rsidR="00D34F0D">
        <w:rPr>
          <w:rFonts w:cs="Arial"/>
          <w:szCs w:val="20"/>
        </w:rPr>
        <w:t> </w:t>
      </w:r>
      <w:r w:rsidRPr="00887F66">
        <w:rPr>
          <w:rFonts w:cs="Arial"/>
          <w:szCs w:val="20"/>
        </w:rPr>
        <w:t>a</w:t>
      </w:r>
      <w:r w:rsidR="00D34F0D">
        <w:rPr>
          <w:rFonts w:cs="Arial"/>
          <w:szCs w:val="20"/>
        </w:rPr>
        <w:t> </w:t>
      </w:r>
      <w:r w:rsidRPr="00887F66">
        <w:rPr>
          <w:rFonts w:cs="Arial"/>
          <w:szCs w:val="20"/>
        </w:rPr>
        <w:t xml:space="preserve">nezaměstnané. </w:t>
      </w:r>
      <w:r>
        <w:rPr>
          <w:rFonts w:cs="Arial"/>
          <w:szCs w:val="20"/>
        </w:rPr>
        <w:br/>
      </w:r>
      <w:r w:rsidRPr="00887F66">
        <w:rPr>
          <w:rFonts w:cs="Arial"/>
          <w:szCs w:val="20"/>
        </w:rPr>
        <w:t xml:space="preserve">Mezi </w:t>
      </w:r>
      <w:r w:rsidRPr="00921C6E">
        <w:rPr>
          <w:rFonts w:cs="Arial"/>
          <w:b/>
          <w:szCs w:val="20"/>
        </w:rPr>
        <w:t>zaměstnané</w:t>
      </w:r>
      <w:r w:rsidRPr="00887F66">
        <w:rPr>
          <w:rFonts w:cs="Arial"/>
          <w:szCs w:val="20"/>
        </w:rPr>
        <w:t xml:space="preserve"> patří všechny osoby ve věku 15 a více let, které v rozhodný okamžik sčítání měly formální vazbu k zaměstnání nebo pracovaly alespoň 1 h týdně za mzdu, plat nebo jiný druh odměny. Zahrnuti jsou rovněž pracující důchodci, pracující žáci a studenti a osoby na mateřské dovolené</w:t>
      </w:r>
      <w:r>
        <w:rPr>
          <w:rFonts w:cs="Arial"/>
          <w:szCs w:val="20"/>
        </w:rPr>
        <w:t xml:space="preserve"> (</w:t>
      </w:r>
      <w:r w:rsidRPr="00887F66">
        <w:rPr>
          <w:rFonts w:cs="Arial"/>
          <w:szCs w:val="20"/>
        </w:rPr>
        <w:t>28 resp. 37 týdnů). Osoby s formální vazbou k zaměstnání jsou zaměstnanci a osoby s podnikatelským oprávněním, bez ohledu na délku pracovního úvazku, charakter pracovní aktivity (trvalý, dočasný) nebo druh pracovního poměru, dohody či smlouvy.</w:t>
      </w:r>
      <w:r>
        <w:rPr>
          <w:rFonts w:cs="Arial"/>
          <w:szCs w:val="20"/>
        </w:rPr>
        <w:br/>
        <w:t xml:space="preserve">Kategorii </w:t>
      </w:r>
      <w:r w:rsidRPr="00921C6E">
        <w:rPr>
          <w:rFonts w:cs="Arial"/>
          <w:b/>
          <w:szCs w:val="20"/>
        </w:rPr>
        <w:t>nezaměstnaných</w:t>
      </w:r>
      <w:r>
        <w:rPr>
          <w:rFonts w:cs="Arial"/>
          <w:szCs w:val="20"/>
        </w:rPr>
        <w:t xml:space="preserve"> tvoří všechny osoby ve věku 15 a více let, které byly v rozhodný okamžik sčítání bez</w:t>
      </w:r>
      <w:r w:rsidR="00D34F0D">
        <w:rPr>
          <w:rFonts w:cs="Arial"/>
          <w:szCs w:val="20"/>
        </w:rPr>
        <w:t> </w:t>
      </w:r>
      <w:r>
        <w:rPr>
          <w:rFonts w:cs="Arial"/>
          <w:szCs w:val="20"/>
        </w:rPr>
        <w:t>práce</w:t>
      </w:r>
      <w:r w:rsidR="00D34F0D">
        <w:rPr>
          <w:rFonts w:cs="Arial"/>
          <w:szCs w:val="20"/>
        </w:rPr>
        <w:t> </w:t>
      </w:r>
      <w:r>
        <w:rPr>
          <w:rFonts w:cs="Arial"/>
          <w:szCs w:val="20"/>
        </w:rPr>
        <w:t>a</w:t>
      </w:r>
      <w:r w:rsidR="00D34F0D">
        <w:rPr>
          <w:rFonts w:cs="Arial"/>
          <w:szCs w:val="20"/>
        </w:rPr>
        <w:t> </w:t>
      </w:r>
      <w:r>
        <w:rPr>
          <w:rFonts w:cs="Arial"/>
          <w:szCs w:val="20"/>
        </w:rPr>
        <w:t>zároveň</w:t>
      </w:r>
      <w:r w:rsidR="00D34F0D">
        <w:rPr>
          <w:rFonts w:cs="Arial"/>
          <w:szCs w:val="20"/>
        </w:rPr>
        <w:t> </w:t>
      </w:r>
      <w:r>
        <w:rPr>
          <w:rFonts w:cs="Arial"/>
          <w:szCs w:val="20"/>
        </w:rPr>
        <w:t>si</w:t>
      </w:r>
      <w:r w:rsidR="00D34F0D">
        <w:rPr>
          <w:rFonts w:cs="Arial"/>
          <w:szCs w:val="20"/>
        </w:rPr>
        <w:t> </w:t>
      </w:r>
      <w:r>
        <w:rPr>
          <w:rFonts w:cs="Arial"/>
          <w:szCs w:val="20"/>
        </w:rPr>
        <w:t>práci</w:t>
      </w:r>
      <w:r w:rsidR="00D34F0D">
        <w:rPr>
          <w:rFonts w:cs="Arial"/>
          <w:szCs w:val="20"/>
        </w:rPr>
        <w:t> </w:t>
      </w:r>
      <w:r>
        <w:rPr>
          <w:rFonts w:cs="Arial"/>
          <w:szCs w:val="20"/>
        </w:rPr>
        <w:t>hledaly</w:t>
      </w:r>
      <w:r w:rsidR="00D34F0D">
        <w:rPr>
          <w:rFonts w:cs="Arial"/>
          <w:szCs w:val="20"/>
        </w:rPr>
        <w:t> </w:t>
      </w:r>
      <w:r>
        <w:rPr>
          <w:rFonts w:cs="Arial"/>
          <w:szCs w:val="20"/>
        </w:rPr>
        <w:t>(prostřednictvím</w:t>
      </w:r>
      <w:r w:rsidR="00D34F0D">
        <w:rPr>
          <w:rFonts w:cs="Arial"/>
          <w:szCs w:val="20"/>
        </w:rPr>
        <w:t> </w:t>
      </w:r>
      <w:r>
        <w:rPr>
          <w:rFonts w:cs="Arial"/>
          <w:szCs w:val="20"/>
        </w:rPr>
        <w:t>Úřadu</w:t>
      </w:r>
      <w:r w:rsidR="00D34F0D">
        <w:rPr>
          <w:rFonts w:cs="Arial"/>
          <w:szCs w:val="20"/>
        </w:rPr>
        <w:t> </w:t>
      </w:r>
      <w:r>
        <w:rPr>
          <w:rFonts w:cs="Arial"/>
          <w:szCs w:val="20"/>
        </w:rPr>
        <w:t>práce</w:t>
      </w:r>
      <w:r w:rsidR="00D34F0D">
        <w:rPr>
          <w:rFonts w:cs="Arial"/>
          <w:szCs w:val="20"/>
        </w:rPr>
        <w:t> </w:t>
      </w:r>
      <w:r>
        <w:rPr>
          <w:rFonts w:cs="Arial"/>
          <w:szCs w:val="20"/>
        </w:rPr>
        <w:t>nebo</w:t>
      </w:r>
      <w:r w:rsidR="00D34F0D">
        <w:rPr>
          <w:rFonts w:cs="Arial"/>
          <w:szCs w:val="20"/>
        </w:rPr>
        <w:t> </w:t>
      </w:r>
      <w:r>
        <w:rPr>
          <w:rFonts w:cs="Arial"/>
          <w:szCs w:val="20"/>
        </w:rPr>
        <w:t>jiným</w:t>
      </w:r>
      <w:r w:rsidR="00D34F0D">
        <w:rPr>
          <w:rFonts w:cs="Arial"/>
          <w:szCs w:val="20"/>
        </w:rPr>
        <w:t> </w:t>
      </w:r>
      <w:r>
        <w:rPr>
          <w:rFonts w:cs="Arial"/>
          <w:szCs w:val="20"/>
        </w:rPr>
        <w:t>způsobem).</w:t>
      </w:r>
      <w:r>
        <w:rPr>
          <w:rFonts w:cs="Arial"/>
          <w:szCs w:val="20"/>
        </w:rPr>
        <w:br/>
      </w:r>
      <w:r w:rsidRPr="00921C6E">
        <w:rPr>
          <w:rFonts w:cs="Arial"/>
          <w:b/>
          <w:szCs w:val="20"/>
        </w:rPr>
        <w:t>Osoby mimo pracovní sílu</w:t>
      </w:r>
      <w:r>
        <w:rPr>
          <w:rFonts w:cs="Arial"/>
          <w:szCs w:val="20"/>
        </w:rPr>
        <w:t xml:space="preserve"> (osoby ekonomicky neaktivní) jsou osoby, které nepatří mezi zaměstnané ani nezaměstnané. Jsou to nepracující důchodci, ostatní nepracující osoby s vlastním zdrojem obživy, osoby na rodičovské dovolené, nepracující žáci a studenti, osoby v domácnosti, děti předškolního věku a ostatní závislé osoby.</w:t>
      </w:r>
    </w:p>
    <w:p w14:paraId="30DDA922" w14:textId="77777777" w:rsidR="00CE6C75" w:rsidRDefault="00CE6C75" w:rsidP="00AC2A17">
      <w:pPr>
        <w:pStyle w:val="Nadpis2"/>
      </w:pPr>
      <w:bookmarkStart w:id="2" w:name="_Toc145675415"/>
      <w:r w:rsidRPr="00175AA4">
        <w:t>Zaměstnaní, nezaměstnaní, obyvatelstvo mimo pracovní sílu</w:t>
      </w:r>
      <w:bookmarkEnd w:id="2"/>
    </w:p>
    <w:p w14:paraId="42AE37A5" w14:textId="77777777" w:rsidR="004179D7" w:rsidRDefault="00041DA0" w:rsidP="00041DA0">
      <w:pPr>
        <w:jc w:val="both"/>
        <w:rPr>
          <w:rFonts w:cs="Arial"/>
          <w:szCs w:val="20"/>
        </w:rPr>
      </w:pPr>
      <w:r>
        <w:rPr>
          <w:rFonts w:cs="Arial"/>
          <w:szCs w:val="20"/>
        </w:rPr>
        <w:br/>
      </w:r>
      <w:r w:rsidR="004179D7">
        <w:rPr>
          <w:rFonts w:cs="Arial"/>
          <w:szCs w:val="20"/>
        </w:rPr>
        <w:t xml:space="preserve">Při sčítání lidu, domů a bytů v roce 2021 bylo v hl. m. Praze sečteno </w:t>
      </w:r>
      <w:r w:rsidR="004179D7" w:rsidRPr="002C2600">
        <w:rPr>
          <w:rFonts w:cs="Arial"/>
          <w:b/>
          <w:szCs w:val="20"/>
        </w:rPr>
        <w:t>766</w:t>
      </w:r>
      <w:r w:rsidR="004179D7">
        <w:rPr>
          <w:rFonts w:cs="Arial"/>
          <w:b/>
          <w:szCs w:val="20"/>
        </w:rPr>
        <w:t> </w:t>
      </w:r>
      <w:r w:rsidR="004179D7" w:rsidRPr="002C2600">
        <w:rPr>
          <w:rFonts w:cs="Arial"/>
          <w:b/>
          <w:szCs w:val="20"/>
        </w:rPr>
        <w:t>484 obyvatel</w:t>
      </w:r>
      <w:r w:rsidR="004179D7">
        <w:rPr>
          <w:rFonts w:cs="Arial"/>
          <w:szCs w:val="20"/>
        </w:rPr>
        <w:t xml:space="preserve"> patřících do kategorie </w:t>
      </w:r>
      <w:r w:rsidR="004179D7" w:rsidRPr="002C2600">
        <w:rPr>
          <w:rFonts w:cs="Arial"/>
          <w:b/>
          <w:szCs w:val="20"/>
        </w:rPr>
        <w:t>pracovní síla</w:t>
      </w:r>
      <w:r w:rsidR="004179D7">
        <w:rPr>
          <w:rFonts w:cs="Arial"/>
          <w:szCs w:val="20"/>
        </w:rPr>
        <w:t xml:space="preserve">, což představovalo </w:t>
      </w:r>
      <w:r w:rsidR="004179D7" w:rsidRPr="002C2600">
        <w:rPr>
          <w:rFonts w:cs="Arial"/>
          <w:b/>
          <w:szCs w:val="20"/>
        </w:rPr>
        <w:t>podíl 59,9</w:t>
      </w:r>
      <w:r w:rsidR="004179D7">
        <w:rPr>
          <w:rFonts w:cs="Arial"/>
          <w:b/>
          <w:szCs w:val="20"/>
        </w:rPr>
        <w:t> </w:t>
      </w:r>
      <w:r w:rsidR="004179D7" w:rsidRPr="002C2600">
        <w:rPr>
          <w:rFonts w:cs="Arial"/>
          <w:b/>
          <w:szCs w:val="20"/>
        </w:rPr>
        <w:t>% na</w:t>
      </w:r>
      <w:r w:rsidR="004179D7">
        <w:rPr>
          <w:rFonts w:cs="Arial"/>
          <w:b/>
          <w:szCs w:val="20"/>
        </w:rPr>
        <w:t> </w:t>
      </w:r>
      <w:r w:rsidR="004179D7" w:rsidRPr="002C2600">
        <w:rPr>
          <w:rFonts w:cs="Arial"/>
          <w:b/>
          <w:szCs w:val="20"/>
        </w:rPr>
        <w:t>obyvatelstvu Prahy</w:t>
      </w:r>
      <w:r w:rsidR="004179D7">
        <w:rPr>
          <w:rFonts w:cs="Arial"/>
          <w:szCs w:val="20"/>
        </w:rPr>
        <w:t xml:space="preserve"> se zjištěnou ekonomickou aktivitou. Praha měla </w:t>
      </w:r>
      <w:r w:rsidR="004179D7" w:rsidRPr="002C2600">
        <w:rPr>
          <w:rFonts w:cs="Arial"/>
          <w:b/>
          <w:szCs w:val="20"/>
        </w:rPr>
        <w:t>v</w:t>
      </w:r>
      <w:r w:rsidR="004179D7">
        <w:rPr>
          <w:rFonts w:cs="Arial"/>
          <w:b/>
          <w:szCs w:val="20"/>
        </w:rPr>
        <w:t> </w:t>
      </w:r>
      <w:r w:rsidR="004179D7" w:rsidRPr="002C2600">
        <w:rPr>
          <w:rFonts w:cs="Arial"/>
          <w:b/>
          <w:szCs w:val="20"/>
        </w:rPr>
        <w:t>mezikrajském porovnání nejvyšší podíl</w:t>
      </w:r>
      <w:r w:rsidR="004179D7">
        <w:rPr>
          <w:rFonts w:cs="Arial"/>
          <w:szCs w:val="20"/>
        </w:rPr>
        <w:t xml:space="preserve"> pracovní síly na obyvatelstvu se zjištěnou ekonomickou aktivitou a o 6,4 p. b. přesáhla celorepublikový průměr. Druhý nejvyšší podíl pracovní síly na</w:t>
      </w:r>
      <w:r w:rsidR="002B6000">
        <w:rPr>
          <w:rFonts w:cs="Arial"/>
          <w:szCs w:val="20"/>
        </w:rPr>
        <w:t> </w:t>
      </w:r>
      <w:r w:rsidR="004179D7">
        <w:rPr>
          <w:rFonts w:cs="Arial"/>
          <w:szCs w:val="20"/>
        </w:rPr>
        <w:t xml:space="preserve">obyvatelstvu měl Středočeský kraj (54,2 %), nejnižší naopak kraj Moravskoslezský (51,5 %). Podíl mužů na pracovní síle v Praze činil 52,6 %, podíl žen 47,4 %. Z hlediska mužů to byl nejnižší podíl mezi kraji v České republice, z hlediska žen naopak nejvyšší. Ve srovnání s výsledky SLDB 2011 byl v roce 2021 podíl pracovní síly na obyvatelstvu v Praze o 3,6 p. b. vyšší. Ke zvýšení došlo ve všech krajích. Počet obyvatel v kategorii pracovní síla narostl od minulého sčítání v celé České republice (o 9,5 %) i ve všech krajích, nejvíce ale v Praze – o 18,9 % (tj. 121,8 tis. osob). </w:t>
      </w:r>
    </w:p>
    <w:p w14:paraId="30999AEC" w14:textId="77777777" w:rsidR="004179D7" w:rsidRPr="00B90744" w:rsidRDefault="004179D7" w:rsidP="004179D7">
      <w:pPr>
        <w:rPr>
          <w:rFonts w:cs="Arial"/>
          <w:b/>
          <w:szCs w:val="20"/>
        </w:rPr>
      </w:pPr>
      <w:r w:rsidRPr="00B90744">
        <w:rPr>
          <w:rFonts w:cs="Arial"/>
          <w:b/>
          <w:szCs w:val="20"/>
        </w:rPr>
        <w:t>Tab. 4.1.1 Obyvatelstvo podle pohlaví a ekonomické aktivity v hl. m. Praze</w:t>
      </w:r>
    </w:p>
    <w:p w14:paraId="0FD90B61" w14:textId="77777777" w:rsidR="004179D7" w:rsidRDefault="004179D7" w:rsidP="004179D7">
      <w:pPr>
        <w:rPr>
          <w:rFonts w:cs="Arial"/>
          <w:szCs w:val="20"/>
        </w:rPr>
      </w:pPr>
      <w:r w:rsidRPr="00B90744">
        <w:rPr>
          <w:rFonts w:cs="Arial"/>
          <w:noProof/>
          <w:szCs w:val="20"/>
        </w:rPr>
        <w:drawing>
          <wp:inline distT="0" distB="0" distL="0" distR="0" wp14:anchorId="76AECF21" wp14:editId="2B4D26D7">
            <wp:extent cx="5760720" cy="3253112"/>
            <wp:effectExtent l="0" t="0" r="0" b="444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53112"/>
                    </a:xfrm>
                    <a:prstGeom prst="rect">
                      <a:avLst/>
                    </a:prstGeom>
                    <a:noFill/>
                    <a:ln>
                      <a:noFill/>
                    </a:ln>
                  </pic:spPr>
                </pic:pic>
              </a:graphicData>
            </a:graphic>
          </wp:inline>
        </w:drawing>
      </w:r>
    </w:p>
    <w:p w14:paraId="14965232" w14:textId="77777777" w:rsidR="004179D7" w:rsidRDefault="004179D7" w:rsidP="002B6000">
      <w:pPr>
        <w:jc w:val="both"/>
        <w:rPr>
          <w:rFonts w:cs="Arial"/>
          <w:szCs w:val="20"/>
        </w:rPr>
      </w:pPr>
      <w:r w:rsidRPr="00C02C87">
        <w:rPr>
          <w:rFonts w:cs="Arial"/>
          <w:b/>
          <w:szCs w:val="20"/>
        </w:rPr>
        <w:lastRenderedPageBreak/>
        <w:t>Míra ekonomické aktivity</w:t>
      </w:r>
      <w:r>
        <w:rPr>
          <w:rFonts w:cs="Arial"/>
          <w:szCs w:val="20"/>
        </w:rPr>
        <w:t xml:space="preserve"> (podíl počtu zaměstnaných a nezaměstnaných na počtu všech osob ve věku 15</w:t>
      </w:r>
      <w:r w:rsidR="002B6000">
        <w:rPr>
          <w:rFonts w:cs="Arial"/>
          <w:szCs w:val="20"/>
        </w:rPr>
        <w:t> a </w:t>
      </w:r>
      <w:r>
        <w:rPr>
          <w:rFonts w:cs="Arial"/>
          <w:szCs w:val="20"/>
        </w:rPr>
        <w:t>více let se zjištěnou ekonomickou aktivitou) dosáhla v</w:t>
      </w:r>
      <w:r w:rsidR="00D34F0D">
        <w:rPr>
          <w:rFonts w:cs="Arial"/>
          <w:szCs w:val="20"/>
        </w:rPr>
        <w:t> </w:t>
      </w:r>
      <w:r>
        <w:rPr>
          <w:rFonts w:cs="Arial"/>
          <w:szCs w:val="20"/>
        </w:rPr>
        <w:t>Praze</w:t>
      </w:r>
      <w:r w:rsidR="00D34F0D">
        <w:rPr>
          <w:rFonts w:cs="Arial"/>
          <w:szCs w:val="20"/>
        </w:rPr>
        <w:t xml:space="preserve"> celkově</w:t>
      </w:r>
      <w:r>
        <w:rPr>
          <w:rFonts w:cs="Arial"/>
          <w:szCs w:val="20"/>
        </w:rPr>
        <w:t xml:space="preserve"> na hodnotu </w:t>
      </w:r>
      <w:r w:rsidRPr="00C02C87">
        <w:rPr>
          <w:rFonts w:cs="Arial"/>
          <w:b/>
          <w:szCs w:val="20"/>
        </w:rPr>
        <w:t>71</w:t>
      </w:r>
      <w:r>
        <w:rPr>
          <w:rFonts w:cs="Arial"/>
          <w:b/>
          <w:szCs w:val="20"/>
        </w:rPr>
        <w:t> </w:t>
      </w:r>
      <w:r w:rsidRPr="00C02C87">
        <w:rPr>
          <w:rFonts w:cs="Arial"/>
          <w:b/>
          <w:szCs w:val="20"/>
        </w:rPr>
        <w:t>%</w:t>
      </w:r>
      <w:r>
        <w:rPr>
          <w:rFonts w:cs="Arial"/>
          <w:szCs w:val="20"/>
        </w:rPr>
        <w:t xml:space="preserve">, </w:t>
      </w:r>
      <w:r w:rsidRPr="00C02C87">
        <w:rPr>
          <w:rFonts w:cs="Arial"/>
          <w:b/>
          <w:szCs w:val="20"/>
        </w:rPr>
        <w:t>u</w:t>
      </w:r>
      <w:r>
        <w:rPr>
          <w:rFonts w:cs="Arial"/>
          <w:b/>
          <w:szCs w:val="20"/>
        </w:rPr>
        <w:t> </w:t>
      </w:r>
      <w:r w:rsidRPr="00C02C87">
        <w:rPr>
          <w:rFonts w:cs="Arial"/>
          <w:b/>
          <w:szCs w:val="20"/>
        </w:rPr>
        <w:t>mužů</w:t>
      </w:r>
      <w:r>
        <w:rPr>
          <w:rFonts w:cs="Arial"/>
          <w:szCs w:val="20"/>
        </w:rPr>
        <w:t xml:space="preserve"> na </w:t>
      </w:r>
      <w:r w:rsidRPr="00C02C87">
        <w:rPr>
          <w:rFonts w:cs="Arial"/>
          <w:b/>
          <w:szCs w:val="20"/>
        </w:rPr>
        <w:t>77,7</w:t>
      </w:r>
      <w:r>
        <w:rPr>
          <w:rFonts w:cs="Arial"/>
          <w:b/>
          <w:szCs w:val="20"/>
        </w:rPr>
        <w:t> </w:t>
      </w:r>
      <w:r w:rsidRPr="00C02C87">
        <w:rPr>
          <w:rFonts w:cs="Arial"/>
          <w:b/>
          <w:szCs w:val="20"/>
        </w:rPr>
        <w:t>%</w:t>
      </w:r>
      <w:r>
        <w:rPr>
          <w:rFonts w:cs="Arial"/>
          <w:szCs w:val="20"/>
        </w:rPr>
        <w:t xml:space="preserve"> a</w:t>
      </w:r>
      <w:r w:rsidR="002B6000">
        <w:rPr>
          <w:rFonts w:cs="Arial"/>
          <w:szCs w:val="20"/>
        </w:rPr>
        <w:t> </w:t>
      </w:r>
      <w:r w:rsidRPr="00C02C87">
        <w:rPr>
          <w:rFonts w:cs="Arial"/>
          <w:b/>
          <w:szCs w:val="20"/>
        </w:rPr>
        <w:t>u</w:t>
      </w:r>
      <w:r>
        <w:rPr>
          <w:rFonts w:cs="Arial"/>
          <w:b/>
          <w:szCs w:val="20"/>
        </w:rPr>
        <w:t> </w:t>
      </w:r>
      <w:r w:rsidRPr="00C02C87">
        <w:rPr>
          <w:rFonts w:cs="Arial"/>
          <w:b/>
          <w:szCs w:val="20"/>
        </w:rPr>
        <w:t>žen</w:t>
      </w:r>
      <w:r>
        <w:rPr>
          <w:rFonts w:cs="Arial"/>
          <w:szCs w:val="20"/>
        </w:rPr>
        <w:t xml:space="preserve"> na </w:t>
      </w:r>
      <w:r w:rsidRPr="00C02C87">
        <w:rPr>
          <w:rFonts w:cs="Arial"/>
          <w:b/>
          <w:szCs w:val="20"/>
        </w:rPr>
        <w:t>64,7</w:t>
      </w:r>
      <w:r>
        <w:rPr>
          <w:rFonts w:cs="Arial"/>
          <w:b/>
          <w:szCs w:val="20"/>
        </w:rPr>
        <w:t> </w:t>
      </w:r>
      <w:r w:rsidRPr="00C02C87">
        <w:rPr>
          <w:rFonts w:cs="Arial"/>
          <w:b/>
          <w:szCs w:val="20"/>
        </w:rPr>
        <w:t>%.</w:t>
      </w:r>
      <w:r>
        <w:rPr>
          <w:rFonts w:cs="Arial"/>
          <w:szCs w:val="20"/>
        </w:rPr>
        <w:t xml:space="preserve"> V porovnání krajů byla míra ekonomické aktivity v hlavním městě nejvyšší, hodnotu za celou Českou republiku převýšila celkově o 7,1 p. b., u mužů o 6,5 p. b., a u žen o 7,7 p. b. Podíl pracovní síly na celkovém počtu mužů se zjištěnou ekonomickou aktivitou činil nadprůměrných 65 % (v ostatních krajích se pohyboval mezi 56,9 % /Moravskoslezský kraj/ a 59,5 % /Středočeský kraj/). Podíl pracovní síly na celkovém počtu žen se zjištěnou ekonomickou aktivitou dosáhnul v Praze na 55,2 % a byl rovněž výrazně vyšší než v ostatních krajích. Hlavní město bylo jediným regionem, kde u žen měla pracovní síla nadpoloviční většinu, v ostatních krajích převažovala kategorie žen mimo pracovní sílu.</w:t>
      </w:r>
    </w:p>
    <w:p w14:paraId="65DC065A" w14:textId="775AEAAE" w:rsidR="004179D7" w:rsidRPr="00936FA3" w:rsidRDefault="004179D7" w:rsidP="004179D7">
      <w:pPr>
        <w:rPr>
          <w:rFonts w:cs="Arial"/>
          <w:b/>
          <w:szCs w:val="20"/>
        </w:rPr>
      </w:pPr>
      <w:r w:rsidRPr="00936FA3">
        <w:rPr>
          <w:rFonts w:cs="Arial"/>
          <w:b/>
          <w:szCs w:val="20"/>
        </w:rPr>
        <w:t>Graf 4.1 Obyvatelstvo podle ekonomické aktivity v hl. m. Praze</w:t>
      </w:r>
    </w:p>
    <w:p w14:paraId="44ECA1C2" w14:textId="77777777" w:rsidR="004179D7" w:rsidRDefault="004179D7" w:rsidP="004179D7">
      <w:pPr>
        <w:rPr>
          <w:rFonts w:cs="Arial"/>
          <w:szCs w:val="20"/>
        </w:rPr>
      </w:pPr>
      <w:r w:rsidRPr="00D927AE">
        <w:rPr>
          <w:rFonts w:cs="Arial"/>
          <w:noProof/>
          <w:szCs w:val="20"/>
        </w:rPr>
        <w:drawing>
          <wp:inline distT="0" distB="0" distL="0" distR="0" wp14:anchorId="49D7D7B4" wp14:editId="787AE6CF">
            <wp:extent cx="5760720" cy="2923609"/>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923609"/>
                    </a:xfrm>
                    <a:prstGeom prst="rect">
                      <a:avLst/>
                    </a:prstGeom>
                    <a:noFill/>
                    <a:ln>
                      <a:noFill/>
                    </a:ln>
                  </pic:spPr>
                </pic:pic>
              </a:graphicData>
            </a:graphic>
          </wp:inline>
        </w:drawing>
      </w:r>
      <w:r>
        <w:rPr>
          <w:rFonts w:cs="Arial"/>
          <w:szCs w:val="20"/>
        </w:rPr>
        <w:br/>
      </w:r>
    </w:p>
    <w:p w14:paraId="45065B01" w14:textId="6D2B83AA" w:rsidR="004179D7" w:rsidRPr="00936FA3" w:rsidRDefault="004179D7" w:rsidP="004179D7">
      <w:pPr>
        <w:rPr>
          <w:rFonts w:cs="Arial"/>
          <w:b/>
          <w:szCs w:val="20"/>
        </w:rPr>
      </w:pPr>
      <w:r w:rsidRPr="00936FA3">
        <w:rPr>
          <w:rFonts w:cs="Arial"/>
          <w:b/>
          <w:szCs w:val="20"/>
        </w:rPr>
        <w:t>Graf 4.</w:t>
      </w:r>
      <w:r>
        <w:rPr>
          <w:rFonts w:cs="Arial"/>
          <w:b/>
          <w:szCs w:val="20"/>
        </w:rPr>
        <w:t>2</w:t>
      </w:r>
      <w:r w:rsidRPr="00936FA3">
        <w:rPr>
          <w:rFonts w:cs="Arial"/>
          <w:b/>
          <w:szCs w:val="20"/>
        </w:rPr>
        <w:t xml:space="preserve"> Obyvatelstvo podle ekonomické ak</w:t>
      </w:r>
      <w:r>
        <w:rPr>
          <w:rFonts w:cs="Arial"/>
          <w:b/>
          <w:szCs w:val="20"/>
        </w:rPr>
        <w:t>tivity a pohlaví v hl. m. Praze</w:t>
      </w:r>
    </w:p>
    <w:p w14:paraId="1FDE12CD" w14:textId="77777777" w:rsidR="004179D7" w:rsidRDefault="004179D7" w:rsidP="004179D7">
      <w:pPr>
        <w:rPr>
          <w:rFonts w:cs="Arial"/>
          <w:szCs w:val="20"/>
        </w:rPr>
      </w:pPr>
      <w:r w:rsidRPr="005D1BF5">
        <w:rPr>
          <w:rFonts w:cs="Arial"/>
          <w:noProof/>
          <w:szCs w:val="20"/>
        </w:rPr>
        <w:drawing>
          <wp:inline distT="0" distB="0" distL="0" distR="0" wp14:anchorId="1DF58BE9" wp14:editId="70053518">
            <wp:extent cx="5760720" cy="2362639"/>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362639"/>
                    </a:xfrm>
                    <a:prstGeom prst="rect">
                      <a:avLst/>
                    </a:prstGeom>
                    <a:noFill/>
                    <a:ln>
                      <a:noFill/>
                    </a:ln>
                  </pic:spPr>
                </pic:pic>
              </a:graphicData>
            </a:graphic>
          </wp:inline>
        </w:drawing>
      </w:r>
    </w:p>
    <w:p w14:paraId="2584095B" w14:textId="77777777" w:rsidR="004179D7" w:rsidRDefault="004179D7" w:rsidP="004179D7">
      <w:pPr>
        <w:rPr>
          <w:rFonts w:cs="Arial"/>
          <w:szCs w:val="20"/>
        </w:rPr>
      </w:pPr>
    </w:p>
    <w:p w14:paraId="5567BB74" w14:textId="77777777" w:rsidR="004179D7" w:rsidRDefault="004179D7" w:rsidP="004179D7">
      <w:pPr>
        <w:rPr>
          <w:rFonts w:cs="Arial"/>
          <w:b/>
          <w:szCs w:val="20"/>
        </w:rPr>
      </w:pPr>
    </w:p>
    <w:p w14:paraId="078F315A" w14:textId="77777777" w:rsidR="004179D7" w:rsidRDefault="004179D7" w:rsidP="004179D7">
      <w:pPr>
        <w:rPr>
          <w:rFonts w:cs="Arial"/>
          <w:b/>
          <w:szCs w:val="20"/>
        </w:rPr>
      </w:pPr>
    </w:p>
    <w:p w14:paraId="1B6505DE" w14:textId="39AC61DC" w:rsidR="004179D7" w:rsidRDefault="004179D7" w:rsidP="00622BBB">
      <w:pPr>
        <w:jc w:val="both"/>
        <w:rPr>
          <w:rFonts w:cs="Arial"/>
          <w:szCs w:val="20"/>
        </w:rPr>
      </w:pPr>
      <w:r w:rsidRPr="00B90744">
        <w:rPr>
          <w:rFonts w:cs="Arial"/>
          <w:b/>
          <w:szCs w:val="20"/>
        </w:rPr>
        <w:t>Tab.</w:t>
      </w:r>
      <w:r w:rsidR="00FC7827">
        <w:rPr>
          <w:rFonts w:cs="Arial"/>
          <w:b/>
          <w:szCs w:val="20"/>
        </w:rPr>
        <w:t> </w:t>
      </w:r>
      <w:r w:rsidRPr="00B90744">
        <w:rPr>
          <w:rFonts w:cs="Arial"/>
          <w:b/>
          <w:szCs w:val="20"/>
        </w:rPr>
        <w:t>4.1.2</w:t>
      </w:r>
      <w:r w:rsidR="00FC7827">
        <w:rPr>
          <w:rFonts w:cs="Arial"/>
          <w:b/>
          <w:szCs w:val="20"/>
        </w:rPr>
        <w:t> </w:t>
      </w:r>
      <w:r w:rsidRPr="00B90744">
        <w:rPr>
          <w:rFonts w:cs="Arial"/>
          <w:b/>
          <w:szCs w:val="20"/>
        </w:rPr>
        <w:t>Obyvatelstvo</w:t>
      </w:r>
      <w:r w:rsidR="00FC7827">
        <w:rPr>
          <w:rFonts w:cs="Arial"/>
          <w:b/>
          <w:szCs w:val="20"/>
        </w:rPr>
        <w:t> </w:t>
      </w:r>
      <w:r w:rsidRPr="00B90744">
        <w:rPr>
          <w:rFonts w:cs="Arial"/>
          <w:b/>
          <w:szCs w:val="20"/>
        </w:rPr>
        <w:t>podle</w:t>
      </w:r>
      <w:r w:rsidR="00FC7827">
        <w:rPr>
          <w:rFonts w:cs="Arial"/>
          <w:b/>
          <w:szCs w:val="20"/>
        </w:rPr>
        <w:t> </w:t>
      </w:r>
      <w:r w:rsidRPr="00B90744">
        <w:rPr>
          <w:rFonts w:cs="Arial"/>
          <w:b/>
          <w:szCs w:val="20"/>
        </w:rPr>
        <w:t>ekonomické</w:t>
      </w:r>
      <w:r w:rsidR="00FC7827">
        <w:rPr>
          <w:rFonts w:cs="Arial"/>
          <w:b/>
          <w:szCs w:val="20"/>
        </w:rPr>
        <w:t> </w:t>
      </w:r>
      <w:r w:rsidRPr="00B90744">
        <w:rPr>
          <w:rFonts w:cs="Arial"/>
          <w:b/>
          <w:szCs w:val="20"/>
        </w:rPr>
        <w:t>aktivity</w:t>
      </w:r>
      <w:r w:rsidR="00FC7827">
        <w:rPr>
          <w:rFonts w:cs="Arial"/>
          <w:b/>
          <w:szCs w:val="20"/>
        </w:rPr>
        <w:t> </w:t>
      </w:r>
      <w:r w:rsidRPr="00B90744">
        <w:rPr>
          <w:rFonts w:cs="Arial"/>
          <w:b/>
          <w:szCs w:val="20"/>
        </w:rPr>
        <w:t>v</w:t>
      </w:r>
      <w:r w:rsidR="00FC7827">
        <w:rPr>
          <w:rFonts w:cs="Arial"/>
          <w:b/>
          <w:szCs w:val="20"/>
        </w:rPr>
        <w:t> </w:t>
      </w:r>
      <w:r w:rsidRPr="00B90744">
        <w:rPr>
          <w:rFonts w:cs="Arial"/>
          <w:b/>
          <w:szCs w:val="20"/>
        </w:rPr>
        <w:t>hl.</w:t>
      </w:r>
      <w:r w:rsidR="00FC7827">
        <w:rPr>
          <w:rFonts w:cs="Arial"/>
          <w:b/>
          <w:szCs w:val="20"/>
        </w:rPr>
        <w:t> </w:t>
      </w:r>
      <w:r w:rsidRPr="00B90744">
        <w:rPr>
          <w:rFonts w:cs="Arial"/>
          <w:b/>
          <w:szCs w:val="20"/>
        </w:rPr>
        <w:t>m.</w:t>
      </w:r>
      <w:r w:rsidR="00FC7827">
        <w:rPr>
          <w:rFonts w:cs="Arial"/>
          <w:b/>
          <w:szCs w:val="20"/>
        </w:rPr>
        <w:t> </w:t>
      </w:r>
      <w:r w:rsidRPr="00B90744">
        <w:rPr>
          <w:rFonts w:cs="Arial"/>
          <w:b/>
          <w:szCs w:val="20"/>
        </w:rPr>
        <w:t>Praze,</w:t>
      </w:r>
      <w:r w:rsidR="00FC7827">
        <w:rPr>
          <w:rFonts w:cs="Arial"/>
          <w:b/>
          <w:szCs w:val="20"/>
        </w:rPr>
        <w:t> </w:t>
      </w:r>
      <w:r w:rsidRPr="00B90744">
        <w:rPr>
          <w:rFonts w:cs="Arial"/>
          <w:b/>
          <w:szCs w:val="20"/>
        </w:rPr>
        <w:t>Středočeském</w:t>
      </w:r>
      <w:r w:rsidR="00FC7827">
        <w:rPr>
          <w:rFonts w:cs="Arial"/>
          <w:b/>
          <w:szCs w:val="20"/>
        </w:rPr>
        <w:t> </w:t>
      </w:r>
      <w:r w:rsidRPr="00B90744">
        <w:rPr>
          <w:rFonts w:cs="Arial"/>
          <w:b/>
          <w:szCs w:val="20"/>
        </w:rPr>
        <w:t>kraji</w:t>
      </w:r>
      <w:r w:rsidR="00FC7827">
        <w:rPr>
          <w:rFonts w:cs="Arial"/>
          <w:b/>
          <w:szCs w:val="20"/>
        </w:rPr>
        <w:t> </w:t>
      </w:r>
      <w:r w:rsidRPr="00B90744">
        <w:rPr>
          <w:rFonts w:cs="Arial"/>
          <w:b/>
          <w:szCs w:val="20"/>
        </w:rPr>
        <w:t>a</w:t>
      </w:r>
      <w:r w:rsidR="00FC7827">
        <w:rPr>
          <w:rFonts w:cs="Arial"/>
          <w:b/>
          <w:szCs w:val="20"/>
        </w:rPr>
        <w:t> </w:t>
      </w:r>
      <w:r w:rsidRPr="00B90744">
        <w:rPr>
          <w:rFonts w:cs="Arial"/>
          <w:b/>
          <w:szCs w:val="20"/>
        </w:rPr>
        <w:t>ČR</w:t>
      </w:r>
      <w:r w:rsidR="00DA73AF" w:rsidRPr="00DA73AF">
        <w:rPr>
          <w:rFonts w:cs="Arial"/>
          <w:noProof/>
          <w:szCs w:val="20"/>
        </w:rPr>
        <w:drawing>
          <wp:inline distT="0" distB="0" distL="0" distR="0" wp14:anchorId="12D2D68D" wp14:editId="3D7DAA60">
            <wp:extent cx="6108700" cy="1447800"/>
            <wp:effectExtent l="0" t="0" r="635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8700" cy="1447800"/>
                    </a:xfrm>
                    <a:prstGeom prst="rect">
                      <a:avLst/>
                    </a:prstGeom>
                    <a:noFill/>
                    <a:ln>
                      <a:noFill/>
                    </a:ln>
                  </pic:spPr>
                </pic:pic>
              </a:graphicData>
            </a:graphic>
          </wp:inline>
        </w:drawing>
      </w:r>
      <w:r>
        <w:rPr>
          <w:rFonts w:cs="Arial"/>
          <w:szCs w:val="20"/>
        </w:rPr>
        <w:br/>
      </w:r>
      <w:r w:rsidR="00DA73AF">
        <w:rPr>
          <w:rFonts w:cs="Arial"/>
          <w:szCs w:val="20"/>
        </w:rPr>
        <w:br/>
      </w:r>
      <w:r>
        <w:rPr>
          <w:rFonts w:cs="Arial"/>
          <w:szCs w:val="20"/>
        </w:rPr>
        <w:t xml:space="preserve">V kategorii pracovní síly převažovaly v celé republice osoby zaměstnané. </w:t>
      </w:r>
      <w:r w:rsidRPr="00944996">
        <w:rPr>
          <w:rFonts w:cs="Arial"/>
          <w:b/>
          <w:szCs w:val="20"/>
        </w:rPr>
        <w:t>V</w:t>
      </w:r>
      <w:r>
        <w:rPr>
          <w:rFonts w:cs="Arial"/>
          <w:b/>
          <w:szCs w:val="20"/>
        </w:rPr>
        <w:t> </w:t>
      </w:r>
      <w:r w:rsidRPr="00944996">
        <w:rPr>
          <w:rFonts w:cs="Arial"/>
          <w:b/>
          <w:szCs w:val="20"/>
        </w:rPr>
        <w:t>Praze bylo zaměstnaných osob sečteno 733</w:t>
      </w:r>
      <w:r>
        <w:rPr>
          <w:rFonts w:cs="Arial"/>
          <w:b/>
          <w:szCs w:val="20"/>
        </w:rPr>
        <w:t> </w:t>
      </w:r>
      <w:r w:rsidRPr="00944996">
        <w:rPr>
          <w:rFonts w:cs="Arial"/>
          <w:b/>
          <w:szCs w:val="20"/>
        </w:rPr>
        <w:t xml:space="preserve">840 </w:t>
      </w:r>
      <w:r>
        <w:rPr>
          <w:rFonts w:cs="Arial"/>
          <w:szCs w:val="20"/>
        </w:rPr>
        <w:t xml:space="preserve">(95,7 % z celkového objemu pracovní síly a 57,4 % obyvatel Prahy se zjištěnou ekonomickou aktivitou). </w:t>
      </w:r>
      <w:r w:rsidRPr="00D30D2E">
        <w:rPr>
          <w:rFonts w:cs="Arial"/>
          <w:b/>
          <w:szCs w:val="20"/>
        </w:rPr>
        <w:t>Míra zaměstnanosti</w:t>
      </w:r>
      <w:r>
        <w:rPr>
          <w:rFonts w:cs="Arial"/>
          <w:szCs w:val="20"/>
        </w:rPr>
        <w:t xml:space="preserve"> (podíl počtu zaměstnaných na počtu všech osob ve věku 15</w:t>
      </w:r>
      <w:r w:rsidR="002B6000">
        <w:rPr>
          <w:rFonts w:cs="Arial"/>
          <w:szCs w:val="20"/>
        </w:rPr>
        <w:t> </w:t>
      </w:r>
      <w:r>
        <w:rPr>
          <w:rFonts w:cs="Arial"/>
          <w:szCs w:val="20"/>
        </w:rPr>
        <w:t xml:space="preserve">a více let se zjištěnou ekonomickou aktivitou) činila celkově </w:t>
      </w:r>
      <w:r w:rsidRPr="00D30D2E">
        <w:rPr>
          <w:rFonts w:cs="Arial"/>
          <w:b/>
          <w:szCs w:val="20"/>
        </w:rPr>
        <w:t>67,9</w:t>
      </w:r>
      <w:r>
        <w:rPr>
          <w:rFonts w:cs="Arial"/>
          <w:b/>
          <w:szCs w:val="20"/>
        </w:rPr>
        <w:t> </w:t>
      </w:r>
      <w:r w:rsidRPr="00D30D2E">
        <w:rPr>
          <w:rFonts w:cs="Arial"/>
          <w:b/>
          <w:szCs w:val="20"/>
        </w:rPr>
        <w:t>%</w:t>
      </w:r>
      <w:r>
        <w:rPr>
          <w:rFonts w:cs="Arial"/>
          <w:szCs w:val="20"/>
        </w:rPr>
        <w:t>, u mužů 74,6 % a u žen 61,7 %. Ve všech třech hodnotách převyšovala celorepublikové průměry a byla nejvyšší ze všech krajů.</w:t>
      </w:r>
      <w:r>
        <w:rPr>
          <w:rFonts w:cs="Arial"/>
          <w:szCs w:val="20"/>
        </w:rPr>
        <w:br/>
        <w:t>Při pohledu na jednotlivé městské části jsou patrné velké rozdíly. K rozhodnému okamžiku sčítání existovalo pět městských částí, kde podíl zaměstnaných na počtu obyvatel se zjištěnou ekonomickou aktivitou příslušné městské části převyšoval 60 %. Byly to Praha 1, Praha 2, Praha 3, Praha 7 a Praha-Zličín. V ostatních městských částech měli zaměstnaní nadpoloviční většinu (51,4-59,4 %) s výjimkou městské části Praha-Nebušice (48,8 %).</w:t>
      </w:r>
    </w:p>
    <w:p w14:paraId="0D9EC3A8" w14:textId="018C3236" w:rsidR="00D4007C" w:rsidRPr="00D4007C" w:rsidRDefault="00D4007C" w:rsidP="00DA73AF">
      <w:pPr>
        <w:rPr>
          <w:rFonts w:cs="Arial"/>
          <w:b/>
          <w:szCs w:val="20"/>
        </w:rPr>
      </w:pPr>
      <w:r w:rsidRPr="00D4007C">
        <w:rPr>
          <w:rFonts w:cs="Arial"/>
          <w:b/>
          <w:szCs w:val="20"/>
        </w:rPr>
        <w:t>Kartogram 4.1 Zaměstnaní v městských částech hl. m. Prahy</w:t>
      </w:r>
    </w:p>
    <w:p w14:paraId="1EC4CBBD" w14:textId="4EEA877C" w:rsidR="0049063D" w:rsidRDefault="0049063D" w:rsidP="00D4007C">
      <w:pPr>
        <w:tabs>
          <w:tab w:val="center" w:pos="4819"/>
        </w:tabs>
        <w:rPr>
          <w:rFonts w:cs="Arial"/>
          <w:szCs w:val="20"/>
        </w:rPr>
      </w:pPr>
      <w:r w:rsidRPr="0049063D">
        <w:rPr>
          <w:rFonts w:cs="Arial"/>
          <w:szCs w:val="20"/>
        </w:rPr>
        <w:tab/>
      </w:r>
      <w:r w:rsidR="00F66213">
        <w:rPr>
          <w:rFonts w:cs="Arial"/>
          <w:noProof/>
          <w:szCs w:val="20"/>
        </w:rPr>
        <w:drawing>
          <wp:inline distT="0" distB="0" distL="0" distR="0" wp14:anchorId="165C7CE3" wp14:editId="72A41516">
            <wp:extent cx="6120130" cy="400939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dilZamestnanych.jpg"/>
                    <pic:cNvPicPr/>
                  </pic:nvPicPr>
                  <pic:blipFill rotWithShape="1">
                    <a:blip r:embed="rId12">
                      <a:extLst>
                        <a:ext uri="{28A0092B-C50C-407E-A947-70E740481C1C}">
                          <a14:useLocalDpi xmlns:a14="http://schemas.microsoft.com/office/drawing/2010/main" val="0"/>
                        </a:ext>
                      </a:extLst>
                    </a:blip>
                    <a:srcRect t="7337"/>
                    <a:stretch/>
                  </pic:blipFill>
                  <pic:spPr bwMode="auto">
                    <a:xfrm>
                      <a:off x="0" y="0"/>
                      <a:ext cx="6120130" cy="4009390"/>
                    </a:xfrm>
                    <a:prstGeom prst="rect">
                      <a:avLst/>
                    </a:prstGeom>
                    <a:ln>
                      <a:noFill/>
                    </a:ln>
                    <a:extLst>
                      <a:ext uri="{53640926-AAD7-44D8-BBD7-CCE9431645EC}">
                        <a14:shadowObscured xmlns:a14="http://schemas.microsoft.com/office/drawing/2010/main"/>
                      </a:ext>
                    </a:extLst>
                  </pic:spPr>
                </pic:pic>
              </a:graphicData>
            </a:graphic>
          </wp:inline>
        </w:drawing>
      </w:r>
    </w:p>
    <w:p w14:paraId="7EC8E4FA" w14:textId="58524C1B" w:rsidR="004179D7" w:rsidRDefault="004179D7" w:rsidP="002B6000">
      <w:pPr>
        <w:jc w:val="both"/>
        <w:rPr>
          <w:rFonts w:cs="Arial"/>
          <w:szCs w:val="20"/>
        </w:rPr>
      </w:pPr>
      <w:r w:rsidRPr="00503718">
        <w:rPr>
          <w:rFonts w:cs="Arial"/>
          <w:b/>
          <w:szCs w:val="20"/>
        </w:rPr>
        <w:t>Ze</w:t>
      </w:r>
      <w:r>
        <w:rPr>
          <w:rFonts w:cs="Arial"/>
          <w:b/>
          <w:szCs w:val="20"/>
        </w:rPr>
        <w:t> </w:t>
      </w:r>
      <w:r w:rsidRPr="00503718">
        <w:rPr>
          <w:rFonts w:cs="Arial"/>
          <w:b/>
          <w:szCs w:val="20"/>
        </w:rPr>
        <w:t>zaměstnaných osob tvořili</w:t>
      </w:r>
      <w:r>
        <w:rPr>
          <w:rFonts w:cs="Arial"/>
          <w:szCs w:val="20"/>
        </w:rPr>
        <w:t xml:space="preserve"> v Praze v době sčítání 2021 </w:t>
      </w:r>
      <w:r w:rsidRPr="00503718">
        <w:rPr>
          <w:rFonts w:cs="Arial"/>
          <w:b/>
          <w:szCs w:val="20"/>
        </w:rPr>
        <w:t>pracující důchodci 10,4</w:t>
      </w:r>
      <w:r>
        <w:rPr>
          <w:rFonts w:cs="Arial"/>
          <w:b/>
          <w:szCs w:val="20"/>
        </w:rPr>
        <w:t> </w:t>
      </w:r>
      <w:r w:rsidRPr="00503718">
        <w:rPr>
          <w:rFonts w:cs="Arial"/>
          <w:b/>
          <w:szCs w:val="20"/>
        </w:rPr>
        <w:t>%</w:t>
      </w:r>
      <w:r>
        <w:rPr>
          <w:rFonts w:cs="Arial"/>
          <w:szCs w:val="20"/>
        </w:rPr>
        <w:t xml:space="preserve"> (76 668 osob). Je to 0,3 p. b. pod celorepublikovým průměrem. Mezi pražskými pracujícími důchodci mírně převažovaly ženy (52,2 %). Nejvyšší podíl pracujících důchodců na zaměstnaných byl v krajích Královéhradeckém (11,9 %) a</w:t>
      </w:r>
      <w:r w:rsidR="00BA3206">
        <w:rPr>
          <w:rFonts w:cs="Arial"/>
          <w:szCs w:val="20"/>
        </w:rPr>
        <w:t> </w:t>
      </w:r>
      <w:r>
        <w:rPr>
          <w:rFonts w:cs="Arial"/>
          <w:szCs w:val="20"/>
        </w:rPr>
        <w:t>Ústeckém</w:t>
      </w:r>
      <w:r w:rsidR="0042324B">
        <w:rPr>
          <w:rFonts w:cs="Arial"/>
          <w:szCs w:val="20"/>
        </w:rPr>
        <w:t> </w:t>
      </w:r>
      <w:r>
        <w:rPr>
          <w:rFonts w:cs="Arial"/>
          <w:szCs w:val="20"/>
        </w:rPr>
        <w:t>(11,8 %),</w:t>
      </w:r>
      <w:r w:rsidR="0042324B">
        <w:rPr>
          <w:rFonts w:cs="Arial"/>
          <w:szCs w:val="20"/>
        </w:rPr>
        <w:t> </w:t>
      </w:r>
      <w:r>
        <w:rPr>
          <w:rFonts w:cs="Arial"/>
          <w:szCs w:val="20"/>
        </w:rPr>
        <w:t>nejnižší</w:t>
      </w:r>
      <w:r w:rsidR="0042324B">
        <w:rPr>
          <w:rFonts w:cs="Arial"/>
          <w:szCs w:val="20"/>
        </w:rPr>
        <w:t> </w:t>
      </w:r>
      <w:r>
        <w:rPr>
          <w:rFonts w:cs="Arial"/>
          <w:szCs w:val="20"/>
        </w:rPr>
        <w:t>v</w:t>
      </w:r>
      <w:r w:rsidR="0042324B">
        <w:rPr>
          <w:rFonts w:cs="Arial"/>
          <w:szCs w:val="20"/>
        </w:rPr>
        <w:t> </w:t>
      </w:r>
      <w:r>
        <w:rPr>
          <w:rFonts w:cs="Arial"/>
          <w:szCs w:val="20"/>
        </w:rPr>
        <w:t>krajích</w:t>
      </w:r>
      <w:r w:rsidR="0042324B">
        <w:rPr>
          <w:rFonts w:cs="Arial"/>
          <w:szCs w:val="20"/>
        </w:rPr>
        <w:t> </w:t>
      </w:r>
      <w:r>
        <w:rPr>
          <w:rFonts w:cs="Arial"/>
          <w:szCs w:val="20"/>
        </w:rPr>
        <w:t>Moravskoslezském</w:t>
      </w:r>
      <w:r w:rsidR="0042324B">
        <w:rPr>
          <w:rFonts w:cs="Arial"/>
          <w:szCs w:val="20"/>
        </w:rPr>
        <w:t> </w:t>
      </w:r>
      <w:r>
        <w:rPr>
          <w:rFonts w:cs="Arial"/>
          <w:szCs w:val="20"/>
        </w:rPr>
        <w:t>(9,5 %)</w:t>
      </w:r>
      <w:r w:rsidR="0042324B">
        <w:rPr>
          <w:rFonts w:cs="Arial"/>
          <w:szCs w:val="20"/>
        </w:rPr>
        <w:t> </w:t>
      </w:r>
      <w:r>
        <w:rPr>
          <w:rFonts w:cs="Arial"/>
          <w:szCs w:val="20"/>
        </w:rPr>
        <w:t>a Olomouckém</w:t>
      </w:r>
      <w:r w:rsidR="0042324B">
        <w:rPr>
          <w:rFonts w:cs="Arial"/>
          <w:szCs w:val="20"/>
        </w:rPr>
        <w:t> </w:t>
      </w:r>
      <w:r>
        <w:rPr>
          <w:rFonts w:cs="Arial"/>
          <w:szCs w:val="20"/>
        </w:rPr>
        <w:t>(9,7 %).</w:t>
      </w:r>
      <w:r>
        <w:rPr>
          <w:rFonts w:cs="Arial"/>
          <w:szCs w:val="20"/>
        </w:rPr>
        <w:br/>
        <w:t xml:space="preserve">V porovnání se sčítáním 2011 pracujících důchodců prudce přibylo. Přírůstek se týkal všech krajů. V Praze se počet pracujících důchodců za deset let navýšil o 66,5 % (30 608 osob), tedy velmi podstatně. V ostatních krajích však bylo tempo růstu ještě rychlejší – od 107,9 % (Karlovarský kraj) až po 221,1 % (Kraj Vysočina). Z celkového množství důchodců v roce 2011 pracoval v Praze každý šestý, v roce 2021 již přibližně každý čtvrtý. Je však třeba vzít v úvahu, že srovnatelnost těchto údajů je omezena, protože způsob zjišťování se v jednotlivých letech lišil. V roce 2021 nově stačila </w:t>
      </w:r>
      <w:r w:rsidR="00F66213">
        <w:rPr>
          <w:rFonts w:cs="Arial"/>
          <w:szCs w:val="20"/>
        </w:rPr>
        <w:t xml:space="preserve">pro zařazení mezi zaměstnané </w:t>
      </w:r>
      <w:r>
        <w:rPr>
          <w:rFonts w:cs="Arial"/>
          <w:szCs w:val="20"/>
        </w:rPr>
        <w:t>pouhá jedna hodina práce týdně a pomoc</w:t>
      </w:r>
      <w:r w:rsidR="00F66213">
        <w:rPr>
          <w:rFonts w:cs="Arial"/>
          <w:szCs w:val="20"/>
        </w:rPr>
        <w:t xml:space="preserve"> při rozhodování, kdo z důchodců pracuje,</w:t>
      </w:r>
      <w:r>
        <w:rPr>
          <w:rFonts w:cs="Arial"/>
          <w:szCs w:val="20"/>
        </w:rPr>
        <w:t xml:space="preserve"> poskytly i</w:t>
      </w:r>
      <w:r w:rsidR="002B6000">
        <w:rPr>
          <w:rFonts w:cs="Arial"/>
          <w:szCs w:val="20"/>
        </w:rPr>
        <w:t> </w:t>
      </w:r>
      <w:r>
        <w:rPr>
          <w:rFonts w:cs="Arial"/>
          <w:szCs w:val="20"/>
        </w:rPr>
        <w:t>administrativní zdroje.</w:t>
      </w:r>
    </w:p>
    <w:p w14:paraId="7C054A6B" w14:textId="4F434F28" w:rsidR="004179D7" w:rsidRPr="00C40884" w:rsidRDefault="004179D7" w:rsidP="004179D7">
      <w:pPr>
        <w:rPr>
          <w:rFonts w:cs="Arial"/>
          <w:b/>
          <w:szCs w:val="20"/>
        </w:rPr>
      </w:pPr>
      <w:r w:rsidRPr="00C40884">
        <w:rPr>
          <w:rFonts w:cs="Arial"/>
          <w:b/>
          <w:szCs w:val="20"/>
        </w:rPr>
        <w:t>Graf 4.3 Pracující důchodci podle pohlaví a podle krajů</w:t>
      </w:r>
    </w:p>
    <w:p w14:paraId="7204F7F5" w14:textId="77777777" w:rsidR="004179D7" w:rsidRDefault="004179D7" w:rsidP="004179D7">
      <w:pPr>
        <w:rPr>
          <w:rFonts w:cs="Arial"/>
          <w:szCs w:val="20"/>
        </w:rPr>
      </w:pPr>
      <w:r w:rsidRPr="00C40884">
        <w:rPr>
          <w:rFonts w:cs="Arial"/>
          <w:noProof/>
          <w:szCs w:val="20"/>
        </w:rPr>
        <w:drawing>
          <wp:inline distT="0" distB="0" distL="0" distR="0" wp14:anchorId="643297DD" wp14:editId="03F8F12D">
            <wp:extent cx="5760720" cy="2409863"/>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409863"/>
                    </a:xfrm>
                    <a:prstGeom prst="rect">
                      <a:avLst/>
                    </a:prstGeom>
                    <a:noFill/>
                    <a:ln>
                      <a:noFill/>
                    </a:ln>
                  </pic:spPr>
                </pic:pic>
              </a:graphicData>
            </a:graphic>
          </wp:inline>
        </w:drawing>
      </w:r>
    </w:p>
    <w:p w14:paraId="43A97368" w14:textId="77777777" w:rsidR="008A3E2E" w:rsidRDefault="004179D7" w:rsidP="002B6000">
      <w:pPr>
        <w:jc w:val="both"/>
        <w:rPr>
          <w:rFonts w:cs="Arial"/>
          <w:szCs w:val="20"/>
        </w:rPr>
      </w:pPr>
      <w:r>
        <w:rPr>
          <w:rFonts w:cs="Arial"/>
          <w:szCs w:val="20"/>
        </w:rPr>
        <w:br/>
        <w:t xml:space="preserve">Do skupiny </w:t>
      </w:r>
      <w:r w:rsidRPr="00C15411">
        <w:rPr>
          <w:rFonts w:cs="Arial"/>
          <w:b/>
          <w:szCs w:val="20"/>
        </w:rPr>
        <w:t>nezaměstnaných</w:t>
      </w:r>
      <w:r>
        <w:rPr>
          <w:rFonts w:cs="Arial"/>
          <w:szCs w:val="20"/>
        </w:rPr>
        <w:t xml:space="preserve"> se dle sčítání 2021 zařadilo v Praze celkem </w:t>
      </w:r>
      <w:r w:rsidRPr="00C15411">
        <w:rPr>
          <w:rFonts w:cs="Arial"/>
          <w:b/>
          <w:szCs w:val="20"/>
        </w:rPr>
        <w:t>32</w:t>
      </w:r>
      <w:r>
        <w:rPr>
          <w:rFonts w:cs="Arial"/>
          <w:b/>
          <w:szCs w:val="20"/>
        </w:rPr>
        <w:t> </w:t>
      </w:r>
      <w:r w:rsidRPr="00C15411">
        <w:rPr>
          <w:rFonts w:cs="Arial"/>
          <w:b/>
          <w:szCs w:val="20"/>
        </w:rPr>
        <w:t>644</w:t>
      </w:r>
      <w:r>
        <w:rPr>
          <w:rFonts w:cs="Arial"/>
          <w:b/>
          <w:szCs w:val="20"/>
        </w:rPr>
        <w:t> </w:t>
      </w:r>
      <w:r>
        <w:rPr>
          <w:rFonts w:cs="Arial"/>
          <w:szCs w:val="20"/>
        </w:rPr>
        <w:t xml:space="preserve">osob. </w:t>
      </w:r>
    </w:p>
    <w:p w14:paraId="56BD2AEE" w14:textId="1707C768" w:rsidR="008A3E2E" w:rsidRDefault="008A3E2E" w:rsidP="002B6000">
      <w:pPr>
        <w:jc w:val="both"/>
        <w:rPr>
          <w:rFonts w:cs="Arial"/>
          <w:szCs w:val="20"/>
        </w:rPr>
      </w:pPr>
      <w:r w:rsidRPr="00BA170F">
        <w:rPr>
          <w:rFonts w:cs="Arial"/>
          <w:b/>
          <w:szCs w:val="20"/>
        </w:rPr>
        <w:t>Míra nezaměstnanosti</w:t>
      </w:r>
      <w:r>
        <w:rPr>
          <w:rFonts w:cs="Arial"/>
          <w:szCs w:val="20"/>
        </w:rPr>
        <w:t xml:space="preserve"> (podíl nezaměstnaných na celkové pracovní síle) dosáhla v Praze na </w:t>
      </w:r>
      <w:r w:rsidRPr="00BA170F">
        <w:rPr>
          <w:rFonts w:cs="Arial"/>
          <w:b/>
          <w:szCs w:val="20"/>
        </w:rPr>
        <w:t>4,3</w:t>
      </w:r>
      <w:r>
        <w:rPr>
          <w:rFonts w:cs="Arial"/>
          <w:b/>
          <w:szCs w:val="20"/>
        </w:rPr>
        <w:t> </w:t>
      </w:r>
      <w:r w:rsidRPr="00BA170F">
        <w:rPr>
          <w:rFonts w:cs="Arial"/>
          <w:b/>
          <w:szCs w:val="20"/>
        </w:rPr>
        <w:t>%</w:t>
      </w:r>
      <w:r>
        <w:rPr>
          <w:rFonts w:cs="Arial"/>
          <w:szCs w:val="20"/>
        </w:rPr>
        <w:t xml:space="preserve"> a nachází se 0,6 p. b. pod celorepublikovým průměrem. Nejnižší míru nezaměstnanosti měly Pardubický kraj (3,6 %) a Kraj Vysočina (3,7 %). Na opačném konci žebříčku se nalézaly kraje Karlovarský (8,2 %) a Ústecký (7,7 %). Míra nezaměstnanosti byla v Praze i ve všech ostatních krajích typicky vyšší u žen (Praha 4,6 %) než u mužů (Praha 4,0 %).</w:t>
      </w:r>
      <w:r>
        <w:rPr>
          <w:rFonts w:cs="Arial"/>
          <w:szCs w:val="20"/>
        </w:rPr>
        <w:br/>
        <w:t xml:space="preserve">Míra nezaměstnanosti v Praze se lišila rovněž podle jednotlivých věkových skupin. Obecně nejvyšší byla u osob velmi mladých (ve věkové skupině 15-19 let dosáhla na 10,5 %, ve skupině 20-24 let na 6,4 %) a u lidí na hranici důchodového věku ve skupině 55-59 let (5 %). Podle věkových skupin u velmi mladých lidí 15-24 let </w:t>
      </w:r>
      <w:r w:rsidR="009A31D4">
        <w:rPr>
          <w:rFonts w:cs="Arial"/>
          <w:szCs w:val="20"/>
        </w:rPr>
        <w:t xml:space="preserve"> byla míra nezaměstnanosti o něco vyšší u mužů</w:t>
      </w:r>
      <w:r>
        <w:rPr>
          <w:rFonts w:cs="Arial"/>
          <w:szCs w:val="20"/>
        </w:rPr>
        <w:t xml:space="preserve"> (věk 15-19 let – míra nezaměstnanosti u mužů 11,4 %, u žen 9,6 %; věk 20-24 let – míra nezaměstnanosti u mužů 7,1 %, u žen 5,8 %). Ve věkovém rozmezí 25-59 let dosahovaly ve všech pětiletých věkových skupinách vyšší míry nezaměstnanosti ženy, aby se po šedesátém roce věku karta opět obrátila.</w:t>
      </w:r>
    </w:p>
    <w:p w14:paraId="3224D79C" w14:textId="77777777" w:rsidR="008A3E2E" w:rsidRDefault="008A3E2E" w:rsidP="002B6000">
      <w:pPr>
        <w:jc w:val="both"/>
        <w:rPr>
          <w:rFonts w:cs="Arial"/>
          <w:szCs w:val="20"/>
        </w:rPr>
      </w:pPr>
      <w:r w:rsidRPr="00C15411">
        <w:rPr>
          <w:rFonts w:cs="Arial"/>
          <w:b/>
          <w:szCs w:val="20"/>
        </w:rPr>
        <w:t>Podíl nezaměstnaných</w:t>
      </w:r>
      <w:r>
        <w:rPr>
          <w:rFonts w:cs="Arial"/>
          <w:szCs w:val="20"/>
        </w:rPr>
        <w:t xml:space="preserve"> (podíl počtu nezaměstnaných na počtu všech osob ve věku 15-64 let se zjištěnou ekonomickou aktivitou) činil v Praze celkově </w:t>
      </w:r>
      <w:r w:rsidRPr="00C15411">
        <w:rPr>
          <w:rFonts w:cs="Arial"/>
          <w:b/>
          <w:szCs w:val="20"/>
        </w:rPr>
        <w:t>3,8</w:t>
      </w:r>
      <w:r>
        <w:rPr>
          <w:rFonts w:cs="Arial"/>
          <w:b/>
          <w:szCs w:val="20"/>
        </w:rPr>
        <w:t> </w:t>
      </w:r>
      <w:r w:rsidRPr="00C15411">
        <w:rPr>
          <w:rFonts w:cs="Arial"/>
          <w:b/>
          <w:szCs w:val="20"/>
        </w:rPr>
        <w:t>%</w:t>
      </w:r>
      <w:r>
        <w:rPr>
          <w:rFonts w:cs="Arial"/>
          <w:szCs w:val="20"/>
        </w:rPr>
        <w:t xml:space="preserve">. </w:t>
      </w:r>
      <w:r w:rsidR="00C218BF" w:rsidRPr="00913B33">
        <w:rPr>
          <w:rFonts w:cs="Arial"/>
          <w:szCs w:val="20"/>
        </w:rPr>
        <w:t>Devět</w:t>
      </w:r>
      <w:r w:rsidRPr="00913B33">
        <w:rPr>
          <w:rFonts w:cs="Arial"/>
          <w:szCs w:val="20"/>
        </w:rPr>
        <w:t xml:space="preserve"> městských částí mělo podíl nezaměstnaných v rozmezí 4-4,3 %, nejnižší podíl nezaměstnaných měly Praha-Královice (1,9 %), Praha-Lochkov (2 %), Praha-Dolní Chabry a Praha-Kolovraty (shodně 2,1 %). Rozdíl mezi pohlavími za Prahu jako celek prakticky neexistoval (ženy 3,9 %, muži 3,8 %). U jednotlivých městských částí byl největší rozdíl v Praze-Dolních Počernicích (ženy 4,5 %, muži 2,2 %), v Praze-Nebušicích (ženy 4 %, muži 2 %) a v Praze-Štěrboholech (ženy 3,3 %, muži 1,7 %).</w:t>
      </w:r>
    </w:p>
    <w:p w14:paraId="130971C6" w14:textId="77777777" w:rsidR="00913B33" w:rsidRDefault="00913B33" w:rsidP="005F4939">
      <w:pPr>
        <w:jc w:val="both"/>
        <w:rPr>
          <w:rFonts w:cs="Arial"/>
          <w:b/>
          <w:szCs w:val="20"/>
        </w:rPr>
      </w:pPr>
    </w:p>
    <w:p w14:paraId="7F6584CC" w14:textId="44629246" w:rsidR="00A140C9" w:rsidRDefault="00D4007C" w:rsidP="005F4939">
      <w:pPr>
        <w:jc w:val="both"/>
        <w:rPr>
          <w:rFonts w:cs="Arial"/>
          <w:b/>
          <w:szCs w:val="20"/>
        </w:rPr>
      </w:pPr>
      <w:r w:rsidRPr="00D4007C">
        <w:rPr>
          <w:rFonts w:cs="Arial"/>
          <w:b/>
          <w:szCs w:val="20"/>
        </w:rPr>
        <w:t>Kartogram</w:t>
      </w:r>
      <w:r>
        <w:rPr>
          <w:rFonts w:cs="Arial"/>
          <w:b/>
          <w:szCs w:val="20"/>
        </w:rPr>
        <w:t> </w:t>
      </w:r>
      <w:r w:rsidRPr="00D4007C">
        <w:rPr>
          <w:rFonts w:cs="Arial"/>
          <w:b/>
          <w:szCs w:val="20"/>
        </w:rPr>
        <w:t>4.2</w:t>
      </w:r>
      <w:r>
        <w:rPr>
          <w:rFonts w:cs="Arial"/>
          <w:b/>
          <w:szCs w:val="20"/>
        </w:rPr>
        <w:t> </w:t>
      </w:r>
      <w:r w:rsidRPr="00D4007C">
        <w:rPr>
          <w:rFonts w:cs="Arial"/>
          <w:b/>
          <w:szCs w:val="20"/>
        </w:rPr>
        <w:t>Nezaměstnaní</w:t>
      </w:r>
      <w:r>
        <w:rPr>
          <w:rFonts w:cs="Arial"/>
          <w:b/>
          <w:szCs w:val="20"/>
        </w:rPr>
        <w:t> </w:t>
      </w:r>
      <w:r w:rsidRPr="00D4007C">
        <w:rPr>
          <w:rFonts w:cs="Arial"/>
          <w:b/>
          <w:szCs w:val="20"/>
        </w:rPr>
        <w:t>v</w:t>
      </w:r>
      <w:r>
        <w:rPr>
          <w:rFonts w:cs="Arial"/>
          <w:b/>
          <w:szCs w:val="20"/>
        </w:rPr>
        <w:t> </w:t>
      </w:r>
      <w:r w:rsidRPr="00D4007C">
        <w:rPr>
          <w:rFonts w:cs="Arial"/>
          <w:b/>
          <w:szCs w:val="20"/>
        </w:rPr>
        <w:t>městských</w:t>
      </w:r>
      <w:r>
        <w:rPr>
          <w:rFonts w:cs="Arial"/>
          <w:b/>
          <w:szCs w:val="20"/>
        </w:rPr>
        <w:t> </w:t>
      </w:r>
      <w:r w:rsidRPr="00D4007C">
        <w:rPr>
          <w:rFonts w:cs="Arial"/>
          <w:b/>
          <w:szCs w:val="20"/>
        </w:rPr>
        <w:t>částech</w:t>
      </w:r>
      <w:r>
        <w:rPr>
          <w:rFonts w:cs="Arial"/>
          <w:b/>
          <w:szCs w:val="20"/>
        </w:rPr>
        <w:t> </w:t>
      </w:r>
      <w:r w:rsidRPr="00D4007C">
        <w:rPr>
          <w:rFonts w:cs="Arial"/>
          <w:b/>
          <w:szCs w:val="20"/>
        </w:rPr>
        <w:t>hl.</w:t>
      </w:r>
      <w:r>
        <w:rPr>
          <w:rFonts w:cs="Arial"/>
          <w:b/>
          <w:szCs w:val="20"/>
        </w:rPr>
        <w:t> </w:t>
      </w:r>
      <w:r w:rsidRPr="00D4007C">
        <w:rPr>
          <w:rFonts w:cs="Arial"/>
          <w:b/>
          <w:szCs w:val="20"/>
        </w:rPr>
        <w:t>m.</w:t>
      </w:r>
      <w:r>
        <w:rPr>
          <w:rFonts w:cs="Arial"/>
          <w:b/>
          <w:szCs w:val="20"/>
        </w:rPr>
        <w:t> </w:t>
      </w:r>
      <w:r w:rsidRPr="00D4007C">
        <w:rPr>
          <w:rFonts w:cs="Arial"/>
          <w:b/>
          <w:szCs w:val="20"/>
        </w:rPr>
        <w:t>Prahy</w:t>
      </w:r>
      <w:r w:rsidR="00655A75">
        <w:rPr>
          <w:rFonts w:cs="Arial"/>
          <w:b/>
          <w:szCs w:val="20"/>
        </w:rPr>
        <w:br/>
      </w:r>
      <w:r w:rsidR="00655A75">
        <w:rPr>
          <w:rFonts w:cs="Arial"/>
          <w:b/>
          <w:szCs w:val="20"/>
        </w:rPr>
        <w:br/>
      </w:r>
      <w:r w:rsidR="00C50E3D">
        <w:rPr>
          <w:rFonts w:cs="Arial"/>
          <w:b/>
          <w:szCs w:val="20"/>
        </w:rPr>
        <w:pict w14:anchorId="0048F071">
          <v:shape id="_x0000_i1026" type="#_x0000_t75" style="width:481.8pt;height:301.8pt">
            <v:imagedata r:id="rId14" o:title="PodilNezamestnanych" croptop="4812f" cropbottom="2598f"/>
          </v:shape>
        </w:pict>
      </w:r>
      <w:r w:rsidR="00A140C9">
        <w:rPr>
          <w:rFonts w:cs="Arial"/>
          <w:szCs w:val="20"/>
        </w:rPr>
        <w:br/>
      </w:r>
    </w:p>
    <w:p w14:paraId="74A475AD" w14:textId="058E0B41" w:rsidR="004179D7" w:rsidRDefault="004179D7" w:rsidP="007336A6">
      <w:pPr>
        <w:jc w:val="both"/>
        <w:rPr>
          <w:rFonts w:cs="Arial"/>
          <w:szCs w:val="20"/>
        </w:rPr>
      </w:pPr>
      <w:r w:rsidRPr="00645B70">
        <w:rPr>
          <w:rFonts w:cs="Arial"/>
          <w:b/>
          <w:szCs w:val="20"/>
        </w:rPr>
        <w:t>Osob mimo pracovní sílu</w:t>
      </w:r>
      <w:r>
        <w:rPr>
          <w:rFonts w:cs="Arial"/>
          <w:szCs w:val="20"/>
        </w:rPr>
        <w:t xml:space="preserve"> (ekonomicky neaktivních) bylo v Praze k rozhodnému okamžiku sčítání </w:t>
      </w:r>
      <w:r w:rsidRPr="00FE1202">
        <w:rPr>
          <w:rFonts w:cs="Arial"/>
          <w:b/>
          <w:szCs w:val="20"/>
        </w:rPr>
        <w:t>512</w:t>
      </w:r>
      <w:r>
        <w:rPr>
          <w:rFonts w:cs="Arial"/>
          <w:b/>
          <w:szCs w:val="20"/>
        </w:rPr>
        <w:t> </w:t>
      </w:r>
      <w:r w:rsidRPr="00FE1202">
        <w:rPr>
          <w:rFonts w:cs="Arial"/>
          <w:b/>
          <w:szCs w:val="20"/>
        </w:rPr>
        <w:t>729, tedy 40,1</w:t>
      </w:r>
      <w:r>
        <w:rPr>
          <w:rFonts w:cs="Arial"/>
          <w:b/>
          <w:szCs w:val="20"/>
        </w:rPr>
        <w:t> </w:t>
      </w:r>
      <w:r w:rsidRPr="00FE1202">
        <w:rPr>
          <w:rFonts w:cs="Arial"/>
          <w:b/>
          <w:szCs w:val="20"/>
        </w:rPr>
        <w:t>%</w:t>
      </w:r>
      <w:r>
        <w:rPr>
          <w:rFonts w:cs="Arial"/>
          <w:szCs w:val="20"/>
        </w:rPr>
        <w:t xml:space="preserve"> z celkového množství obyvatel se zjištěnou ekonomickou aktivitou. V porovnání s ostatními kraji, kde se hodnoty pohybovaly mezi 45,8 % (Středočeský kraj) a 48,5 % (Moravskoslezský kraj), je to výrazně menší podíl. Mimo pracovní sílu stálo v Praze jen 35 % mužů a 44,8 % žen. </w:t>
      </w:r>
      <w:r w:rsidRPr="00913B33">
        <w:rPr>
          <w:rFonts w:cs="Arial"/>
          <w:szCs w:val="20"/>
        </w:rPr>
        <w:t>V jednotlivých městských částech se podíl osob mimo pracovní sílu na celkovém množství osob se zjištěnou ekonomickou aktivitou pohyboval mezi</w:t>
      </w:r>
      <w:r w:rsidR="00655A75" w:rsidRPr="00913B33">
        <w:rPr>
          <w:rFonts w:cs="Arial"/>
          <w:szCs w:val="20"/>
        </w:rPr>
        <w:t> </w:t>
      </w:r>
      <w:r w:rsidRPr="00913B33">
        <w:rPr>
          <w:rFonts w:cs="Arial"/>
          <w:szCs w:val="20"/>
        </w:rPr>
        <w:t>35,2 %</w:t>
      </w:r>
      <w:r w:rsidR="00655A75" w:rsidRPr="00913B33">
        <w:rPr>
          <w:rFonts w:cs="Arial"/>
          <w:szCs w:val="20"/>
        </w:rPr>
        <w:t> </w:t>
      </w:r>
      <w:r w:rsidR="009A31D4" w:rsidRPr="00913B33">
        <w:rPr>
          <w:rFonts w:cs="Arial"/>
          <w:szCs w:val="20"/>
        </w:rPr>
        <w:t xml:space="preserve"> a</w:t>
      </w:r>
      <w:r w:rsidRPr="00913B33">
        <w:rPr>
          <w:rFonts w:cs="Arial"/>
          <w:szCs w:val="20"/>
        </w:rPr>
        <w:t> 49,4 %.</w:t>
      </w:r>
      <w:r w:rsidR="00C218BF" w:rsidRPr="00913B33">
        <w:rPr>
          <w:rFonts w:cs="Arial"/>
          <w:szCs w:val="20"/>
        </w:rPr>
        <w:t xml:space="preserve"> Velmi nízké podíly osob mimo pracovní sílu (pod</w:t>
      </w:r>
      <w:r w:rsidR="00514217" w:rsidRPr="00913B33">
        <w:rPr>
          <w:rFonts w:cs="Arial"/>
          <w:szCs w:val="20"/>
        </w:rPr>
        <w:t> </w:t>
      </w:r>
      <w:r w:rsidR="00C218BF" w:rsidRPr="00913B33">
        <w:rPr>
          <w:rFonts w:cs="Arial"/>
          <w:szCs w:val="20"/>
        </w:rPr>
        <w:t>36</w:t>
      </w:r>
      <w:r w:rsidR="00514217" w:rsidRPr="00913B33">
        <w:rPr>
          <w:rFonts w:cs="Arial"/>
          <w:szCs w:val="20"/>
        </w:rPr>
        <w:t> </w:t>
      </w:r>
      <w:r w:rsidR="00C218BF" w:rsidRPr="00913B33">
        <w:rPr>
          <w:rFonts w:cs="Arial"/>
          <w:szCs w:val="20"/>
        </w:rPr>
        <w:t>%</w:t>
      </w:r>
      <w:r w:rsidR="007C00FC" w:rsidRPr="00913B33">
        <w:rPr>
          <w:rFonts w:cs="Arial"/>
          <w:szCs w:val="20"/>
        </w:rPr>
        <w:t>)</w:t>
      </w:r>
      <w:r w:rsidR="00C218BF" w:rsidRPr="00913B33">
        <w:rPr>
          <w:rFonts w:cs="Arial"/>
          <w:szCs w:val="20"/>
        </w:rPr>
        <w:t xml:space="preserve">  měly hlavně městské části v</w:t>
      </w:r>
      <w:r w:rsidR="00514217" w:rsidRPr="00913B33">
        <w:rPr>
          <w:rFonts w:cs="Arial"/>
          <w:szCs w:val="20"/>
        </w:rPr>
        <w:t> </w:t>
      </w:r>
      <w:r w:rsidR="00C218BF" w:rsidRPr="00913B33">
        <w:rPr>
          <w:rFonts w:cs="Arial"/>
          <w:szCs w:val="20"/>
        </w:rPr>
        <w:t>širším centru hlavního města – Praha</w:t>
      </w:r>
      <w:r w:rsidR="00514217" w:rsidRPr="00913B33">
        <w:rPr>
          <w:rFonts w:cs="Arial"/>
          <w:szCs w:val="20"/>
        </w:rPr>
        <w:t> </w:t>
      </w:r>
      <w:r w:rsidR="00C218BF" w:rsidRPr="00913B33">
        <w:rPr>
          <w:rFonts w:cs="Arial"/>
          <w:szCs w:val="20"/>
        </w:rPr>
        <w:t>1, Praha</w:t>
      </w:r>
      <w:r w:rsidR="00514217" w:rsidRPr="00913B33">
        <w:rPr>
          <w:rFonts w:cs="Arial"/>
          <w:szCs w:val="20"/>
        </w:rPr>
        <w:t> </w:t>
      </w:r>
      <w:r w:rsidR="00C218BF" w:rsidRPr="00913B33">
        <w:rPr>
          <w:rFonts w:cs="Arial"/>
          <w:szCs w:val="20"/>
        </w:rPr>
        <w:t>2, Praha</w:t>
      </w:r>
      <w:r w:rsidR="00514217" w:rsidRPr="00913B33">
        <w:rPr>
          <w:rFonts w:cs="Arial"/>
          <w:szCs w:val="20"/>
        </w:rPr>
        <w:t> </w:t>
      </w:r>
      <w:r w:rsidR="00C218BF" w:rsidRPr="00913B33">
        <w:rPr>
          <w:rFonts w:cs="Arial"/>
          <w:szCs w:val="20"/>
        </w:rPr>
        <w:t>3 a Praha</w:t>
      </w:r>
      <w:r w:rsidR="00514217" w:rsidRPr="00913B33">
        <w:rPr>
          <w:rFonts w:cs="Arial"/>
          <w:szCs w:val="20"/>
        </w:rPr>
        <w:t> </w:t>
      </w:r>
      <w:r w:rsidR="00C218BF" w:rsidRPr="00913B33">
        <w:rPr>
          <w:rFonts w:cs="Arial"/>
          <w:szCs w:val="20"/>
        </w:rPr>
        <w:t xml:space="preserve">7, vyšší podíly naopak některé okrajové městské části – např. </w:t>
      </w:r>
      <w:r w:rsidR="00514217" w:rsidRPr="00913B33">
        <w:rPr>
          <w:rFonts w:cs="Arial"/>
          <w:szCs w:val="20"/>
        </w:rPr>
        <w:t>Praha-Nebušice (49,4 %), Praha-Královice (47,4 %), Praha-Kolovraty (46,5 %) nebo Praha-Dolní-Počernice (46,2 %).</w:t>
      </w:r>
      <w:r w:rsidR="00A140C9">
        <w:rPr>
          <w:rFonts w:cs="Arial"/>
          <w:szCs w:val="20"/>
        </w:rPr>
        <w:br/>
      </w:r>
      <w:r>
        <w:rPr>
          <w:rFonts w:cs="Arial"/>
          <w:szCs w:val="20"/>
        </w:rPr>
        <w:t>Počet obyvatel v kategorii mimo pracovní sílu narostl od minulého SLDB v Praze pouze o 2,3 % (11,8 tis. osob) a celorepublikově o 1 %, ve většině krajů obyvatel v této kategorii dokonce ubylo (výrazně se odlišoval pouze</w:t>
      </w:r>
      <w:r w:rsidR="007336A6">
        <w:rPr>
          <w:rFonts w:cs="Arial"/>
          <w:szCs w:val="20"/>
        </w:rPr>
        <w:t> </w:t>
      </w:r>
      <w:r>
        <w:rPr>
          <w:rFonts w:cs="Arial"/>
          <w:szCs w:val="20"/>
        </w:rPr>
        <w:t>Středočeský</w:t>
      </w:r>
      <w:r w:rsidR="007336A6">
        <w:rPr>
          <w:rFonts w:cs="Arial"/>
          <w:szCs w:val="20"/>
        </w:rPr>
        <w:t> </w:t>
      </w:r>
      <w:r>
        <w:rPr>
          <w:rFonts w:cs="Arial"/>
          <w:szCs w:val="20"/>
        </w:rPr>
        <w:t>kraj</w:t>
      </w:r>
      <w:r w:rsidR="007336A6">
        <w:rPr>
          <w:rFonts w:cs="Arial"/>
          <w:szCs w:val="20"/>
        </w:rPr>
        <w:t> </w:t>
      </w:r>
      <w:r>
        <w:rPr>
          <w:rFonts w:cs="Arial"/>
          <w:szCs w:val="20"/>
        </w:rPr>
        <w:t>s</w:t>
      </w:r>
      <w:r w:rsidR="007336A6">
        <w:rPr>
          <w:rFonts w:cs="Arial"/>
          <w:szCs w:val="20"/>
        </w:rPr>
        <w:t> </w:t>
      </w:r>
      <w:r>
        <w:rPr>
          <w:rFonts w:cs="Arial"/>
          <w:szCs w:val="20"/>
        </w:rPr>
        <w:t>nárůstem</w:t>
      </w:r>
      <w:r w:rsidR="007336A6">
        <w:rPr>
          <w:rFonts w:cs="Arial"/>
          <w:szCs w:val="20"/>
        </w:rPr>
        <w:t> </w:t>
      </w:r>
      <w:r>
        <w:rPr>
          <w:rFonts w:cs="Arial"/>
          <w:szCs w:val="20"/>
        </w:rPr>
        <w:t>10,2 %).</w:t>
      </w:r>
      <w:r>
        <w:rPr>
          <w:rFonts w:cs="Arial"/>
          <w:szCs w:val="20"/>
        </w:rPr>
        <w:br/>
        <w:t xml:space="preserve">Nejvýraznější složkou kategorie osob mimo pracovní sílu byli i v Praze </w:t>
      </w:r>
      <w:r w:rsidRPr="00390C81">
        <w:rPr>
          <w:rFonts w:cs="Arial"/>
          <w:b/>
          <w:szCs w:val="20"/>
        </w:rPr>
        <w:t>nepracující důchodci</w:t>
      </w:r>
      <w:r>
        <w:rPr>
          <w:rFonts w:cs="Arial"/>
          <w:szCs w:val="20"/>
        </w:rPr>
        <w:t xml:space="preserve"> (40,8 %), i když jejich podíl byl v porovnání krajů nejnižší a ležel 6,4 p. b. pod celorepublikovým průměrem. V celkovém množství nepracujících důchodců, kterých bylo v Praze 209 297, převažovaly s 62,6 % ženy. V mezikrajském srovnání jde o nejvyšší podíl žen na nepracujících důchodcích, ale rozdíly jsou nepatrné, okolo 60 % se podíl žen pohyboval ve všech krajích.</w:t>
      </w:r>
      <w:r w:rsidR="007336A6">
        <w:rPr>
          <w:rFonts w:cs="Arial"/>
          <w:szCs w:val="20"/>
        </w:rPr>
        <w:t xml:space="preserve"> </w:t>
      </w:r>
      <w:r>
        <w:rPr>
          <w:rFonts w:cs="Arial"/>
          <w:szCs w:val="20"/>
        </w:rPr>
        <w:t>Počet nepracujících důchodců za deset let poklesl v hlavním městě o 9,4 % (21</w:t>
      </w:r>
      <w:r w:rsidR="007336A6">
        <w:rPr>
          <w:rFonts w:cs="Arial"/>
          <w:szCs w:val="20"/>
        </w:rPr>
        <w:t> </w:t>
      </w:r>
      <w:r>
        <w:rPr>
          <w:rFonts w:cs="Arial"/>
          <w:szCs w:val="20"/>
        </w:rPr>
        <w:t>838</w:t>
      </w:r>
      <w:r w:rsidR="007336A6">
        <w:rPr>
          <w:rFonts w:cs="Arial"/>
          <w:szCs w:val="20"/>
        </w:rPr>
        <w:t> </w:t>
      </w:r>
      <w:r>
        <w:rPr>
          <w:rFonts w:cs="Arial"/>
          <w:szCs w:val="20"/>
        </w:rPr>
        <w:t>osob),</w:t>
      </w:r>
      <w:r w:rsidR="007336A6">
        <w:rPr>
          <w:rFonts w:cs="Arial"/>
          <w:szCs w:val="20"/>
        </w:rPr>
        <w:t> </w:t>
      </w:r>
      <w:r>
        <w:rPr>
          <w:rFonts w:cs="Arial"/>
          <w:szCs w:val="20"/>
        </w:rPr>
        <w:t>nejvíce</w:t>
      </w:r>
      <w:r w:rsidR="007336A6">
        <w:rPr>
          <w:rFonts w:cs="Arial"/>
          <w:szCs w:val="20"/>
        </w:rPr>
        <w:t> </w:t>
      </w:r>
      <w:r>
        <w:rPr>
          <w:rFonts w:cs="Arial"/>
          <w:szCs w:val="20"/>
        </w:rPr>
        <w:t>ze všech</w:t>
      </w:r>
      <w:r w:rsidR="007336A6">
        <w:rPr>
          <w:rFonts w:cs="Arial"/>
          <w:szCs w:val="20"/>
        </w:rPr>
        <w:t> </w:t>
      </w:r>
      <w:r>
        <w:rPr>
          <w:rFonts w:cs="Arial"/>
          <w:szCs w:val="20"/>
        </w:rPr>
        <w:t>krajů.</w:t>
      </w:r>
      <w:r>
        <w:rPr>
          <w:rFonts w:cs="Arial"/>
          <w:szCs w:val="20"/>
        </w:rPr>
        <w:br/>
        <w:t xml:space="preserve">Přibližně třetinový podíl ve skupině osob mimo pracovní sílu měli v Praze nepracující </w:t>
      </w:r>
      <w:r w:rsidRPr="00E3699F">
        <w:rPr>
          <w:rFonts w:cs="Arial"/>
          <w:b/>
          <w:szCs w:val="20"/>
        </w:rPr>
        <w:t>žáci a studenti</w:t>
      </w:r>
      <w:r>
        <w:rPr>
          <w:rFonts w:cs="Arial"/>
          <w:szCs w:val="20"/>
        </w:rPr>
        <w:t>. Zastoupení obou pohlaví mezi žáky a studenty bylo velmi vyrovnané nejen v Praze, ale i ve všech ostatních krajích.</w:t>
      </w:r>
    </w:p>
    <w:p w14:paraId="64435985" w14:textId="77777777" w:rsidR="00655A75" w:rsidRDefault="00655A75" w:rsidP="007336A6">
      <w:pPr>
        <w:jc w:val="both"/>
        <w:rPr>
          <w:rFonts w:cs="Arial"/>
          <w:b/>
          <w:szCs w:val="20"/>
        </w:rPr>
      </w:pPr>
    </w:p>
    <w:p w14:paraId="0B75C54F" w14:textId="77777777" w:rsidR="00A764C5" w:rsidRDefault="00A764C5" w:rsidP="007336A6">
      <w:pPr>
        <w:jc w:val="both"/>
        <w:rPr>
          <w:rFonts w:cs="Arial"/>
          <w:b/>
          <w:szCs w:val="20"/>
        </w:rPr>
      </w:pPr>
    </w:p>
    <w:p w14:paraId="2C5E17E9" w14:textId="0FA36C13" w:rsidR="00655A75" w:rsidRDefault="00655A75" w:rsidP="007336A6">
      <w:pPr>
        <w:jc w:val="both"/>
        <w:rPr>
          <w:rFonts w:cs="Arial"/>
          <w:b/>
          <w:szCs w:val="20"/>
        </w:rPr>
      </w:pPr>
      <w:r w:rsidRPr="008A3E2E">
        <w:rPr>
          <w:rFonts w:cs="Arial"/>
          <w:b/>
          <w:szCs w:val="20"/>
        </w:rPr>
        <w:t>Kartogram</w:t>
      </w:r>
      <w:r>
        <w:rPr>
          <w:rFonts w:cs="Arial"/>
          <w:b/>
          <w:szCs w:val="20"/>
        </w:rPr>
        <w:t> </w:t>
      </w:r>
      <w:r w:rsidRPr="008A3E2E">
        <w:rPr>
          <w:rFonts w:cs="Arial"/>
          <w:b/>
          <w:szCs w:val="20"/>
        </w:rPr>
        <w:t>4.3</w:t>
      </w:r>
      <w:r>
        <w:rPr>
          <w:rFonts w:cs="Arial"/>
          <w:b/>
          <w:szCs w:val="20"/>
        </w:rPr>
        <w:t> </w:t>
      </w:r>
      <w:r w:rsidRPr="008A3E2E">
        <w:rPr>
          <w:rFonts w:cs="Arial"/>
          <w:b/>
          <w:szCs w:val="20"/>
        </w:rPr>
        <w:t>Osoby</w:t>
      </w:r>
      <w:r>
        <w:rPr>
          <w:rFonts w:cs="Arial"/>
          <w:b/>
          <w:szCs w:val="20"/>
        </w:rPr>
        <w:t> </w:t>
      </w:r>
      <w:r w:rsidRPr="008A3E2E">
        <w:rPr>
          <w:rFonts w:cs="Arial"/>
          <w:b/>
          <w:szCs w:val="20"/>
        </w:rPr>
        <w:t>mimo</w:t>
      </w:r>
      <w:r>
        <w:rPr>
          <w:rFonts w:cs="Arial"/>
          <w:b/>
          <w:szCs w:val="20"/>
        </w:rPr>
        <w:t> </w:t>
      </w:r>
      <w:r w:rsidRPr="008A3E2E">
        <w:rPr>
          <w:rFonts w:cs="Arial"/>
          <w:b/>
          <w:szCs w:val="20"/>
        </w:rPr>
        <w:t>pracovní</w:t>
      </w:r>
      <w:r>
        <w:rPr>
          <w:rFonts w:cs="Arial"/>
          <w:b/>
          <w:szCs w:val="20"/>
        </w:rPr>
        <w:t> </w:t>
      </w:r>
      <w:r w:rsidRPr="008A3E2E">
        <w:rPr>
          <w:rFonts w:cs="Arial"/>
          <w:b/>
          <w:szCs w:val="20"/>
        </w:rPr>
        <w:t>sílu</w:t>
      </w:r>
      <w:r>
        <w:rPr>
          <w:rFonts w:cs="Arial"/>
          <w:b/>
          <w:szCs w:val="20"/>
        </w:rPr>
        <w:t> </w:t>
      </w:r>
      <w:r w:rsidRPr="008A3E2E">
        <w:rPr>
          <w:rFonts w:cs="Arial"/>
          <w:b/>
          <w:szCs w:val="20"/>
        </w:rPr>
        <w:t>v</w:t>
      </w:r>
      <w:r>
        <w:rPr>
          <w:rFonts w:cs="Arial"/>
          <w:b/>
          <w:szCs w:val="20"/>
        </w:rPr>
        <w:t> </w:t>
      </w:r>
      <w:r w:rsidRPr="008A3E2E">
        <w:rPr>
          <w:rFonts w:cs="Arial"/>
          <w:b/>
          <w:szCs w:val="20"/>
        </w:rPr>
        <w:t>městských</w:t>
      </w:r>
      <w:r>
        <w:rPr>
          <w:rFonts w:cs="Arial"/>
          <w:b/>
          <w:szCs w:val="20"/>
        </w:rPr>
        <w:t> </w:t>
      </w:r>
      <w:r w:rsidRPr="008A3E2E">
        <w:rPr>
          <w:rFonts w:cs="Arial"/>
          <w:b/>
          <w:szCs w:val="20"/>
        </w:rPr>
        <w:t>částech</w:t>
      </w:r>
      <w:r>
        <w:rPr>
          <w:rFonts w:cs="Arial"/>
          <w:b/>
          <w:szCs w:val="20"/>
        </w:rPr>
        <w:t> </w:t>
      </w:r>
      <w:r w:rsidRPr="008A3E2E">
        <w:rPr>
          <w:rFonts w:cs="Arial"/>
          <w:b/>
          <w:szCs w:val="20"/>
        </w:rPr>
        <w:t>hl.</w:t>
      </w:r>
      <w:r>
        <w:rPr>
          <w:rFonts w:cs="Arial"/>
          <w:b/>
          <w:szCs w:val="20"/>
        </w:rPr>
        <w:t> </w:t>
      </w:r>
      <w:r w:rsidRPr="008A3E2E">
        <w:rPr>
          <w:rFonts w:cs="Arial"/>
          <w:b/>
          <w:szCs w:val="20"/>
        </w:rPr>
        <w:t>m.</w:t>
      </w:r>
      <w:r>
        <w:rPr>
          <w:rFonts w:cs="Arial"/>
          <w:b/>
          <w:szCs w:val="20"/>
        </w:rPr>
        <w:t> </w:t>
      </w:r>
      <w:r w:rsidRPr="008A3E2E">
        <w:rPr>
          <w:rFonts w:cs="Arial"/>
          <w:b/>
          <w:szCs w:val="20"/>
        </w:rPr>
        <w:t>Prahy</w:t>
      </w:r>
    </w:p>
    <w:p w14:paraId="30C81C30" w14:textId="77777777" w:rsidR="00655A75" w:rsidRDefault="00C50E3D" w:rsidP="007336A6">
      <w:pPr>
        <w:jc w:val="both"/>
        <w:rPr>
          <w:rFonts w:cs="Arial"/>
          <w:szCs w:val="20"/>
        </w:rPr>
      </w:pPr>
      <w:r>
        <w:rPr>
          <w:rFonts w:cs="Arial"/>
          <w:szCs w:val="20"/>
        </w:rPr>
        <w:pict w14:anchorId="093CCF29">
          <v:shape id="_x0000_i1027" type="#_x0000_t75" style="width:481.8pt;height:300.6pt">
            <v:imagedata r:id="rId15" o:title="PodilMimoPrsilu" croptop="4908f" cropbottom="2695f"/>
          </v:shape>
        </w:pict>
      </w:r>
      <w:r w:rsidR="00655A75">
        <w:rPr>
          <w:rFonts w:cs="Arial"/>
          <w:szCs w:val="20"/>
        </w:rPr>
        <w:br/>
      </w:r>
    </w:p>
    <w:p w14:paraId="07EE2F6A" w14:textId="436DB6B4" w:rsidR="004179D7" w:rsidRDefault="004179D7" w:rsidP="00DE5B57">
      <w:pPr>
        <w:jc w:val="both"/>
        <w:rPr>
          <w:rFonts w:cs="Arial"/>
          <w:szCs w:val="20"/>
        </w:rPr>
      </w:pPr>
      <w:r w:rsidRPr="00657562">
        <w:rPr>
          <w:rFonts w:cs="Arial"/>
          <w:b/>
          <w:szCs w:val="20"/>
        </w:rPr>
        <w:t>Intenzita ekonomické aktivity</w:t>
      </w:r>
      <w:r>
        <w:rPr>
          <w:rFonts w:cs="Arial"/>
          <w:szCs w:val="20"/>
        </w:rPr>
        <w:t xml:space="preserve"> vyjadřuje počet zaměstnaných a nezaměstnaných na 1 000 osob se zjištěnou ekonomickou aktivitou příslušné věkové skupiny. Ve věkové kategorii 15-64 let dosáhla intenzita ekonomické aktivity </w:t>
      </w:r>
      <w:r w:rsidR="00143464">
        <w:rPr>
          <w:rFonts w:cs="Arial"/>
          <w:szCs w:val="20"/>
        </w:rPr>
        <w:t xml:space="preserve">v Praze </w:t>
      </w:r>
      <w:r>
        <w:rPr>
          <w:rFonts w:cs="Arial"/>
          <w:szCs w:val="20"/>
        </w:rPr>
        <w:t>u mužů hodnoty 890 a u žen 805</w:t>
      </w:r>
      <w:r w:rsidR="00E116D7">
        <w:rPr>
          <w:rFonts w:cs="Arial"/>
          <w:szCs w:val="20"/>
        </w:rPr>
        <w:t xml:space="preserve"> (tzn., že 890 mužů z tisíce a 805 žen z tisíce bylo ekonomicky aktivních – tedy zaměstnaných či nezaměstnaných)</w:t>
      </w:r>
      <w:r>
        <w:rPr>
          <w:rFonts w:cs="Arial"/>
          <w:szCs w:val="20"/>
        </w:rPr>
        <w:t>. Při detailnějším pohledu podle pětiletých věkových skupin je zřejmé, že intenzita ekonomické aktivity je obecně výrazně nižší u věkových skupin 15-19</w:t>
      </w:r>
      <w:r w:rsidR="00E116D7">
        <w:rPr>
          <w:rFonts w:cs="Arial"/>
          <w:szCs w:val="20"/>
        </w:rPr>
        <w:t xml:space="preserve"> let</w:t>
      </w:r>
      <w:r>
        <w:rPr>
          <w:rFonts w:cs="Arial"/>
          <w:szCs w:val="20"/>
        </w:rPr>
        <w:t xml:space="preserve"> i 20-24</w:t>
      </w:r>
      <w:r w:rsidR="00E116D7">
        <w:rPr>
          <w:rFonts w:cs="Arial"/>
          <w:szCs w:val="20"/>
        </w:rPr>
        <w:t xml:space="preserve"> let</w:t>
      </w:r>
      <w:r>
        <w:rPr>
          <w:rFonts w:cs="Arial"/>
          <w:szCs w:val="20"/>
        </w:rPr>
        <w:t xml:space="preserve"> z důvodu přípravy na povolání a 60-64</w:t>
      </w:r>
      <w:r w:rsidR="00E116D7">
        <w:rPr>
          <w:rFonts w:cs="Arial"/>
          <w:szCs w:val="20"/>
        </w:rPr>
        <w:t> let</w:t>
      </w:r>
      <w:r>
        <w:rPr>
          <w:rFonts w:cs="Arial"/>
          <w:szCs w:val="20"/>
        </w:rPr>
        <w:t xml:space="preserve"> a zejména 65-69 </w:t>
      </w:r>
      <w:r w:rsidR="00E116D7">
        <w:rPr>
          <w:rFonts w:cs="Arial"/>
          <w:szCs w:val="20"/>
        </w:rPr>
        <w:t xml:space="preserve">let </w:t>
      </w:r>
      <w:r>
        <w:rPr>
          <w:rFonts w:cs="Arial"/>
          <w:szCs w:val="20"/>
        </w:rPr>
        <w:t xml:space="preserve">z důvodu odchodu do důchodu. </w:t>
      </w:r>
      <w:r w:rsidRPr="00971130">
        <w:rPr>
          <w:rFonts w:cs="Arial"/>
          <w:b/>
          <w:szCs w:val="20"/>
        </w:rPr>
        <w:t>U</w:t>
      </w:r>
      <w:r>
        <w:rPr>
          <w:rFonts w:cs="Arial"/>
          <w:b/>
          <w:szCs w:val="20"/>
        </w:rPr>
        <w:t> </w:t>
      </w:r>
      <w:r w:rsidRPr="00971130">
        <w:rPr>
          <w:rFonts w:cs="Arial"/>
          <w:b/>
          <w:szCs w:val="20"/>
        </w:rPr>
        <w:t>mužů</w:t>
      </w:r>
      <w:r>
        <w:rPr>
          <w:rFonts w:cs="Arial"/>
          <w:szCs w:val="20"/>
        </w:rPr>
        <w:t xml:space="preserve"> dosáhla intenzita ekonomické aktivity svého </w:t>
      </w:r>
      <w:r w:rsidRPr="00971130">
        <w:rPr>
          <w:rFonts w:cs="Arial"/>
          <w:b/>
          <w:szCs w:val="20"/>
        </w:rPr>
        <w:t>maxima s</w:t>
      </w:r>
      <w:r>
        <w:rPr>
          <w:rFonts w:cs="Arial"/>
          <w:b/>
          <w:szCs w:val="20"/>
        </w:rPr>
        <w:t> </w:t>
      </w:r>
      <w:r w:rsidRPr="00971130">
        <w:rPr>
          <w:rFonts w:cs="Arial"/>
          <w:b/>
          <w:szCs w:val="20"/>
        </w:rPr>
        <w:t>hodnotou 979 ve</w:t>
      </w:r>
      <w:r>
        <w:rPr>
          <w:rFonts w:cs="Arial"/>
          <w:b/>
          <w:szCs w:val="20"/>
        </w:rPr>
        <w:t> </w:t>
      </w:r>
      <w:r w:rsidRPr="00971130">
        <w:rPr>
          <w:rFonts w:cs="Arial"/>
          <w:b/>
          <w:szCs w:val="20"/>
        </w:rPr>
        <w:t>věkové skupině 30-39 let</w:t>
      </w:r>
      <w:r>
        <w:rPr>
          <w:rFonts w:cs="Arial"/>
          <w:szCs w:val="20"/>
        </w:rPr>
        <w:t>, ale po celé období v rozmezí 25-59 let patřilo více než 90 % mužů do kategorie pracovní síla (= ekonomicky aktivní). U žen byl vývoj intenzity ekonomické aktivity podle pětiletých věkových skupin proměnlivější především z důvodu péče o děti. Desetiletí 30-39 let, kdy byli muži z hlediska intenzity ekonomické aktivity na vrcholu, bylo u žen naopak nejslabší (s</w:t>
      </w:r>
      <w:r w:rsidR="007336A6">
        <w:rPr>
          <w:rFonts w:cs="Arial"/>
          <w:szCs w:val="20"/>
        </w:rPr>
        <w:t> </w:t>
      </w:r>
      <w:r>
        <w:rPr>
          <w:rFonts w:cs="Arial"/>
          <w:szCs w:val="20"/>
        </w:rPr>
        <w:t xml:space="preserve">výjimkou období přípravy na povolání a odchodu do důchodu). Ve věkové kategorii 30-34 let bylo ekonomicky aktivních jen 810 žen z tisíce a v kategorii 35-39 let 817 žen z tisíce. </w:t>
      </w:r>
      <w:r w:rsidRPr="00971130">
        <w:rPr>
          <w:rFonts w:cs="Arial"/>
          <w:b/>
          <w:szCs w:val="20"/>
        </w:rPr>
        <w:t>U</w:t>
      </w:r>
      <w:r>
        <w:rPr>
          <w:rFonts w:cs="Arial"/>
          <w:b/>
          <w:szCs w:val="20"/>
        </w:rPr>
        <w:t> </w:t>
      </w:r>
      <w:r w:rsidRPr="00971130">
        <w:rPr>
          <w:rFonts w:cs="Arial"/>
          <w:b/>
          <w:szCs w:val="20"/>
        </w:rPr>
        <w:t>žen</w:t>
      </w:r>
      <w:r>
        <w:rPr>
          <w:rFonts w:cs="Arial"/>
          <w:szCs w:val="20"/>
        </w:rPr>
        <w:t xml:space="preserve"> vykazovala </w:t>
      </w:r>
      <w:r w:rsidRPr="00971130">
        <w:rPr>
          <w:rFonts w:cs="Arial"/>
          <w:b/>
          <w:szCs w:val="20"/>
        </w:rPr>
        <w:t>nejvyšší intenzitu ekonomické aktivity</w:t>
      </w:r>
      <w:r>
        <w:rPr>
          <w:rFonts w:cs="Arial"/>
          <w:szCs w:val="20"/>
        </w:rPr>
        <w:t xml:space="preserve"> skupina </w:t>
      </w:r>
      <w:r w:rsidRPr="00971130">
        <w:rPr>
          <w:rFonts w:cs="Arial"/>
          <w:b/>
          <w:szCs w:val="20"/>
        </w:rPr>
        <w:t>45-49</w:t>
      </w:r>
      <w:r>
        <w:rPr>
          <w:rFonts w:cs="Arial"/>
          <w:b/>
          <w:szCs w:val="20"/>
        </w:rPr>
        <w:t> </w:t>
      </w:r>
      <w:r w:rsidRPr="00971130">
        <w:rPr>
          <w:rFonts w:cs="Arial"/>
          <w:b/>
          <w:szCs w:val="20"/>
        </w:rPr>
        <w:t>let</w:t>
      </w:r>
      <w:r>
        <w:rPr>
          <w:rFonts w:cs="Arial"/>
          <w:b/>
          <w:szCs w:val="20"/>
        </w:rPr>
        <w:t> </w:t>
      </w:r>
      <w:r w:rsidRPr="00971130">
        <w:rPr>
          <w:rFonts w:cs="Arial"/>
          <w:b/>
          <w:szCs w:val="20"/>
        </w:rPr>
        <w:t>(939) a</w:t>
      </w:r>
      <w:r>
        <w:rPr>
          <w:rFonts w:cs="Arial"/>
          <w:szCs w:val="20"/>
        </w:rPr>
        <w:t xml:space="preserve"> skupina </w:t>
      </w:r>
      <w:r w:rsidR="00DE5B57">
        <w:rPr>
          <w:rFonts w:cs="Arial"/>
          <w:szCs w:val="20"/>
        </w:rPr>
        <w:br/>
      </w:r>
      <w:r w:rsidRPr="00971130">
        <w:rPr>
          <w:rFonts w:cs="Arial"/>
          <w:b/>
          <w:szCs w:val="20"/>
        </w:rPr>
        <w:t>50-54</w:t>
      </w:r>
      <w:r>
        <w:rPr>
          <w:rFonts w:cs="Arial"/>
          <w:b/>
          <w:szCs w:val="20"/>
        </w:rPr>
        <w:t> </w:t>
      </w:r>
      <w:r w:rsidRPr="00971130">
        <w:rPr>
          <w:rFonts w:cs="Arial"/>
          <w:b/>
          <w:szCs w:val="20"/>
        </w:rPr>
        <w:t>let</w:t>
      </w:r>
      <w:r>
        <w:rPr>
          <w:rFonts w:cs="Arial"/>
          <w:b/>
          <w:szCs w:val="20"/>
        </w:rPr>
        <w:t> </w:t>
      </w:r>
      <w:r w:rsidRPr="00971130">
        <w:rPr>
          <w:rFonts w:cs="Arial"/>
          <w:b/>
          <w:szCs w:val="20"/>
        </w:rPr>
        <w:t>(935)</w:t>
      </w:r>
      <w:r>
        <w:rPr>
          <w:rFonts w:cs="Arial"/>
          <w:szCs w:val="20"/>
        </w:rPr>
        <w:t>.</w:t>
      </w:r>
      <w:r w:rsidR="00DE5B57">
        <w:rPr>
          <w:rFonts w:cs="Arial"/>
          <w:szCs w:val="20"/>
        </w:rPr>
        <w:t> </w:t>
      </w:r>
      <w:r>
        <w:rPr>
          <w:rFonts w:cs="Arial"/>
          <w:szCs w:val="20"/>
        </w:rPr>
        <w:t>Nejmenší</w:t>
      </w:r>
      <w:r w:rsidR="00DE5B57">
        <w:rPr>
          <w:rFonts w:cs="Arial"/>
          <w:szCs w:val="20"/>
        </w:rPr>
        <w:t> </w:t>
      </w:r>
      <w:r>
        <w:rPr>
          <w:rFonts w:cs="Arial"/>
          <w:szCs w:val="20"/>
        </w:rPr>
        <w:t>rozdíl</w:t>
      </w:r>
      <w:r w:rsidR="00DE5B57">
        <w:rPr>
          <w:rFonts w:cs="Arial"/>
          <w:szCs w:val="20"/>
        </w:rPr>
        <w:t> </w:t>
      </w:r>
      <w:r>
        <w:rPr>
          <w:rFonts w:cs="Arial"/>
          <w:szCs w:val="20"/>
        </w:rPr>
        <w:t>v intenzitě</w:t>
      </w:r>
      <w:r w:rsidR="00DE5B57">
        <w:rPr>
          <w:rFonts w:cs="Arial"/>
          <w:szCs w:val="20"/>
        </w:rPr>
        <w:t> </w:t>
      </w:r>
      <w:r>
        <w:rPr>
          <w:rFonts w:cs="Arial"/>
          <w:szCs w:val="20"/>
        </w:rPr>
        <w:t>ekonomické</w:t>
      </w:r>
      <w:r w:rsidR="00655A75">
        <w:rPr>
          <w:rFonts w:cs="Arial"/>
          <w:szCs w:val="20"/>
        </w:rPr>
        <w:t> </w:t>
      </w:r>
      <w:r>
        <w:rPr>
          <w:rFonts w:cs="Arial"/>
          <w:szCs w:val="20"/>
        </w:rPr>
        <w:t>aktivity</w:t>
      </w:r>
      <w:r w:rsidR="00655A75">
        <w:rPr>
          <w:rFonts w:cs="Arial"/>
          <w:szCs w:val="20"/>
        </w:rPr>
        <w:t> </w:t>
      </w:r>
      <w:r>
        <w:rPr>
          <w:rFonts w:cs="Arial"/>
          <w:szCs w:val="20"/>
        </w:rPr>
        <w:t>mezi</w:t>
      </w:r>
      <w:r w:rsidR="00655A75">
        <w:rPr>
          <w:rFonts w:cs="Arial"/>
          <w:szCs w:val="20"/>
        </w:rPr>
        <w:t> </w:t>
      </w:r>
      <w:r>
        <w:rPr>
          <w:rFonts w:cs="Arial"/>
          <w:szCs w:val="20"/>
        </w:rPr>
        <w:t>pohlavími</w:t>
      </w:r>
      <w:r w:rsidR="00655A75">
        <w:rPr>
          <w:rFonts w:cs="Arial"/>
          <w:szCs w:val="20"/>
        </w:rPr>
        <w:t> </w:t>
      </w:r>
      <w:r>
        <w:rPr>
          <w:rFonts w:cs="Arial"/>
          <w:szCs w:val="20"/>
        </w:rPr>
        <w:t>byl</w:t>
      </w:r>
      <w:r w:rsidR="00655A75">
        <w:rPr>
          <w:rFonts w:cs="Arial"/>
          <w:szCs w:val="20"/>
        </w:rPr>
        <w:t> </w:t>
      </w:r>
      <w:r>
        <w:rPr>
          <w:rFonts w:cs="Arial"/>
          <w:szCs w:val="20"/>
        </w:rPr>
        <w:t>ve věku</w:t>
      </w:r>
      <w:r w:rsidR="00655A75">
        <w:rPr>
          <w:rFonts w:cs="Arial"/>
          <w:szCs w:val="20"/>
        </w:rPr>
        <w:t> </w:t>
      </w:r>
      <w:r>
        <w:rPr>
          <w:rFonts w:cs="Arial"/>
          <w:szCs w:val="20"/>
        </w:rPr>
        <w:t>50-59 let.</w:t>
      </w:r>
      <w:r w:rsidR="00655A75">
        <w:rPr>
          <w:rFonts w:cs="Arial"/>
          <w:szCs w:val="20"/>
        </w:rPr>
        <w:br/>
      </w:r>
    </w:p>
    <w:p w14:paraId="579D9E0B" w14:textId="77777777" w:rsidR="007336A6" w:rsidRPr="007336A6" w:rsidRDefault="00CE6C75" w:rsidP="007336A6">
      <w:pPr>
        <w:pStyle w:val="Nadpis2"/>
      </w:pPr>
      <w:bookmarkStart w:id="3" w:name="_Toc145675416"/>
      <w:r w:rsidRPr="00175AA4">
        <w:t>Zaměstnaní podle věku a vzdělání</w:t>
      </w:r>
      <w:bookmarkEnd w:id="3"/>
      <w:r w:rsidR="007336A6">
        <w:br/>
      </w:r>
    </w:p>
    <w:p w14:paraId="54C4F019" w14:textId="77777777" w:rsidR="004179D7" w:rsidRDefault="004179D7" w:rsidP="00321664">
      <w:pPr>
        <w:jc w:val="both"/>
        <w:rPr>
          <w:rFonts w:cs="Arial"/>
          <w:szCs w:val="20"/>
        </w:rPr>
      </w:pPr>
      <w:r w:rsidRPr="00C40884">
        <w:rPr>
          <w:rFonts w:cs="Arial"/>
          <w:b/>
          <w:szCs w:val="20"/>
        </w:rPr>
        <w:t>Zaměstnaných osob</w:t>
      </w:r>
      <w:r>
        <w:rPr>
          <w:rFonts w:cs="Arial"/>
          <w:szCs w:val="20"/>
        </w:rPr>
        <w:t xml:space="preserve"> bylo </w:t>
      </w:r>
      <w:r w:rsidRPr="00C40884">
        <w:rPr>
          <w:rFonts w:cs="Arial"/>
          <w:b/>
          <w:szCs w:val="20"/>
        </w:rPr>
        <w:t>v Praze</w:t>
      </w:r>
      <w:r>
        <w:rPr>
          <w:rFonts w:cs="Arial"/>
          <w:szCs w:val="20"/>
        </w:rPr>
        <w:t xml:space="preserve"> celkem </w:t>
      </w:r>
      <w:r w:rsidRPr="00C40884">
        <w:rPr>
          <w:rFonts w:cs="Arial"/>
          <w:b/>
          <w:szCs w:val="20"/>
        </w:rPr>
        <w:t>733</w:t>
      </w:r>
      <w:r>
        <w:rPr>
          <w:rFonts w:cs="Arial"/>
          <w:b/>
          <w:szCs w:val="20"/>
        </w:rPr>
        <w:t> </w:t>
      </w:r>
      <w:r w:rsidRPr="00C40884">
        <w:rPr>
          <w:rFonts w:cs="Arial"/>
          <w:b/>
          <w:szCs w:val="20"/>
        </w:rPr>
        <w:t>840</w:t>
      </w:r>
      <w:r>
        <w:rPr>
          <w:rFonts w:cs="Arial"/>
          <w:szCs w:val="20"/>
        </w:rPr>
        <w:t xml:space="preserve">, z toho 52,8 % mužů a 47,2 % žen. </w:t>
      </w:r>
      <w:r w:rsidRPr="00C40884">
        <w:rPr>
          <w:rFonts w:cs="Arial"/>
          <w:b/>
          <w:szCs w:val="20"/>
        </w:rPr>
        <w:t xml:space="preserve">Většina </w:t>
      </w:r>
      <w:r>
        <w:rPr>
          <w:rFonts w:cs="Arial"/>
          <w:szCs w:val="20"/>
        </w:rPr>
        <w:t xml:space="preserve">zaměstnaných (92,9 %) se rekrutovala </w:t>
      </w:r>
      <w:r w:rsidRPr="00C40884">
        <w:rPr>
          <w:rFonts w:cs="Arial"/>
          <w:b/>
          <w:szCs w:val="20"/>
        </w:rPr>
        <w:t>z</w:t>
      </w:r>
      <w:r>
        <w:rPr>
          <w:rFonts w:cs="Arial"/>
          <w:b/>
          <w:szCs w:val="20"/>
        </w:rPr>
        <w:t> </w:t>
      </w:r>
      <w:r w:rsidRPr="00C40884">
        <w:rPr>
          <w:rFonts w:cs="Arial"/>
          <w:b/>
          <w:szCs w:val="20"/>
        </w:rPr>
        <w:t>věkové kategorie 15-64</w:t>
      </w:r>
      <w:r>
        <w:rPr>
          <w:rFonts w:cs="Arial"/>
          <w:b/>
          <w:szCs w:val="20"/>
        </w:rPr>
        <w:t> </w:t>
      </w:r>
      <w:r w:rsidRPr="00C40884">
        <w:rPr>
          <w:rFonts w:cs="Arial"/>
          <w:b/>
          <w:szCs w:val="20"/>
        </w:rPr>
        <w:t>let</w:t>
      </w:r>
      <w:r>
        <w:rPr>
          <w:rFonts w:cs="Arial"/>
          <w:szCs w:val="20"/>
        </w:rPr>
        <w:t xml:space="preserve">, pouze 7,1 % bylo ve věku 65 let a více. Na zastoupení jednotlivých věkových skupin v kategorii zaměstnaných byl patrný vliv celé řady faktorů, kam patří zejména věková struktura obyvatelstva, prodlužující se období přípravy na povolání, odchod do důchodu a u žen mateřská a rodičovská dovolená. </w:t>
      </w:r>
      <w:r w:rsidRPr="000E2CF1">
        <w:rPr>
          <w:rFonts w:cs="Arial"/>
          <w:b/>
          <w:szCs w:val="20"/>
        </w:rPr>
        <w:t>Nejsilněji</w:t>
      </w:r>
      <w:r>
        <w:rPr>
          <w:rFonts w:cs="Arial"/>
          <w:szCs w:val="20"/>
        </w:rPr>
        <w:t xml:space="preserve"> byla </w:t>
      </w:r>
      <w:r w:rsidRPr="000E2CF1">
        <w:rPr>
          <w:rFonts w:cs="Arial"/>
          <w:b/>
          <w:szCs w:val="20"/>
        </w:rPr>
        <w:t xml:space="preserve">mezi zaměstnanými </w:t>
      </w:r>
      <w:r>
        <w:rPr>
          <w:rFonts w:cs="Arial"/>
          <w:b/>
          <w:szCs w:val="20"/>
        </w:rPr>
        <w:t xml:space="preserve">v Praze </w:t>
      </w:r>
      <w:r w:rsidRPr="000E2CF1">
        <w:rPr>
          <w:rFonts w:cs="Arial"/>
          <w:b/>
          <w:szCs w:val="20"/>
        </w:rPr>
        <w:t>zastoupena věková kategorie 40-44 let</w:t>
      </w:r>
      <w:r>
        <w:rPr>
          <w:rFonts w:cs="Arial"/>
          <w:b/>
          <w:szCs w:val="20"/>
        </w:rPr>
        <w:t> </w:t>
      </w:r>
      <w:r w:rsidRPr="000E2CF1">
        <w:rPr>
          <w:rFonts w:cs="Arial"/>
          <w:b/>
          <w:szCs w:val="20"/>
        </w:rPr>
        <w:t>(13,7</w:t>
      </w:r>
      <w:r>
        <w:rPr>
          <w:rFonts w:cs="Arial"/>
          <w:b/>
          <w:szCs w:val="20"/>
        </w:rPr>
        <w:t> </w:t>
      </w:r>
      <w:r w:rsidRPr="000E2CF1">
        <w:rPr>
          <w:rFonts w:cs="Arial"/>
          <w:b/>
          <w:szCs w:val="20"/>
        </w:rPr>
        <w:t>%)</w:t>
      </w:r>
      <w:r>
        <w:rPr>
          <w:rFonts w:cs="Arial"/>
          <w:szCs w:val="20"/>
        </w:rPr>
        <w:t xml:space="preserve">, následovala skupina 30-34 let (13 %) a 45-49 let (12,5 %). </w:t>
      </w:r>
    </w:p>
    <w:p w14:paraId="6E74AAEA" w14:textId="77777777" w:rsidR="004179D7" w:rsidRPr="002E52A9" w:rsidRDefault="004179D7" w:rsidP="004179D7">
      <w:pPr>
        <w:rPr>
          <w:rFonts w:cs="Arial"/>
          <w:b/>
          <w:szCs w:val="20"/>
        </w:rPr>
      </w:pPr>
      <w:r w:rsidRPr="002E52A9">
        <w:rPr>
          <w:rFonts w:cs="Arial"/>
          <w:b/>
          <w:szCs w:val="20"/>
        </w:rPr>
        <w:t>Tab. 4.2.1 Pracovní síla podle pohlaví a věku v hl. m. Praze</w:t>
      </w:r>
    </w:p>
    <w:p w14:paraId="77E848D8" w14:textId="1DECDB92" w:rsidR="00DE5B57" w:rsidRDefault="00F86435" w:rsidP="004179D7">
      <w:pPr>
        <w:rPr>
          <w:rFonts w:cs="Arial"/>
          <w:szCs w:val="20"/>
        </w:rPr>
      </w:pPr>
      <w:r w:rsidRPr="00F86435">
        <w:rPr>
          <w:rFonts w:cs="Arial"/>
          <w:noProof/>
          <w:szCs w:val="20"/>
        </w:rPr>
        <w:drawing>
          <wp:inline distT="0" distB="0" distL="0" distR="0" wp14:anchorId="5F33A7DD" wp14:editId="1B60207C">
            <wp:extent cx="6026150" cy="283845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6150" cy="2838450"/>
                    </a:xfrm>
                    <a:prstGeom prst="rect">
                      <a:avLst/>
                    </a:prstGeom>
                    <a:noFill/>
                    <a:ln>
                      <a:noFill/>
                    </a:ln>
                  </pic:spPr>
                </pic:pic>
              </a:graphicData>
            </a:graphic>
          </wp:inline>
        </w:drawing>
      </w:r>
      <w:r w:rsidR="00DE5B57">
        <w:rPr>
          <w:rFonts w:cs="Arial"/>
          <w:szCs w:val="20"/>
        </w:rPr>
        <w:br/>
      </w:r>
    </w:p>
    <w:p w14:paraId="70B3ECA0" w14:textId="3586EAD9" w:rsidR="004179D7" w:rsidRDefault="004179D7" w:rsidP="00F86435">
      <w:pPr>
        <w:rPr>
          <w:rFonts w:cs="Arial"/>
          <w:szCs w:val="20"/>
        </w:rPr>
      </w:pPr>
      <w:r w:rsidRPr="00CA0EEA">
        <w:rPr>
          <w:rFonts w:cs="Arial"/>
          <w:b/>
          <w:szCs w:val="20"/>
        </w:rPr>
        <w:t>Tab. 4.2.</w:t>
      </w:r>
      <w:r>
        <w:rPr>
          <w:rFonts w:cs="Arial"/>
          <w:b/>
          <w:szCs w:val="20"/>
        </w:rPr>
        <w:t>2</w:t>
      </w:r>
      <w:r w:rsidRPr="00CA0EEA">
        <w:rPr>
          <w:rFonts w:cs="Arial"/>
          <w:b/>
          <w:szCs w:val="20"/>
        </w:rPr>
        <w:t xml:space="preserve"> Zaměstnaní a míra zaměstnanosti podle věku v hl. m. Praze, Středočeském kraji a ČR</w:t>
      </w:r>
      <w:r w:rsidRPr="00CA0EEA">
        <w:rPr>
          <w:rFonts w:cs="Arial"/>
          <w:noProof/>
          <w:szCs w:val="20"/>
        </w:rPr>
        <w:drawing>
          <wp:inline distT="0" distB="0" distL="0" distR="0" wp14:anchorId="1613462D" wp14:editId="7C77EEBB">
            <wp:extent cx="5760720" cy="1441682"/>
            <wp:effectExtent l="0" t="0" r="0" b="635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1441682"/>
                    </a:xfrm>
                    <a:prstGeom prst="rect">
                      <a:avLst/>
                    </a:prstGeom>
                    <a:noFill/>
                    <a:ln>
                      <a:noFill/>
                    </a:ln>
                  </pic:spPr>
                </pic:pic>
              </a:graphicData>
            </a:graphic>
          </wp:inline>
        </w:drawing>
      </w:r>
      <w:r>
        <w:rPr>
          <w:rFonts w:cs="Arial"/>
          <w:b/>
          <w:szCs w:val="20"/>
        </w:rPr>
        <w:br/>
      </w:r>
      <w:r>
        <w:rPr>
          <w:rFonts w:cs="Arial"/>
          <w:szCs w:val="20"/>
        </w:rPr>
        <w:br/>
      </w:r>
    </w:p>
    <w:p w14:paraId="4189B1AF" w14:textId="4E657AD9" w:rsidR="004179D7" w:rsidRPr="00321664" w:rsidRDefault="004179D7" w:rsidP="004179D7">
      <w:pPr>
        <w:rPr>
          <w:rFonts w:cs="Arial"/>
          <w:szCs w:val="20"/>
        </w:rPr>
      </w:pPr>
      <w:r w:rsidRPr="00936FA3">
        <w:rPr>
          <w:rFonts w:cs="Arial"/>
          <w:b/>
          <w:szCs w:val="20"/>
        </w:rPr>
        <w:t>Graf 4.</w:t>
      </w:r>
      <w:r w:rsidR="00DA5C0D">
        <w:rPr>
          <w:rFonts w:cs="Arial"/>
          <w:b/>
          <w:szCs w:val="20"/>
        </w:rPr>
        <w:t>4</w:t>
      </w:r>
      <w:r w:rsidRPr="00936FA3">
        <w:rPr>
          <w:rFonts w:cs="Arial"/>
          <w:b/>
          <w:szCs w:val="20"/>
        </w:rPr>
        <w:t xml:space="preserve"> Míra zaměstnanosti podle pohlaví a věku v hl. m. Praze</w:t>
      </w:r>
      <w:r w:rsidR="00321664">
        <w:rPr>
          <w:rFonts w:cs="Arial"/>
          <w:b/>
          <w:szCs w:val="20"/>
        </w:rPr>
        <w:br/>
      </w:r>
      <w:r w:rsidRPr="00321664">
        <w:rPr>
          <w:rFonts w:cs="Arial"/>
          <w:szCs w:val="20"/>
        </w:rPr>
        <w:t>(ze zjištěných hodnot)</w:t>
      </w:r>
    </w:p>
    <w:p w14:paraId="43D98068" w14:textId="77777777" w:rsidR="00DE5B57" w:rsidRDefault="004179D7" w:rsidP="00DE5B57">
      <w:pPr>
        <w:jc w:val="both"/>
        <w:rPr>
          <w:rFonts w:cs="Arial"/>
          <w:b/>
          <w:szCs w:val="20"/>
        </w:rPr>
      </w:pPr>
      <w:r w:rsidRPr="00936FA3">
        <w:rPr>
          <w:rFonts w:cs="Arial"/>
          <w:noProof/>
          <w:szCs w:val="20"/>
        </w:rPr>
        <w:drawing>
          <wp:inline distT="0" distB="0" distL="0" distR="0" wp14:anchorId="200E7997" wp14:editId="665B60DB">
            <wp:extent cx="5760720" cy="2623398"/>
            <wp:effectExtent l="0" t="0" r="0"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623398"/>
                    </a:xfrm>
                    <a:prstGeom prst="rect">
                      <a:avLst/>
                    </a:prstGeom>
                    <a:noFill/>
                    <a:ln>
                      <a:noFill/>
                    </a:ln>
                  </pic:spPr>
                </pic:pic>
              </a:graphicData>
            </a:graphic>
          </wp:inline>
        </w:drawing>
      </w:r>
      <w:r>
        <w:rPr>
          <w:rFonts w:cs="Arial"/>
          <w:szCs w:val="20"/>
        </w:rPr>
        <w:br/>
      </w:r>
    </w:p>
    <w:p w14:paraId="5A724E48" w14:textId="24987BF3" w:rsidR="004179D7" w:rsidRPr="002E52A9" w:rsidRDefault="00AB7377" w:rsidP="00DE5B57">
      <w:pPr>
        <w:jc w:val="both"/>
        <w:rPr>
          <w:rFonts w:cs="Arial"/>
          <w:b/>
          <w:szCs w:val="20"/>
        </w:rPr>
      </w:pPr>
      <w:r w:rsidRPr="001C468B">
        <w:rPr>
          <w:rFonts w:cs="Arial"/>
          <w:b/>
          <w:szCs w:val="20"/>
        </w:rPr>
        <w:t>Pražská pracovní síla</w:t>
      </w:r>
      <w:r>
        <w:rPr>
          <w:rFonts w:cs="Arial"/>
          <w:szCs w:val="20"/>
        </w:rPr>
        <w:t xml:space="preserve"> (osoby se zjištěným vzděláním) v době sčítání 2021 dosáhla nejčastěji </w:t>
      </w:r>
      <w:r w:rsidRPr="001C468B">
        <w:rPr>
          <w:rFonts w:cs="Arial"/>
          <w:b/>
          <w:szCs w:val="20"/>
        </w:rPr>
        <w:t>vysokoškolského vzdělání (42</w:t>
      </w:r>
      <w:r>
        <w:rPr>
          <w:rFonts w:cs="Arial"/>
          <w:b/>
          <w:szCs w:val="20"/>
        </w:rPr>
        <w:t> </w:t>
      </w:r>
      <w:r w:rsidRPr="001C468B">
        <w:rPr>
          <w:rFonts w:cs="Arial"/>
          <w:b/>
          <w:szCs w:val="20"/>
        </w:rPr>
        <w:t>%)</w:t>
      </w:r>
      <w:r>
        <w:rPr>
          <w:rFonts w:cs="Arial"/>
          <w:szCs w:val="20"/>
        </w:rPr>
        <w:t xml:space="preserve">, v čemž se velmi lišila od České republiky jako celku, kde byl podíl osob s dosaženým vysokoškolským vzděláním pouze 23,6 %. Další přibližně třetina osob v Praze i v České republice </w:t>
      </w:r>
      <w:r w:rsidR="00F2298E">
        <w:rPr>
          <w:rFonts w:cs="Arial"/>
          <w:szCs w:val="20"/>
        </w:rPr>
        <w:t>dosáhla</w:t>
      </w:r>
      <w:r>
        <w:rPr>
          <w:rFonts w:cs="Arial"/>
          <w:szCs w:val="20"/>
        </w:rPr>
        <w:t xml:space="preserve"> úplné</w:t>
      </w:r>
      <w:r w:rsidR="00F2298E">
        <w:rPr>
          <w:rFonts w:cs="Arial"/>
          <w:szCs w:val="20"/>
        </w:rPr>
        <w:t>ho</w:t>
      </w:r>
      <w:r>
        <w:rPr>
          <w:rFonts w:cs="Arial"/>
          <w:szCs w:val="20"/>
        </w:rPr>
        <w:t xml:space="preserve"> střední</w:t>
      </w:r>
      <w:r w:rsidR="00F2298E">
        <w:rPr>
          <w:rFonts w:cs="Arial"/>
          <w:szCs w:val="20"/>
        </w:rPr>
        <w:t>ho</w:t>
      </w:r>
      <w:r>
        <w:rPr>
          <w:rFonts w:cs="Arial"/>
          <w:szCs w:val="20"/>
        </w:rPr>
        <w:t xml:space="preserve"> vzdělání s maturitou. Podstatně nižší byl v Praze podíl osob se středním vzděláním včetně vyučení bez maturity (Praha 16 %, ČR 31,7 %). Více než 5 % osob v Praze i v ČR docílilo </w:t>
      </w:r>
      <w:r w:rsidR="00F2298E">
        <w:rPr>
          <w:rFonts w:cs="Arial"/>
          <w:szCs w:val="20"/>
        </w:rPr>
        <w:t xml:space="preserve">absolvování </w:t>
      </w:r>
      <w:r>
        <w:rPr>
          <w:rFonts w:cs="Arial"/>
          <w:szCs w:val="20"/>
        </w:rPr>
        <w:t xml:space="preserve">nějaké formy pomaturitního, nástavbového či vyššího odborného studia. Pouze 4,3 % osob v Praze spadalo do kategorie základní vzdělání či bez vzdělání, v celé České republice jich bylo 6,4 %. </w:t>
      </w:r>
      <w:r>
        <w:rPr>
          <w:rFonts w:cs="Arial"/>
          <w:szCs w:val="20"/>
        </w:rPr>
        <w:br/>
        <w:t xml:space="preserve">Ženská pracovní síla v Praze mohla nabídnout o něco vyšší úroveň vzdělání než mužská. Ukončenou vysokou školu mělo 43,9 % žen a 40,3 % mužů, pomaturitní, nástavbové či vyšší odborné vzdělání 6,8 % žen a 4,8 % mužů, přibližně třetinové zastoupení mělo u obou pohlaví úplné střední vzdělání s maturitou. Téměř pětina mužů, ale jen 12,6 % žen patřilo do kategorie střední vzdělání včetně vyučení bez maturity. </w:t>
      </w:r>
      <w:r>
        <w:rPr>
          <w:rFonts w:cs="Arial"/>
          <w:szCs w:val="20"/>
        </w:rPr>
        <w:br/>
      </w:r>
      <w:r w:rsidRPr="00645B70">
        <w:rPr>
          <w:rFonts w:cs="Arial"/>
          <w:b/>
          <w:szCs w:val="20"/>
        </w:rPr>
        <w:t>Struktura nejvyššího dosaženého vzdělání zaměstnaných</w:t>
      </w:r>
      <w:r>
        <w:rPr>
          <w:rFonts w:cs="Arial"/>
          <w:szCs w:val="20"/>
        </w:rPr>
        <w:t xml:space="preserve"> (se zjištěným vzděláním) v Praze v podstatě </w:t>
      </w:r>
      <w:r w:rsidRPr="00645B70">
        <w:rPr>
          <w:rFonts w:cs="Arial"/>
          <w:b/>
          <w:szCs w:val="20"/>
        </w:rPr>
        <w:t>kopírovala</w:t>
      </w:r>
      <w:r w:rsidR="00DE5B57">
        <w:rPr>
          <w:rFonts w:cs="Arial"/>
          <w:b/>
          <w:szCs w:val="20"/>
        </w:rPr>
        <w:t> </w:t>
      </w:r>
      <w:r w:rsidRPr="00645B70">
        <w:rPr>
          <w:rFonts w:cs="Arial"/>
          <w:b/>
          <w:szCs w:val="20"/>
        </w:rPr>
        <w:t>strukturu</w:t>
      </w:r>
      <w:r w:rsidR="00DE5B57">
        <w:rPr>
          <w:rFonts w:cs="Arial"/>
          <w:b/>
          <w:szCs w:val="20"/>
        </w:rPr>
        <w:t> </w:t>
      </w:r>
      <w:r w:rsidRPr="00645B70">
        <w:rPr>
          <w:rFonts w:cs="Arial"/>
          <w:b/>
          <w:szCs w:val="20"/>
        </w:rPr>
        <w:t>vzdělání</w:t>
      </w:r>
      <w:r w:rsidR="00DE5B57">
        <w:rPr>
          <w:rFonts w:cs="Arial"/>
          <w:b/>
          <w:szCs w:val="20"/>
        </w:rPr>
        <w:t> </w:t>
      </w:r>
      <w:r w:rsidRPr="00645B70">
        <w:rPr>
          <w:rFonts w:cs="Arial"/>
          <w:b/>
          <w:szCs w:val="20"/>
        </w:rPr>
        <w:t>pracovní</w:t>
      </w:r>
      <w:r w:rsidR="00DE5B57">
        <w:rPr>
          <w:rFonts w:cs="Arial"/>
          <w:b/>
          <w:szCs w:val="20"/>
        </w:rPr>
        <w:t> </w:t>
      </w:r>
      <w:r w:rsidRPr="00645B70">
        <w:rPr>
          <w:rFonts w:cs="Arial"/>
          <w:b/>
          <w:szCs w:val="20"/>
        </w:rPr>
        <w:t>síly</w:t>
      </w:r>
      <w:r>
        <w:rPr>
          <w:rFonts w:cs="Arial"/>
          <w:b/>
          <w:szCs w:val="20"/>
        </w:rPr>
        <w:t>,</w:t>
      </w:r>
      <w:r w:rsidR="00DE5B57">
        <w:rPr>
          <w:rFonts w:cs="Arial"/>
          <w:szCs w:val="20"/>
        </w:rPr>
        <w:t> </w:t>
      </w:r>
      <w:r>
        <w:rPr>
          <w:rFonts w:cs="Arial"/>
          <w:szCs w:val="20"/>
        </w:rPr>
        <w:t>a</w:t>
      </w:r>
      <w:r w:rsidR="00DE5B57">
        <w:rPr>
          <w:rFonts w:cs="Arial"/>
          <w:szCs w:val="20"/>
        </w:rPr>
        <w:t> </w:t>
      </w:r>
      <w:r>
        <w:rPr>
          <w:rFonts w:cs="Arial"/>
          <w:szCs w:val="20"/>
        </w:rPr>
        <w:t>to</w:t>
      </w:r>
      <w:r w:rsidR="00DE5B57">
        <w:rPr>
          <w:rFonts w:cs="Arial"/>
          <w:szCs w:val="20"/>
        </w:rPr>
        <w:t> </w:t>
      </w:r>
      <w:r>
        <w:rPr>
          <w:rFonts w:cs="Arial"/>
          <w:szCs w:val="20"/>
        </w:rPr>
        <w:t>shodně</w:t>
      </w:r>
      <w:r w:rsidR="00DE5B57">
        <w:rPr>
          <w:rFonts w:cs="Arial"/>
          <w:szCs w:val="20"/>
        </w:rPr>
        <w:t> </w:t>
      </w:r>
      <w:r>
        <w:rPr>
          <w:rFonts w:cs="Arial"/>
          <w:szCs w:val="20"/>
        </w:rPr>
        <w:t>u mužů</w:t>
      </w:r>
      <w:r w:rsidR="00DE5B57">
        <w:rPr>
          <w:rFonts w:cs="Arial"/>
          <w:szCs w:val="20"/>
        </w:rPr>
        <w:t> </w:t>
      </w:r>
      <w:r>
        <w:rPr>
          <w:rFonts w:cs="Arial"/>
          <w:szCs w:val="20"/>
        </w:rPr>
        <w:t xml:space="preserve">i u žen. </w:t>
      </w:r>
      <w:r>
        <w:rPr>
          <w:rFonts w:cs="Arial"/>
          <w:szCs w:val="20"/>
        </w:rPr>
        <w:br/>
      </w:r>
      <w:r w:rsidRPr="00645B70">
        <w:rPr>
          <w:rFonts w:cs="Arial"/>
          <w:b/>
          <w:szCs w:val="20"/>
        </w:rPr>
        <w:t>Téměř třetinu nezaměstnaných</w:t>
      </w:r>
      <w:r>
        <w:rPr>
          <w:rFonts w:cs="Arial"/>
          <w:szCs w:val="20"/>
        </w:rPr>
        <w:t xml:space="preserve"> se zjištěným vzděláním tvořili v hlavním městě </w:t>
      </w:r>
      <w:r w:rsidRPr="00645B70">
        <w:rPr>
          <w:rFonts w:cs="Arial"/>
          <w:b/>
          <w:szCs w:val="20"/>
        </w:rPr>
        <w:t>lidé s</w:t>
      </w:r>
      <w:r>
        <w:rPr>
          <w:rFonts w:cs="Arial"/>
          <w:b/>
          <w:szCs w:val="20"/>
        </w:rPr>
        <w:t> </w:t>
      </w:r>
      <w:r w:rsidRPr="00645B70">
        <w:rPr>
          <w:rFonts w:cs="Arial"/>
          <w:b/>
          <w:szCs w:val="20"/>
        </w:rPr>
        <w:t>úplným středním vzděláním s</w:t>
      </w:r>
      <w:r>
        <w:rPr>
          <w:rFonts w:cs="Arial"/>
          <w:b/>
          <w:szCs w:val="20"/>
        </w:rPr>
        <w:t> </w:t>
      </w:r>
      <w:r w:rsidRPr="00645B70">
        <w:rPr>
          <w:rFonts w:cs="Arial"/>
          <w:b/>
          <w:szCs w:val="20"/>
        </w:rPr>
        <w:t>maturitou</w:t>
      </w:r>
      <w:r>
        <w:rPr>
          <w:rFonts w:cs="Arial"/>
          <w:szCs w:val="20"/>
        </w:rPr>
        <w:t>, druhá nejpočetnější skupina měla střední vzdělání včetně vyučení bez maturity (26,7 %), přibližně pětinu (21,4 %) tvořili vysokoškoláci, 14,3 % osoby se základním vzděláním a bez vzdělání. Z nezaměstnaných žen jich měla vysokoškolské vzdělání čtvrtina, u mužů pouze 17,4 %. A naopak z celkového množství nezaměstnaných mužů jich 30,8 % mělo střední vzdělání včetně vyučení bez maturity, u žen pouze 22,9 %.</w:t>
      </w:r>
      <w:r>
        <w:rPr>
          <w:rFonts w:cs="Arial"/>
          <w:szCs w:val="20"/>
        </w:rPr>
        <w:br/>
        <w:t>V České republice jako celku převažovala mezi nezaměstnanými skupina osob se středním vzděláním bez maturity (38,2 %), čtvrtina nezaměstnaných dosáhla úplného středního vzdělání s maturitou a podobné množství mělo pouze základní či žádné vzdělání.</w:t>
      </w:r>
      <w:r>
        <w:rPr>
          <w:rFonts w:cs="Arial"/>
          <w:szCs w:val="20"/>
        </w:rPr>
        <w:br/>
      </w:r>
      <w:r>
        <w:rPr>
          <w:rFonts w:cs="Arial"/>
          <w:b/>
          <w:szCs w:val="20"/>
        </w:rPr>
        <w:br/>
      </w:r>
      <w:r w:rsidR="004179D7" w:rsidRPr="002E52A9">
        <w:rPr>
          <w:rFonts w:cs="Arial"/>
          <w:b/>
          <w:szCs w:val="20"/>
        </w:rPr>
        <w:t>Tab. 4.2.</w:t>
      </w:r>
      <w:r w:rsidR="004179D7">
        <w:rPr>
          <w:rFonts w:cs="Arial"/>
          <w:b/>
          <w:szCs w:val="20"/>
        </w:rPr>
        <w:t>3</w:t>
      </w:r>
      <w:r w:rsidR="004179D7" w:rsidRPr="002E52A9">
        <w:rPr>
          <w:rFonts w:cs="Arial"/>
          <w:b/>
          <w:szCs w:val="20"/>
        </w:rPr>
        <w:t xml:space="preserve"> Pracovní síla podle pohlaví a nejvyššího dokončeného vzdělání v hl. m. Praze</w:t>
      </w:r>
    </w:p>
    <w:p w14:paraId="6E31F379" w14:textId="007D235E" w:rsidR="004179D7" w:rsidRDefault="00E42999" w:rsidP="004179D7">
      <w:pPr>
        <w:rPr>
          <w:rFonts w:cs="Arial"/>
          <w:szCs w:val="20"/>
        </w:rPr>
      </w:pPr>
      <w:r w:rsidRPr="00E42999">
        <w:rPr>
          <w:rFonts w:cs="Arial"/>
          <w:noProof/>
          <w:szCs w:val="20"/>
        </w:rPr>
        <w:drawing>
          <wp:inline distT="0" distB="0" distL="0" distR="0" wp14:anchorId="73623ADA" wp14:editId="256DCDCE">
            <wp:extent cx="6096000" cy="248285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2482850"/>
                    </a:xfrm>
                    <a:prstGeom prst="rect">
                      <a:avLst/>
                    </a:prstGeom>
                    <a:noFill/>
                    <a:ln>
                      <a:noFill/>
                    </a:ln>
                  </pic:spPr>
                </pic:pic>
              </a:graphicData>
            </a:graphic>
          </wp:inline>
        </w:drawing>
      </w:r>
    </w:p>
    <w:p w14:paraId="0D566890" w14:textId="77777777" w:rsidR="00710EB3" w:rsidRPr="00710EB3" w:rsidRDefault="00AB7377" w:rsidP="00321664">
      <w:pPr>
        <w:jc w:val="both"/>
      </w:pPr>
      <w:r>
        <w:rPr>
          <w:rFonts w:cs="Arial"/>
          <w:b/>
          <w:szCs w:val="20"/>
        </w:rPr>
        <w:t>Z</w:t>
      </w:r>
      <w:r w:rsidRPr="00222AC6">
        <w:rPr>
          <w:rFonts w:cs="Arial"/>
          <w:b/>
          <w:szCs w:val="20"/>
        </w:rPr>
        <w:t>aměstnaní</w:t>
      </w:r>
      <w:r>
        <w:rPr>
          <w:rFonts w:cs="Arial"/>
          <w:b/>
          <w:szCs w:val="20"/>
        </w:rPr>
        <w:t xml:space="preserve"> </w:t>
      </w:r>
      <w:r>
        <w:rPr>
          <w:rFonts w:cs="Arial"/>
          <w:szCs w:val="20"/>
        </w:rPr>
        <w:t xml:space="preserve">se zjištěným vzděláním v hl. m. Praze měli </w:t>
      </w:r>
      <w:r w:rsidRPr="00222AC6">
        <w:rPr>
          <w:rFonts w:cs="Arial"/>
          <w:b/>
          <w:szCs w:val="20"/>
        </w:rPr>
        <w:t>nejčastěji vysokoškolské vzdělání (42,9</w:t>
      </w:r>
      <w:r>
        <w:rPr>
          <w:rFonts w:cs="Arial"/>
          <w:b/>
          <w:szCs w:val="20"/>
        </w:rPr>
        <w:t> </w:t>
      </w:r>
      <w:r w:rsidRPr="00222AC6">
        <w:rPr>
          <w:rFonts w:cs="Arial"/>
          <w:b/>
          <w:szCs w:val="20"/>
        </w:rPr>
        <w:t>%)</w:t>
      </w:r>
      <w:r>
        <w:rPr>
          <w:rFonts w:cs="Arial"/>
          <w:szCs w:val="20"/>
        </w:rPr>
        <w:t>, následovalo úplné střední vzdělání s maturitou (31,9 %) a střední vzdělání včetně vyučení bez maturity (15,5 %). Zaměstnaných pouze se základním vzděláním či bez vzdělání bylo v Praze velmi málo (3,9 %). Stejné pořadí úrovně vzdělání platilo ve všech třech skupinách zaměstnaných – tedy u</w:t>
      </w:r>
      <w:r>
        <w:rPr>
          <w:rFonts w:ascii="Nirmala UI" w:hAnsi="Nirmala UI" w:cs="Nirmala UI"/>
          <w:szCs w:val="20"/>
        </w:rPr>
        <w:t> </w:t>
      </w:r>
      <w:r>
        <w:rPr>
          <w:rFonts w:cs="Arial"/>
          <w:szCs w:val="20"/>
        </w:rPr>
        <w:t>zaměstnanců, zaměstnavatelů i osob pracujících na vlastní účet. Podíl vysokoškolsky vzdělaných zaměstnaných nabýval hodnot mezi 42,2 % (osoby pracující na vlastní účet) a 45,5 % (zaměstnavatelé).</w:t>
      </w:r>
      <w:r w:rsidR="004179D7">
        <w:rPr>
          <w:rFonts w:cs="Arial"/>
          <w:szCs w:val="20"/>
        </w:rPr>
        <w:br/>
        <w:t>Hlavní město dosáhlo v tomto směru výrazně nadprůměrných hodnot oproti České republice jako celku. Zaměstnaných se zjištěným vysokoškolským vzděláním bylo v České republice jen 24,3 %. Třetinu zaměstnaných v zemi tvořili lidé s úplným středním vzděláním s maturitou a velmi podobný podíl měly i osoby se středním vzděláním včetně vyučení bez maturity. Rovněž z pohledu České republiky jako celku byly podíly jednotlivých</w:t>
      </w:r>
      <w:r w:rsidR="00321664">
        <w:rPr>
          <w:rFonts w:cs="Arial"/>
          <w:szCs w:val="20"/>
        </w:rPr>
        <w:t> </w:t>
      </w:r>
      <w:r w:rsidR="004179D7">
        <w:rPr>
          <w:rFonts w:cs="Arial"/>
          <w:szCs w:val="20"/>
        </w:rPr>
        <w:t>úrovní</w:t>
      </w:r>
      <w:r w:rsidR="00321664">
        <w:rPr>
          <w:rFonts w:cs="Arial"/>
          <w:szCs w:val="20"/>
        </w:rPr>
        <w:t> </w:t>
      </w:r>
      <w:r w:rsidR="004179D7">
        <w:rPr>
          <w:rFonts w:cs="Arial"/>
          <w:szCs w:val="20"/>
        </w:rPr>
        <w:t>vzdělání</w:t>
      </w:r>
      <w:r w:rsidR="00321664">
        <w:rPr>
          <w:rFonts w:cs="Arial"/>
          <w:szCs w:val="20"/>
        </w:rPr>
        <w:t> </w:t>
      </w:r>
      <w:r w:rsidR="004179D7">
        <w:rPr>
          <w:rFonts w:cs="Arial"/>
          <w:szCs w:val="20"/>
        </w:rPr>
        <w:t>ve všech</w:t>
      </w:r>
      <w:r w:rsidR="00321664">
        <w:rPr>
          <w:rFonts w:cs="Arial"/>
          <w:szCs w:val="20"/>
        </w:rPr>
        <w:t> </w:t>
      </w:r>
      <w:r w:rsidR="004179D7">
        <w:rPr>
          <w:rFonts w:cs="Arial"/>
          <w:szCs w:val="20"/>
        </w:rPr>
        <w:t>typech</w:t>
      </w:r>
      <w:r w:rsidR="00321664">
        <w:rPr>
          <w:rFonts w:cs="Arial"/>
          <w:szCs w:val="20"/>
        </w:rPr>
        <w:t> </w:t>
      </w:r>
      <w:r w:rsidR="004179D7">
        <w:rPr>
          <w:rFonts w:cs="Arial"/>
          <w:szCs w:val="20"/>
        </w:rPr>
        <w:t>postavení</w:t>
      </w:r>
      <w:r w:rsidR="00321664">
        <w:rPr>
          <w:rFonts w:cs="Arial"/>
          <w:szCs w:val="20"/>
        </w:rPr>
        <w:t> </w:t>
      </w:r>
      <w:r w:rsidR="004179D7">
        <w:rPr>
          <w:rFonts w:cs="Arial"/>
          <w:szCs w:val="20"/>
        </w:rPr>
        <w:t>v</w:t>
      </w:r>
      <w:r w:rsidR="00321664">
        <w:rPr>
          <w:rFonts w:cs="Arial"/>
          <w:szCs w:val="20"/>
        </w:rPr>
        <w:t> </w:t>
      </w:r>
      <w:r w:rsidR="004179D7">
        <w:rPr>
          <w:rFonts w:cs="Arial"/>
          <w:szCs w:val="20"/>
        </w:rPr>
        <w:t>zaměstnání</w:t>
      </w:r>
      <w:r w:rsidR="00321664">
        <w:rPr>
          <w:rFonts w:cs="Arial"/>
          <w:szCs w:val="20"/>
        </w:rPr>
        <w:t> </w:t>
      </w:r>
      <w:r w:rsidR="004179D7">
        <w:rPr>
          <w:rFonts w:cs="Arial"/>
          <w:szCs w:val="20"/>
        </w:rPr>
        <w:t xml:space="preserve">obdobné. </w:t>
      </w:r>
      <w:r w:rsidR="004179D7">
        <w:rPr>
          <w:rFonts w:cs="Arial"/>
          <w:szCs w:val="20"/>
        </w:rPr>
        <w:br/>
        <w:t xml:space="preserve">V hlavním městě byl určitý rozdíl mezi vzděláním zaměstnaných mužů a žen, přičemž </w:t>
      </w:r>
      <w:r w:rsidR="004179D7" w:rsidRPr="00222AC6">
        <w:rPr>
          <w:rFonts w:cs="Arial"/>
          <w:b/>
          <w:szCs w:val="20"/>
        </w:rPr>
        <w:t>zaměstnané ženy častěji absolvovaly vysokou školu (ženy 44,7</w:t>
      </w:r>
      <w:r w:rsidR="004179D7">
        <w:rPr>
          <w:rFonts w:cs="Arial"/>
          <w:b/>
          <w:szCs w:val="20"/>
        </w:rPr>
        <w:t> </w:t>
      </w:r>
      <w:r w:rsidR="004179D7" w:rsidRPr="00222AC6">
        <w:rPr>
          <w:rFonts w:cs="Arial"/>
          <w:b/>
          <w:szCs w:val="20"/>
        </w:rPr>
        <w:t>%, muži 41,2</w:t>
      </w:r>
      <w:r w:rsidR="004179D7">
        <w:rPr>
          <w:rFonts w:cs="Arial"/>
          <w:b/>
          <w:szCs w:val="20"/>
        </w:rPr>
        <w:t> </w:t>
      </w:r>
      <w:r w:rsidR="004179D7" w:rsidRPr="00222AC6">
        <w:rPr>
          <w:rFonts w:cs="Arial"/>
          <w:b/>
          <w:szCs w:val="20"/>
        </w:rPr>
        <w:t>%)</w:t>
      </w:r>
      <w:r w:rsidR="004179D7">
        <w:rPr>
          <w:rFonts w:cs="Arial"/>
          <w:szCs w:val="20"/>
        </w:rPr>
        <w:t>. V případě zaměstnanců byl rozdíl nevelký, v případě podnikajících osob podstatně viditelnější (zaměstnavatelé – ženy 61,9 % VŠ, muži 36,2 % VŠ; osoby pracující na vlastní účet – ženy 48,8 % VŠ, muži 38,3 % VŠ). Zaměstnaní muži naopak ve větší míře uváděli střední vzdělání včetně vyučení bez maturity (muži 18,6 %, ženy 12,1 %).</w:t>
      </w:r>
    </w:p>
    <w:p w14:paraId="46F61CAD" w14:textId="77777777" w:rsidR="00C92364" w:rsidRPr="00C92364" w:rsidRDefault="00CE6C75" w:rsidP="00C92364">
      <w:pPr>
        <w:pStyle w:val="Nadpis2"/>
      </w:pPr>
      <w:bookmarkStart w:id="4" w:name="_Toc145675417"/>
      <w:r w:rsidRPr="00175AA4">
        <w:t>Zaměstnaní podle odvětví</w:t>
      </w:r>
      <w:bookmarkEnd w:id="4"/>
      <w:r w:rsidR="00C92364">
        <w:br/>
      </w:r>
    </w:p>
    <w:p w14:paraId="6AB6F3CF" w14:textId="4892E119" w:rsidR="004179D7" w:rsidRDefault="004179D7" w:rsidP="00C92364">
      <w:pPr>
        <w:jc w:val="both"/>
        <w:rPr>
          <w:rFonts w:cs="Arial"/>
          <w:szCs w:val="20"/>
        </w:rPr>
      </w:pPr>
      <w:r>
        <w:rPr>
          <w:rFonts w:cs="Arial"/>
          <w:szCs w:val="20"/>
        </w:rPr>
        <w:t>Z celkového počtu zaměstnaných v Praze, u nichž bylo zjištěno odvětví</w:t>
      </w:r>
      <w:r w:rsidR="00906510">
        <w:rPr>
          <w:rFonts w:cs="Arial"/>
          <w:szCs w:val="20"/>
        </w:rPr>
        <w:t xml:space="preserve"> (725 974)</w:t>
      </w:r>
      <w:r>
        <w:rPr>
          <w:rFonts w:cs="Arial"/>
          <w:szCs w:val="20"/>
        </w:rPr>
        <w:t>, jich 605 325 – tj. </w:t>
      </w:r>
      <w:r w:rsidRPr="00021513">
        <w:rPr>
          <w:rFonts w:cs="Arial"/>
          <w:b/>
          <w:szCs w:val="20"/>
        </w:rPr>
        <w:t>83,4</w:t>
      </w:r>
      <w:r>
        <w:rPr>
          <w:rFonts w:cs="Arial"/>
          <w:b/>
          <w:szCs w:val="20"/>
        </w:rPr>
        <w:t> </w:t>
      </w:r>
      <w:r w:rsidRPr="00021513">
        <w:rPr>
          <w:rFonts w:cs="Arial"/>
          <w:b/>
          <w:szCs w:val="20"/>
        </w:rPr>
        <w:t>%</w:t>
      </w:r>
      <w:r>
        <w:rPr>
          <w:rFonts w:cs="Arial"/>
          <w:szCs w:val="20"/>
        </w:rPr>
        <w:t xml:space="preserve"> </w:t>
      </w:r>
      <w:r w:rsidRPr="00021513">
        <w:rPr>
          <w:rFonts w:cs="Arial"/>
          <w:b/>
          <w:szCs w:val="20"/>
        </w:rPr>
        <w:t>pracovalo v</w:t>
      </w:r>
      <w:r>
        <w:rPr>
          <w:rFonts w:cs="Arial"/>
          <w:b/>
          <w:szCs w:val="20"/>
        </w:rPr>
        <w:t> </w:t>
      </w:r>
      <w:r w:rsidRPr="00021513">
        <w:rPr>
          <w:rFonts w:cs="Arial"/>
          <w:b/>
          <w:szCs w:val="20"/>
        </w:rPr>
        <w:t>terciárním a kvarterním sektoru</w:t>
      </w:r>
      <w:r>
        <w:rPr>
          <w:rFonts w:cs="Arial"/>
          <w:szCs w:val="20"/>
        </w:rPr>
        <w:t xml:space="preserve">, u žen dokonce 90,9 %, u mužů 76,6 %. </w:t>
      </w:r>
      <w:r w:rsidRPr="00021513">
        <w:rPr>
          <w:rFonts w:cs="Arial"/>
          <w:b/>
          <w:szCs w:val="20"/>
        </w:rPr>
        <w:t>V</w:t>
      </w:r>
      <w:r>
        <w:rPr>
          <w:rFonts w:cs="Arial"/>
          <w:b/>
          <w:szCs w:val="20"/>
        </w:rPr>
        <w:t> </w:t>
      </w:r>
      <w:r w:rsidRPr="00021513">
        <w:rPr>
          <w:rFonts w:cs="Arial"/>
          <w:b/>
          <w:szCs w:val="20"/>
        </w:rPr>
        <w:t>sekundárním sektoru</w:t>
      </w:r>
      <w:r>
        <w:rPr>
          <w:rFonts w:cs="Arial"/>
          <w:szCs w:val="20"/>
        </w:rPr>
        <w:t xml:space="preserve"> pracovalo pouze </w:t>
      </w:r>
      <w:r w:rsidRPr="00021513">
        <w:rPr>
          <w:rFonts w:cs="Arial"/>
          <w:b/>
          <w:szCs w:val="20"/>
        </w:rPr>
        <w:t>15,9</w:t>
      </w:r>
      <w:r>
        <w:rPr>
          <w:rFonts w:cs="Arial"/>
          <w:b/>
          <w:szCs w:val="20"/>
        </w:rPr>
        <w:t> </w:t>
      </w:r>
      <w:r w:rsidRPr="00021513">
        <w:rPr>
          <w:rFonts w:cs="Arial"/>
          <w:b/>
          <w:szCs w:val="20"/>
        </w:rPr>
        <w:t>% zaměstnaných</w:t>
      </w:r>
      <w:r>
        <w:rPr>
          <w:rFonts w:cs="Arial"/>
          <w:szCs w:val="20"/>
        </w:rPr>
        <w:t>, 22,5 % mužů a pouze 8,6 % žen. Do </w:t>
      </w:r>
      <w:r w:rsidRPr="001F1F30">
        <w:rPr>
          <w:rFonts w:cs="Arial"/>
          <w:b/>
          <w:szCs w:val="20"/>
        </w:rPr>
        <w:t>primárního sektoru</w:t>
      </w:r>
      <w:r>
        <w:rPr>
          <w:rFonts w:cs="Arial"/>
          <w:szCs w:val="20"/>
        </w:rPr>
        <w:t xml:space="preserve"> patřilo</w:t>
      </w:r>
      <w:r w:rsidR="001F40BD">
        <w:rPr>
          <w:rFonts w:cs="Arial"/>
          <w:szCs w:val="20"/>
        </w:rPr>
        <w:t> </w:t>
      </w:r>
      <w:r>
        <w:rPr>
          <w:rFonts w:cs="Arial"/>
          <w:szCs w:val="20"/>
        </w:rPr>
        <w:t>jen</w:t>
      </w:r>
      <w:r w:rsidR="001F40BD">
        <w:rPr>
          <w:rFonts w:cs="Arial"/>
          <w:szCs w:val="20"/>
        </w:rPr>
        <w:t> </w:t>
      </w:r>
      <w:r w:rsidRPr="001F1F30">
        <w:rPr>
          <w:rFonts w:cs="Arial"/>
          <w:b/>
          <w:szCs w:val="20"/>
        </w:rPr>
        <w:t>0,7</w:t>
      </w:r>
      <w:r>
        <w:rPr>
          <w:rFonts w:cs="Arial"/>
          <w:b/>
          <w:szCs w:val="20"/>
        </w:rPr>
        <w:t> </w:t>
      </w:r>
      <w:r w:rsidRPr="001F1F30">
        <w:rPr>
          <w:rFonts w:cs="Arial"/>
          <w:b/>
          <w:szCs w:val="20"/>
        </w:rPr>
        <w:t>%</w:t>
      </w:r>
      <w:r w:rsidR="00C92364">
        <w:rPr>
          <w:rFonts w:cs="Arial"/>
          <w:b/>
          <w:szCs w:val="20"/>
        </w:rPr>
        <w:t> </w:t>
      </w:r>
      <w:r w:rsidRPr="001F1F30">
        <w:rPr>
          <w:rFonts w:cs="Arial"/>
          <w:b/>
          <w:szCs w:val="20"/>
        </w:rPr>
        <w:t>zaměstnaných</w:t>
      </w:r>
      <w:r>
        <w:rPr>
          <w:rFonts w:cs="Arial"/>
          <w:szCs w:val="20"/>
        </w:rPr>
        <w:t>,</w:t>
      </w:r>
      <w:r w:rsidR="00C92364">
        <w:rPr>
          <w:rFonts w:cs="Arial"/>
          <w:szCs w:val="20"/>
        </w:rPr>
        <w:t> </w:t>
      </w:r>
      <w:r>
        <w:rPr>
          <w:rFonts w:cs="Arial"/>
          <w:szCs w:val="20"/>
        </w:rPr>
        <w:t>0,9 % mužů</w:t>
      </w:r>
      <w:r w:rsidR="00C92364">
        <w:rPr>
          <w:rFonts w:cs="Arial"/>
          <w:szCs w:val="20"/>
        </w:rPr>
        <w:t> </w:t>
      </w:r>
      <w:r>
        <w:rPr>
          <w:rFonts w:cs="Arial"/>
          <w:szCs w:val="20"/>
        </w:rPr>
        <w:t>a</w:t>
      </w:r>
      <w:r w:rsidR="00C92364">
        <w:rPr>
          <w:rFonts w:cs="Arial"/>
          <w:szCs w:val="20"/>
        </w:rPr>
        <w:t> </w:t>
      </w:r>
      <w:r>
        <w:rPr>
          <w:rFonts w:cs="Arial"/>
          <w:szCs w:val="20"/>
        </w:rPr>
        <w:t>0,5 % žen.</w:t>
      </w:r>
      <w:r>
        <w:rPr>
          <w:rFonts w:cs="Arial"/>
          <w:szCs w:val="20"/>
        </w:rPr>
        <w:br/>
        <w:t xml:space="preserve">Praha se svou odvětvovou strukturou velmi odlišovala od zbytku České republiky. Ve všech krajích sice zaměstnaní v odvětví služeb, vzdělání a vědy </w:t>
      </w:r>
      <w:r w:rsidR="00906510">
        <w:rPr>
          <w:rFonts w:cs="Arial"/>
          <w:szCs w:val="20"/>
        </w:rPr>
        <w:t xml:space="preserve">(terciárního a kvarterního sektoru) </w:t>
      </w:r>
      <w:r>
        <w:rPr>
          <w:rFonts w:cs="Arial"/>
          <w:szCs w:val="20"/>
        </w:rPr>
        <w:t>tvořili nadpoloviční většinu, ale podíl terciárního a kvarterního sektoru v Praze převyšoval celorepublikový průměr o 21 p. b. Druhý nejvyšší podíl zaměstnaných v terciárním a kvarterním sektoru měl kraj Středočeský (65,3 %), v němž vynikaly okresy Praha-východ a Praha-západ. Třetí místo obsadil kraj Jihomoravský (63,8 %), kde výsledek výrazně ovlivnil</w:t>
      </w:r>
      <w:r w:rsidR="001F40BD">
        <w:rPr>
          <w:rFonts w:cs="Arial"/>
          <w:szCs w:val="20"/>
        </w:rPr>
        <w:t> </w:t>
      </w:r>
      <w:r>
        <w:rPr>
          <w:rFonts w:cs="Arial"/>
          <w:szCs w:val="20"/>
        </w:rPr>
        <w:t>okres</w:t>
      </w:r>
      <w:r w:rsidR="001F40BD">
        <w:rPr>
          <w:rFonts w:cs="Arial"/>
          <w:szCs w:val="20"/>
        </w:rPr>
        <w:t> </w:t>
      </w:r>
      <w:r w:rsidR="0042324B">
        <w:rPr>
          <w:rFonts w:cs="Arial"/>
          <w:szCs w:val="20"/>
        </w:rPr>
        <w:t>Brno-m</w:t>
      </w:r>
      <w:r>
        <w:rPr>
          <w:rFonts w:cs="Arial"/>
          <w:szCs w:val="20"/>
        </w:rPr>
        <w:t>ěsto.</w:t>
      </w:r>
      <w:r w:rsidR="0042324B">
        <w:rPr>
          <w:rFonts w:cs="Arial"/>
          <w:szCs w:val="20"/>
        </w:rPr>
        <w:t xml:space="preserve"> Pouhých 51 % tvořili zaměstnaní těchto sektorů v Kraji Vysočina a 53 % ve Zlínském kraji. </w:t>
      </w:r>
      <w:r w:rsidR="0042324B">
        <w:rPr>
          <w:rFonts w:cs="Arial"/>
          <w:szCs w:val="20"/>
        </w:rPr>
        <w:br/>
      </w:r>
      <w:r w:rsidR="002B0A52" w:rsidRPr="001F40BD">
        <w:rPr>
          <w:rFonts w:cs="Arial"/>
          <w:szCs w:val="20"/>
        </w:rPr>
        <w:t>V rámci Prahy ve</w:t>
      </w:r>
      <w:r w:rsidR="00A73902" w:rsidRPr="001F40BD">
        <w:rPr>
          <w:rFonts w:cs="Arial"/>
          <w:szCs w:val="20"/>
        </w:rPr>
        <w:t> </w:t>
      </w:r>
      <w:r w:rsidR="002B0A52" w:rsidRPr="001F40BD">
        <w:rPr>
          <w:rFonts w:cs="Arial"/>
          <w:szCs w:val="20"/>
        </w:rPr>
        <w:t>36 městských částech převyšoval podíl zaměstnaných v</w:t>
      </w:r>
      <w:r w:rsidR="00A73902" w:rsidRPr="001F40BD">
        <w:rPr>
          <w:rFonts w:cs="Arial"/>
          <w:szCs w:val="20"/>
        </w:rPr>
        <w:t> </w:t>
      </w:r>
      <w:r w:rsidR="002B0A52" w:rsidRPr="001F40BD">
        <w:rPr>
          <w:rFonts w:cs="Arial"/>
          <w:szCs w:val="20"/>
        </w:rPr>
        <w:t>terciárním a</w:t>
      </w:r>
      <w:r w:rsidR="00A73902" w:rsidRPr="001F40BD">
        <w:rPr>
          <w:rFonts w:cs="Arial"/>
          <w:szCs w:val="20"/>
        </w:rPr>
        <w:t> </w:t>
      </w:r>
      <w:r w:rsidR="002B0A52" w:rsidRPr="001F40BD">
        <w:rPr>
          <w:rFonts w:cs="Arial"/>
          <w:szCs w:val="20"/>
        </w:rPr>
        <w:t>kvarterním sektoru 80</w:t>
      </w:r>
      <w:r w:rsidR="00A73902" w:rsidRPr="001F40BD">
        <w:rPr>
          <w:rFonts w:cs="Arial"/>
          <w:szCs w:val="20"/>
        </w:rPr>
        <w:t> </w:t>
      </w:r>
      <w:r w:rsidR="002B0A52" w:rsidRPr="001F40BD">
        <w:rPr>
          <w:rFonts w:cs="Arial"/>
          <w:szCs w:val="20"/>
        </w:rPr>
        <w:t>%. V</w:t>
      </w:r>
      <w:r w:rsidR="00A73902" w:rsidRPr="001F40BD">
        <w:rPr>
          <w:rFonts w:cs="Arial"/>
          <w:szCs w:val="20"/>
        </w:rPr>
        <w:t> </w:t>
      </w:r>
      <w:r w:rsidR="002B0A52" w:rsidRPr="001F40BD">
        <w:rPr>
          <w:rFonts w:cs="Arial"/>
          <w:szCs w:val="20"/>
        </w:rPr>
        <w:t>městské části Praha</w:t>
      </w:r>
      <w:r w:rsidR="00A73902" w:rsidRPr="001F40BD">
        <w:rPr>
          <w:rFonts w:cs="Arial"/>
          <w:szCs w:val="20"/>
        </w:rPr>
        <w:t> </w:t>
      </w:r>
      <w:r w:rsidR="002B0A52" w:rsidRPr="001F40BD">
        <w:rPr>
          <w:rFonts w:cs="Arial"/>
          <w:szCs w:val="20"/>
        </w:rPr>
        <w:t>1 sem patřilo dokonce 88,6</w:t>
      </w:r>
      <w:r w:rsidR="00A73902" w:rsidRPr="001F40BD">
        <w:rPr>
          <w:rFonts w:cs="Arial"/>
          <w:szCs w:val="20"/>
        </w:rPr>
        <w:t> </w:t>
      </w:r>
      <w:r w:rsidR="002B0A52" w:rsidRPr="001F40BD">
        <w:rPr>
          <w:rFonts w:cs="Arial"/>
          <w:szCs w:val="20"/>
        </w:rPr>
        <w:t xml:space="preserve">% zaměstnaných </w:t>
      </w:r>
      <w:r w:rsidR="00A73902" w:rsidRPr="001F40BD">
        <w:rPr>
          <w:rFonts w:cs="Arial"/>
          <w:szCs w:val="20"/>
        </w:rPr>
        <w:t xml:space="preserve">se zjištěným odvětvím </w:t>
      </w:r>
      <w:r w:rsidR="002B0A52" w:rsidRPr="001F40BD">
        <w:rPr>
          <w:rFonts w:cs="Arial"/>
          <w:szCs w:val="20"/>
        </w:rPr>
        <w:t>a</w:t>
      </w:r>
      <w:r w:rsidR="00A73902" w:rsidRPr="001F40BD">
        <w:rPr>
          <w:rFonts w:cs="Arial"/>
          <w:szCs w:val="20"/>
        </w:rPr>
        <w:t> </w:t>
      </w:r>
      <w:r w:rsidR="002B0A52" w:rsidRPr="001F40BD">
        <w:rPr>
          <w:rFonts w:cs="Arial"/>
          <w:szCs w:val="20"/>
        </w:rPr>
        <w:t>na</w:t>
      </w:r>
      <w:r w:rsidR="00A73902" w:rsidRPr="001F40BD">
        <w:rPr>
          <w:rFonts w:cs="Arial"/>
          <w:szCs w:val="20"/>
        </w:rPr>
        <w:t> </w:t>
      </w:r>
      <w:r w:rsidR="002B0A52" w:rsidRPr="001F40BD">
        <w:rPr>
          <w:rFonts w:cs="Arial"/>
          <w:szCs w:val="20"/>
        </w:rPr>
        <w:t>více než 86</w:t>
      </w:r>
      <w:r w:rsidR="00A73902" w:rsidRPr="001F40BD">
        <w:rPr>
          <w:rFonts w:cs="Arial"/>
          <w:szCs w:val="20"/>
        </w:rPr>
        <w:t> </w:t>
      </w:r>
      <w:r w:rsidR="002B0A52" w:rsidRPr="001F40BD">
        <w:rPr>
          <w:rFonts w:cs="Arial"/>
          <w:szCs w:val="20"/>
        </w:rPr>
        <w:t>% zaměstnaných v</w:t>
      </w:r>
      <w:r w:rsidR="00A73902" w:rsidRPr="001F40BD">
        <w:rPr>
          <w:rFonts w:cs="Arial"/>
          <w:szCs w:val="20"/>
        </w:rPr>
        <w:t> </w:t>
      </w:r>
      <w:r w:rsidR="002B0A52" w:rsidRPr="001F40BD">
        <w:rPr>
          <w:rFonts w:cs="Arial"/>
          <w:szCs w:val="20"/>
        </w:rPr>
        <w:t>odvětví služeb, vzdělání a vědy dosáhly i</w:t>
      </w:r>
      <w:r w:rsidR="00A73902" w:rsidRPr="001F40BD">
        <w:rPr>
          <w:rFonts w:cs="Arial"/>
          <w:szCs w:val="20"/>
        </w:rPr>
        <w:t> </w:t>
      </w:r>
      <w:r w:rsidR="002B0A52" w:rsidRPr="001F40BD">
        <w:rPr>
          <w:rFonts w:cs="Arial"/>
          <w:szCs w:val="20"/>
        </w:rPr>
        <w:t>městské části Praha</w:t>
      </w:r>
      <w:r w:rsidR="00A73902" w:rsidRPr="001F40BD">
        <w:rPr>
          <w:rFonts w:cs="Arial"/>
          <w:szCs w:val="20"/>
        </w:rPr>
        <w:t> </w:t>
      </w:r>
      <w:r w:rsidR="002B0A52" w:rsidRPr="001F40BD">
        <w:rPr>
          <w:rFonts w:cs="Arial"/>
          <w:szCs w:val="20"/>
        </w:rPr>
        <w:t>2, Praha</w:t>
      </w:r>
      <w:r w:rsidR="00A73902" w:rsidRPr="001F40BD">
        <w:rPr>
          <w:rFonts w:cs="Arial"/>
          <w:szCs w:val="20"/>
        </w:rPr>
        <w:t> </w:t>
      </w:r>
      <w:r w:rsidR="002B0A52" w:rsidRPr="001F40BD">
        <w:rPr>
          <w:rFonts w:cs="Arial"/>
          <w:szCs w:val="20"/>
        </w:rPr>
        <w:t>6, Praha-Lysolaje</w:t>
      </w:r>
      <w:r w:rsidR="00A73902" w:rsidRPr="001F40BD">
        <w:rPr>
          <w:rFonts w:cs="Arial"/>
          <w:szCs w:val="20"/>
        </w:rPr>
        <w:t xml:space="preserve"> a</w:t>
      </w:r>
      <w:r w:rsidR="002B0A52" w:rsidRPr="001F40BD">
        <w:rPr>
          <w:rFonts w:cs="Arial"/>
          <w:szCs w:val="20"/>
        </w:rPr>
        <w:t xml:space="preserve"> Praha</w:t>
      </w:r>
      <w:r w:rsidR="00A73902" w:rsidRPr="001F40BD">
        <w:rPr>
          <w:rFonts w:cs="Arial"/>
          <w:szCs w:val="20"/>
        </w:rPr>
        <w:t> </w:t>
      </w:r>
      <w:r w:rsidR="002B0A52" w:rsidRPr="001F40BD">
        <w:rPr>
          <w:rFonts w:cs="Arial"/>
          <w:szCs w:val="20"/>
        </w:rPr>
        <w:t>7</w:t>
      </w:r>
      <w:r w:rsidR="00A73902" w:rsidRPr="001F40BD">
        <w:rPr>
          <w:rFonts w:cs="Arial"/>
          <w:szCs w:val="20"/>
        </w:rPr>
        <w:t>. Nejnižší podíly zaměstnaných v terciárním a kvarterním sektoru měly městské části Praha-Běchovice (74,2 %) a Praha-Koloděje (74,3 %).</w:t>
      </w:r>
    </w:p>
    <w:p w14:paraId="07B439AC" w14:textId="47EC5E28" w:rsidR="004179D7" w:rsidRPr="00AE300F" w:rsidRDefault="00AE300F" w:rsidP="004179D7">
      <w:pPr>
        <w:rPr>
          <w:rFonts w:cs="Arial"/>
          <w:b/>
          <w:szCs w:val="20"/>
        </w:rPr>
      </w:pPr>
      <w:r w:rsidRPr="00AE300F">
        <w:rPr>
          <w:rFonts w:cs="Arial"/>
          <w:b/>
          <w:szCs w:val="20"/>
        </w:rPr>
        <w:t>Kartogram 4.</w:t>
      </w:r>
      <w:r w:rsidR="00DA5C0D">
        <w:rPr>
          <w:rFonts w:cs="Arial"/>
          <w:b/>
          <w:szCs w:val="20"/>
        </w:rPr>
        <w:t>4</w:t>
      </w:r>
      <w:r w:rsidRPr="00AE300F">
        <w:rPr>
          <w:rFonts w:cs="Arial"/>
          <w:b/>
          <w:szCs w:val="20"/>
        </w:rPr>
        <w:t xml:space="preserve"> </w:t>
      </w:r>
      <w:r w:rsidR="004179D7" w:rsidRPr="00AE300F">
        <w:rPr>
          <w:rFonts w:cs="Arial"/>
          <w:b/>
          <w:szCs w:val="20"/>
        </w:rPr>
        <w:t>Zaměstnaní v terciárním a kvarterním sektoru</w:t>
      </w:r>
      <w:r w:rsidRPr="00AE300F">
        <w:rPr>
          <w:rFonts w:cs="Arial"/>
          <w:b/>
          <w:szCs w:val="20"/>
        </w:rPr>
        <w:t xml:space="preserve"> v městských částech hl. m. Prahy</w:t>
      </w:r>
    </w:p>
    <w:p w14:paraId="28153D6C" w14:textId="77777777" w:rsidR="00AE300F" w:rsidRDefault="00C50E3D" w:rsidP="004179D7">
      <w:pPr>
        <w:rPr>
          <w:rFonts w:cs="Arial"/>
          <w:szCs w:val="20"/>
        </w:rPr>
      </w:pPr>
      <w:r>
        <w:rPr>
          <w:rFonts w:cs="Arial"/>
          <w:szCs w:val="20"/>
          <w:highlight w:val="yellow"/>
        </w:rPr>
        <w:pict w14:anchorId="1FE971EE">
          <v:shape id="_x0000_i1028" type="#_x0000_t75" style="width:481.8pt;height:316.2pt">
            <v:imagedata r:id="rId20" o:title="PodilZamestnanychvTercierKvarter" croptop="4716f"/>
          </v:shape>
        </w:pict>
      </w:r>
    </w:p>
    <w:p w14:paraId="75CD9F4C" w14:textId="26856255" w:rsidR="00A764C5" w:rsidRDefault="004179D7" w:rsidP="00C92364">
      <w:pPr>
        <w:jc w:val="both"/>
        <w:rPr>
          <w:rFonts w:cs="Arial"/>
          <w:szCs w:val="20"/>
        </w:rPr>
      </w:pPr>
      <w:r>
        <w:rPr>
          <w:rFonts w:cs="Arial"/>
          <w:szCs w:val="20"/>
        </w:rPr>
        <w:t>Praha měla v porovnání s ostatními kraji naopak nejnižší podíl zaměstnaných v odvětví průmyslu, energetiky a stavebnictví (15,9 %). Nižší podíly zaměstnaných v sekundárním sektoru měly i kraje Středočeský (31,6 %) a Jihomoravský (33 %). Nejvyšší podíly zaměstnaných v tomto sektoru</w:t>
      </w:r>
      <w:r w:rsidR="00143464">
        <w:rPr>
          <w:rFonts w:cs="Arial"/>
          <w:szCs w:val="20"/>
        </w:rPr>
        <w:t>,</w:t>
      </w:r>
      <w:r>
        <w:rPr>
          <w:rFonts w:cs="Arial"/>
          <w:szCs w:val="20"/>
        </w:rPr>
        <w:t xml:space="preserve"> převyšující 40 %</w:t>
      </w:r>
      <w:r w:rsidR="00143464">
        <w:rPr>
          <w:rFonts w:cs="Arial"/>
          <w:szCs w:val="20"/>
        </w:rPr>
        <w:t>,</w:t>
      </w:r>
      <w:r>
        <w:rPr>
          <w:rFonts w:cs="Arial"/>
          <w:szCs w:val="20"/>
        </w:rPr>
        <w:t xml:space="preserve"> byly sečteny v krajích Zlínském (43,8 %), Libereckém (43,3 %), v Kraji Vysočina (41,9 %) a v Pardubickém kraji (40,7 %).</w:t>
      </w:r>
      <w:r w:rsidR="00937693">
        <w:rPr>
          <w:rFonts w:cs="Arial"/>
          <w:szCs w:val="20"/>
        </w:rPr>
        <w:br/>
      </w:r>
    </w:p>
    <w:p w14:paraId="6491CD89" w14:textId="47BB4186" w:rsidR="00A73902" w:rsidRDefault="00A73902" w:rsidP="00C92364">
      <w:pPr>
        <w:jc w:val="both"/>
        <w:rPr>
          <w:rFonts w:cs="Arial"/>
          <w:szCs w:val="20"/>
        </w:rPr>
      </w:pPr>
      <w:r w:rsidRPr="00A73902">
        <w:rPr>
          <w:rFonts w:cs="Arial"/>
          <w:b/>
          <w:szCs w:val="20"/>
        </w:rPr>
        <w:t>Kartogram 4.</w:t>
      </w:r>
      <w:r w:rsidR="00DA5C0D">
        <w:rPr>
          <w:rFonts w:cs="Arial"/>
          <w:b/>
          <w:szCs w:val="20"/>
        </w:rPr>
        <w:t>5</w:t>
      </w:r>
      <w:r w:rsidRPr="00A73902">
        <w:rPr>
          <w:rFonts w:cs="Arial"/>
          <w:b/>
          <w:szCs w:val="20"/>
        </w:rPr>
        <w:t> Z</w:t>
      </w:r>
      <w:r w:rsidR="004179D7" w:rsidRPr="00A73902">
        <w:rPr>
          <w:rFonts w:cs="Arial"/>
          <w:b/>
          <w:szCs w:val="20"/>
        </w:rPr>
        <w:t>aměstnaní</w:t>
      </w:r>
      <w:r w:rsidRPr="00A73902">
        <w:rPr>
          <w:rFonts w:cs="Arial"/>
          <w:b/>
          <w:szCs w:val="20"/>
        </w:rPr>
        <w:t> </w:t>
      </w:r>
      <w:r w:rsidR="004179D7" w:rsidRPr="00A73902">
        <w:rPr>
          <w:rFonts w:cs="Arial"/>
          <w:b/>
          <w:szCs w:val="20"/>
        </w:rPr>
        <w:t>v</w:t>
      </w:r>
      <w:r w:rsidRPr="00A73902">
        <w:rPr>
          <w:rFonts w:cs="Arial"/>
          <w:b/>
          <w:szCs w:val="20"/>
        </w:rPr>
        <w:t> </w:t>
      </w:r>
      <w:r w:rsidR="004179D7" w:rsidRPr="00A73902">
        <w:rPr>
          <w:rFonts w:cs="Arial"/>
          <w:b/>
          <w:szCs w:val="20"/>
        </w:rPr>
        <w:t>sekundárním</w:t>
      </w:r>
      <w:r w:rsidRPr="00A73902">
        <w:rPr>
          <w:rFonts w:cs="Arial"/>
          <w:b/>
          <w:szCs w:val="20"/>
        </w:rPr>
        <w:t> </w:t>
      </w:r>
      <w:r w:rsidR="004179D7" w:rsidRPr="00A73902">
        <w:rPr>
          <w:rFonts w:cs="Arial"/>
          <w:b/>
          <w:szCs w:val="20"/>
        </w:rPr>
        <w:t>sektoru</w:t>
      </w:r>
      <w:r w:rsidRPr="00A73902">
        <w:rPr>
          <w:rFonts w:cs="Arial"/>
          <w:b/>
          <w:szCs w:val="20"/>
        </w:rPr>
        <w:t> v městských částech hl. m. Prahy</w:t>
      </w:r>
    </w:p>
    <w:p w14:paraId="4886FDD3" w14:textId="77777777" w:rsidR="00713A1E" w:rsidRDefault="00C50E3D" w:rsidP="00C92364">
      <w:pPr>
        <w:jc w:val="both"/>
        <w:rPr>
          <w:rFonts w:cs="Arial"/>
          <w:szCs w:val="20"/>
        </w:rPr>
      </w:pPr>
      <w:r>
        <w:rPr>
          <w:rFonts w:cs="Arial"/>
          <w:szCs w:val="20"/>
        </w:rPr>
        <w:pict w14:anchorId="59C489F5">
          <v:shape id="_x0000_i1029" type="#_x0000_t75" style="width:481.8pt;height:315.6pt">
            <v:imagedata r:id="rId21" o:title="PodilZamestnanychvSekunderu" croptop="4812f"/>
          </v:shape>
        </w:pict>
      </w:r>
      <w:r w:rsidR="004179D7">
        <w:rPr>
          <w:rFonts w:cs="Arial"/>
          <w:szCs w:val="20"/>
        </w:rPr>
        <w:br/>
      </w:r>
      <w:r w:rsidR="004179D7">
        <w:rPr>
          <w:rFonts w:cs="Arial"/>
          <w:szCs w:val="20"/>
        </w:rPr>
        <w:br/>
      </w:r>
      <w:r w:rsidR="00713A1E" w:rsidRPr="001F40BD">
        <w:rPr>
          <w:rFonts w:cs="Arial"/>
          <w:szCs w:val="20"/>
        </w:rPr>
        <w:t>V Praze pouze ve dvanácti městských částech přesáhl podíl zaměstnaných v sekundárním sektoru 20</w:t>
      </w:r>
      <w:r w:rsidR="00686729" w:rsidRPr="001F40BD">
        <w:rPr>
          <w:rFonts w:cs="Arial"/>
          <w:szCs w:val="20"/>
        </w:rPr>
        <w:t> </w:t>
      </w:r>
      <w:r w:rsidR="00713A1E" w:rsidRPr="001F40BD">
        <w:rPr>
          <w:rFonts w:cs="Arial"/>
          <w:szCs w:val="20"/>
        </w:rPr>
        <w:t>%. Nejvíce jich bylo sečteno v</w:t>
      </w:r>
      <w:r w:rsidR="00686729" w:rsidRPr="001F40BD">
        <w:rPr>
          <w:rFonts w:cs="Arial"/>
          <w:szCs w:val="20"/>
        </w:rPr>
        <w:t> </w:t>
      </w:r>
      <w:r w:rsidR="00713A1E" w:rsidRPr="001F40BD">
        <w:rPr>
          <w:rFonts w:cs="Arial"/>
          <w:szCs w:val="20"/>
        </w:rPr>
        <w:t>Praze-Běchovicích</w:t>
      </w:r>
      <w:r w:rsidR="00686729" w:rsidRPr="001F40BD">
        <w:rPr>
          <w:rFonts w:cs="Arial"/>
          <w:szCs w:val="20"/>
        </w:rPr>
        <w:t> </w:t>
      </w:r>
      <w:r w:rsidR="00713A1E" w:rsidRPr="001F40BD">
        <w:rPr>
          <w:rFonts w:cs="Arial"/>
          <w:szCs w:val="20"/>
        </w:rPr>
        <w:t>(24,9</w:t>
      </w:r>
      <w:r w:rsidR="00686729" w:rsidRPr="001F40BD">
        <w:rPr>
          <w:rFonts w:cs="Arial"/>
          <w:szCs w:val="20"/>
        </w:rPr>
        <w:t> </w:t>
      </w:r>
      <w:r w:rsidR="00713A1E" w:rsidRPr="001F40BD">
        <w:rPr>
          <w:rFonts w:cs="Arial"/>
          <w:szCs w:val="20"/>
        </w:rPr>
        <w:t>%) a v</w:t>
      </w:r>
      <w:r w:rsidR="00686729" w:rsidRPr="001F40BD">
        <w:rPr>
          <w:rFonts w:cs="Arial"/>
          <w:szCs w:val="20"/>
        </w:rPr>
        <w:t> </w:t>
      </w:r>
      <w:r w:rsidR="00713A1E" w:rsidRPr="001F40BD">
        <w:rPr>
          <w:rFonts w:cs="Arial"/>
          <w:szCs w:val="20"/>
        </w:rPr>
        <w:t>Praze-Kolodějích</w:t>
      </w:r>
      <w:r w:rsidR="00686729" w:rsidRPr="001F40BD">
        <w:rPr>
          <w:rFonts w:cs="Arial"/>
          <w:szCs w:val="20"/>
        </w:rPr>
        <w:t> </w:t>
      </w:r>
      <w:r w:rsidR="00713A1E" w:rsidRPr="001F40BD">
        <w:rPr>
          <w:rFonts w:cs="Arial"/>
          <w:szCs w:val="20"/>
        </w:rPr>
        <w:t>(24,5</w:t>
      </w:r>
      <w:r w:rsidR="00686729" w:rsidRPr="001F40BD">
        <w:rPr>
          <w:rFonts w:cs="Arial"/>
          <w:szCs w:val="20"/>
        </w:rPr>
        <w:t> </w:t>
      </w:r>
      <w:r w:rsidR="00713A1E" w:rsidRPr="001F40BD">
        <w:rPr>
          <w:rFonts w:cs="Arial"/>
          <w:szCs w:val="20"/>
        </w:rPr>
        <w:t>%)</w:t>
      </w:r>
      <w:r w:rsidR="00686729" w:rsidRPr="001F40BD">
        <w:rPr>
          <w:rFonts w:cs="Arial"/>
          <w:szCs w:val="20"/>
        </w:rPr>
        <w:t>.</w:t>
      </w:r>
      <w:r w:rsidR="00713A1E" w:rsidRPr="001F40BD">
        <w:rPr>
          <w:rFonts w:cs="Arial"/>
          <w:szCs w:val="20"/>
        </w:rPr>
        <w:t xml:space="preserve"> </w:t>
      </w:r>
      <w:r w:rsidR="00686729" w:rsidRPr="001F40BD">
        <w:rPr>
          <w:rFonts w:cs="Arial"/>
          <w:szCs w:val="20"/>
        </w:rPr>
        <w:t>N</w:t>
      </w:r>
      <w:r w:rsidR="00713A1E" w:rsidRPr="001F40BD">
        <w:rPr>
          <w:rFonts w:cs="Arial"/>
          <w:szCs w:val="20"/>
        </w:rPr>
        <w:t>ejmenší výskyt byl zaznamenán v</w:t>
      </w:r>
      <w:r w:rsidR="00686729" w:rsidRPr="001F40BD">
        <w:rPr>
          <w:rFonts w:cs="Arial"/>
          <w:szCs w:val="20"/>
        </w:rPr>
        <w:t xml:space="preserve"> městské části </w:t>
      </w:r>
      <w:r w:rsidR="00713A1E" w:rsidRPr="001F40BD">
        <w:rPr>
          <w:rFonts w:cs="Arial"/>
          <w:szCs w:val="20"/>
        </w:rPr>
        <w:t>Pra</w:t>
      </w:r>
      <w:r w:rsidR="00686729" w:rsidRPr="001F40BD">
        <w:rPr>
          <w:rFonts w:cs="Arial"/>
          <w:szCs w:val="20"/>
        </w:rPr>
        <w:t>ha 1 (10,6 %) a v dalších pěti městských částech nepřesáhl 13 % (Praha 2, Praha 6, Praha-Lysolaje, Praha-Suchdol a Praha 7).</w:t>
      </w:r>
    </w:p>
    <w:p w14:paraId="7DC4678F" w14:textId="337FC250" w:rsidR="004179D7" w:rsidRDefault="004179D7" w:rsidP="00C92364">
      <w:pPr>
        <w:jc w:val="both"/>
        <w:rPr>
          <w:rFonts w:cs="Arial"/>
          <w:szCs w:val="20"/>
        </w:rPr>
      </w:pPr>
      <w:r>
        <w:rPr>
          <w:rFonts w:cs="Arial"/>
          <w:szCs w:val="20"/>
        </w:rPr>
        <w:t>Nejvíce zaměstnaných v primárním sektoru měly Kraj Vysočina (7,1 %) a Jihočeský kraj (5,8 %), nejméně</w:t>
      </w:r>
      <w:r w:rsidR="00DA5C0D">
        <w:rPr>
          <w:rFonts w:cs="Arial"/>
          <w:szCs w:val="20"/>
        </w:rPr>
        <w:t>,</w:t>
      </w:r>
      <w:r>
        <w:rPr>
          <w:rFonts w:cs="Arial"/>
          <w:szCs w:val="20"/>
        </w:rPr>
        <w:t xml:space="preserve"> kromě hl. m. Prahy (0,7 %)</w:t>
      </w:r>
      <w:r w:rsidR="009F4AEF">
        <w:rPr>
          <w:rFonts w:cs="Arial"/>
          <w:szCs w:val="20"/>
        </w:rPr>
        <w:t>,</w:t>
      </w:r>
      <w:r>
        <w:rPr>
          <w:rFonts w:cs="Arial"/>
          <w:szCs w:val="20"/>
        </w:rPr>
        <w:t xml:space="preserve"> kraj Moravskoslezský (2,2 %).</w:t>
      </w:r>
    </w:p>
    <w:p w14:paraId="72C5C5F8" w14:textId="683A353F" w:rsidR="00686729" w:rsidRDefault="00686729" w:rsidP="00686729">
      <w:pPr>
        <w:rPr>
          <w:rFonts w:cs="Arial"/>
          <w:szCs w:val="20"/>
        </w:rPr>
      </w:pPr>
      <w:r w:rsidRPr="00914B08">
        <w:rPr>
          <w:rFonts w:cs="Arial"/>
          <w:b/>
          <w:szCs w:val="20"/>
        </w:rPr>
        <w:t>Graf 4.</w:t>
      </w:r>
      <w:r w:rsidR="00DA5C0D">
        <w:rPr>
          <w:rFonts w:cs="Arial"/>
          <w:b/>
          <w:szCs w:val="20"/>
        </w:rPr>
        <w:t>5</w:t>
      </w:r>
      <w:r w:rsidRPr="00914B08">
        <w:rPr>
          <w:rFonts w:cs="Arial"/>
          <w:b/>
          <w:szCs w:val="20"/>
        </w:rPr>
        <w:t xml:space="preserve"> Zaměstnaní podle odvětví ekonomické činnosti a pohlaví v hl. m. Praze a ČR</w:t>
      </w:r>
      <w:r>
        <w:rPr>
          <w:rFonts w:cs="Arial"/>
          <w:szCs w:val="20"/>
        </w:rPr>
        <w:t xml:space="preserve"> </w:t>
      </w:r>
      <w:r>
        <w:rPr>
          <w:rFonts w:cs="Arial"/>
          <w:szCs w:val="20"/>
        </w:rPr>
        <w:br/>
      </w:r>
      <w:r w:rsidRPr="00914B08">
        <w:rPr>
          <w:rFonts w:cs="Arial"/>
          <w:noProof/>
          <w:szCs w:val="20"/>
        </w:rPr>
        <w:drawing>
          <wp:inline distT="0" distB="0" distL="0" distR="0" wp14:anchorId="63ED5551" wp14:editId="22EEF20C">
            <wp:extent cx="5760720" cy="2785969"/>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785969"/>
                    </a:xfrm>
                    <a:prstGeom prst="rect">
                      <a:avLst/>
                    </a:prstGeom>
                    <a:noFill/>
                    <a:ln>
                      <a:noFill/>
                    </a:ln>
                  </pic:spPr>
                </pic:pic>
              </a:graphicData>
            </a:graphic>
          </wp:inline>
        </w:drawing>
      </w:r>
    </w:p>
    <w:p w14:paraId="721C4DD8" w14:textId="77777777" w:rsidR="001F40BD" w:rsidRDefault="001F40BD" w:rsidP="004179D7">
      <w:pPr>
        <w:rPr>
          <w:rFonts w:cs="Arial"/>
          <w:b/>
          <w:szCs w:val="20"/>
        </w:rPr>
      </w:pPr>
    </w:p>
    <w:p w14:paraId="2848A006" w14:textId="231184B1" w:rsidR="004179D7" w:rsidRPr="00AB7F46" w:rsidRDefault="004179D7" w:rsidP="004179D7">
      <w:pPr>
        <w:rPr>
          <w:rFonts w:cs="Arial"/>
          <w:b/>
          <w:szCs w:val="20"/>
        </w:rPr>
      </w:pPr>
      <w:r w:rsidRPr="00AB7F46">
        <w:rPr>
          <w:rFonts w:cs="Arial"/>
          <w:b/>
          <w:szCs w:val="20"/>
        </w:rPr>
        <w:t>Tab. 4.3.1 Zaměstnaní podle věku a odvětví ekonomické činnosti v hl. m. Praze</w:t>
      </w:r>
    </w:p>
    <w:p w14:paraId="052FD36F" w14:textId="5F041C91" w:rsidR="004179D7" w:rsidRDefault="0042324B" w:rsidP="004179D7">
      <w:pPr>
        <w:rPr>
          <w:rFonts w:cs="Arial"/>
          <w:szCs w:val="20"/>
        </w:rPr>
      </w:pPr>
      <w:r w:rsidRPr="0042324B">
        <w:rPr>
          <w:rFonts w:cs="Arial"/>
          <w:noProof/>
          <w:szCs w:val="20"/>
        </w:rPr>
        <w:drawing>
          <wp:inline distT="0" distB="0" distL="0" distR="0" wp14:anchorId="0A3FD93F" wp14:editId="1852BB6B">
            <wp:extent cx="6120130" cy="4767126"/>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767126"/>
                    </a:xfrm>
                    <a:prstGeom prst="rect">
                      <a:avLst/>
                    </a:prstGeom>
                    <a:noFill/>
                    <a:ln>
                      <a:noFill/>
                    </a:ln>
                  </pic:spPr>
                </pic:pic>
              </a:graphicData>
            </a:graphic>
          </wp:inline>
        </w:drawing>
      </w:r>
    </w:p>
    <w:p w14:paraId="16CF0738" w14:textId="77777777" w:rsidR="004179D7" w:rsidRDefault="004179D7" w:rsidP="004179D7">
      <w:pPr>
        <w:rPr>
          <w:rFonts w:cs="Arial"/>
          <w:szCs w:val="20"/>
        </w:rPr>
      </w:pPr>
    </w:p>
    <w:p w14:paraId="1F54A42C" w14:textId="2EF89A25" w:rsidR="004179D7" w:rsidRDefault="00B549C6" w:rsidP="00C92364">
      <w:pPr>
        <w:jc w:val="both"/>
        <w:rPr>
          <w:rFonts w:cs="Arial"/>
          <w:szCs w:val="20"/>
        </w:rPr>
      </w:pPr>
      <w:r w:rsidRPr="001F1F30">
        <w:rPr>
          <w:rFonts w:cs="Arial"/>
          <w:b/>
          <w:szCs w:val="20"/>
        </w:rPr>
        <w:t>Podle klasifikace CZ-NACE</w:t>
      </w:r>
      <w:r>
        <w:rPr>
          <w:rFonts w:cs="Arial"/>
          <w:szCs w:val="20"/>
        </w:rPr>
        <w:t xml:space="preserve"> našli zaměstnaní Pražané</w:t>
      </w:r>
      <w:r w:rsidR="00795F2C">
        <w:rPr>
          <w:rFonts w:cs="Arial"/>
          <w:szCs w:val="20"/>
        </w:rPr>
        <w:t xml:space="preserve">, u kterých bylo zjištěno odvětví ekonomické činnosti, </w:t>
      </w:r>
      <w:r>
        <w:rPr>
          <w:rFonts w:cs="Arial"/>
          <w:szCs w:val="20"/>
        </w:rPr>
        <w:t xml:space="preserve"> uplatnění </w:t>
      </w:r>
      <w:r w:rsidRPr="001F1F30">
        <w:rPr>
          <w:rFonts w:cs="Arial"/>
          <w:b/>
          <w:szCs w:val="20"/>
        </w:rPr>
        <w:t>nejčastěji v</w:t>
      </w:r>
      <w:r>
        <w:rPr>
          <w:rFonts w:cs="Arial"/>
          <w:b/>
          <w:szCs w:val="20"/>
        </w:rPr>
        <w:t> </w:t>
      </w:r>
      <w:r w:rsidRPr="001F1F30">
        <w:rPr>
          <w:rFonts w:cs="Arial"/>
          <w:b/>
          <w:szCs w:val="20"/>
        </w:rPr>
        <w:t>odvětví</w:t>
      </w:r>
      <w:r>
        <w:rPr>
          <w:rFonts w:cs="Arial"/>
          <w:b/>
          <w:szCs w:val="20"/>
        </w:rPr>
        <w:t xml:space="preserve">ch </w:t>
      </w:r>
      <w:r w:rsidRPr="001F1F30">
        <w:rPr>
          <w:rFonts w:cs="Arial"/>
          <w:b/>
          <w:szCs w:val="20"/>
        </w:rPr>
        <w:t xml:space="preserve"> velkoobchod a</w:t>
      </w:r>
      <w:r>
        <w:rPr>
          <w:rFonts w:cs="Arial"/>
          <w:b/>
          <w:szCs w:val="20"/>
        </w:rPr>
        <w:t> </w:t>
      </w:r>
      <w:r w:rsidRPr="001F1F30">
        <w:rPr>
          <w:rFonts w:cs="Arial"/>
          <w:b/>
          <w:szCs w:val="20"/>
        </w:rPr>
        <w:t>maloobchod; opravy a údržba motorových vozidel (12</w:t>
      </w:r>
      <w:r>
        <w:rPr>
          <w:rFonts w:cs="Arial"/>
          <w:b/>
          <w:szCs w:val="20"/>
        </w:rPr>
        <w:t> </w:t>
      </w:r>
      <w:r w:rsidRPr="001F1F30">
        <w:rPr>
          <w:rFonts w:cs="Arial"/>
          <w:b/>
          <w:szCs w:val="20"/>
        </w:rPr>
        <w:t xml:space="preserve">%), </w:t>
      </w:r>
      <w:r>
        <w:rPr>
          <w:rFonts w:cs="Arial"/>
          <w:b/>
          <w:szCs w:val="20"/>
        </w:rPr>
        <w:t xml:space="preserve">profesní, vědecké a technické činnosti (11,5 %), informační a komunikační činnosti (10,1 %), </w:t>
      </w:r>
      <w:r w:rsidRPr="001F1F30">
        <w:rPr>
          <w:rFonts w:cs="Arial"/>
          <w:b/>
          <w:szCs w:val="20"/>
        </w:rPr>
        <w:t>průmysl (9,9</w:t>
      </w:r>
      <w:r>
        <w:rPr>
          <w:rFonts w:cs="Arial"/>
          <w:b/>
          <w:szCs w:val="20"/>
        </w:rPr>
        <w:t> </w:t>
      </w:r>
      <w:r w:rsidRPr="001F1F30">
        <w:rPr>
          <w:rFonts w:cs="Arial"/>
          <w:b/>
          <w:szCs w:val="20"/>
        </w:rPr>
        <w:t>%) a zdravotní a</w:t>
      </w:r>
      <w:r>
        <w:rPr>
          <w:rFonts w:cs="Arial"/>
          <w:b/>
          <w:szCs w:val="20"/>
        </w:rPr>
        <w:t> </w:t>
      </w:r>
      <w:r w:rsidRPr="001F1F30">
        <w:rPr>
          <w:rFonts w:cs="Arial"/>
          <w:b/>
          <w:szCs w:val="20"/>
        </w:rPr>
        <w:t>sociální péče (7,5</w:t>
      </w:r>
      <w:r>
        <w:rPr>
          <w:rFonts w:cs="Arial"/>
          <w:b/>
          <w:szCs w:val="20"/>
        </w:rPr>
        <w:t> </w:t>
      </w:r>
      <w:r w:rsidRPr="001F1F30">
        <w:rPr>
          <w:rFonts w:cs="Arial"/>
          <w:b/>
          <w:szCs w:val="20"/>
        </w:rPr>
        <w:t>%)</w:t>
      </w:r>
      <w:r>
        <w:rPr>
          <w:rFonts w:cs="Arial"/>
          <w:b/>
          <w:szCs w:val="20"/>
        </w:rPr>
        <w:t>.</w:t>
      </w:r>
      <w:r>
        <w:rPr>
          <w:rFonts w:cs="Arial"/>
          <w:szCs w:val="20"/>
        </w:rPr>
        <w:t xml:space="preserve"> Naopak vzhledem k velkoměstskému charakteru Prahy jen 0,7 % zaměstnaných v hlavním městě spadalo do odvětví zemědělství, lesnictví a rybářství. Zastoupení jednotlivých odvětví se lišilo podle pohlaví, kdy muži i ženy přednostně působili v oborech pro ně typických. Poměrně v rovnováze byly podíly mužů a žen pracujících v odvětví velkoobchod a maloobchod; opravy a údržba motorových vozidel (muži 11,7 %, ženy 12,3 %) a také ubytování, stravování a pohostinství (muži 4,6 %, ženy 4,5 %). Příliš velký rozdíl nebyl ani v odvětví profesní, technické a vědecké činnosti (muži 10,6 %, ženy 12,5 %). Mezi odvětví s výraznou převahou mužů se řadily informační a komunikační činnosti (muži 13,8 %, ženy 6 %), průmysl (muži 12,6 %, ženy 6,9 %), stavebnictví (muži 9,9 %, ženy 1,7 %), doprava a skladování (muži 8,2 %, ženy 2,9 %). Naopak doménou žen se staly zdravotní a sociální péče (ženy 12 %, muži 3,4 %) a vzdělávání (ženy 10,9 %, muži 3,6 %).</w:t>
      </w:r>
    </w:p>
    <w:p w14:paraId="411EDFCA" w14:textId="5AF8AD13" w:rsidR="004179D7" w:rsidRDefault="004179D7" w:rsidP="004179D7">
      <w:pPr>
        <w:rPr>
          <w:rFonts w:cs="Arial"/>
          <w:szCs w:val="20"/>
        </w:rPr>
      </w:pPr>
      <w:r w:rsidRPr="00021513">
        <w:rPr>
          <w:rFonts w:cs="Arial"/>
          <w:b/>
          <w:szCs w:val="20"/>
        </w:rPr>
        <w:t>Graf 4.</w:t>
      </w:r>
      <w:r w:rsidR="00DA5C0D">
        <w:rPr>
          <w:rFonts w:cs="Arial"/>
          <w:b/>
          <w:szCs w:val="20"/>
        </w:rPr>
        <w:t>6</w:t>
      </w:r>
      <w:r w:rsidRPr="001479A1">
        <w:rPr>
          <w:rFonts w:cs="Arial"/>
          <w:szCs w:val="20"/>
        </w:rPr>
        <w:t xml:space="preserve"> </w:t>
      </w:r>
      <w:r w:rsidRPr="00021513">
        <w:rPr>
          <w:rFonts w:cs="Arial"/>
          <w:b/>
          <w:szCs w:val="20"/>
        </w:rPr>
        <w:t>Zaměstnaní podle odvětví ekonomické činnosti v hl. m. Praze a ČR</w:t>
      </w:r>
      <w:r w:rsidRPr="001479A1">
        <w:rPr>
          <w:rFonts w:cs="Arial"/>
          <w:szCs w:val="20"/>
        </w:rPr>
        <w:t xml:space="preserve"> </w:t>
      </w:r>
      <w:r w:rsidRPr="001479A1">
        <w:rPr>
          <w:rFonts w:cs="Arial"/>
          <w:noProof/>
          <w:szCs w:val="20"/>
        </w:rPr>
        <w:drawing>
          <wp:inline distT="0" distB="0" distL="0" distR="0" wp14:anchorId="6B3B6875" wp14:editId="612339A0">
            <wp:extent cx="5760720" cy="2753161"/>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753161"/>
                    </a:xfrm>
                    <a:prstGeom prst="rect">
                      <a:avLst/>
                    </a:prstGeom>
                    <a:noFill/>
                    <a:ln>
                      <a:noFill/>
                    </a:ln>
                  </pic:spPr>
                </pic:pic>
              </a:graphicData>
            </a:graphic>
          </wp:inline>
        </w:drawing>
      </w:r>
    </w:p>
    <w:p w14:paraId="587C1D5A" w14:textId="2EDA92A3" w:rsidR="004179D7" w:rsidRDefault="00A764C5" w:rsidP="00C92364">
      <w:pPr>
        <w:jc w:val="both"/>
        <w:rPr>
          <w:rFonts w:cs="Arial"/>
          <w:szCs w:val="20"/>
        </w:rPr>
      </w:pPr>
      <w:r>
        <w:rPr>
          <w:rFonts w:cs="Arial"/>
          <w:b/>
          <w:szCs w:val="20"/>
        </w:rPr>
        <w:br/>
      </w:r>
      <w:r w:rsidR="004179D7" w:rsidRPr="0018360D">
        <w:rPr>
          <w:rFonts w:cs="Arial"/>
          <w:b/>
          <w:szCs w:val="20"/>
        </w:rPr>
        <w:t xml:space="preserve">V porovnání s ostatními kraji měla Praha </w:t>
      </w:r>
      <w:r w:rsidR="00B549C6" w:rsidRPr="0018360D">
        <w:rPr>
          <w:rFonts w:cs="Arial"/>
          <w:b/>
          <w:szCs w:val="20"/>
        </w:rPr>
        <w:t>nejvyšší podíl osob zaměstnaných v odvětví profesní, vědecké a</w:t>
      </w:r>
      <w:r w:rsidR="0014120F" w:rsidRPr="0018360D">
        <w:rPr>
          <w:rFonts w:cs="Arial"/>
          <w:b/>
          <w:szCs w:val="20"/>
        </w:rPr>
        <w:t> </w:t>
      </w:r>
      <w:r w:rsidR="00B549C6" w:rsidRPr="0018360D">
        <w:rPr>
          <w:rFonts w:cs="Arial"/>
          <w:b/>
          <w:szCs w:val="20"/>
        </w:rPr>
        <w:t>technické činnosti (11,5 %) a také informační a komunikační činnosti (10,1 %)</w:t>
      </w:r>
      <w:r w:rsidR="00B549C6">
        <w:rPr>
          <w:rFonts w:cs="Arial"/>
          <w:szCs w:val="20"/>
        </w:rPr>
        <w:t xml:space="preserve"> a naopak </w:t>
      </w:r>
      <w:r w:rsidR="004179D7">
        <w:rPr>
          <w:rFonts w:cs="Arial"/>
          <w:szCs w:val="20"/>
        </w:rPr>
        <w:t>nejnižší podíl osob zaměstnaných v</w:t>
      </w:r>
      <w:r w:rsidR="004179D7">
        <w:rPr>
          <w:rFonts w:ascii="Nirmala UI" w:hAnsi="Nirmala UI" w:cs="Nirmala UI"/>
          <w:szCs w:val="20"/>
        </w:rPr>
        <w:t> </w:t>
      </w:r>
      <w:r w:rsidR="004179D7">
        <w:rPr>
          <w:rFonts w:cs="Arial"/>
          <w:szCs w:val="20"/>
        </w:rPr>
        <w:t xml:space="preserve">průmyslových odvětvích a v zemědělství, lesnictví a rybářství. </w:t>
      </w:r>
      <w:r w:rsidR="009C0DB5">
        <w:rPr>
          <w:rFonts w:cs="Arial"/>
          <w:szCs w:val="20"/>
        </w:rPr>
        <w:t>V odvětví profesní, vědecké a</w:t>
      </w:r>
      <w:r w:rsidR="0014120F">
        <w:rPr>
          <w:rFonts w:cs="Arial"/>
          <w:szCs w:val="20"/>
        </w:rPr>
        <w:t> </w:t>
      </w:r>
      <w:r w:rsidR="009C0DB5">
        <w:rPr>
          <w:rFonts w:cs="Arial"/>
          <w:szCs w:val="20"/>
        </w:rPr>
        <w:t xml:space="preserve">technické činnosti se na druhém místě s velkým odstupem umístil Jihomoravský kraj (6,1 %) a na třetí příčce  kraj Středočeský (5,6 %), jen velmi nízké podíly  zaměstnaných v tomto odvětví měly kraje Karlovarský (2,8 %) a Ústecký (3,1 %). </w:t>
      </w:r>
      <w:r w:rsidR="00FD54E6">
        <w:rPr>
          <w:rFonts w:cs="Arial"/>
          <w:szCs w:val="20"/>
        </w:rPr>
        <w:t xml:space="preserve">Pořadí v odvětví informačních a komunikačních činností bylo velmi podobné. Podíly </w:t>
      </w:r>
      <w:r w:rsidR="0016785F">
        <w:rPr>
          <w:rFonts w:cs="Arial"/>
          <w:szCs w:val="20"/>
        </w:rPr>
        <w:t xml:space="preserve">tohoto odvětví </w:t>
      </w:r>
      <w:r w:rsidR="00FD54E6">
        <w:rPr>
          <w:rFonts w:cs="Arial"/>
          <w:szCs w:val="20"/>
        </w:rPr>
        <w:t>na</w:t>
      </w:r>
      <w:r w:rsidR="0014120F">
        <w:rPr>
          <w:rFonts w:cs="Arial"/>
          <w:szCs w:val="20"/>
        </w:rPr>
        <w:t> </w:t>
      </w:r>
      <w:r w:rsidR="00FD54E6">
        <w:rPr>
          <w:rFonts w:cs="Arial"/>
          <w:szCs w:val="20"/>
        </w:rPr>
        <w:t>celkovém množství zaměstnaných se zjištěným odvětvím se pohybovaly od 1,3 % (Karlovarský kraj) po</w:t>
      </w:r>
      <w:r w:rsidR="0014120F">
        <w:rPr>
          <w:rFonts w:cs="Arial"/>
          <w:szCs w:val="20"/>
        </w:rPr>
        <w:t> </w:t>
      </w:r>
      <w:r w:rsidR="00FD54E6">
        <w:rPr>
          <w:rFonts w:cs="Arial"/>
          <w:szCs w:val="20"/>
        </w:rPr>
        <w:t xml:space="preserve">5,4 % (Jihomoravský kraj). </w:t>
      </w:r>
      <w:r w:rsidR="004179D7">
        <w:rPr>
          <w:rFonts w:cs="Arial"/>
          <w:szCs w:val="20"/>
        </w:rPr>
        <w:t xml:space="preserve">Zatímco v hlavním městě pracoval v průmyslu jen přibližně každý desátý zaměstnaný, v ostatních krajích se podíl těchto pracovníků pohyboval mezi 24,7 % (Středočeský kraj) až po 36,7 % (Liberecký kraj). V zemědělství v Praze nepracovalo ani 1 % zaměstnaných, </w:t>
      </w:r>
      <w:r w:rsidR="0018360D">
        <w:rPr>
          <w:rFonts w:cs="Arial"/>
          <w:szCs w:val="20"/>
        </w:rPr>
        <w:t>v nejvíce zemědělsky zaměřeném</w:t>
      </w:r>
      <w:r w:rsidR="004179D7">
        <w:rPr>
          <w:rFonts w:cs="Arial"/>
          <w:szCs w:val="20"/>
        </w:rPr>
        <w:t> Kraji Vysočina zde našlo pracovní příležitost 7,1 % zaměstnaných.</w:t>
      </w:r>
    </w:p>
    <w:p w14:paraId="78ACE400" w14:textId="77777777" w:rsidR="00A764C5" w:rsidRDefault="00A764C5" w:rsidP="004179D7">
      <w:pPr>
        <w:rPr>
          <w:rFonts w:cs="Arial"/>
          <w:b/>
          <w:szCs w:val="20"/>
        </w:rPr>
      </w:pPr>
    </w:p>
    <w:p w14:paraId="7126CF1F" w14:textId="77777777" w:rsidR="00A764C5" w:rsidRDefault="00A764C5" w:rsidP="004179D7">
      <w:pPr>
        <w:rPr>
          <w:rFonts w:cs="Arial"/>
          <w:b/>
          <w:szCs w:val="20"/>
        </w:rPr>
      </w:pPr>
    </w:p>
    <w:p w14:paraId="52B6308B" w14:textId="77777777" w:rsidR="00937693" w:rsidRDefault="00937693" w:rsidP="004179D7">
      <w:pPr>
        <w:rPr>
          <w:rFonts w:cs="Arial"/>
          <w:b/>
          <w:szCs w:val="20"/>
        </w:rPr>
      </w:pPr>
    </w:p>
    <w:p w14:paraId="2C7EDEC9" w14:textId="3221B8AA" w:rsidR="004179D7" w:rsidRPr="001F1F30" w:rsidRDefault="004179D7" w:rsidP="004179D7">
      <w:pPr>
        <w:rPr>
          <w:rFonts w:cs="Arial"/>
          <w:b/>
          <w:szCs w:val="20"/>
        </w:rPr>
      </w:pPr>
      <w:r w:rsidRPr="001F1F30">
        <w:rPr>
          <w:rFonts w:cs="Arial"/>
          <w:b/>
          <w:szCs w:val="20"/>
        </w:rPr>
        <w:t>Graf 4.</w:t>
      </w:r>
      <w:r w:rsidR="00DA5C0D">
        <w:rPr>
          <w:rFonts w:cs="Arial"/>
          <w:b/>
          <w:szCs w:val="20"/>
        </w:rPr>
        <w:t>7</w:t>
      </w:r>
      <w:r w:rsidRPr="001F1F30">
        <w:rPr>
          <w:rFonts w:cs="Arial"/>
          <w:b/>
          <w:szCs w:val="20"/>
        </w:rPr>
        <w:t xml:space="preserve"> Zaměstnaní podle odvětví ekonomické činnosti a krajů</w:t>
      </w:r>
    </w:p>
    <w:p w14:paraId="1A359DBD" w14:textId="77777777" w:rsidR="004179D7" w:rsidRDefault="004179D7" w:rsidP="004179D7">
      <w:pPr>
        <w:rPr>
          <w:rFonts w:cs="Arial"/>
          <w:szCs w:val="20"/>
        </w:rPr>
      </w:pPr>
      <w:r w:rsidRPr="001479A1">
        <w:rPr>
          <w:rFonts w:cs="Arial"/>
          <w:noProof/>
          <w:szCs w:val="20"/>
        </w:rPr>
        <w:drawing>
          <wp:inline distT="0" distB="0" distL="0" distR="0" wp14:anchorId="1F66A956" wp14:editId="407B0589">
            <wp:extent cx="5760720" cy="3269759"/>
            <wp:effectExtent l="0" t="0" r="0" b="698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269759"/>
                    </a:xfrm>
                    <a:prstGeom prst="rect">
                      <a:avLst/>
                    </a:prstGeom>
                    <a:noFill/>
                    <a:ln>
                      <a:noFill/>
                    </a:ln>
                  </pic:spPr>
                </pic:pic>
              </a:graphicData>
            </a:graphic>
          </wp:inline>
        </w:drawing>
      </w:r>
    </w:p>
    <w:p w14:paraId="5C3A7F3F" w14:textId="6D8A90B9" w:rsidR="004179D7" w:rsidRDefault="006D14DE" w:rsidP="00C92364">
      <w:pPr>
        <w:jc w:val="both"/>
        <w:rPr>
          <w:rFonts w:cs="Arial"/>
          <w:szCs w:val="20"/>
        </w:rPr>
      </w:pPr>
      <w:r w:rsidRPr="0018360D">
        <w:rPr>
          <w:rFonts w:cs="Arial"/>
          <w:b/>
          <w:szCs w:val="20"/>
        </w:rPr>
        <w:t>Mezi odvětví, kde se v hlavním městě uplatnilo nejvíce mužů</w:t>
      </w:r>
      <w:r w:rsidR="0014120F" w:rsidRPr="0018360D">
        <w:rPr>
          <w:rFonts w:cs="Arial"/>
          <w:b/>
          <w:szCs w:val="20"/>
        </w:rPr>
        <w:t>,</w:t>
      </w:r>
      <w:r w:rsidRPr="0018360D">
        <w:rPr>
          <w:rFonts w:cs="Arial"/>
          <w:b/>
          <w:szCs w:val="20"/>
        </w:rPr>
        <w:t xml:space="preserve"> patřily informační a komunikační činnosti (13,8 %</w:t>
      </w:r>
      <w:r w:rsidR="0016785F">
        <w:rPr>
          <w:rFonts w:cs="Arial"/>
          <w:b/>
          <w:szCs w:val="20"/>
        </w:rPr>
        <w:t xml:space="preserve"> zaměstnaných</w:t>
      </w:r>
      <w:r w:rsidRPr="0018360D">
        <w:rPr>
          <w:rFonts w:cs="Arial"/>
          <w:b/>
          <w:szCs w:val="20"/>
        </w:rPr>
        <w:t>), průmysl (12,6 %) a profesní, vědecké a technické činnosti (10,6 %).</w:t>
      </w:r>
      <w:r>
        <w:rPr>
          <w:rFonts w:cs="Arial"/>
          <w:szCs w:val="20"/>
        </w:rPr>
        <w:t xml:space="preserve"> Odvětví informační a</w:t>
      </w:r>
      <w:r w:rsidR="0014120F">
        <w:rPr>
          <w:rFonts w:cs="Arial"/>
          <w:szCs w:val="20"/>
        </w:rPr>
        <w:t> </w:t>
      </w:r>
      <w:r>
        <w:rPr>
          <w:rFonts w:cs="Arial"/>
          <w:szCs w:val="20"/>
        </w:rPr>
        <w:t>komunikační činnosti a profesní, vědecké a technické činnosti stála</w:t>
      </w:r>
      <w:r w:rsidR="0014120F">
        <w:rPr>
          <w:rFonts w:cs="Arial"/>
          <w:szCs w:val="20"/>
        </w:rPr>
        <w:t xml:space="preserve"> v hlavním městě</w:t>
      </w:r>
      <w:r>
        <w:rPr>
          <w:rFonts w:cs="Arial"/>
          <w:szCs w:val="20"/>
        </w:rPr>
        <w:t xml:space="preserve"> 8,3 p. b. a </w:t>
      </w:r>
      <w:r w:rsidR="0014120F">
        <w:rPr>
          <w:rFonts w:cs="Arial"/>
          <w:szCs w:val="20"/>
        </w:rPr>
        <w:t xml:space="preserve">5,9 p. b. nad celorepublikovým průměrem, průmysl naopak 21 p. b. pod celorepublikovým průměrem, přičemž hned v pěti krajích (Zlínském, Libereckém, Moravskoslezském, Pardubickém a v kraji Vysočina) pracovalo v některém průmyslovém oboru více než 40 % </w:t>
      </w:r>
      <w:r w:rsidR="0016785F">
        <w:rPr>
          <w:rFonts w:cs="Arial"/>
          <w:szCs w:val="20"/>
        </w:rPr>
        <w:t xml:space="preserve">zaměstnaných </w:t>
      </w:r>
      <w:r w:rsidR="0014120F">
        <w:rPr>
          <w:rFonts w:cs="Arial"/>
          <w:szCs w:val="20"/>
        </w:rPr>
        <w:t xml:space="preserve">mužů. </w:t>
      </w:r>
      <w:r w:rsidR="004179D7">
        <w:rPr>
          <w:rFonts w:cs="Arial"/>
          <w:szCs w:val="20"/>
        </w:rPr>
        <w:t>Při pohledu na ostatní odvětví pracovali v porovnání s celorepublikovým průměrem pražští muži méně často v odvětví stavebnictví (1,6 p. b. pod celorepublikovým průměrem). Ve větší míře je ale bylo možné potkat v oblasti velkoobchod a maloobchod; opravy a údržba motorových vozidel (2 p. b. nad celorepublikovým průměrem), ubytování, stravování a pohostinství (1,8 p. b. nad celorepublikovým průměrem), vzdělávání (1 p. b. nad celorepublikovým průměrem) a zdravotní a sociální péče</w:t>
      </w:r>
      <w:r w:rsidR="0014120F">
        <w:rPr>
          <w:rFonts w:cs="Arial"/>
          <w:szCs w:val="20"/>
        </w:rPr>
        <w:t> </w:t>
      </w:r>
      <w:r w:rsidR="004179D7">
        <w:rPr>
          <w:rFonts w:cs="Arial"/>
          <w:szCs w:val="20"/>
        </w:rPr>
        <w:t>(0,7 p. b.</w:t>
      </w:r>
      <w:r w:rsidR="0014120F">
        <w:rPr>
          <w:rFonts w:cs="Arial"/>
          <w:szCs w:val="20"/>
        </w:rPr>
        <w:t> </w:t>
      </w:r>
      <w:r w:rsidR="004179D7">
        <w:rPr>
          <w:rFonts w:cs="Arial"/>
          <w:szCs w:val="20"/>
        </w:rPr>
        <w:t>nad</w:t>
      </w:r>
      <w:r w:rsidR="0014120F">
        <w:rPr>
          <w:rFonts w:cs="Arial"/>
          <w:szCs w:val="20"/>
        </w:rPr>
        <w:t> </w:t>
      </w:r>
      <w:r w:rsidR="004179D7">
        <w:rPr>
          <w:rFonts w:cs="Arial"/>
          <w:szCs w:val="20"/>
        </w:rPr>
        <w:t>celorepublikovým</w:t>
      </w:r>
      <w:r w:rsidR="0014120F">
        <w:rPr>
          <w:rFonts w:cs="Arial"/>
          <w:szCs w:val="20"/>
        </w:rPr>
        <w:t> </w:t>
      </w:r>
      <w:r w:rsidR="004179D7">
        <w:rPr>
          <w:rFonts w:cs="Arial"/>
          <w:szCs w:val="20"/>
        </w:rPr>
        <w:t>průměrem).</w:t>
      </w:r>
      <w:r w:rsidR="00B03010">
        <w:rPr>
          <w:rFonts w:cs="Arial"/>
          <w:szCs w:val="20"/>
        </w:rPr>
        <w:br/>
      </w:r>
      <w:r w:rsidR="004179D7">
        <w:rPr>
          <w:rFonts w:cs="Arial"/>
          <w:szCs w:val="20"/>
        </w:rPr>
        <w:br/>
      </w:r>
      <w:r w:rsidR="004179D7" w:rsidRPr="0018360D">
        <w:rPr>
          <w:rFonts w:cs="Arial"/>
          <w:b/>
          <w:szCs w:val="20"/>
        </w:rPr>
        <w:t>Pražanky</w:t>
      </w:r>
      <w:r w:rsidR="005118B1">
        <w:rPr>
          <w:rFonts w:cs="Arial"/>
          <w:b/>
          <w:szCs w:val="20"/>
        </w:rPr>
        <w:t>,</w:t>
      </w:r>
      <w:r w:rsidR="007E12BD">
        <w:rPr>
          <w:rFonts w:cs="Arial"/>
          <w:szCs w:val="20"/>
        </w:rPr>
        <w:t xml:space="preserve"> na rozdíl od žen z jiných krajů</w:t>
      </w:r>
      <w:r w:rsidR="005118B1">
        <w:rPr>
          <w:rFonts w:cs="Arial"/>
          <w:szCs w:val="20"/>
        </w:rPr>
        <w:t>,</w:t>
      </w:r>
      <w:r w:rsidR="004179D7">
        <w:rPr>
          <w:rFonts w:cs="Arial"/>
          <w:szCs w:val="20"/>
        </w:rPr>
        <w:t xml:space="preserve"> </w:t>
      </w:r>
      <w:r w:rsidR="004179D7" w:rsidRPr="0018360D">
        <w:rPr>
          <w:rFonts w:cs="Arial"/>
          <w:b/>
          <w:szCs w:val="20"/>
        </w:rPr>
        <w:t xml:space="preserve">pracovaly </w:t>
      </w:r>
      <w:r w:rsidR="007E12BD" w:rsidRPr="0018360D">
        <w:rPr>
          <w:rFonts w:cs="Arial"/>
          <w:b/>
          <w:szCs w:val="20"/>
        </w:rPr>
        <w:t>nejčastěji</w:t>
      </w:r>
      <w:r w:rsidR="004179D7" w:rsidRPr="0018360D">
        <w:rPr>
          <w:rFonts w:cs="Arial"/>
          <w:b/>
          <w:szCs w:val="20"/>
        </w:rPr>
        <w:t xml:space="preserve"> v odvětví </w:t>
      </w:r>
      <w:r w:rsidR="007E12BD" w:rsidRPr="0018360D">
        <w:rPr>
          <w:rFonts w:cs="Arial"/>
          <w:b/>
          <w:szCs w:val="20"/>
        </w:rPr>
        <w:t>profesní, vědecké a technické činnosti</w:t>
      </w:r>
      <w:r w:rsidR="007E12BD">
        <w:rPr>
          <w:rFonts w:cs="Arial"/>
          <w:szCs w:val="20"/>
        </w:rPr>
        <w:t xml:space="preserve"> (</w:t>
      </w:r>
      <w:r w:rsidR="00806FA4">
        <w:rPr>
          <w:rFonts w:cs="Arial"/>
          <w:szCs w:val="20"/>
        </w:rPr>
        <w:t xml:space="preserve">Praha </w:t>
      </w:r>
      <w:r w:rsidR="007E12BD" w:rsidRPr="0018360D">
        <w:rPr>
          <w:rFonts w:cs="Arial"/>
          <w:b/>
          <w:szCs w:val="20"/>
        </w:rPr>
        <w:t>12,5 %</w:t>
      </w:r>
      <w:r w:rsidR="0016785F">
        <w:rPr>
          <w:rFonts w:cs="Arial"/>
          <w:b/>
          <w:szCs w:val="20"/>
        </w:rPr>
        <w:t xml:space="preserve"> </w:t>
      </w:r>
      <w:r w:rsidR="0016785F" w:rsidRPr="0016785F">
        <w:rPr>
          <w:rFonts w:cs="Arial"/>
          <w:szCs w:val="20"/>
        </w:rPr>
        <w:t>zaměstnaných</w:t>
      </w:r>
      <w:r w:rsidR="00806FA4" w:rsidRPr="0016785F">
        <w:rPr>
          <w:rFonts w:cs="Arial"/>
          <w:szCs w:val="20"/>
        </w:rPr>
        <w:t>,</w:t>
      </w:r>
      <w:r w:rsidR="00806FA4">
        <w:rPr>
          <w:rFonts w:cs="Arial"/>
          <w:szCs w:val="20"/>
        </w:rPr>
        <w:t xml:space="preserve"> průměr ČR 6 %</w:t>
      </w:r>
      <w:r w:rsidR="007E12BD">
        <w:rPr>
          <w:rFonts w:cs="Arial"/>
          <w:szCs w:val="20"/>
        </w:rPr>
        <w:t>)</w:t>
      </w:r>
      <w:r w:rsidR="00806FA4">
        <w:rPr>
          <w:rFonts w:cs="Arial"/>
          <w:szCs w:val="20"/>
        </w:rPr>
        <w:t xml:space="preserve">. Další tři velké skupiny pražských zaměstnaných žen patřily do odvětví </w:t>
      </w:r>
      <w:r w:rsidR="00806FA4" w:rsidRPr="0018360D">
        <w:rPr>
          <w:rFonts w:cs="Arial"/>
          <w:b/>
          <w:szCs w:val="20"/>
        </w:rPr>
        <w:t xml:space="preserve">velkoobchod a maloobchod; opravy a údržba motorových vozidel (12,3 %), </w:t>
      </w:r>
      <w:r w:rsidR="004179D7" w:rsidRPr="0018360D">
        <w:rPr>
          <w:rFonts w:cs="Arial"/>
          <w:b/>
          <w:szCs w:val="20"/>
        </w:rPr>
        <w:t>zdravotní a sociální péče</w:t>
      </w:r>
      <w:r w:rsidR="00806FA4" w:rsidRPr="0018360D">
        <w:rPr>
          <w:rFonts w:cs="Arial"/>
          <w:b/>
          <w:szCs w:val="20"/>
        </w:rPr>
        <w:t xml:space="preserve"> (12 %)</w:t>
      </w:r>
      <w:r w:rsidR="004179D7" w:rsidRPr="0018360D">
        <w:rPr>
          <w:rFonts w:cs="Arial"/>
          <w:b/>
          <w:szCs w:val="20"/>
        </w:rPr>
        <w:t xml:space="preserve"> a</w:t>
      </w:r>
      <w:r w:rsidR="0014120F" w:rsidRPr="0018360D">
        <w:rPr>
          <w:rFonts w:cs="Arial"/>
          <w:b/>
          <w:szCs w:val="20"/>
        </w:rPr>
        <w:t> </w:t>
      </w:r>
      <w:r w:rsidR="004179D7" w:rsidRPr="0018360D">
        <w:rPr>
          <w:rFonts w:cs="Arial"/>
          <w:b/>
          <w:szCs w:val="20"/>
        </w:rPr>
        <w:t>vzdělávání</w:t>
      </w:r>
      <w:r w:rsidR="00806FA4" w:rsidRPr="0018360D">
        <w:rPr>
          <w:rFonts w:cs="Arial"/>
          <w:b/>
          <w:szCs w:val="20"/>
        </w:rPr>
        <w:t xml:space="preserve"> (10,9 %)</w:t>
      </w:r>
      <w:r w:rsidR="00D75738" w:rsidRPr="0018360D">
        <w:rPr>
          <w:rFonts w:cs="Arial"/>
          <w:b/>
          <w:szCs w:val="20"/>
        </w:rPr>
        <w:t>.</w:t>
      </w:r>
      <w:r w:rsidR="00D75738">
        <w:rPr>
          <w:rFonts w:cs="Arial"/>
          <w:szCs w:val="20"/>
        </w:rPr>
        <w:t xml:space="preserve"> Ve všech těchto třech odvětvích však Praha zaujala místo pod průměrem</w:t>
      </w:r>
      <w:r w:rsidR="009C2D4B">
        <w:rPr>
          <w:rFonts w:cs="Arial"/>
          <w:szCs w:val="20"/>
        </w:rPr>
        <w:t xml:space="preserve"> České republiky</w:t>
      </w:r>
      <w:r w:rsidR="00D75738">
        <w:rPr>
          <w:rFonts w:cs="Arial"/>
          <w:szCs w:val="20"/>
        </w:rPr>
        <w:t>.</w:t>
      </w:r>
      <w:r w:rsidR="004179D7">
        <w:rPr>
          <w:rFonts w:cs="Arial"/>
          <w:szCs w:val="20"/>
        </w:rPr>
        <w:t xml:space="preserve">  </w:t>
      </w:r>
      <w:r w:rsidR="00D75738">
        <w:rPr>
          <w:rFonts w:cs="Arial"/>
          <w:szCs w:val="20"/>
        </w:rPr>
        <w:t>Nejvyšší podíly v odvětví velkoobchod a maloobchod; opravy a údržba motorových vozidel měly zaměstnané ženy v Moravskoslezském, Zlínském a Středočeském kraji (14,2, resp. 14,1 %). Podobně</w:t>
      </w:r>
      <w:r w:rsidR="004179D7">
        <w:rPr>
          <w:rFonts w:cs="Arial"/>
          <w:szCs w:val="20"/>
        </w:rPr>
        <w:t xml:space="preserve"> v krajích Karlovarský, Královéhradecký a</w:t>
      </w:r>
      <w:r w:rsidR="00C92364">
        <w:rPr>
          <w:rFonts w:cs="Arial"/>
          <w:szCs w:val="20"/>
        </w:rPr>
        <w:t> </w:t>
      </w:r>
      <w:r w:rsidR="004179D7">
        <w:rPr>
          <w:rFonts w:cs="Arial"/>
          <w:szCs w:val="20"/>
        </w:rPr>
        <w:t xml:space="preserve">Moravskoslezský pracovalo ve zdravotní a sociální péči shodně 15,3 % žen </w:t>
      </w:r>
      <w:r w:rsidR="009C2D4B">
        <w:rPr>
          <w:rFonts w:cs="Arial"/>
          <w:szCs w:val="20"/>
        </w:rPr>
        <w:t>(</w:t>
      </w:r>
      <w:r w:rsidR="004179D7">
        <w:rPr>
          <w:rFonts w:cs="Arial"/>
          <w:szCs w:val="20"/>
        </w:rPr>
        <w:t>v Praze pouze 12 %</w:t>
      </w:r>
      <w:r w:rsidR="009C2D4B">
        <w:rPr>
          <w:rFonts w:cs="Arial"/>
          <w:szCs w:val="20"/>
        </w:rPr>
        <w:t>)</w:t>
      </w:r>
      <w:r w:rsidR="004179D7">
        <w:rPr>
          <w:rFonts w:cs="Arial"/>
          <w:szCs w:val="20"/>
        </w:rPr>
        <w:t>. V odvětví vzdělávání měly nejvyšší podíl ženy zaměstnané v Olomouckém kraji (13 %), nejnižší v Praze a Karlovarském kraji (shodně 10,9 %).</w:t>
      </w:r>
      <w:r w:rsidR="00D75738">
        <w:rPr>
          <w:rFonts w:cs="Arial"/>
          <w:szCs w:val="20"/>
        </w:rPr>
        <w:t xml:space="preserve"> </w:t>
      </w:r>
      <w:r w:rsidR="009C2D4B">
        <w:rPr>
          <w:rFonts w:cs="Arial"/>
          <w:szCs w:val="20"/>
        </w:rPr>
        <w:t xml:space="preserve">V Praze </w:t>
      </w:r>
      <w:r w:rsidR="0018360D">
        <w:rPr>
          <w:rFonts w:cs="Arial"/>
          <w:szCs w:val="20"/>
        </w:rPr>
        <w:t xml:space="preserve">se </w:t>
      </w:r>
      <w:r w:rsidR="009C2D4B">
        <w:rPr>
          <w:rFonts w:cs="Arial"/>
          <w:szCs w:val="20"/>
        </w:rPr>
        <w:t xml:space="preserve">ve větší míře než v ostatních krajích ženy </w:t>
      </w:r>
      <w:r w:rsidR="0018360D">
        <w:rPr>
          <w:rFonts w:cs="Arial"/>
          <w:szCs w:val="20"/>
        </w:rPr>
        <w:t>vyskytovaly</w:t>
      </w:r>
      <w:r w:rsidR="009C2D4B">
        <w:rPr>
          <w:rFonts w:cs="Arial"/>
          <w:szCs w:val="20"/>
        </w:rPr>
        <w:t xml:space="preserve"> v odvětvích informační a komunikační činnosti (Praha 6 %, průměr ČR 2,2 %), peněžnictví a pojišťovnictví (Praha 5,2 %, ČR 2,9 %) nebo činnosti v oblasti nemovitostí (Praha 1,6 %, ČR</w:t>
      </w:r>
      <w:r w:rsidR="0014120F">
        <w:rPr>
          <w:rFonts w:cs="Arial"/>
          <w:szCs w:val="20"/>
        </w:rPr>
        <w:t> </w:t>
      </w:r>
      <w:r w:rsidR="009C2D4B">
        <w:rPr>
          <w:rFonts w:cs="Arial"/>
          <w:szCs w:val="20"/>
        </w:rPr>
        <w:t>0,7 %). Naopak v odvětví průmyslu stála Praha s 6,9 % 13 p. b. pod celorepublikovým průměrem.</w:t>
      </w:r>
    </w:p>
    <w:p w14:paraId="4B3082DB" w14:textId="683D40A2" w:rsidR="00710EB3" w:rsidRPr="00710EB3" w:rsidRDefault="004179D7" w:rsidP="00C92364">
      <w:pPr>
        <w:jc w:val="both"/>
      </w:pPr>
      <w:r>
        <w:rPr>
          <w:rFonts w:cs="Arial"/>
          <w:szCs w:val="20"/>
        </w:rPr>
        <w:t>Velmi mladí lidé obou pohlaví ve věku 15-19 let v Praze pracovali především v odvětví velkoobchod a maloobchod; opravy a údržba motorových vozidel (muži 17 %, ženy 21 %) a ubytování, stravování a pohostinství (muži 16,7 %, ženy 19,3 %). Obchod a opravy a údržba motorových vozidel figurovaly v rámci prvních třech míst ve všech desetiletých věkových skupinách až do hranice 69 let u mužů a 59 let u žen. Pro věkovou kategorii 20-49 let měl</w:t>
      </w:r>
      <w:r w:rsidR="00B03010">
        <w:rPr>
          <w:rFonts w:cs="Arial"/>
          <w:szCs w:val="20"/>
        </w:rPr>
        <w:t>a</w:t>
      </w:r>
      <w:r>
        <w:rPr>
          <w:rFonts w:cs="Arial"/>
          <w:szCs w:val="20"/>
        </w:rPr>
        <w:t xml:space="preserve"> mimořádný význam odvětví profesní, vědecké a technické činnosti a</w:t>
      </w:r>
      <w:r w:rsidR="00C92364">
        <w:rPr>
          <w:rFonts w:cs="Arial"/>
          <w:szCs w:val="20"/>
        </w:rPr>
        <w:t> </w:t>
      </w:r>
      <w:r>
        <w:rPr>
          <w:rFonts w:cs="Arial"/>
          <w:szCs w:val="20"/>
        </w:rPr>
        <w:t>informační a komunikační činnosti. Pro zaměstnané mezi 50-69 lety nabyl</w:t>
      </w:r>
      <w:r w:rsidR="00B03010">
        <w:rPr>
          <w:rFonts w:cs="Arial"/>
          <w:szCs w:val="20"/>
        </w:rPr>
        <w:t>a</w:t>
      </w:r>
      <w:r>
        <w:rPr>
          <w:rFonts w:cs="Arial"/>
          <w:szCs w:val="20"/>
        </w:rPr>
        <w:t xml:space="preserve"> na významu odvětví veřejná správa a obrana; povinné sociální zabezpečení, zdravotní a sociální péče a vzdělávání. Zaměstnaní ve věku 70-89 let působili nejčastěji v odvětvích profesní, vědecké a technické činnosti a vzdělávání.</w:t>
      </w:r>
      <w:r>
        <w:rPr>
          <w:rFonts w:cs="Arial"/>
          <w:szCs w:val="20"/>
        </w:rPr>
        <w:br/>
        <w:t>Muži ve věkovém rozmezí 40-69 let pracovali ve větší míře ve stavebnictví a ve zpracovatelském průmyslu, ženy ve vzdělávání a zdravotní a sociální péči. Ze zaměstnaných žen  ve věku 60-69 let působila každá třetí právě</w:t>
      </w:r>
      <w:r w:rsidR="00937693">
        <w:rPr>
          <w:rFonts w:cs="Arial"/>
          <w:szCs w:val="20"/>
        </w:rPr>
        <w:t> </w:t>
      </w:r>
      <w:r>
        <w:rPr>
          <w:rFonts w:cs="Arial"/>
          <w:szCs w:val="20"/>
        </w:rPr>
        <w:t>v</w:t>
      </w:r>
      <w:r w:rsidR="00937693">
        <w:rPr>
          <w:rFonts w:cs="Arial"/>
          <w:szCs w:val="20"/>
        </w:rPr>
        <w:t> </w:t>
      </w:r>
      <w:r>
        <w:rPr>
          <w:rFonts w:cs="Arial"/>
          <w:szCs w:val="20"/>
        </w:rPr>
        <w:t>jednom</w:t>
      </w:r>
      <w:r w:rsidR="00937693">
        <w:rPr>
          <w:rFonts w:cs="Arial"/>
          <w:szCs w:val="20"/>
        </w:rPr>
        <w:t> </w:t>
      </w:r>
      <w:r>
        <w:rPr>
          <w:rFonts w:cs="Arial"/>
          <w:szCs w:val="20"/>
        </w:rPr>
        <w:t>z</w:t>
      </w:r>
      <w:r w:rsidR="00937693">
        <w:rPr>
          <w:rFonts w:cs="Arial"/>
          <w:szCs w:val="20"/>
        </w:rPr>
        <w:t> </w:t>
      </w:r>
      <w:r>
        <w:rPr>
          <w:rFonts w:cs="Arial"/>
          <w:szCs w:val="20"/>
        </w:rPr>
        <w:t>těchto</w:t>
      </w:r>
      <w:r w:rsidR="00937693">
        <w:rPr>
          <w:rFonts w:cs="Arial"/>
          <w:szCs w:val="20"/>
        </w:rPr>
        <w:t> </w:t>
      </w:r>
      <w:r>
        <w:rPr>
          <w:rFonts w:cs="Arial"/>
          <w:szCs w:val="20"/>
        </w:rPr>
        <w:t>dvou</w:t>
      </w:r>
      <w:r w:rsidR="00937693">
        <w:rPr>
          <w:rFonts w:cs="Arial"/>
          <w:szCs w:val="20"/>
        </w:rPr>
        <w:t> </w:t>
      </w:r>
      <w:r>
        <w:rPr>
          <w:rFonts w:cs="Arial"/>
          <w:szCs w:val="20"/>
        </w:rPr>
        <w:t>oborů.</w:t>
      </w:r>
      <w:r w:rsidR="00937693">
        <w:rPr>
          <w:rFonts w:cs="Arial"/>
          <w:szCs w:val="20"/>
        </w:rPr>
        <w:br/>
      </w:r>
    </w:p>
    <w:p w14:paraId="1F18E5C6" w14:textId="77777777" w:rsidR="00CE6C75" w:rsidRDefault="00CE6C75" w:rsidP="00AC2A17">
      <w:pPr>
        <w:pStyle w:val="Nadpis2"/>
      </w:pPr>
      <w:bookmarkStart w:id="5" w:name="_Toc145675418"/>
      <w:r w:rsidRPr="00175AA4">
        <w:t>Zaměstnaní podle hlavních tříd zaměstnání a postavení v</w:t>
      </w:r>
      <w:r w:rsidR="00C92364">
        <w:t> </w:t>
      </w:r>
      <w:r w:rsidRPr="00175AA4">
        <w:t>zaměstnání</w:t>
      </w:r>
      <w:bookmarkEnd w:id="5"/>
      <w:r w:rsidR="00C92364">
        <w:br/>
      </w:r>
    </w:p>
    <w:p w14:paraId="6E370969" w14:textId="10D4D7C9" w:rsidR="004179D7" w:rsidRPr="00F12B51" w:rsidRDefault="004179D7" w:rsidP="00B03010">
      <w:pPr>
        <w:jc w:val="both"/>
        <w:rPr>
          <w:rFonts w:cs="Arial"/>
          <w:b/>
          <w:szCs w:val="20"/>
        </w:rPr>
      </w:pPr>
      <w:r w:rsidRPr="007A659C">
        <w:rPr>
          <w:rFonts w:cs="Arial"/>
          <w:b/>
          <w:szCs w:val="20"/>
        </w:rPr>
        <w:t>V třídění podle deseti hlavních tříd klasifikace zaměstnání CZ-ISCO převažovali v Praze specialisté (34,8 %), následovali techničtí a odborní pracovníci (20,7 %) a pracovníci ve službách a prodeji (12,9 %).</w:t>
      </w:r>
      <w:r>
        <w:rPr>
          <w:rFonts w:cs="Arial"/>
          <w:szCs w:val="20"/>
        </w:rPr>
        <w:t xml:space="preserve"> V Praze mělo k rozhodnému dni sčítání svůj obvyklý pobyt 49 052 zákonodárců a řídících pracovníků, 226 007 specialistů, 134 179 technických a odborných pracovníků nebo 59 550 úředníků. Klasifikace </w:t>
      </w:r>
      <w:r w:rsidR="007D7ADE">
        <w:rPr>
          <w:rFonts w:cs="Arial"/>
          <w:szCs w:val="20"/>
        </w:rPr>
        <w:t xml:space="preserve">zaměstnání </w:t>
      </w:r>
      <w:r>
        <w:rPr>
          <w:rFonts w:cs="Arial"/>
          <w:szCs w:val="20"/>
        </w:rPr>
        <w:t>je založena na dvou hlavních principech, kterými jsou druh vykonávané práce a úroveň dovedností. Skladba zaměstnaných souvisí se strukturou podniků, které se v jednotlivých regionech nacházejí. Praha má v tomto směru velmi specifické postavení, protože zde sídlí vláda, parlament, ústřední státní orgány, velká část státních institucí, centrály mnoha velkých firem, město je významným centrem vysokého školství, je zde umístěna řada nemocnic a dalších zařízení kladoucích velké nároky na kvalifikaci zaměstnaných. Všechny tyto faktory se projevily při porovnání s ostatními kraji. Více než třetinu zaměstnaných tvořili v Praze specialisté (34,8 % - tj. 13,8 p. b. nad celorepublikovým průměrem), mezi které patří např. právníci, lékaři, různí vědečtí pracovníci, architekti, auditoři nebo učitelé. Přibližně každý pátý zaměstnaný z celkového počtu zaměstnaných se zjištěnou hlavní třídou zaměstnání spadal v hlavním městě do kategorie techničtí a odborní pracovníci, jejichž příkladem jsou technici a mistři z různých oborů, operátoři velínů nebo zdravotní laboranti. I v této skupině převyšovala Praha celorepublikový průměr (o 2,5 p. b.). Více než v celorepublikovém průměru byli v Praze zastoupeni i úředníci (Praha 9,2 %, ČR 7,8 %) a zcela mimořádný byl podíl zákonodárců a řídících pracovníků (Praha 7,6 %, ČR 5,6 %). Vyšší podíly poslední jmenované skupiny zaměstnaných měly i kraje Středočeský (odkud se do Prahy za prací hojně dojíždí) a Jihomoravský. Praha měla naopak v porovnání s ostatními kraji podstatně nižší podíly zaměstnaných ve třídách obsluha strojů a zařízení, montéři (Praha 4,9 %,</w:t>
      </w:r>
      <w:r w:rsidR="00B03010">
        <w:rPr>
          <w:rFonts w:cs="Arial"/>
          <w:szCs w:val="20"/>
        </w:rPr>
        <w:t> </w:t>
      </w:r>
      <w:r>
        <w:rPr>
          <w:rFonts w:cs="Arial"/>
          <w:szCs w:val="20"/>
        </w:rPr>
        <w:t>ČR 13,7 %)</w:t>
      </w:r>
      <w:r w:rsidR="00B03010">
        <w:rPr>
          <w:rFonts w:cs="Arial"/>
          <w:szCs w:val="20"/>
        </w:rPr>
        <w:t> </w:t>
      </w:r>
      <w:r>
        <w:rPr>
          <w:rFonts w:cs="Arial"/>
          <w:szCs w:val="20"/>
        </w:rPr>
        <w:t>nebo</w:t>
      </w:r>
      <w:r w:rsidR="00B03010">
        <w:rPr>
          <w:rFonts w:cs="Arial"/>
          <w:szCs w:val="20"/>
        </w:rPr>
        <w:t> </w:t>
      </w:r>
      <w:r>
        <w:rPr>
          <w:rFonts w:cs="Arial"/>
          <w:szCs w:val="20"/>
        </w:rPr>
        <w:t>řemeslníci</w:t>
      </w:r>
      <w:r w:rsidR="00B03010">
        <w:rPr>
          <w:rFonts w:cs="Arial"/>
          <w:szCs w:val="20"/>
        </w:rPr>
        <w:t> </w:t>
      </w:r>
      <w:r>
        <w:rPr>
          <w:rFonts w:cs="Arial"/>
          <w:szCs w:val="20"/>
        </w:rPr>
        <w:t>a</w:t>
      </w:r>
      <w:r w:rsidR="00B03010">
        <w:rPr>
          <w:rFonts w:cs="Arial"/>
          <w:szCs w:val="20"/>
        </w:rPr>
        <w:t> </w:t>
      </w:r>
      <w:r>
        <w:rPr>
          <w:rFonts w:cs="Arial"/>
          <w:szCs w:val="20"/>
        </w:rPr>
        <w:t>opraváři</w:t>
      </w:r>
      <w:r w:rsidR="00B03010">
        <w:rPr>
          <w:rFonts w:cs="Arial"/>
          <w:szCs w:val="20"/>
        </w:rPr>
        <w:t> </w:t>
      </w:r>
      <w:r>
        <w:rPr>
          <w:rFonts w:cs="Arial"/>
          <w:szCs w:val="20"/>
        </w:rPr>
        <w:t>(Praha 6,2 %,</w:t>
      </w:r>
      <w:r w:rsidR="00B03010">
        <w:rPr>
          <w:rFonts w:cs="Arial"/>
          <w:szCs w:val="20"/>
        </w:rPr>
        <w:t> </w:t>
      </w:r>
      <w:r>
        <w:rPr>
          <w:rFonts w:cs="Arial"/>
          <w:szCs w:val="20"/>
        </w:rPr>
        <w:t>ČR 12,9 %).</w:t>
      </w:r>
      <w:r w:rsidR="00B03010">
        <w:rPr>
          <w:rFonts w:cs="Arial"/>
          <w:szCs w:val="20"/>
        </w:rPr>
        <w:br/>
      </w:r>
      <w:r w:rsidR="00937693">
        <w:rPr>
          <w:rFonts w:cs="Arial"/>
          <w:b/>
          <w:szCs w:val="20"/>
        </w:rPr>
        <w:br/>
      </w:r>
      <w:r w:rsidRPr="00F12B51">
        <w:rPr>
          <w:rFonts w:cs="Arial"/>
          <w:b/>
          <w:szCs w:val="20"/>
        </w:rPr>
        <w:t>Tab. 4.4.</w:t>
      </w:r>
      <w:r w:rsidR="008E52CF">
        <w:rPr>
          <w:rFonts w:cs="Arial"/>
          <w:b/>
          <w:szCs w:val="20"/>
        </w:rPr>
        <w:t>1</w:t>
      </w:r>
      <w:r w:rsidRPr="00F12B51">
        <w:rPr>
          <w:rFonts w:cs="Arial"/>
          <w:b/>
          <w:szCs w:val="20"/>
        </w:rPr>
        <w:t xml:space="preserve"> Zaměstnaní podle hlavních tříd zaměstnání a ekonomické aktivity v hl. m. Praze</w:t>
      </w:r>
    </w:p>
    <w:p w14:paraId="5070F79B" w14:textId="77777777" w:rsidR="004179D7" w:rsidRDefault="004179D7" w:rsidP="004179D7">
      <w:pPr>
        <w:rPr>
          <w:rFonts w:cs="Arial"/>
          <w:szCs w:val="20"/>
        </w:rPr>
      </w:pPr>
      <w:r w:rsidRPr="006A54C8">
        <w:rPr>
          <w:rFonts w:cs="Arial"/>
          <w:noProof/>
          <w:szCs w:val="20"/>
        </w:rPr>
        <w:drawing>
          <wp:inline distT="0" distB="0" distL="0" distR="0" wp14:anchorId="4A902293" wp14:editId="168B3806">
            <wp:extent cx="5760720" cy="2656033"/>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656033"/>
                    </a:xfrm>
                    <a:prstGeom prst="rect">
                      <a:avLst/>
                    </a:prstGeom>
                    <a:noFill/>
                    <a:ln>
                      <a:noFill/>
                    </a:ln>
                  </pic:spPr>
                </pic:pic>
              </a:graphicData>
            </a:graphic>
          </wp:inline>
        </w:drawing>
      </w:r>
    </w:p>
    <w:p w14:paraId="18D7D5E5" w14:textId="77777777" w:rsidR="004179D7" w:rsidRDefault="004179D7" w:rsidP="002537DC">
      <w:pPr>
        <w:jc w:val="both"/>
        <w:rPr>
          <w:rFonts w:cs="Arial"/>
          <w:szCs w:val="20"/>
        </w:rPr>
      </w:pPr>
      <w:r>
        <w:rPr>
          <w:rFonts w:cs="Arial"/>
          <w:szCs w:val="20"/>
        </w:rPr>
        <w:t>V Praze, ale i v České republice jako celku, se projevily i genderové rozdíly. Do třídy zákonodárci a řídící pracovníci patřilo v Praze 9,2 % zaměstnaných mužů se zjištěnou hlavní třídou zaměstnání, ale pouze 5,7 % žen. Z celkového množství zákonodárců a řídících pracovníků tak žen byla v Praze pouze o něco více než třetina (36,1 %). Pražské ženy byly zaměstnané především ve třídě specialisté (36,9 %), techničtí a odborní pracovníci</w:t>
      </w:r>
      <w:r w:rsidR="00515C26">
        <w:rPr>
          <w:rFonts w:cs="Arial"/>
          <w:szCs w:val="20"/>
        </w:rPr>
        <w:t> </w:t>
      </w:r>
      <w:r>
        <w:rPr>
          <w:rFonts w:cs="Arial"/>
          <w:szCs w:val="20"/>
        </w:rPr>
        <w:t>(22,5 %),</w:t>
      </w:r>
      <w:r w:rsidR="00515C26">
        <w:rPr>
          <w:rFonts w:cs="Arial"/>
          <w:szCs w:val="20"/>
        </w:rPr>
        <w:t> </w:t>
      </w:r>
      <w:r>
        <w:rPr>
          <w:rFonts w:cs="Arial"/>
          <w:szCs w:val="20"/>
        </w:rPr>
        <w:t>pracovníc</w:t>
      </w:r>
      <w:r w:rsidR="00515C26">
        <w:rPr>
          <w:rFonts w:cs="Arial"/>
          <w:szCs w:val="20"/>
        </w:rPr>
        <w:t>i </w:t>
      </w:r>
      <w:r>
        <w:rPr>
          <w:rFonts w:cs="Arial"/>
          <w:szCs w:val="20"/>
        </w:rPr>
        <w:t>ve službách</w:t>
      </w:r>
      <w:r w:rsidR="00515C26">
        <w:rPr>
          <w:rFonts w:cs="Arial"/>
          <w:szCs w:val="20"/>
        </w:rPr>
        <w:t> </w:t>
      </w:r>
      <w:r>
        <w:rPr>
          <w:rFonts w:cs="Arial"/>
          <w:szCs w:val="20"/>
        </w:rPr>
        <w:t>a</w:t>
      </w:r>
      <w:r w:rsidR="00515C26">
        <w:rPr>
          <w:rFonts w:cs="Arial"/>
          <w:szCs w:val="20"/>
        </w:rPr>
        <w:t> </w:t>
      </w:r>
      <w:r>
        <w:rPr>
          <w:rFonts w:cs="Arial"/>
          <w:szCs w:val="20"/>
        </w:rPr>
        <w:t>prodeji</w:t>
      </w:r>
      <w:r w:rsidR="00515C26">
        <w:rPr>
          <w:rFonts w:cs="Arial"/>
          <w:szCs w:val="20"/>
        </w:rPr>
        <w:t> </w:t>
      </w:r>
      <w:r>
        <w:rPr>
          <w:rFonts w:cs="Arial"/>
          <w:szCs w:val="20"/>
        </w:rPr>
        <w:t>(15,6 %)</w:t>
      </w:r>
      <w:r w:rsidR="00515C26">
        <w:rPr>
          <w:rFonts w:cs="Arial"/>
          <w:szCs w:val="20"/>
        </w:rPr>
        <w:t> </w:t>
      </w:r>
      <w:r>
        <w:rPr>
          <w:rFonts w:cs="Arial"/>
          <w:szCs w:val="20"/>
        </w:rPr>
        <w:t>a</w:t>
      </w:r>
      <w:r w:rsidR="00515C26">
        <w:rPr>
          <w:rFonts w:cs="Arial"/>
          <w:szCs w:val="20"/>
        </w:rPr>
        <w:t> </w:t>
      </w:r>
      <w:r>
        <w:rPr>
          <w:rFonts w:cs="Arial"/>
          <w:szCs w:val="20"/>
        </w:rPr>
        <w:t>úředníci</w:t>
      </w:r>
      <w:r w:rsidR="00515C26">
        <w:rPr>
          <w:rFonts w:cs="Arial"/>
          <w:szCs w:val="20"/>
        </w:rPr>
        <w:t> </w:t>
      </w:r>
      <w:r>
        <w:rPr>
          <w:rFonts w:cs="Arial"/>
          <w:szCs w:val="20"/>
        </w:rPr>
        <w:t xml:space="preserve">(12,4 %). </w:t>
      </w:r>
      <w:r w:rsidR="00515C26">
        <w:rPr>
          <w:rFonts w:cs="Arial"/>
          <w:szCs w:val="20"/>
        </w:rPr>
        <w:br/>
      </w:r>
      <w:r>
        <w:rPr>
          <w:rFonts w:cs="Arial"/>
          <w:szCs w:val="20"/>
        </w:rPr>
        <w:t>Muži v hlavním městě pracovali taktéž především ve třídách specialisté (32,9 %) a techničtí a odborní pracovníci (18,9 %).  Méně mužů se uplatnilo ve třídě úředníci (6,2 %) a pracovníci ve službách a prodeji (10,6 %). Mnohem častěji než ženy naopak patřili do tříd řemeslníci a opraváři (muži 10,8 %, ženy 1,3 %) nebo obsluha</w:t>
      </w:r>
      <w:r w:rsidR="00515C26">
        <w:rPr>
          <w:rFonts w:cs="Arial"/>
          <w:szCs w:val="20"/>
        </w:rPr>
        <w:t> </w:t>
      </w:r>
      <w:r>
        <w:rPr>
          <w:rFonts w:cs="Arial"/>
          <w:szCs w:val="20"/>
        </w:rPr>
        <w:t>strojů</w:t>
      </w:r>
      <w:r w:rsidR="00515C26">
        <w:rPr>
          <w:rFonts w:cs="Arial"/>
          <w:szCs w:val="20"/>
        </w:rPr>
        <w:t> </w:t>
      </w:r>
      <w:r>
        <w:rPr>
          <w:rFonts w:cs="Arial"/>
          <w:szCs w:val="20"/>
        </w:rPr>
        <w:t>a</w:t>
      </w:r>
      <w:r w:rsidR="00515C26">
        <w:rPr>
          <w:rFonts w:cs="Arial"/>
          <w:szCs w:val="20"/>
        </w:rPr>
        <w:t> </w:t>
      </w:r>
      <w:r>
        <w:rPr>
          <w:rFonts w:cs="Arial"/>
          <w:szCs w:val="20"/>
        </w:rPr>
        <w:t>zařízení,</w:t>
      </w:r>
      <w:r w:rsidR="00515C26">
        <w:rPr>
          <w:rFonts w:cs="Arial"/>
          <w:szCs w:val="20"/>
        </w:rPr>
        <w:t> </w:t>
      </w:r>
      <w:r>
        <w:rPr>
          <w:rFonts w:cs="Arial"/>
          <w:szCs w:val="20"/>
        </w:rPr>
        <w:t>montéři</w:t>
      </w:r>
      <w:r w:rsidR="002537DC">
        <w:rPr>
          <w:rFonts w:cs="Arial"/>
          <w:szCs w:val="20"/>
        </w:rPr>
        <w:t> </w:t>
      </w:r>
      <w:r>
        <w:rPr>
          <w:rFonts w:cs="Arial"/>
          <w:szCs w:val="20"/>
        </w:rPr>
        <w:t>(muži 8,1 %,</w:t>
      </w:r>
      <w:r w:rsidR="002537DC">
        <w:rPr>
          <w:rFonts w:cs="Arial"/>
          <w:szCs w:val="20"/>
        </w:rPr>
        <w:t> </w:t>
      </w:r>
      <w:r>
        <w:rPr>
          <w:rFonts w:cs="Arial"/>
          <w:szCs w:val="20"/>
        </w:rPr>
        <w:t>ženy 1,4 %).</w:t>
      </w:r>
      <w:r>
        <w:rPr>
          <w:rFonts w:cs="Arial"/>
          <w:szCs w:val="20"/>
        </w:rPr>
        <w:br/>
        <w:t>V Praze ženy výrazně převládaly mezi úředníky (64,6 %), pomocnými a nekvalifikovanými pracovníky (57,6 %) a pracovníky ve službách a prodeji (57,5 %). Jako převážně mužské třídy lze v hlavním městě charakterizovat kategorie řemeslníci a opraváři (90 % mužů), obsluha strojů a zařízení, montéři (85,9 %), zaměstnanci v ozbrojených silách (81,4 %), kvalifikovaní pracovníci v zemědělství, lesnictví a rybářství (64,6 %) a</w:t>
      </w:r>
      <w:r w:rsidR="002537DC">
        <w:rPr>
          <w:rFonts w:cs="Arial"/>
          <w:szCs w:val="20"/>
        </w:rPr>
        <w:t> </w:t>
      </w:r>
      <w:r>
        <w:rPr>
          <w:rFonts w:cs="Arial"/>
          <w:szCs w:val="20"/>
        </w:rPr>
        <w:t>zákonodárci</w:t>
      </w:r>
      <w:r w:rsidR="002537DC">
        <w:rPr>
          <w:rFonts w:cs="Arial"/>
          <w:szCs w:val="20"/>
        </w:rPr>
        <w:t> </w:t>
      </w:r>
      <w:r>
        <w:rPr>
          <w:rFonts w:cs="Arial"/>
          <w:szCs w:val="20"/>
        </w:rPr>
        <w:t>a</w:t>
      </w:r>
      <w:r w:rsidR="002537DC">
        <w:rPr>
          <w:rFonts w:cs="Arial"/>
          <w:szCs w:val="20"/>
        </w:rPr>
        <w:t> </w:t>
      </w:r>
      <w:r>
        <w:rPr>
          <w:rFonts w:cs="Arial"/>
          <w:szCs w:val="20"/>
        </w:rPr>
        <w:t>řídící</w:t>
      </w:r>
      <w:r w:rsidR="002537DC">
        <w:rPr>
          <w:rFonts w:cs="Arial"/>
          <w:szCs w:val="20"/>
        </w:rPr>
        <w:t> </w:t>
      </w:r>
      <w:r>
        <w:rPr>
          <w:rFonts w:cs="Arial"/>
          <w:szCs w:val="20"/>
        </w:rPr>
        <w:t>pracovníci</w:t>
      </w:r>
      <w:r w:rsidR="002537DC">
        <w:rPr>
          <w:rFonts w:cs="Arial"/>
          <w:szCs w:val="20"/>
        </w:rPr>
        <w:t> </w:t>
      </w:r>
      <w:r>
        <w:rPr>
          <w:rFonts w:cs="Arial"/>
          <w:szCs w:val="20"/>
        </w:rPr>
        <w:t>(63,9 %).</w:t>
      </w:r>
      <w:r>
        <w:rPr>
          <w:rFonts w:cs="Arial"/>
          <w:szCs w:val="20"/>
        </w:rPr>
        <w:br/>
      </w:r>
    </w:p>
    <w:p w14:paraId="2B356AD7" w14:textId="172430DD" w:rsidR="004179D7" w:rsidRDefault="004179D7" w:rsidP="004179D7">
      <w:pPr>
        <w:rPr>
          <w:rFonts w:cs="Arial"/>
          <w:szCs w:val="20"/>
        </w:rPr>
      </w:pPr>
      <w:r w:rsidRPr="0058469B">
        <w:rPr>
          <w:rFonts w:cs="Arial"/>
          <w:b/>
          <w:szCs w:val="20"/>
        </w:rPr>
        <w:t>Graf 4.</w:t>
      </w:r>
      <w:r w:rsidR="00DA5C0D">
        <w:rPr>
          <w:rFonts w:cs="Arial"/>
          <w:b/>
          <w:szCs w:val="20"/>
        </w:rPr>
        <w:t>8</w:t>
      </w:r>
      <w:r w:rsidRPr="0058469B">
        <w:rPr>
          <w:rFonts w:cs="Arial"/>
          <w:b/>
          <w:szCs w:val="20"/>
        </w:rPr>
        <w:t xml:space="preserve"> Zaměstnaní podle hlavních tříd zaměstnání a pohlaví v hl. m. Praze</w:t>
      </w:r>
      <w:r>
        <w:rPr>
          <w:rFonts w:cs="Arial"/>
          <w:szCs w:val="20"/>
        </w:rPr>
        <w:t xml:space="preserve"> </w:t>
      </w:r>
      <w:r>
        <w:rPr>
          <w:rFonts w:cs="Arial"/>
          <w:szCs w:val="20"/>
        </w:rPr>
        <w:br/>
        <w:t>(ze zjištěných hodnot)</w:t>
      </w:r>
      <w:r w:rsidRPr="0058469B">
        <w:rPr>
          <w:rFonts w:cs="Arial"/>
          <w:noProof/>
          <w:szCs w:val="20"/>
        </w:rPr>
        <w:drawing>
          <wp:inline distT="0" distB="0" distL="0" distR="0" wp14:anchorId="75F0F0C1" wp14:editId="37510D42">
            <wp:extent cx="5760720" cy="2757667"/>
            <wp:effectExtent l="0" t="0" r="0" b="508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757667"/>
                    </a:xfrm>
                    <a:prstGeom prst="rect">
                      <a:avLst/>
                    </a:prstGeom>
                    <a:noFill/>
                    <a:ln>
                      <a:noFill/>
                    </a:ln>
                  </pic:spPr>
                </pic:pic>
              </a:graphicData>
            </a:graphic>
          </wp:inline>
        </w:drawing>
      </w:r>
    </w:p>
    <w:p w14:paraId="3B5079DF" w14:textId="23756D88" w:rsidR="004179D7" w:rsidRDefault="004179D7" w:rsidP="002537DC">
      <w:pPr>
        <w:jc w:val="both"/>
        <w:rPr>
          <w:rFonts w:cs="Arial"/>
          <w:szCs w:val="20"/>
        </w:rPr>
      </w:pPr>
      <w:r>
        <w:rPr>
          <w:rFonts w:cs="Arial"/>
          <w:szCs w:val="20"/>
        </w:rPr>
        <w:t>V ostatních krajích byly trendy obdobné, Praha měla ale svá specifika. Jako zákonodárci a řídící pracovníci se</w:t>
      </w:r>
      <w:r w:rsidR="002537DC">
        <w:rPr>
          <w:rFonts w:cs="Arial"/>
          <w:szCs w:val="20"/>
        </w:rPr>
        <w:t> </w:t>
      </w:r>
      <w:r>
        <w:rPr>
          <w:rFonts w:cs="Arial"/>
          <w:szCs w:val="20"/>
        </w:rPr>
        <w:t>ženy uplatnily nejčastěji v Karlovarském kraji (40,1 %), nejméně naopak v Kraji Vysočina (32,1 %). Praha měla prakticky vyvážený poměr mezi mužskými a ženskými specialisty. V ostatních krajích v této třídě převažovaly ženy – nejvýrazněji opět v Karlovarském kraji (65,6 %). Úřednická povolání byla doménou žen celorepublikově, nejvyšší podíl žen-úřednic měl kraj Zlínský (69 %). Praha měla nejvyšší podíl mužů pracujících ve službách a prodeji (42,5 % - tedy 7</w:t>
      </w:r>
      <w:r w:rsidR="008E52CF">
        <w:rPr>
          <w:rFonts w:cs="Arial"/>
          <w:szCs w:val="20"/>
        </w:rPr>
        <w:t>.</w:t>
      </w:r>
      <w:r>
        <w:rPr>
          <w:rFonts w:cs="Arial"/>
          <w:szCs w:val="20"/>
        </w:rPr>
        <w:t>1 p. b. nad celorepublikovým průměrem). Podíl žen ve třídě řemeslníci a opraváři byl v hlavním městě ze všech krajů nejnižší (10 %), nejčastěji se těmto profesím věnoval</w:t>
      </w:r>
      <w:r w:rsidR="00795F2C">
        <w:rPr>
          <w:rFonts w:cs="Arial"/>
          <w:szCs w:val="20"/>
        </w:rPr>
        <w:t>y</w:t>
      </w:r>
      <w:r>
        <w:rPr>
          <w:rFonts w:cs="Arial"/>
          <w:szCs w:val="20"/>
        </w:rPr>
        <w:t xml:space="preserve"> </w:t>
      </w:r>
      <w:r w:rsidR="00795F2C">
        <w:rPr>
          <w:rFonts w:cs="Arial"/>
          <w:szCs w:val="20"/>
        </w:rPr>
        <w:t>ženy</w:t>
      </w:r>
      <w:r>
        <w:rPr>
          <w:rFonts w:cs="Arial"/>
          <w:szCs w:val="20"/>
        </w:rPr>
        <w:t xml:space="preserve"> v Karlovarském kraji (16,7 %). Třída obsluha strojů a zařízení, montéři měla nejnižší podíl ženské složky opět v Praze (14,1 %), avšak v pěti krajích – Plzeňském, Libereckém, Královéhradeckém, Zlínském a v Kraji Vysočina - přesáhla dokonce 30 %. Pomocné a nekvalifikované práce zbývaly ve všech krajích převážně na ženy – od 55 % ve Středočeském kraji až po 61,4 % v kraji Moravskoslezském.</w:t>
      </w:r>
    </w:p>
    <w:p w14:paraId="19602998" w14:textId="77777777" w:rsidR="004179D7" w:rsidRDefault="004179D7" w:rsidP="004179D7">
      <w:pPr>
        <w:rPr>
          <w:rFonts w:cs="Arial"/>
          <w:szCs w:val="20"/>
        </w:rPr>
      </w:pPr>
      <w:r w:rsidRPr="00F12B51">
        <w:rPr>
          <w:rFonts w:cs="Arial"/>
          <w:b/>
          <w:szCs w:val="20"/>
        </w:rPr>
        <w:t>Tab. 4.4.</w:t>
      </w:r>
      <w:r w:rsidR="008E52CF">
        <w:rPr>
          <w:rFonts w:cs="Arial"/>
          <w:b/>
          <w:szCs w:val="20"/>
        </w:rPr>
        <w:t>2</w:t>
      </w:r>
      <w:r w:rsidRPr="00F12B51">
        <w:rPr>
          <w:rFonts w:cs="Arial"/>
          <w:b/>
          <w:szCs w:val="20"/>
        </w:rPr>
        <w:t xml:space="preserve"> Zaměstnaní podle pohlaví a postavení v zaměstnání v hl. m. Praze</w:t>
      </w:r>
      <w:r w:rsidRPr="00B1567E">
        <w:rPr>
          <w:rFonts w:cs="Arial"/>
          <w:noProof/>
          <w:szCs w:val="20"/>
        </w:rPr>
        <w:drawing>
          <wp:inline distT="0" distB="0" distL="0" distR="0" wp14:anchorId="3B765B3E" wp14:editId="46973131">
            <wp:extent cx="5760720" cy="1486445"/>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1486445"/>
                    </a:xfrm>
                    <a:prstGeom prst="rect">
                      <a:avLst/>
                    </a:prstGeom>
                    <a:noFill/>
                    <a:ln>
                      <a:noFill/>
                    </a:ln>
                  </pic:spPr>
                </pic:pic>
              </a:graphicData>
            </a:graphic>
          </wp:inline>
        </w:drawing>
      </w:r>
    </w:p>
    <w:p w14:paraId="4FC05250" w14:textId="15B23E17" w:rsidR="00961B57" w:rsidRDefault="004179D7" w:rsidP="00A764C5">
      <w:pPr>
        <w:jc w:val="both"/>
        <w:rPr>
          <w:rFonts w:cs="Arial"/>
          <w:szCs w:val="20"/>
        </w:rPr>
      </w:pPr>
      <w:r>
        <w:rPr>
          <w:rFonts w:cs="Arial"/>
          <w:szCs w:val="20"/>
        </w:rPr>
        <w:br/>
      </w:r>
      <w:r w:rsidR="00961B57" w:rsidRPr="000E2CF1">
        <w:rPr>
          <w:rFonts w:cs="Arial"/>
          <w:b/>
          <w:szCs w:val="20"/>
        </w:rPr>
        <w:t>Zaměstnané osoby</w:t>
      </w:r>
      <w:r w:rsidR="00961B57">
        <w:rPr>
          <w:rFonts w:cs="Arial"/>
          <w:szCs w:val="20"/>
        </w:rPr>
        <w:t xml:space="preserve"> se zjištěným postavením v zaměstnání se dělí </w:t>
      </w:r>
      <w:r w:rsidR="00961B57" w:rsidRPr="000E2CF1">
        <w:rPr>
          <w:rFonts w:cs="Arial"/>
          <w:b/>
          <w:szCs w:val="20"/>
        </w:rPr>
        <w:t>do</w:t>
      </w:r>
      <w:r w:rsidR="00961B57">
        <w:rPr>
          <w:rFonts w:cs="Arial"/>
          <w:b/>
          <w:szCs w:val="20"/>
        </w:rPr>
        <w:t> </w:t>
      </w:r>
      <w:r w:rsidR="00961B57" w:rsidRPr="000E2CF1">
        <w:rPr>
          <w:rFonts w:cs="Arial"/>
          <w:b/>
          <w:szCs w:val="20"/>
        </w:rPr>
        <w:t>tří skupin – na</w:t>
      </w:r>
      <w:r w:rsidR="00961B57">
        <w:rPr>
          <w:rFonts w:cs="Arial"/>
          <w:b/>
          <w:szCs w:val="20"/>
        </w:rPr>
        <w:t> </w:t>
      </w:r>
      <w:r w:rsidR="00961B57" w:rsidRPr="000E2CF1">
        <w:rPr>
          <w:rFonts w:cs="Arial"/>
          <w:b/>
          <w:szCs w:val="20"/>
        </w:rPr>
        <w:t>zaměstnance, zaměstnavatele a osoby pracující na</w:t>
      </w:r>
      <w:r w:rsidR="00961B57">
        <w:rPr>
          <w:rFonts w:cs="Arial"/>
          <w:b/>
          <w:szCs w:val="20"/>
        </w:rPr>
        <w:t> </w:t>
      </w:r>
      <w:r w:rsidR="00961B57" w:rsidRPr="000E2CF1">
        <w:rPr>
          <w:rFonts w:cs="Arial"/>
          <w:b/>
          <w:szCs w:val="20"/>
        </w:rPr>
        <w:t>vlastní účet.</w:t>
      </w:r>
      <w:r w:rsidR="00961B57">
        <w:rPr>
          <w:rFonts w:cs="Arial"/>
          <w:szCs w:val="20"/>
        </w:rPr>
        <w:t xml:space="preserve"> Kategorie </w:t>
      </w:r>
      <w:r w:rsidR="00961B57" w:rsidRPr="000E2CF1">
        <w:rPr>
          <w:rFonts w:cs="Arial"/>
          <w:b/>
          <w:szCs w:val="20"/>
        </w:rPr>
        <w:t>zaměstnanců</w:t>
      </w:r>
      <w:r w:rsidR="00961B57">
        <w:rPr>
          <w:rFonts w:cs="Arial"/>
          <w:szCs w:val="20"/>
        </w:rPr>
        <w:t xml:space="preserve"> čítala v Praze </w:t>
      </w:r>
      <w:r w:rsidR="00961B57" w:rsidRPr="000E2CF1">
        <w:rPr>
          <w:rFonts w:cs="Arial"/>
          <w:b/>
          <w:szCs w:val="20"/>
        </w:rPr>
        <w:t>517</w:t>
      </w:r>
      <w:r w:rsidR="00961B57">
        <w:rPr>
          <w:rFonts w:cs="Arial"/>
          <w:b/>
          <w:szCs w:val="20"/>
        </w:rPr>
        <w:t> </w:t>
      </w:r>
      <w:r w:rsidR="00961B57" w:rsidRPr="000E2CF1">
        <w:rPr>
          <w:rFonts w:cs="Arial"/>
          <w:b/>
          <w:szCs w:val="20"/>
        </w:rPr>
        <w:t>049</w:t>
      </w:r>
      <w:r w:rsidR="00961B57">
        <w:rPr>
          <w:rFonts w:cs="Arial"/>
          <w:szCs w:val="20"/>
        </w:rPr>
        <w:t xml:space="preserve"> zaměstnaných. </w:t>
      </w:r>
      <w:r w:rsidR="00961B57" w:rsidRPr="0060763A">
        <w:rPr>
          <w:rFonts w:cs="Arial"/>
          <w:b/>
          <w:szCs w:val="20"/>
        </w:rPr>
        <w:t>Podíl</w:t>
      </w:r>
      <w:r w:rsidR="00961B57">
        <w:rPr>
          <w:rFonts w:cs="Arial"/>
          <w:szCs w:val="20"/>
        </w:rPr>
        <w:t xml:space="preserve"> zaměstnanců na celkovém množství osob se zjištěným postavením v zaměstnání v Praze činil </w:t>
      </w:r>
      <w:r w:rsidR="00961B57" w:rsidRPr="0060763A">
        <w:rPr>
          <w:rFonts w:cs="Arial"/>
          <w:b/>
          <w:szCs w:val="20"/>
        </w:rPr>
        <w:t>78,7</w:t>
      </w:r>
      <w:r w:rsidR="00961B57">
        <w:rPr>
          <w:rFonts w:cs="Arial"/>
          <w:b/>
          <w:szCs w:val="20"/>
        </w:rPr>
        <w:t> </w:t>
      </w:r>
      <w:r w:rsidR="00961B57" w:rsidRPr="0060763A">
        <w:rPr>
          <w:rFonts w:cs="Arial"/>
          <w:b/>
          <w:szCs w:val="20"/>
        </w:rPr>
        <w:t>%</w:t>
      </w:r>
      <w:r w:rsidR="00961B57">
        <w:rPr>
          <w:rFonts w:cs="Arial"/>
          <w:szCs w:val="20"/>
        </w:rPr>
        <w:t xml:space="preserve">, </w:t>
      </w:r>
      <w:r w:rsidR="00961B57" w:rsidRPr="0060763A">
        <w:rPr>
          <w:rFonts w:cs="Arial"/>
          <w:b/>
          <w:szCs w:val="20"/>
        </w:rPr>
        <w:t>každý pátý zaměstnaný pracoval na</w:t>
      </w:r>
      <w:r w:rsidR="00961B57">
        <w:rPr>
          <w:rFonts w:cs="Arial"/>
          <w:b/>
          <w:szCs w:val="20"/>
        </w:rPr>
        <w:t> </w:t>
      </w:r>
      <w:r w:rsidR="00961B57" w:rsidRPr="0060763A">
        <w:rPr>
          <w:rFonts w:cs="Arial"/>
          <w:b/>
          <w:szCs w:val="20"/>
        </w:rPr>
        <w:t>vlastní účet</w:t>
      </w:r>
      <w:r w:rsidR="00961B57">
        <w:rPr>
          <w:rFonts w:cs="Arial"/>
          <w:szCs w:val="20"/>
        </w:rPr>
        <w:t xml:space="preserve"> a zcela minoritní skupinou byli zaměstnavatelé (0,6 %). </w:t>
      </w:r>
      <w:r w:rsidR="000618EE" w:rsidRPr="00A764C5">
        <w:t>Zaměstnavatelé</w:t>
      </w:r>
      <w:r w:rsidR="000618EE">
        <w:rPr>
          <w:i/>
        </w:rPr>
        <w:t xml:space="preserve"> </w:t>
      </w:r>
      <w:r w:rsidR="000618EE">
        <w:t xml:space="preserve">jsou podnikatelé se zaměstnanci. </w:t>
      </w:r>
      <w:r w:rsidR="000618EE" w:rsidRPr="00A764C5">
        <w:t>Osoby pracující na vlastní účet</w:t>
      </w:r>
      <w:r w:rsidR="000618EE">
        <w:t xml:space="preserve"> jsou</w:t>
      </w:r>
      <w:r w:rsidR="00A764C5">
        <w:t> </w:t>
      </w:r>
      <w:r w:rsidR="000618EE">
        <w:t>podnikatelé</w:t>
      </w:r>
      <w:r w:rsidR="00A764C5">
        <w:t> </w:t>
      </w:r>
      <w:r w:rsidR="000618EE">
        <w:t>bez</w:t>
      </w:r>
      <w:r w:rsidR="00A764C5">
        <w:t> </w:t>
      </w:r>
      <w:r w:rsidR="000618EE">
        <w:t>zaměstnanců.</w:t>
      </w:r>
      <w:r w:rsidR="00961B57">
        <w:rPr>
          <w:rFonts w:cs="Arial"/>
          <w:szCs w:val="20"/>
        </w:rPr>
        <w:br/>
      </w:r>
    </w:p>
    <w:p w14:paraId="2022AF97" w14:textId="72555874" w:rsidR="00961B57" w:rsidRDefault="00961B57" w:rsidP="00961B57">
      <w:pPr>
        <w:rPr>
          <w:rFonts w:cs="Arial"/>
          <w:szCs w:val="20"/>
        </w:rPr>
      </w:pPr>
      <w:r w:rsidRPr="00136B3D">
        <w:rPr>
          <w:rFonts w:cs="Arial"/>
          <w:b/>
          <w:szCs w:val="20"/>
        </w:rPr>
        <w:t>Graf 4.</w:t>
      </w:r>
      <w:r w:rsidR="00DA5C0D">
        <w:rPr>
          <w:rFonts w:cs="Arial"/>
          <w:b/>
          <w:szCs w:val="20"/>
        </w:rPr>
        <w:t>9</w:t>
      </w:r>
      <w:r w:rsidR="00A764C5">
        <w:rPr>
          <w:rFonts w:cs="Arial"/>
          <w:b/>
          <w:szCs w:val="20"/>
        </w:rPr>
        <w:t xml:space="preserve"> </w:t>
      </w:r>
      <w:r w:rsidRPr="00136B3D">
        <w:rPr>
          <w:rFonts w:cs="Arial"/>
          <w:b/>
          <w:szCs w:val="20"/>
        </w:rPr>
        <w:t>Zaměstnaní podle postavení v zaměstnání v hl. m. Praze a ČR</w:t>
      </w:r>
      <w:r w:rsidRPr="00136B3D">
        <w:rPr>
          <w:rFonts w:cs="Arial"/>
          <w:noProof/>
          <w:szCs w:val="20"/>
        </w:rPr>
        <w:drawing>
          <wp:inline distT="0" distB="0" distL="0" distR="0" wp14:anchorId="1F117FD1" wp14:editId="7D613FED">
            <wp:extent cx="5760720" cy="2377440"/>
            <wp:effectExtent l="0" t="0" r="0" b="381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377440"/>
                    </a:xfrm>
                    <a:prstGeom prst="rect">
                      <a:avLst/>
                    </a:prstGeom>
                    <a:noFill/>
                    <a:ln>
                      <a:noFill/>
                    </a:ln>
                  </pic:spPr>
                </pic:pic>
              </a:graphicData>
            </a:graphic>
          </wp:inline>
        </w:drawing>
      </w:r>
    </w:p>
    <w:p w14:paraId="67659484" w14:textId="3611281C" w:rsidR="00961B57" w:rsidRDefault="00961B57" w:rsidP="002537DC">
      <w:pPr>
        <w:jc w:val="both"/>
        <w:rPr>
          <w:rFonts w:cs="Arial"/>
          <w:szCs w:val="20"/>
        </w:rPr>
      </w:pPr>
      <w:r>
        <w:rPr>
          <w:rFonts w:cs="Arial"/>
          <w:szCs w:val="20"/>
        </w:rPr>
        <w:t xml:space="preserve">Praha měla mezi kraji nejnižší podíl zaměstnanců a nejvyšší podíl podnikatelů. </w:t>
      </w:r>
    </w:p>
    <w:p w14:paraId="19286DEF" w14:textId="0757AFF3" w:rsidR="004179D7" w:rsidRDefault="00795F2C" w:rsidP="002537DC">
      <w:pPr>
        <w:jc w:val="both"/>
        <w:rPr>
          <w:rFonts w:cs="Arial"/>
          <w:szCs w:val="20"/>
        </w:rPr>
      </w:pPr>
      <w:r>
        <w:rPr>
          <w:rFonts w:cs="Arial"/>
          <w:szCs w:val="20"/>
        </w:rPr>
        <w:t>Struktura zaměstnaných</w:t>
      </w:r>
      <w:r w:rsidR="004179D7">
        <w:rPr>
          <w:rFonts w:cs="Arial"/>
          <w:szCs w:val="20"/>
        </w:rPr>
        <w:t xml:space="preserve"> obou pohlaví se přitom dost výrazně lišil</w:t>
      </w:r>
      <w:r>
        <w:rPr>
          <w:rFonts w:cs="Arial"/>
          <w:szCs w:val="20"/>
        </w:rPr>
        <w:t>a</w:t>
      </w:r>
      <w:r w:rsidR="004179D7">
        <w:rPr>
          <w:rFonts w:cs="Arial"/>
          <w:szCs w:val="20"/>
        </w:rPr>
        <w:t>. Přestože zaměstnanci převažovali na obou stranách, bylo pro ženy mnohem typičtější nechat se zaměstnat, než pro muže. Do kategorie zaměstnanců patřilo 83,9 % žen ve srovnání se 73,9 % mužů. A naopak mužů pracujících na vlastní účet byla plná čtvrtina oproti pouhým 15,6 % žen.</w:t>
      </w:r>
      <w:r w:rsidR="007D7ADE">
        <w:rPr>
          <w:rFonts w:cs="Arial"/>
          <w:szCs w:val="20"/>
        </w:rPr>
        <w:t xml:space="preserve"> </w:t>
      </w:r>
    </w:p>
    <w:p w14:paraId="05C0D770" w14:textId="77777777" w:rsidR="00961B57" w:rsidRDefault="00961B57" w:rsidP="00961B57">
      <w:pPr>
        <w:jc w:val="both"/>
        <w:rPr>
          <w:rFonts w:cs="Arial"/>
          <w:szCs w:val="20"/>
        </w:rPr>
      </w:pPr>
      <w:r>
        <w:rPr>
          <w:rFonts w:cs="Arial"/>
          <w:szCs w:val="20"/>
        </w:rPr>
        <w:t xml:space="preserve">Ve všech věkových kategoriích (pětiletých věkových skupinách) převažovali k rozhodnému okamžiku sčítání 2021 mezi zaměstnanými v Praze zaměstnanci. Při porovnání struktury zaměstnaných je patrné, že existuje </w:t>
      </w:r>
      <w:r w:rsidRPr="0060763A">
        <w:rPr>
          <w:rFonts w:cs="Arial"/>
          <w:b/>
          <w:szCs w:val="20"/>
        </w:rPr>
        <w:t>souvislost s</w:t>
      </w:r>
      <w:r>
        <w:rPr>
          <w:rFonts w:cs="Arial"/>
          <w:b/>
          <w:szCs w:val="20"/>
        </w:rPr>
        <w:t> </w:t>
      </w:r>
      <w:r w:rsidRPr="0060763A">
        <w:rPr>
          <w:rFonts w:cs="Arial"/>
          <w:b/>
          <w:szCs w:val="20"/>
        </w:rPr>
        <w:t>věkem</w:t>
      </w:r>
      <w:r>
        <w:rPr>
          <w:rFonts w:cs="Arial"/>
          <w:szCs w:val="20"/>
        </w:rPr>
        <w:t xml:space="preserve">. </w:t>
      </w:r>
      <w:r w:rsidRPr="00AA5842">
        <w:rPr>
          <w:rFonts w:cs="Arial"/>
          <w:b/>
          <w:szCs w:val="20"/>
        </w:rPr>
        <w:t>Nejvíce</w:t>
      </w:r>
      <w:r>
        <w:rPr>
          <w:rFonts w:cs="Arial"/>
          <w:szCs w:val="20"/>
        </w:rPr>
        <w:t xml:space="preserve"> byla </w:t>
      </w:r>
      <w:r w:rsidRPr="00AA5842">
        <w:rPr>
          <w:rFonts w:cs="Arial"/>
          <w:b/>
          <w:szCs w:val="20"/>
        </w:rPr>
        <w:t>kategorie zaměstnanců</w:t>
      </w:r>
      <w:r>
        <w:rPr>
          <w:rFonts w:cs="Arial"/>
          <w:szCs w:val="20"/>
        </w:rPr>
        <w:t xml:space="preserve"> </w:t>
      </w:r>
      <w:r w:rsidRPr="00AA5842">
        <w:rPr>
          <w:rFonts w:cs="Arial"/>
          <w:b/>
          <w:szCs w:val="20"/>
        </w:rPr>
        <w:t>zastoupena</w:t>
      </w:r>
      <w:r>
        <w:rPr>
          <w:rFonts w:cs="Arial"/>
          <w:szCs w:val="20"/>
        </w:rPr>
        <w:t xml:space="preserve"> u tří nejmladších skupin zaměstnaných – </w:t>
      </w:r>
      <w:r w:rsidRPr="00AA5842">
        <w:rPr>
          <w:rFonts w:cs="Arial"/>
          <w:b/>
          <w:szCs w:val="20"/>
        </w:rPr>
        <w:t>ve</w:t>
      </w:r>
      <w:r>
        <w:rPr>
          <w:rFonts w:cs="Arial"/>
          <w:b/>
          <w:szCs w:val="20"/>
        </w:rPr>
        <w:t> </w:t>
      </w:r>
      <w:r w:rsidRPr="00AA5842">
        <w:rPr>
          <w:rFonts w:cs="Arial"/>
          <w:b/>
          <w:szCs w:val="20"/>
        </w:rPr>
        <w:t>věku od</w:t>
      </w:r>
      <w:r>
        <w:rPr>
          <w:rFonts w:cs="Arial"/>
          <w:b/>
          <w:szCs w:val="20"/>
        </w:rPr>
        <w:t> </w:t>
      </w:r>
      <w:r w:rsidRPr="00AA5842">
        <w:rPr>
          <w:rFonts w:cs="Arial"/>
          <w:b/>
          <w:szCs w:val="20"/>
        </w:rPr>
        <w:t>15</w:t>
      </w:r>
      <w:r>
        <w:rPr>
          <w:rFonts w:cs="Arial"/>
          <w:b/>
          <w:szCs w:val="20"/>
        </w:rPr>
        <w:t> </w:t>
      </w:r>
      <w:r w:rsidRPr="00AA5842">
        <w:rPr>
          <w:rFonts w:cs="Arial"/>
          <w:b/>
          <w:szCs w:val="20"/>
        </w:rPr>
        <w:t>do</w:t>
      </w:r>
      <w:r>
        <w:rPr>
          <w:rFonts w:cs="Arial"/>
          <w:b/>
          <w:szCs w:val="20"/>
        </w:rPr>
        <w:t> </w:t>
      </w:r>
      <w:r w:rsidRPr="00AA5842">
        <w:rPr>
          <w:rFonts w:cs="Arial"/>
          <w:b/>
          <w:szCs w:val="20"/>
        </w:rPr>
        <w:t>29</w:t>
      </w:r>
      <w:r>
        <w:rPr>
          <w:rFonts w:cs="Arial"/>
          <w:b/>
          <w:szCs w:val="20"/>
        </w:rPr>
        <w:t> </w:t>
      </w:r>
      <w:r w:rsidRPr="00AA5842">
        <w:rPr>
          <w:rFonts w:cs="Arial"/>
          <w:b/>
          <w:szCs w:val="20"/>
        </w:rPr>
        <w:t>let</w:t>
      </w:r>
      <w:r>
        <w:rPr>
          <w:rFonts w:cs="Arial"/>
          <w:szCs w:val="20"/>
        </w:rPr>
        <w:t xml:space="preserve"> byli v jednotlivých pětiletých věkových skupinách zastoupeni v rozmezí 82,2-84,5 %. Ve věku mezi 30 a 64 lety tvořili zaměstnanci v průměru přibližně 79 %, u nejstarších věkových kategorií podíl zaměstnanců postupně klesal až na 63,5 %. Poněkud odlišná byla situace u žen a mužů. </w:t>
      </w:r>
      <w:r w:rsidRPr="00AA5842">
        <w:rPr>
          <w:rFonts w:cs="Arial"/>
          <w:b/>
          <w:szCs w:val="20"/>
        </w:rPr>
        <w:t>Mezi</w:t>
      </w:r>
      <w:r>
        <w:rPr>
          <w:rFonts w:cs="Arial"/>
          <w:b/>
          <w:szCs w:val="20"/>
        </w:rPr>
        <w:t> </w:t>
      </w:r>
      <w:r w:rsidRPr="00AA5842">
        <w:rPr>
          <w:rFonts w:cs="Arial"/>
          <w:b/>
          <w:szCs w:val="20"/>
        </w:rPr>
        <w:t>muži</w:t>
      </w:r>
      <w:r>
        <w:rPr>
          <w:rFonts w:cs="Arial"/>
          <w:szCs w:val="20"/>
        </w:rPr>
        <w:t xml:space="preserve"> byl celkově </w:t>
      </w:r>
      <w:r w:rsidRPr="00AA5842">
        <w:rPr>
          <w:rFonts w:cs="Arial"/>
          <w:b/>
          <w:szCs w:val="20"/>
        </w:rPr>
        <w:t>nižší podíl zaměstnanců</w:t>
      </w:r>
      <w:r>
        <w:rPr>
          <w:rFonts w:cs="Arial"/>
          <w:szCs w:val="20"/>
        </w:rPr>
        <w:t xml:space="preserve"> (muži 73,9 %, ženy 83,9 %) </w:t>
      </w:r>
      <w:r w:rsidRPr="00AA5842">
        <w:rPr>
          <w:rFonts w:cs="Arial"/>
          <w:b/>
          <w:szCs w:val="20"/>
        </w:rPr>
        <w:t>a vyšší podíl osob pracujících na</w:t>
      </w:r>
      <w:r>
        <w:rPr>
          <w:rFonts w:cs="Arial"/>
          <w:b/>
          <w:szCs w:val="20"/>
        </w:rPr>
        <w:t> </w:t>
      </w:r>
      <w:r w:rsidRPr="00AA5842">
        <w:rPr>
          <w:rFonts w:cs="Arial"/>
          <w:b/>
          <w:szCs w:val="20"/>
        </w:rPr>
        <w:t>vlastní účet</w:t>
      </w:r>
      <w:r>
        <w:rPr>
          <w:rFonts w:cs="Arial"/>
          <w:szCs w:val="20"/>
        </w:rPr>
        <w:t xml:space="preserve"> (muži 25,3 %, ženy 15,6 %). Tento jev je zřetelný ve všech pětiletých věkových skupinách. Již ve věkové skupině 15-19 let tvořily 20,5 % zaměstnaných mužů se zjištěným postavením v zaměstnání osoby pracující na vlastní účet, takto podnikajících mladých žen bylo v Praze ale jen 9,4 %. Ve věku 15 až 64 let bylo v postavení osob pracujících na vlastní účet 24,6 % zaměstnaných pražských mužů, ale jen 14,9 % žen. Detailnější pohled na pětileté věkové skupiny ukázal velmi podobné rozdíly mezi oběma pohlavími napříč věkem.</w:t>
      </w:r>
    </w:p>
    <w:p w14:paraId="1D3EB0DC" w14:textId="271C89CD" w:rsidR="004179D7" w:rsidRDefault="00937693" w:rsidP="004179D7">
      <w:pPr>
        <w:rPr>
          <w:rFonts w:cs="Arial"/>
          <w:szCs w:val="20"/>
        </w:rPr>
      </w:pPr>
      <w:r>
        <w:rPr>
          <w:rFonts w:cs="Arial"/>
          <w:b/>
          <w:szCs w:val="20"/>
        </w:rPr>
        <w:br/>
      </w:r>
      <w:r w:rsidR="004179D7" w:rsidRPr="007A7C7A">
        <w:rPr>
          <w:rFonts w:cs="Arial"/>
          <w:b/>
          <w:szCs w:val="20"/>
        </w:rPr>
        <w:t>Graf 4.</w:t>
      </w:r>
      <w:r w:rsidR="00DA5C0D">
        <w:rPr>
          <w:rFonts w:cs="Arial"/>
          <w:b/>
          <w:szCs w:val="20"/>
        </w:rPr>
        <w:t>10</w:t>
      </w:r>
      <w:r w:rsidR="004179D7" w:rsidRPr="007A7C7A">
        <w:rPr>
          <w:rFonts w:cs="Arial"/>
          <w:b/>
          <w:szCs w:val="20"/>
        </w:rPr>
        <w:t xml:space="preserve"> Zaměstnaní podle postavení v zaměstnání a pohlaví v hl. m. Praze</w:t>
      </w:r>
      <w:r w:rsidR="004179D7" w:rsidRPr="007A7C7A">
        <w:rPr>
          <w:rFonts w:cs="Arial"/>
          <w:noProof/>
          <w:szCs w:val="20"/>
        </w:rPr>
        <w:drawing>
          <wp:inline distT="0" distB="0" distL="0" distR="0" wp14:anchorId="3146EC35" wp14:editId="08E08B11">
            <wp:extent cx="5760720" cy="2379801"/>
            <wp:effectExtent l="0" t="0" r="0" b="190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379801"/>
                    </a:xfrm>
                    <a:prstGeom prst="rect">
                      <a:avLst/>
                    </a:prstGeom>
                    <a:noFill/>
                    <a:ln>
                      <a:noFill/>
                    </a:ln>
                  </pic:spPr>
                </pic:pic>
              </a:graphicData>
            </a:graphic>
          </wp:inline>
        </w:drawing>
      </w:r>
      <w:r w:rsidR="004179D7">
        <w:rPr>
          <w:rFonts w:cs="Arial"/>
          <w:szCs w:val="20"/>
        </w:rPr>
        <w:br/>
      </w:r>
    </w:p>
    <w:p w14:paraId="0913B09B" w14:textId="23DDB77C" w:rsidR="004179D7" w:rsidRDefault="00937693" w:rsidP="004179D7">
      <w:pPr>
        <w:rPr>
          <w:rFonts w:cs="Arial"/>
          <w:szCs w:val="20"/>
        </w:rPr>
      </w:pPr>
      <w:r>
        <w:rPr>
          <w:rFonts w:cs="Arial"/>
          <w:b/>
          <w:szCs w:val="20"/>
        </w:rPr>
        <w:br/>
      </w:r>
      <w:r w:rsidR="004179D7" w:rsidRPr="00F12B51">
        <w:rPr>
          <w:rFonts w:cs="Arial"/>
          <w:b/>
          <w:szCs w:val="20"/>
        </w:rPr>
        <w:t>Tab. 4.4.</w:t>
      </w:r>
      <w:r w:rsidR="002537DC">
        <w:rPr>
          <w:rFonts w:cs="Arial"/>
          <w:b/>
          <w:szCs w:val="20"/>
        </w:rPr>
        <w:t>3</w:t>
      </w:r>
      <w:r w:rsidR="004179D7" w:rsidRPr="00F12B51">
        <w:rPr>
          <w:rFonts w:cs="Arial"/>
          <w:b/>
          <w:szCs w:val="20"/>
        </w:rPr>
        <w:t xml:space="preserve"> Zaměstnaní podle postavení v zaměstnání v hl. m. Praze, Středočeském kraji a ČR</w:t>
      </w:r>
    </w:p>
    <w:p w14:paraId="536AE520" w14:textId="77777777" w:rsidR="004179D7" w:rsidRDefault="004179D7" w:rsidP="004179D7">
      <w:pPr>
        <w:rPr>
          <w:rFonts w:cs="Arial"/>
          <w:szCs w:val="20"/>
        </w:rPr>
      </w:pPr>
      <w:r w:rsidRPr="00B1567E">
        <w:rPr>
          <w:rFonts w:cs="Arial"/>
          <w:noProof/>
          <w:szCs w:val="20"/>
        </w:rPr>
        <w:drawing>
          <wp:inline distT="0" distB="0" distL="0" distR="0" wp14:anchorId="2943CE8A" wp14:editId="295742ED">
            <wp:extent cx="5760720" cy="1147102"/>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1147102"/>
                    </a:xfrm>
                    <a:prstGeom prst="rect">
                      <a:avLst/>
                    </a:prstGeom>
                    <a:noFill/>
                    <a:ln>
                      <a:noFill/>
                    </a:ln>
                  </pic:spPr>
                </pic:pic>
              </a:graphicData>
            </a:graphic>
          </wp:inline>
        </w:drawing>
      </w:r>
    </w:p>
    <w:p w14:paraId="46E4ED04" w14:textId="77777777" w:rsidR="004179D7" w:rsidRDefault="004179D7" w:rsidP="004179D7">
      <w:pPr>
        <w:rPr>
          <w:rFonts w:cs="Arial"/>
          <w:szCs w:val="20"/>
        </w:rPr>
      </w:pPr>
    </w:p>
    <w:p w14:paraId="57659DF9" w14:textId="7A92CC0D" w:rsidR="00FB759C" w:rsidRPr="00B80D34" w:rsidRDefault="00937693" w:rsidP="00FB759C">
      <w:pPr>
        <w:rPr>
          <w:rFonts w:cs="Arial"/>
          <w:b/>
          <w:szCs w:val="20"/>
        </w:rPr>
      </w:pPr>
      <w:r>
        <w:rPr>
          <w:rFonts w:cs="Arial"/>
          <w:b/>
          <w:szCs w:val="20"/>
        </w:rPr>
        <w:br/>
      </w:r>
      <w:r w:rsidR="00FB759C" w:rsidRPr="00B80D34">
        <w:rPr>
          <w:rFonts w:cs="Arial"/>
          <w:b/>
          <w:szCs w:val="20"/>
        </w:rPr>
        <w:t>Tab. 4.4.</w:t>
      </w:r>
      <w:r w:rsidR="002537DC">
        <w:rPr>
          <w:rFonts w:cs="Arial"/>
          <w:b/>
          <w:szCs w:val="20"/>
        </w:rPr>
        <w:t>4</w:t>
      </w:r>
      <w:r w:rsidR="00FB759C" w:rsidRPr="00B80D34">
        <w:rPr>
          <w:rFonts w:cs="Arial"/>
          <w:b/>
          <w:szCs w:val="20"/>
        </w:rPr>
        <w:t xml:space="preserve"> Zaměstnaní podle postavení v zaměstnání a věku</w:t>
      </w:r>
      <w:r w:rsidR="00DA73AF">
        <w:rPr>
          <w:rFonts w:cs="Arial"/>
          <w:b/>
          <w:szCs w:val="20"/>
        </w:rPr>
        <w:t xml:space="preserve"> v hl. m. Praze</w:t>
      </w:r>
    </w:p>
    <w:p w14:paraId="706A4C65" w14:textId="77777777" w:rsidR="00FB759C" w:rsidRDefault="00FB759C" w:rsidP="00FB759C">
      <w:pPr>
        <w:rPr>
          <w:rFonts w:cs="Arial"/>
          <w:szCs w:val="20"/>
        </w:rPr>
      </w:pPr>
      <w:r w:rsidRPr="00B1567E">
        <w:rPr>
          <w:rFonts w:cs="Arial"/>
          <w:noProof/>
          <w:szCs w:val="20"/>
        </w:rPr>
        <w:drawing>
          <wp:inline distT="0" distB="0" distL="0" distR="0" wp14:anchorId="13AF39D2" wp14:editId="4449D7D9">
            <wp:extent cx="5760720" cy="1789043"/>
            <wp:effectExtent l="0" t="0" r="0" b="190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1789043"/>
                    </a:xfrm>
                    <a:prstGeom prst="rect">
                      <a:avLst/>
                    </a:prstGeom>
                    <a:noFill/>
                    <a:ln>
                      <a:noFill/>
                    </a:ln>
                  </pic:spPr>
                </pic:pic>
              </a:graphicData>
            </a:graphic>
          </wp:inline>
        </w:drawing>
      </w:r>
    </w:p>
    <w:p w14:paraId="3901B0F5" w14:textId="77777777" w:rsidR="004F215D" w:rsidRDefault="004179D7" w:rsidP="002537DC">
      <w:pPr>
        <w:jc w:val="both"/>
        <w:rPr>
          <w:rFonts w:cs="Arial"/>
          <w:szCs w:val="20"/>
        </w:rPr>
      </w:pPr>
      <w:r>
        <w:rPr>
          <w:rFonts w:cs="Arial"/>
          <w:szCs w:val="20"/>
        </w:rPr>
        <w:t xml:space="preserve">I přes výraznou převahu zaměstnanců ve skupině zaměstnaných osob v českém hlavním městě měla </w:t>
      </w:r>
      <w:r w:rsidRPr="00394B97">
        <w:rPr>
          <w:rFonts w:cs="Arial"/>
          <w:b/>
          <w:szCs w:val="20"/>
        </w:rPr>
        <w:t>Praha</w:t>
      </w:r>
      <w:r>
        <w:rPr>
          <w:rFonts w:cs="Arial"/>
          <w:szCs w:val="20"/>
        </w:rPr>
        <w:t xml:space="preserve"> v porovnání s ostatními kraji nejnižší podíl zaměstnanců a </w:t>
      </w:r>
      <w:r w:rsidRPr="00394B97">
        <w:rPr>
          <w:rFonts w:cs="Arial"/>
          <w:b/>
          <w:szCs w:val="20"/>
        </w:rPr>
        <w:t>nejvyšší podíl osob pracujících na vlastní účet v republice.</w:t>
      </w:r>
      <w:r>
        <w:rPr>
          <w:rFonts w:cs="Arial"/>
          <w:szCs w:val="20"/>
        </w:rPr>
        <w:t xml:space="preserve"> Druhý nejnižší podíl zaměstnanců (82,8 %) a druhý nejvyšší podíl osob pracujících na vlastní účet měl Středočeský kraj (16,1 %). Nejvíce se nechávali zaměstnávat lidé v krajích Moravskoslezském, Ústeckém a Olomouckém, kde podíl zaměstnanců překročil 86 % a podíl osob pracujících na vlastní účet se pohyboval pouze mezi 12-12,7 %. Vyšší preference možnosti pracovat na vlastní účet ze strany mužů byla typická pro všechny kraje. V polovině krajů přesáhl podíl žen-zaměstnankyň na celkovém počtu zaměstnaných žen se zjištěným postavením v zaměstnání 90 %. Podíl žen-zaměstnankyň v Praze ležel 5,3 p. b.</w:t>
      </w:r>
      <w:r w:rsidR="002537DC">
        <w:rPr>
          <w:rFonts w:cs="Arial"/>
          <w:szCs w:val="20"/>
        </w:rPr>
        <w:t xml:space="preserve"> </w:t>
      </w:r>
      <w:r>
        <w:rPr>
          <w:rFonts w:cs="Arial"/>
          <w:szCs w:val="20"/>
        </w:rPr>
        <w:t>pod</w:t>
      </w:r>
      <w:r w:rsidR="002537DC">
        <w:rPr>
          <w:rFonts w:cs="Arial"/>
          <w:szCs w:val="20"/>
        </w:rPr>
        <w:t> </w:t>
      </w:r>
      <w:r>
        <w:rPr>
          <w:rFonts w:cs="Arial"/>
          <w:szCs w:val="20"/>
        </w:rPr>
        <w:t>celorepublikovým průměrem. Nejméně se od sebe odlišovalo chování žen a mužů pracujících na vlastní účet v Plzeňském a Moravskoslezském kraji – v obou činil rozdíl mezi podílem takto podnikajících mužů a žen 7,6 p. b., nejvíce v Kraji Vysočina, kde byl podíl mužů pracujících na vlastní účet v porovnání s ženami o 10,3 p. b.</w:t>
      </w:r>
      <w:r w:rsidR="002537DC">
        <w:rPr>
          <w:rFonts w:cs="Arial"/>
          <w:szCs w:val="20"/>
        </w:rPr>
        <w:t> </w:t>
      </w:r>
      <w:r>
        <w:rPr>
          <w:rFonts w:cs="Arial"/>
          <w:szCs w:val="20"/>
        </w:rPr>
        <w:t>vyšší.</w:t>
      </w:r>
      <w:r>
        <w:rPr>
          <w:rFonts w:cs="Arial"/>
          <w:szCs w:val="20"/>
        </w:rPr>
        <w:br/>
        <w:t>Velmi nízké zastoupení mezi zaměstnanými měli ve všech krajích zaměstnavatelé – nejméně obvyklá byla tato forma postavení v zaměstnání v Praze (0,6 %), ve všech ostatních krajích podíl zaměstnavatelů přesáhnul</w:t>
      </w:r>
      <w:r w:rsidR="002537DC">
        <w:rPr>
          <w:rFonts w:cs="Arial"/>
          <w:szCs w:val="20"/>
        </w:rPr>
        <w:t> </w:t>
      </w:r>
      <w:r>
        <w:rPr>
          <w:rFonts w:cs="Arial"/>
          <w:szCs w:val="20"/>
        </w:rPr>
        <w:t>1 %</w:t>
      </w:r>
      <w:r w:rsidR="002537DC">
        <w:rPr>
          <w:rFonts w:cs="Arial"/>
          <w:szCs w:val="20"/>
        </w:rPr>
        <w:t> </w:t>
      </w:r>
      <w:r>
        <w:rPr>
          <w:rFonts w:cs="Arial"/>
          <w:szCs w:val="20"/>
        </w:rPr>
        <w:t>s</w:t>
      </w:r>
      <w:r w:rsidR="002537DC">
        <w:rPr>
          <w:rFonts w:cs="Arial"/>
          <w:szCs w:val="20"/>
        </w:rPr>
        <w:t> </w:t>
      </w:r>
      <w:r>
        <w:rPr>
          <w:rFonts w:cs="Arial"/>
          <w:szCs w:val="20"/>
        </w:rPr>
        <w:t>maximem</w:t>
      </w:r>
      <w:r w:rsidR="002537DC">
        <w:rPr>
          <w:rFonts w:cs="Arial"/>
          <w:szCs w:val="20"/>
        </w:rPr>
        <w:t> </w:t>
      </w:r>
      <w:r>
        <w:rPr>
          <w:rFonts w:cs="Arial"/>
          <w:szCs w:val="20"/>
        </w:rPr>
        <w:t>v</w:t>
      </w:r>
      <w:r w:rsidR="002537DC">
        <w:rPr>
          <w:rFonts w:cs="Arial"/>
          <w:szCs w:val="20"/>
        </w:rPr>
        <w:t> </w:t>
      </w:r>
      <w:r>
        <w:rPr>
          <w:rFonts w:cs="Arial"/>
          <w:szCs w:val="20"/>
        </w:rPr>
        <w:t>Karlovarském</w:t>
      </w:r>
      <w:r w:rsidR="002537DC">
        <w:rPr>
          <w:rFonts w:cs="Arial"/>
          <w:szCs w:val="20"/>
        </w:rPr>
        <w:t> </w:t>
      </w:r>
      <w:r>
        <w:rPr>
          <w:rFonts w:cs="Arial"/>
          <w:szCs w:val="20"/>
        </w:rPr>
        <w:t>kraji</w:t>
      </w:r>
      <w:r w:rsidR="002537DC">
        <w:rPr>
          <w:rFonts w:cs="Arial"/>
          <w:szCs w:val="20"/>
        </w:rPr>
        <w:t> </w:t>
      </w:r>
      <w:r>
        <w:rPr>
          <w:rFonts w:cs="Arial"/>
          <w:szCs w:val="20"/>
        </w:rPr>
        <w:t xml:space="preserve">(1,4 %). </w:t>
      </w:r>
    </w:p>
    <w:p w14:paraId="10EE80FF" w14:textId="42F6456E" w:rsidR="004F215D" w:rsidRPr="004F215D" w:rsidRDefault="004F215D" w:rsidP="002537DC">
      <w:pPr>
        <w:jc w:val="both"/>
        <w:rPr>
          <w:rFonts w:cs="Arial"/>
          <w:b/>
          <w:szCs w:val="20"/>
        </w:rPr>
      </w:pPr>
      <w:r w:rsidRPr="004F215D">
        <w:rPr>
          <w:rFonts w:cs="Arial"/>
          <w:b/>
          <w:szCs w:val="20"/>
        </w:rPr>
        <w:t>Kartogram 4.</w:t>
      </w:r>
      <w:r w:rsidR="00DA5C0D">
        <w:rPr>
          <w:rFonts w:cs="Arial"/>
          <w:b/>
          <w:szCs w:val="20"/>
        </w:rPr>
        <w:t>6</w:t>
      </w:r>
      <w:r w:rsidRPr="004F215D">
        <w:rPr>
          <w:rFonts w:cs="Arial"/>
          <w:b/>
          <w:szCs w:val="20"/>
        </w:rPr>
        <w:t xml:space="preserve"> Podnikatelé v městských částech hl. m. Prahy</w:t>
      </w:r>
    </w:p>
    <w:p w14:paraId="28D76FE2" w14:textId="77777777" w:rsidR="004179D7" w:rsidRPr="004D0188" w:rsidRDefault="00C50E3D" w:rsidP="002537DC">
      <w:pPr>
        <w:jc w:val="both"/>
        <w:rPr>
          <w:rFonts w:cs="Arial"/>
          <w:b/>
          <w:szCs w:val="20"/>
        </w:rPr>
      </w:pPr>
      <w:r>
        <w:rPr>
          <w:rFonts w:cs="Arial"/>
          <w:szCs w:val="20"/>
        </w:rPr>
        <w:pict w14:anchorId="5FEA8043">
          <v:shape id="_x0000_i1030" type="#_x0000_t75" style="width:481.8pt;height:304.2pt">
            <v:imagedata r:id="rId33" o:title="PodilPodnikatelu" croptop="4908f" cropbottom="2021f"/>
          </v:shape>
        </w:pict>
      </w:r>
      <w:r w:rsidR="004179D7">
        <w:rPr>
          <w:rFonts w:cs="Arial"/>
          <w:szCs w:val="20"/>
        </w:rPr>
        <w:br/>
        <w:t xml:space="preserve">V Praze bylo v roce 2021 sečteno </w:t>
      </w:r>
      <w:r w:rsidR="004179D7" w:rsidRPr="004D0188">
        <w:rPr>
          <w:rFonts w:cs="Arial"/>
          <w:b/>
          <w:szCs w:val="20"/>
        </w:rPr>
        <w:t>140 1</w:t>
      </w:r>
      <w:r w:rsidR="00B530BB">
        <w:rPr>
          <w:rFonts w:cs="Arial"/>
          <w:b/>
          <w:szCs w:val="20"/>
        </w:rPr>
        <w:t>7</w:t>
      </w:r>
      <w:r w:rsidR="004179D7" w:rsidRPr="004D0188">
        <w:rPr>
          <w:rFonts w:cs="Arial"/>
          <w:b/>
          <w:szCs w:val="20"/>
        </w:rPr>
        <w:t>9 podnikatelů</w:t>
      </w:r>
      <w:r w:rsidR="004179D7">
        <w:rPr>
          <w:rFonts w:cs="Arial"/>
          <w:szCs w:val="20"/>
        </w:rPr>
        <w:t xml:space="preserve">. </w:t>
      </w:r>
      <w:r w:rsidR="002B2CDE" w:rsidRPr="00937693">
        <w:rPr>
          <w:rFonts w:cs="Arial"/>
          <w:szCs w:val="20"/>
        </w:rPr>
        <w:t>Více než 25</w:t>
      </w:r>
      <w:r w:rsidR="001A5FF4" w:rsidRPr="00937693">
        <w:rPr>
          <w:rFonts w:cs="Arial"/>
          <w:szCs w:val="20"/>
        </w:rPr>
        <w:t> </w:t>
      </w:r>
      <w:r w:rsidR="002B2CDE" w:rsidRPr="00937693">
        <w:rPr>
          <w:rFonts w:cs="Arial"/>
          <w:szCs w:val="20"/>
        </w:rPr>
        <w:t xml:space="preserve">% podnikatelů na celkovém počtu zaměstnaných se zjištěným postavením v zaměstnání bylo sečteno pouze v sedmi městských částech. </w:t>
      </w:r>
      <w:r w:rsidR="004F215D" w:rsidRPr="00937693">
        <w:rPr>
          <w:rFonts w:cs="Arial"/>
          <w:szCs w:val="20"/>
        </w:rPr>
        <w:t>Nejvyšší podíl podnikatelů měly městské části Praha-Benice (32,6</w:t>
      </w:r>
      <w:r w:rsidR="001A5FF4" w:rsidRPr="00937693">
        <w:rPr>
          <w:rFonts w:cs="Arial"/>
          <w:szCs w:val="20"/>
        </w:rPr>
        <w:t> </w:t>
      </w:r>
      <w:r w:rsidR="004F215D" w:rsidRPr="00937693">
        <w:rPr>
          <w:rFonts w:cs="Arial"/>
          <w:szCs w:val="20"/>
        </w:rPr>
        <w:t>%), Praha</w:t>
      </w:r>
      <w:r w:rsidR="001A5FF4" w:rsidRPr="00937693">
        <w:rPr>
          <w:rFonts w:cs="Arial"/>
          <w:szCs w:val="20"/>
        </w:rPr>
        <w:t> </w:t>
      </w:r>
      <w:r w:rsidR="004F215D" w:rsidRPr="00937693">
        <w:rPr>
          <w:rFonts w:cs="Arial"/>
          <w:szCs w:val="20"/>
        </w:rPr>
        <w:t>1</w:t>
      </w:r>
      <w:r w:rsidR="001A5FF4" w:rsidRPr="00937693">
        <w:rPr>
          <w:rFonts w:cs="Arial"/>
          <w:szCs w:val="20"/>
        </w:rPr>
        <w:t> </w:t>
      </w:r>
      <w:r w:rsidR="004F215D" w:rsidRPr="00937693">
        <w:rPr>
          <w:rFonts w:cs="Arial"/>
          <w:szCs w:val="20"/>
        </w:rPr>
        <w:t>(31,1</w:t>
      </w:r>
      <w:r w:rsidR="001A5FF4" w:rsidRPr="00937693">
        <w:rPr>
          <w:rFonts w:cs="Arial"/>
          <w:szCs w:val="20"/>
        </w:rPr>
        <w:t> </w:t>
      </w:r>
      <w:r w:rsidR="004F215D" w:rsidRPr="00937693">
        <w:rPr>
          <w:rFonts w:cs="Arial"/>
          <w:szCs w:val="20"/>
        </w:rPr>
        <w:t>%) a Praha-Troja</w:t>
      </w:r>
      <w:r w:rsidR="001A5FF4" w:rsidRPr="00937693">
        <w:rPr>
          <w:rFonts w:cs="Arial"/>
          <w:szCs w:val="20"/>
        </w:rPr>
        <w:t> </w:t>
      </w:r>
      <w:r w:rsidR="004F215D" w:rsidRPr="00937693">
        <w:rPr>
          <w:rFonts w:cs="Arial"/>
          <w:szCs w:val="20"/>
        </w:rPr>
        <w:t>(</w:t>
      </w:r>
      <w:r w:rsidR="001A5FF4" w:rsidRPr="00937693">
        <w:rPr>
          <w:rFonts w:cs="Arial"/>
          <w:szCs w:val="20"/>
        </w:rPr>
        <w:t>29,2 </w:t>
      </w:r>
      <w:r w:rsidR="004F215D" w:rsidRPr="00937693">
        <w:rPr>
          <w:rFonts w:cs="Arial"/>
          <w:szCs w:val="20"/>
        </w:rPr>
        <w:t xml:space="preserve">%). </w:t>
      </w:r>
      <w:r w:rsidR="002B2CDE" w:rsidRPr="00937693">
        <w:rPr>
          <w:rFonts w:cs="Arial"/>
          <w:szCs w:val="20"/>
        </w:rPr>
        <w:t>Nejméně podnikaví byli zaměstnaní v Praze-Petrovicích</w:t>
      </w:r>
      <w:r w:rsidR="001A5FF4" w:rsidRPr="00937693">
        <w:rPr>
          <w:rFonts w:cs="Arial"/>
          <w:szCs w:val="20"/>
        </w:rPr>
        <w:t> </w:t>
      </w:r>
      <w:r w:rsidR="002B2CDE" w:rsidRPr="00937693">
        <w:rPr>
          <w:rFonts w:cs="Arial"/>
          <w:szCs w:val="20"/>
        </w:rPr>
        <w:t>(16,1</w:t>
      </w:r>
      <w:r w:rsidR="001A5FF4" w:rsidRPr="00937693">
        <w:rPr>
          <w:rFonts w:cs="Arial"/>
          <w:szCs w:val="20"/>
        </w:rPr>
        <w:t> </w:t>
      </w:r>
      <w:r w:rsidR="002B2CDE" w:rsidRPr="00937693">
        <w:rPr>
          <w:rFonts w:cs="Arial"/>
          <w:szCs w:val="20"/>
        </w:rPr>
        <w:t>%), v</w:t>
      </w:r>
      <w:r w:rsidR="001A5FF4" w:rsidRPr="00937693">
        <w:rPr>
          <w:rFonts w:cs="Arial"/>
          <w:szCs w:val="20"/>
        </w:rPr>
        <w:t> </w:t>
      </w:r>
      <w:r w:rsidR="002B2CDE" w:rsidRPr="00937693">
        <w:rPr>
          <w:rFonts w:cs="Arial"/>
          <w:szCs w:val="20"/>
        </w:rPr>
        <w:t>Praze</w:t>
      </w:r>
      <w:r w:rsidR="001A5FF4" w:rsidRPr="00937693">
        <w:rPr>
          <w:rFonts w:cs="Arial"/>
          <w:szCs w:val="20"/>
        </w:rPr>
        <w:t> </w:t>
      </w:r>
      <w:r w:rsidR="002B2CDE" w:rsidRPr="00937693">
        <w:rPr>
          <w:rFonts w:cs="Arial"/>
          <w:szCs w:val="20"/>
        </w:rPr>
        <w:t>17</w:t>
      </w:r>
      <w:r w:rsidR="001A5FF4" w:rsidRPr="00937693">
        <w:rPr>
          <w:rFonts w:cs="Arial"/>
          <w:szCs w:val="20"/>
        </w:rPr>
        <w:t> </w:t>
      </w:r>
      <w:r w:rsidR="002B2CDE" w:rsidRPr="00937693">
        <w:rPr>
          <w:rFonts w:cs="Arial"/>
          <w:szCs w:val="20"/>
        </w:rPr>
        <w:t>(16,6</w:t>
      </w:r>
      <w:r w:rsidR="001A5FF4" w:rsidRPr="00937693">
        <w:rPr>
          <w:rFonts w:cs="Arial"/>
          <w:szCs w:val="20"/>
        </w:rPr>
        <w:t> </w:t>
      </w:r>
      <w:r w:rsidR="002B2CDE" w:rsidRPr="00937693">
        <w:rPr>
          <w:rFonts w:cs="Arial"/>
          <w:szCs w:val="20"/>
        </w:rPr>
        <w:t>%) a</w:t>
      </w:r>
      <w:r w:rsidR="001A5FF4" w:rsidRPr="00937693">
        <w:rPr>
          <w:rFonts w:cs="Arial"/>
          <w:szCs w:val="20"/>
        </w:rPr>
        <w:t> </w:t>
      </w:r>
      <w:r w:rsidR="002B2CDE" w:rsidRPr="00937693">
        <w:rPr>
          <w:rFonts w:cs="Arial"/>
          <w:szCs w:val="20"/>
        </w:rPr>
        <w:t>v</w:t>
      </w:r>
      <w:r w:rsidR="001A5FF4" w:rsidRPr="00937693">
        <w:rPr>
          <w:rFonts w:cs="Arial"/>
          <w:szCs w:val="20"/>
        </w:rPr>
        <w:t> </w:t>
      </w:r>
      <w:r w:rsidR="002B2CDE" w:rsidRPr="00937693">
        <w:rPr>
          <w:rFonts w:cs="Arial"/>
          <w:szCs w:val="20"/>
        </w:rPr>
        <w:t>Praze</w:t>
      </w:r>
      <w:r w:rsidR="001A5FF4" w:rsidRPr="00937693">
        <w:rPr>
          <w:rFonts w:cs="Arial"/>
          <w:szCs w:val="20"/>
        </w:rPr>
        <w:t> </w:t>
      </w:r>
      <w:r w:rsidR="002B2CDE" w:rsidRPr="00937693">
        <w:rPr>
          <w:rFonts w:cs="Arial"/>
          <w:szCs w:val="20"/>
        </w:rPr>
        <w:t>14</w:t>
      </w:r>
      <w:r w:rsidR="001A5FF4" w:rsidRPr="00937693">
        <w:rPr>
          <w:rFonts w:cs="Arial"/>
          <w:szCs w:val="20"/>
        </w:rPr>
        <w:t> </w:t>
      </w:r>
      <w:r w:rsidR="002B2CDE" w:rsidRPr="00937693">
        <w:rPr>
          <w:rFonts w:cs="Arial"/>
          <w:szCs w:val="20"/>
        </w:rPr>
        <w:t>(16,7</w:t>
      </w:r>
      <w:r w:rsidR="001A5FF4" w:rsidRPr="00937693">
        <w:rPr>
          <w:rFonts w:cs="Arial"/>
          <w:szCs w:val="20"/>
        </w:rPr>
        <w:t> </w:t>
      </w:r>
      <w:r w:rsidR="002B2CDE" w:rsidRPr="00937693">
        <w:rPr>
          <w:rFonts w:cs="Arial"/>
          <w:szCs w:val="20"/>
        </w:rPr>
        <w:t xml:space="preserve">%). Zaměstnané ženy </w:t>
      </w:r>
      <w:r w:rsidR="001A5FF4" w:rsidRPr="00937693">
        <w:rPr>
          <w:rFonts w:cs="Arial"/>
          <w:szCs w:val="20"/>
        </w:rPr>
        <w:t>n</w:t>
      </w:r>
      <w:r w:rsidR="002B2CDE" w:rsidRPr="00937693">
        <w:rPr>
          <w:rFonts w:cs="Arial"/>
          <w:szCs w:val="20"/>
        </w:rPr>
        <w:t>ejčastěji</w:t>
      </w:r>
      <w:r w:rsidR="001A5FF4" w:rsidRPr="00937693">
        <w:rPr>
          <w:rFonts w:cs="Arial"/>
          <w:szCs w:val="20"/>
        </w:rPr>
        <w:t xml:space="preserve"> patřily mezi podnikatelky v Praze 1 (27,5 %), jediná městská</w:t>
      </w:r>
      <w:r w:rsidR="004D539C" w:rsidRPr="00937693">
        <w:rPr>
          <w:rFonts w:cs="Arial"/>
          <w:szCs w:val="20"/>
        </w:rPr>
        <w:t> </w:t>
      </w:r>
      <w:r w:rsidR="001A5FF4" w:rsidRPr="00937693">
        <w:rPr>
          <w:rFonts w:cs="Arial"/>
          <w:szCs w:val="20"/>
        </w:rPr>
        <w:t>část,</w:t>
      </w:r>
      <w:r w:rsidR="004D539C" w:rsidRPr="00937693">
        <w:rPr>
          <w:rFonts w:cs="Arial"/>
          <w:szCs w:val="20"/>
        </w:rPr>
        <w:t> </w:t>
      </w:r>
      <w:r w:rsidR="001A5FF4" w:rsidRPr="00937693">
        <w:rPr>
          <w:rFonts w:cs="Arial"/>
          <w:szCs w:val="20"/>
        </w:rPr>
        <w:t>kde</w:t>
      </w:r>
      <w:r w:rsidR="004D539C" w:rsidRPr="00937693">
        <w:rPr>
          <w:rFonts w:cs="Arial"/>
          <w:szCs w:val="20"/>
        </w:rPr>
        <w:t> </w:t>
      </w:r>
      <w:r w:rsidR="001A5FF4" w:rsidRPr="00937693">
        <w:rPr>
          <w:rFonts w:cs="Arial"/>
          <w:szCs w:val="20"/>
        </w:rPr>
        <w:t>podíl</w:t>
      </w:r>
      <w:r w:rsidR="004D539C" w:rsidRPr="00937693">
        <w:rPr>
          <w:rFonts w:cs="Arial"/>
          <w:szCs w:val="20"/>
        </w:rPr>
        <w:t> </w:t>
      </w:r>
      <w:r w:rsidR="001A5FF4" w:rsidRPr="00937693">
        <w:rPr>
          <w:rFonts w:cs="Arial"/>
          <w:szCs w:val="20"/>
        </w:rPr>
        <w:t>podnikajících</w:t>
      </w:r>
      <w:r w:rsidR="004D539C" w:rsidRPr="00937693">
        <w:rPr>
          <w:rFonts w:cs="Arial"/>
          <w:szCs w:val="20"/>
        </w:rPr>
        <w:t> </w:t>
      </w:r>
      <w:r w:rsidR="001A5FF4" w:rsidRPr="00937693">
        <w:rPr>
          <w:rFonts w:cs="Arial"/>
          <w:szCs w:val="20"/>
        </w:rPr>
        <w:t>žen</w:t>
      </w:r>
      <w:r w:rsidR="004D539C" w:rsidRPr="00937693">
        <w:rPr>
          <w:rFonts w:cs="Arial"/>
          <w:szCs w:val="20"/>
        </w:rPr>
        <w:t> </w:t>
      </w:r>
      <w:r w:rsidR="001A5FF4" w:rsidRPr="00937693">
        <w:rPr>
          <w:rFonts w:cs="Arial"/>
          <w:szCs w:val="20"/>
        </w:rPr>
        <w:t>nedosáhnul</w:t>
      </w:r>
      <w:r w:rsidR="004D539C" w:rsidRPr="00937693">
        <w:rPr>
          <w:rFonts w:cs="Arial"/>
          <w:szCs w:val="20"/>
        </w:rPr>
        <w:t> </w:t>
      </w:r>
      <w:r w:rsidR="001A5FF4" w:rsidRPr="00937693">
        <w:rPr>
          <w:rFonts w:cs="Arial"/>
          <w:szCs w:val="20"/>
        </w:rPr>
        <w:t>ani</w:t>
      </w:r>
      <w:r w:rsidR="004D539C" w:rsidRPr="00937693">
        <w:rPr>
          <w:rFonts w:cs="Arial"/>
          <w:szCs w:val="20"/>
        </w:rPr>
        <w:t> </w:t>
      </w:r>
      <w:r w:rsidR="001A5FF4" w:rsidRPr="00937693">
        <w:rPr>
          <w:rFonts w:cs="Arial"/>
          <w:szCs w:val="20"/>
        </w:rPr>
        <w:t>na 10 %,</w:t>
      </w:r>
      <w:r w:rsidR="004D539C" w:rsidRPr="00937693">
        <w:rPr>
          <w:rFonts w:cs="Arial"/>
          <w:szCs w:val="20"/>
        </w:rPr>
        <w:t> </w:t>
      </w:r>
      <w:r w:rsidR="001A5FF4" w:rsidRPr="00937693">
        <w:rPr>
          <w:rFonts w:cs="Arial"/>
          <w:szCs w:val="20"/>
        </w:rPr>
        <w:t>byla</w:t>
      </w:r>
      <w:r w:rsidR="004D539C" w:rsidRPr="00937693">
        <w:rPr>
          <w:rFonts w:cs="Arial"/>
          <w:szCs w:val="20"/>
        </w:rPr>
        <w:t> </w:t>
      </w:r>
      <w:r w:rsidR="001A5FF4" w:rsidRPr="00937693">
        <w:rPr>
          <w:rFonts w:cs="Arial"/>
          <w:szCs w:val="20"/>
        </w:rPr>
        <w:t>Praha-Benice.</w:t>
      </w:r>
      <w:r w:rsidR="002B2CDE">
        <w:rPr>
          <w:rFonts w:cs="Arial"/>
          <w:szCs w:val="20"/>
        </w:rPr>
        <w:t xml:space="preserve"> </w:t>
      </w:r>
      <w:r w:rsidR="004D539C">
        <w:rPr>
          <w:rFonts w:cs="Arial"/>
          <w:szCs w:val="20"/>
        </w:rPr>
        <w:br/>
      </w:r>
      <w:r w:rsidR="004179D7">
        <w:rPr>
          <w:rFonts w:cs="Arial"/>
          <w:szCs w:val="20"/>
        </w:rPr>
        <w:t xml:space="preserve">Většina </w:t>
      </w:r>
      <w:r w:rsidR="004D539C">
        <w:rPr>
          <w:rFonts w:cs="Arial"/>
          <w:szCs w:val="20"/>
        </w:rPr>
        <w:t>podnikatelů</w:t>
      </w:r>
      <w:r w:rsidR="004179D7">
        <w:rPr>
          <w:rFonts w:cs="Arial"/>
          <w:szCs w:val="20"/>
        </w:rPr>
        <w:t xml:space="preserve"> patřila v oblasti dosaženého vzdělání buď mezi vysokoškoláky, nebo uvedla úplné střední vzdělání s maturitou (včetně nástavbového a</w:t>
      </w:r>
      <w:r w:rsidR="002537DC">
        <w:rPr>
          <w:rFonts w:cs="Arial"/>
          <w:szCs w:val="20"/>
        </w:rPr>
        <w:t> </w:t>
      </w:r>
      <w:r w:rsidR="004179D7">
        <w:rPr>
          <w:rFonts w:cs="Arial"/>
          <w:szCs w:val="20"/>
        </w:rPr>
        <w:t>pomaturitního studia</w:t>
      </w:r>
      <w:r w:rsidR="00B530BB">
        <w:rPr>
          <w:rFonts w:cs="Arial"/>
          <w:szCs w:val="20"/>
        </w:rPr>
        <w:t>)</w:t>
      </w:r>
      <w:r w:rsidR="004179D7">
        <w:rPr>
          <w:rFonts w:cs="Arial"/>
          <w:szCs w:val="20"/>
        </w:rPr>
        <w:t xml:space="preserve">. Nadpoloviční většina vysokoškoláků byla sečtena mezi podnikateli ve věkových skupinách 30-39 let a 70 a více let, nejméně jich bylo mezi podnikateli ve věku 50-59 let (32,2 %). V této věkové skupině bylo v porovnání s ostatními věkovými kategoriemi nejvíce podnikatelů se středním vzděláním včetně vyučení bez maturity (25,1 %). </w:t>
      </w:r>
      <w:r w:rsidR="004179D7" w:rsidRPr="004D0188">
        <w:rPr>
          <w:rFonts w:cs="Arial"/>
          <w:b/>
          <w:szCs w:val="20"/>
        </w:rPr>
        <w:t>Osoby pracující na vlastní účet v Praze podnikaly nejčastěji v odvětvích profesní vědecké a technické činnosti (21,2 %)</w:t>
      </w:r>
      <w:r w:rsidR="004179D7">
        <w:rPr>
          <w:rFonts w:cs="Arial"/>
          <w:szCs w:val="20"/>
        </w:rPr>
        <w:t>, informační a komunikační činnosti (14,2 %) a</w:t>
      </w:r>
      <w:r w:rsidR="002537DC">
        <w:rPr>
          <w:rFonts w:cs="Arial"/>
          <w:szCs w:val="20"/>
        </w:rPr>
        <w:t> </w:t>
      </w:r>
      <w:r w:rsidR="004179D7">
        <w:rPr>
          <w:rFonts w:cs="Arial"/>
          <w:szCs w:val="20"/>
        </w:rPr>
        <w:t xml:space="preserve">stavebnictví (11,8 %). V odvětví profesní, vědecké a technické činnosti měly vysoké zastoupení </w:t>
      </w:r>
      <w:r w:rsidR="00496CA7">
        <w:rPr>
          <w:rFonts w:cs="Arial"/>
          <w:szCs w:val="20"/>
        </w:rPr>
        <w:t>(</w:t>
      </w:r>
      <w:r w:rsidR="004179D7">
        <w:rPr>
          <w:rFonts w:cs="Arial"/>
          <w:szCs w:val="20"/>
        </w:rPr>
        <w:t>mezi 20</w:t>
      </w:r>
      <w:r w:rsidR="002537DC">
        <w:rPr>
          <w:rFonts w:cs="Arial"/>
          <w:szCs w:val="20"/>
        </w:rPr>
        <w:t> </w:t>
      </w:r>
      <w:r w:rsidR="004179D7">
        <w:rPr>
          <w:rFonts w:cs="Arial"/>
          <w:szCs w:val="20"/>
        </w:rPr>
        <w:t>a</w:t>
      </w:r>
      <w:r w:rsidR="002537DC">
        <w:rPr>
          <w:rFonts w:cs="Arial"/>
          <w:szCs w:val="20"/>
        </w:rPr>
        <w:t> </w:t>
      </w:r>
      <w:r w:rsidR="004179D7">
        <w:rPr>
          <w:rFonts w:cs="Arial"/>
          <w:szCs w:val="20"/>
        </w:rPr>
        <w:t>29,3 %</w:t>
      </w:r>
      <w:r w:rsidR="00496CA7">
        <w:rPr>
          <w:rFonts w:cs="Arial"/>
          <w:szCs w:val="20"/>
        </w:rPr>
        <w:t>)</w:t>
      </w:r>
      <w:r w:rsidR="004179D7">
        <w:rPr>
          <w:rFonts w:cs="Arial"/>
          <w:szCs w:val="20"/>
        </w:rPr>
        <w:t xml:space="preserve"> všechny věkové skupiny s výjimkou kategorie 50-59 let (16 %). V odvětví informačních a</w:t>
      </w:r>
      <w:r w:rsidR="002537DC">
        <w:rPr>
          <w:rFonts w:cs="Arial"/>
          <w:szCs w:val="20"/>
        </w:rPr>
        <w:t> </w:t>
      </w:r>
      <w:r w:rsidR="004179D7">
        <w:rPr>
          <w:rFonts w:cs="Arial"/>
          <w:szCs w:val="20"/>
        </w:rPr>
        <w:t>komunikačních činností podnikala hlavně mladší generace mezi 18-39 lety, v odvětví stavebnictví</w:t>
      </w:r>
      <w:r w:rsidR="004D539C">
        <w:rPr>
          <w:rFonts w:cs="Arial"/>
          <w:szCs w:val="20"/>
        </w:rPr>
        <w:t> </w:t>
      </w:r>
      <w:r w:rsidR="004179D7">
        <w:rPr>
          <w:rFonts w:cs="Arial"/>
          <w:szCs w:val="20"/>
        </w:rPr>
        <w:t>naopak</w:t>
      </w:r>
      <w:r w:rsidR="004D539C">
        <w:rPr>
          <w:rFonts w:cs="Arial"/>
          <w:szCs w:val="20"/>
        </w:rPr>
        <w:t> </w:t>
      </w:r>
      <w:r w:rsidR="004179D7">
        <w:rPr>
          <w:rFonts w:cs="Arial"/>
          <w:szCs w:val="20"/>
        </w:rPr>
        <w:t>lidé</w:t>
      </w:r>
      <w:r w:rsidR="002537DC">
        <w:rPr>
          <w:rFonts w:cs="Arial"/>
          <w:szCs w:val="20"/>
        </w:rPr>
        <w:t> </w:t>
      </w:r>
      <w:r w:rsidR="004179D7">
        <w:rPr>
          <w:rFonts w:cs="Arial"/>
          <w:szCs w:val="20"/>
        </w:rPr>
        <w:t>mezi</w:t>
      </w:r>
      <w:r w:rsidR="002537DC">
        <w:rPr>
          <w:rFonts w:cs="Arial"/>
          <w:szCs w:val="20"/>
        </w:rPr>
        <w:t> </w:t>
      </w:r>
      <w:r w:rsidR="004179D7">
        <w:rPr>
          <w:rFonts w:cs="Arial"/>
          <w:szCs w:val="20"/>
        </w:rPr>
        <w:t>40-69</w:t>
      </w:r>
      <w:r w:rsidR="002537DC">
        <w:rPr>
          <w:rFonts w:cs="Arial"/>
          <w:szCs w:val="20"/>
        </w:rPr>
        <w:t> </w:t>
      </w:r>
      <w:r w:rsidR="004179D7">
        <w:rPr>
          <w:rFonts w:cs="Arial"/>
          <w:szCs w:val="20"/>
        </w:rPr>
        <w:t xml:space="preserve">lety. </w:t>
      </w:r>
      <w:r w:rsidR="004179D7">
        <w:rPr>
          <w:rFonts w:cs="Arial"/>
          <w:szCs w:val="20"/>
        </w:rPr>
        <w:br/>
      </w:r>
      <w:r w:rsidR="004179D7" w:rsidRPr="004D0188">
        <w:rPr>
          <w:rFonts w:cs="Arial"/>
          <w:b/>
          <w:szCs w:val="20"/>
        </w:rPr>
        <w:t>Zaměstnavatelé</w:t>
      </w:r>
      <w:r w:rsidR="004179D7">
        <w:rPr>
          <w:rFonts w:cs="Arial"/>
          <w:szCs w:val="20"/>
        </w:rPr>
        <w:t xml:space="preserve"> v Praze podnikali </w:t>
      </w:r>
      <w:r w:rsidR="001D51E7">
        <w:rPr>
          <w:rFonts w:cs="Arial"/>
          <w:szCs w:val="20"/>
        </w:rPr>
        <w:t>zejména</w:t>
      </w:r>
      <w:r w:rsidR="004179D7" w:rsidRPr="004D0188">
        <w:rPr>
          <w:rFonts w:cs="Arial"/>
          <w:b/>
          <w:szCs w:val="20"/>
        </w:rPr>
        <w:t xml:space="preserve"> v odvětví zdravotní a sociální péče (20,8 %)</w:t>
      </w:r>
      <w:r w:rsidR="004179D7">
        <w:rPr>
          <w:rFonts w:cs="Arial"/>
          <w:szCs w:val="20"/>
        </w:rPr>
        <w:t>, přičemž tomuto oboru se věnovala především starší generace nad 60 let (35 % ze zaměstnavatelů v této věkové skupině). Druhým nejsilněji zastoupeným odvětvím, kde působili podnikatelé se zaměstnanci, byl velkoobchod a</w:t>
      </w:r>
      <w:r w:rsidR="002537DC">
        <w:rPr>
          <w:rFonts w:cs="Arial"/>
          <w:szCs w:val="20"/>
        </w:rPr>
        <w:t> </w:t>
      </w:r>
      <w:r w:rsidR="004179D7">
        <w:rPr>
          <w:rFonts w:cs="Arial"/>
          <w:szCs w:val="20"/>
        </w:rPr>
        <w:t>maloobchod; opravy a údržba motorových vozidel (19,4 %), třetím profesní, vědecké a technické činnosti (15,8</w:t>
      </w:r>
      <w:r w:rsidR="002537DC">
        <w:rPr>
          <w:rFonts w:cs="Arial"/>
          <w:szCs w:val="20"/>
        </w:rPr>
        <w:t> </w:t>
      </w:r>
      <w:r w:rsidR="004179D7">
        <w:rPr>
          <w:rFonts w:cs="Arial"/>
          <w:szCs w:val="20"/>
        </w:rPr>
        <w:t xml:space="preserve">%). </w:t>
      </w:r>
      <w:r w:rsidR="004179D7">
        <w:rPr>
          <w:rFonts w:cs="Arial"/>
          <w:szCs w:val="20"/>
        </w:rPr>
        <w:br/>
      </w:r>
      <w:r w:rsidR="004179D7">
        <w:rPr>
          <w:rFonts w:cs="Arial"/>
          <w:szCs w:val="20"/>
        </w:rPr>
        <w:br/>
      </w:r>
      <w:r w:rsidR="004179D7" w:rsidRPr="004D0188">
        <w:rPr>
          <w:rFonts w:cs="Arial"/>
          <w:b/>
          <w:szCs w:val="20"/>
        </w:rPr>
        <w:t>Tab. 4.4.</w:t>
      </w:r>
      <w:r w:rsidR="002537DC">
        <w:rPr>
          <w:rFonts w:cs="Arial"/>
          <w:b/>
          <w:szCs w:val="20"/>
        </w:rPr>
        <w:t>5</w:t>
      </w:r>
      <w:r w:rsidR="004179D7" w:rsidRPr="004D0188">
        <w:rPr>
          <w:rFonts w:cs="Arial"/>
          <w:b/>
          <w:szCs w:val="20"/>
        </w:rPr>
        <w:t xml:space="preserve"> Podnikatelé podle nejvyššího dosaženého vzdělání a věku v hl. m. Praze</w:t>
      </w:r>
    </w:p>
    <w:p w14:paraId="6BEC023F" w14:textId="77777777" w:rsidR="004179D7" w:rsidRDefault="004179D7" w:rsidP="004179D7">
      <w:pPr>
        <w:rPr>
          <w:rFonts w:cs="Arial"/>
          <w:szCs w:val="20"/>
        </w:rPr>
      </w:pPr>
      <w:r w:rsidRPr="00AD6F0F">
        <w:rPr>
          <w:rFonts w:cs="Arial"/>
          <w:noProof/>
          <w:szCs w:val="20"/>
        </w:rPr>
        <w:drawing>
          <wp:inline distT="0" distB="0" distL="0" distR="0" wp14:anchorId="424781C7" wp14:editId="4C4A774C">
            <wp:extent cx="5760720" cy="2543074"/>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543074"/>
                    </a:xfrm>
                    <a:prstGeom prst="rect">
                      <a:avLst/>
                    </a:prstGeom>
                    <a:noFill/>
                    <a:ln>
                      <a:noFill/>
                    </a:ln>
                  </pic:spPr>
                </pic:pic>
              </a:graphicData>
            </a:graphic>
          </wp:inline>
        </w:drawing>
      </w:r>
    </w:p>
    <w:p w14:paraId="581F2039" w14:textId="77777777" w:rsidR="00710EB3" w:rsidRPr="00710EB3" w:rsidRDefault="00710EB3" w:rsidP="00710EB3"/>
    <w:p w14:paraId="3D2415EE" w14:textId="77777777" w:rsidR="00CE6C75" w:rsidRDefault="00CE6C75" w:rsidP="00AC2A17">
      <w:pPr>
        <w:pStyle w:val="Nadpis2"/>
      </w:pPr>
      <w:bookmarkStart w:id="6" w:name="_Toc145675419"/>
      <w:r w:rsidRPr="00175AA4">
        <w:t>Ekonomická aktivita žen</w:t>
      </w:r>
      <w:bookmarkEnd w:id="6"/>
      <w:r w:rsidR="001A39ED">
        <w:br/>
      </w:r>
    </w:p>
    <w:p w14:paraId="2C6A2287" w14:textId="39017F46" w:rsidR="004179D7" w:rsidRDefault="004179D7" w:rsidP="001A39ED">
      <w:pPr>
        <w:jc w:val="both"/>
        <w:rPr>
          <w:rFonts w:cs="Arial"/>
          <w:szCs w:val="20"/>
        </w:rPr>
      </w:pPr>
      <w:r>
        <w:rPr>
          <w:rFonts w:cs="Arial"/>
          <w:szCs w:val="20"/>
        </w:rPr>
        <w:t>Ekonomickou aktivitu žen ovlivňuje celá řada faktorů, mezi něž patří v první řadě počet žen v produktivním věku, počet dětí a následná péče o ně a nejvyšší dokončené vzdělání. V Praze z celkového množství žen se</w:t>
      </w:r>
      <w:r w:rsidR="001A39ED">
        <w:rPr>
          <w:rFonts w:cs="Arial"/>
          <w:szCs w:val="20"/>
        </w:rPr>
        <w:t> </w:t>
      </w:r>
      <w:r>
        <w:rPr>
          <w:rFonts w:cs="Arial"/>
          <w:szCs w:val="20"/>
        </w:rPr>
        <w:t xml:space="preserve">zjištěnou ekonomickou aktivitou jich k rozhodnému okamžiku sčítání </w:t>
      </w:r>
      <w:r w:rsidRPr="00E14C4E">
        <w:rPr>
          <w:rFonts w:cs="Arial"/>
          <w:b/>
          <w:szCs w:val="20"/>
        </w:rPr>
        <w:t>363</w:t>
      </w:r>
      <w:r>
        <w:rPr>
          <w:rFonts w:cs="Arial"/>
          <w:b/>
          <w:szCs w:val="20"/>
        </w:rPr>
        <w:t> </w:t>
      </w:r>
      <w:r w:rsidRPr="00E14C4E">
        <w:rPr>
          <w:rFonts w:cs="Arial"/>
          <w:b/>
          <w:szCs w:val="20"/>
        </w:rPr>
        <w:t>200</w:t>
      </w:r>
      <w:r>
        <w:rPr>
          <w:rFonts w:cs="Arial"/>
          <w:szCs w:val="20"/>
        </w:rPr>
        <w:t xml:space="preserve"> patřilo do kategorie </w:t>
      </w:r>
      <w:r w:rsidRPr="00E14C4E">
        <w:rPr>
          <w:rFonts w:cs="Arial"/>
          <w:b/>
          <w:szCs w:val="20"/>
        </w:rPr>
        <w:t>pracovní síla</w:t>
      </w:r>
      <w:r>
        <w:rPr>
          <w:rFonts w:cs="Arial"/>
          <w:szCs w:val="20"/>
        </w:rPr>
        <w:t xml:space="preserve">, </w:t>
      </w:r>
      <w:r w:rsidRPr="008E7B09">
        <w:rPr>
          <w:rFonts w:cs="Arial"/>
          <w:b/>
          <w:szCs w:val="20"/>
        </w:rPr>
        <w:t>mimo pracovní sílu</w:t>
      </w:r>
      <w:r>
        <w:rPr>
          <w:rFonts w:cs="Arial"/>
          <w:szCs w:val="20"/>
        </w:rPr>
        <w:t xml:space="preserve"> se nacházelo </w:t>
      </w:r>
      <w:r w:rsidRPr="008E7B09">
        <w:rPr>
          <w:rFonts w:cs="Arial"/>
          <w:b/>
          <w:szCs w:val="20"/>
        </w:rPr>
        <w:t>295</w:t>
      </w:r>
      <w:r>
        <w:rPr>
          <w:rFonts w:cs="Arial"/>
          <w:b/>
          <w:szCs w:val="20"/>
        </w:rPr>
        <w:t> </w:t>
      </w:r>
      <w:r w:rsidRPr="008E7B09">
        <w:rPr>
          <w:rFonts w:cs="Arial"/>
          <w:b/>
          <w:szCs w:val="20"/>
        </w:rPr>
        <w:t>121 žen</w:t>
      </w:r>
      <w:r>
        <w:rPr>
          <w:rFonts w:cs="Arial"/>
          <w:szCs w:val="20"/>
        </w:rPr>
        <w:t xml:space="preserve"> (včetně dívek mladších než 15 let). Více než polovina (55,2 %) pražských žen se zjištěnou ekonomickou aktivitou tak patřila do kategorie pracovní síla, což byl jev při srovnání krajů v České republice ojedinělý. V ostatních krajích se tato hodnota pohybovala v rozmezí </w:t>
      </w:r>
      <w:r w:rsidR="001A39ED">
        <w:rPr>
          <w:rFonts w:cs="Arial"/>
          <w:szCs w:val="20"/>
        </w:rPr>
        <w:br/>
      </w:r>
      <w:r>
        <w:rPr>
          <w:rFonts w:cs="Arial"/>
          <w:szCs w:val="20"/>
        </w:rPr>
        <w:t xml:space="preserve">45,6-48,9 %. </w:t>
      </w:r>
      <w:r w:rsidRPr="00E14C4E">
        <w:rPr>
          <w:rFonts w:cs="Arial"/>
          <w:b/>
          <w:szCs w:val="20"/>
        </w:rPr>
        <w:t>Míra ekonomické aktivity žen</w:t>
      </w:r>
      <w:r>
        <w:rPr>
          <w:rFonts w:cs="Arial"/>
          <w:szCs w:val="20"/>
        </w:rPr>
        <w:t xml:space="preserve"> (podíl počtu zaměstnaných a nezaměstnaných žen na počtu všech žen ve věku 15 a více let se zjištěnou ekonomickou aktivitou) dosáhla v Praze na </w:t>
      </w:r>
      <w:r w:rsidRPr="00E14C4E">
        <w:rPr>
          <w:rFonts w:cs="Arial"/>
          <w:b/>
          <w:szCs w:val="20"/>
        </w:rPr>
        <w:t>64,7</w:t>
      </w:r>
      <w:r>
        <w:rPr>
          <w:rFonts w:cs="Arial"/>
          <w:b/>
          <w:szCs w:val="20"/>
        </w:rPr>
        <w:t> </w:t>
      </w:r>
      <w:r w:rsidRPr="00E14C4E">
        <w:rPr>
          <w:rFonts w:cs="Arial"/>
          <w:b/>
          <w:szCs w:val="20"/>
        </w:rPr>
        <w:t>%</w:t>
      </w:r>
      <w:r>
        <w:rPr>
          <w:rFonts w:cs="Arial"/>
          <w:szCs w:val="20"/>
        </w:rPr>
        <w:t>, nejvíce ze všech krajů. Druhou nejvyšší míru ekonomické aktivity měly ženy ve Středočeském kraji (59,3 %), nejnižší ve Zlínském</w:t>
      </w:r>
      <w:r w:rsidR="00937693">
        <w:rPr>
          <w:rFonts w:cs="Arial"/>
          <w:szCs w:val="20"/>
        </w:rPr>
        <w:t> </w:t>
      </w:r>
      <w:r>
        <w:rPr>
          <w:rFonts w:cs="Arial"/>
          <w:szCs w:val="20"/>
        </w:rPr>
        <w:t>kraji</w:t>
      </w:r>
      <w:r w:rsidR="00937693">
        <w:rPr>
          <w:rFonts w:cs="Arial"/>
          <w:szCs w:val="20"/>
        </w:rPr>
        <w:t> </w:t>
      </w:r>
      <w:r>
        <w:rPr>
          <w:rFonts w:cs="Arial"/>
          <w:szCs w:val="20"/>
        </w:rPr>
        <w:t>(53,9 %)</w:t>
      </w:r>
      <w:r w:rsidR="00937693">
        <w:rPr>
          <w:rFonts w:cs="Arial"/>
          <w:szCs w:val="20"/>
        </w:rPr>
        <w:t> </w:t>
      </w:r>
      <w:r>
        <w:rPr>
          <w:rFonts w:cs="Arial"/>
          <w:szCs w:val="20"/>
        </w:rPr>
        <w:t>a v Kraji Vysočina</w:t>
      </w:r>
      <w:r w:rsidR="00937693">
        <w:rPr>
          <w:rFonts w:cs="Arial"/>
          <w:szCs w:val="20"/>
        </w:rPr>
        <w:t> </w:t>
      </w:r>
      <w:r>
        <w:rPr>
          <w:rFonts w:cs="Arial"/>
          <w:szCs w:val="20"/>
        </w:rPr>
        <w:t>(54 %).</w:t>
      </w:r>
      <w:r w:rsidR="00937693">
        <w:rPr>
          <w:rFonts w:cs="Arial"/>
          <w:szCs w:val="20"/>
        </w:rPr>
        <w:br/>
        <w:t>V třídění podle zjištěného rodinného stavu byl nejvyšší podíl žen mimo pracovní sílu ve skupině žen ovdovělých (Praha 80,5 %, ČR 85,6 %), což souvisí s tím, že přibližně tři čtvrtiny pražských i českých vdov dosáhly věku 70 a více let. Nejnižší podíl žen mimo pracovní sílu byl v Praze zjištěn u žen svobodných (25,7 %), z nichž byla téměř polovina mladší než 30 let. Z žen vdaných a rozvedených jich v Praze stála mimo pracovní sílu shodně přibližně třetina. V České republice jako celku se situace trochu lišila - nejnižší podíl skupiny mimo pracovní sílu měly ženy rozvedené (32,8 %). Nejvyšší podíl nezaměstnaných žen byl, jak v Praze (5,3 %), tak v České republice (7,8 %), mezi ženami svobodnými.</w:t>
      </w:r>
    </w:p>
    <w:p w14:paraId="047117CF" w14:textId="77777777" w:rsidR="002D545A" w:rsidRDefault="002D545A" w:rsidP="004179D7">
      <w:pPr>
        <w:rPr>
          <w:rFonts w:cs="Arial"/>
          <w:b/>
          <w:szCs w:val="20"/>
        </w:rPr>
      </w:pPr>
    </w:p>
    <w:p w14:paraId="5EE751D7" w14:textId="77777777" w:rsidR="002D545A" w:rsidRDefault="002D545A" w:rsidP="004179D7">
      <w:pPr>
        <w:rPr>
          <w:rFonts w:cs="Arial"/>
          <w:b/>
          <w:szCs w:val="20"/>
        </w:rPr>
      </w:pPr>
    </w:p>
    <w:p w14:paraId="7EBB716D" w14:textId="33D71FAF" w:rsidR="004179D7" w:rsidRPr="007E5368" w:rsidRDefault="004179D7" w:rsidP="004179D7">
      <w:pPr>
        <w:rPr>
          <w:rFonts w:cs="Arial"/>
          <w:b/>
          <w:szCs w:val="20"/>
        </w:rPr>
      </w:pPr>
      <w:r w:rsidRPr="007E5368">
        <w:rPr>
          <w:rFonts w:cs="Arial"/>
          <w:b/>
          <w:szCs w:val="20"/>
        </w:rPr>
        <w:t>Tab. 4.5.1 Ženy ve věku 15 a více let podle ekonomické aktivity, postavení v zaměstnání a počtu živě narozených dětí v hl. m. Praze</w:t>
      </w:r>
    </w:p>
    <w:p w14:paraId="77FB6160" w14:textId="77777777" w:rsidR="004179D7" w:rsidRDefault="004179D7" w:rsidP="004179D7">
      <w:pPr>
        <w:rPr>
          <w:rFonts w:cs="Arial"/>
          <w:szCs w:val="20"/>
        </w:rPr>
      </w:pPr>
      <w:r w:rsidRPr="007E5368">
        <w:rPr>
          <w:rFonts w:cs="Arial"/>
          <w:noProof/>
          <w:szCs w:val="20"/>
        </w:rPr>
        <w:drawing>
          <wp:inline distT="0" distB="0" distL="0" distR="0" wp14:anchorId="5FCF8DCD" wp14:editId="387FE098">
            <wp:extent cx="5760720" cy="231269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312698"/>
                    </a:xfrm>
                    <a:prstGeom prst="rect">
                      <a:avLst/>
                    </a:prstGeom>
                    <a:noFill/>
                    <a:ln>
                      <a:noFill/>
                    </a:ln>
                  </pic:spPr>
                </pic:pic>
              </a:graphicData>
            </a:graphic>
          </wp:inline>
        </w:drawing>
      </w:r>
    </w:p>
    <w:p w14:paraId="01D3869B" w14:textId="69EB5427" w:rsidR="004179D7" w:rsidRDefault="004179D7" w:rsidP="001A39ED">
      <w:pPr>
        <w:jc w:val="both"/>
        <w:rPr>
          <w:rFonts w:cs="Arial"/>
          <w:szCs w:val="20"/>
        </w:rPr>
      </w:pPr>
      <w:r>
        <w:rPr>
          <w:rFonts w:cs="Arial"/>
          <w:szCs w:val="20"/>
        </w:rPr>
        <w:br/>
        <w:t xml:space="preserve">Z celkového množství žen, které tvořily pražskou pracovní sílu, jich byla převážná většina zaměstnaných (95,4 %). </w:t>
      </w:r>
      <w:r w:rsidRPr="00135348">
        <w:rPr>
          <w:rFonts w:cs="Arial"/>
          <w:b/>
          <w:szCs w:val="20"/>
        </w:rPr>
        <w:t>Zaměstnaných žen bylo v</w:t>
      </w:r>
      <w:r>
        <w:rPr>
          <w:rFonts w:cs="Arial"/>
          <w:b/>
          <w:szCs w:val="20"/>
        </w:rPr>
        <w:t> </w:t>
      </w:r>
      <w:r w:rsidRPr="00135348">
        <w:rPr>
          <w:rFonts w:cs="Arial"/>
          <w:b/>
          <w:szCs w:val="20"/>
        </w:rPr>
        <w:t>Praze 346</w:t>
      </w:r>
      <w:r>
        <w:rPr>
          <w:rFonts w:cs="Arial"/>
          <w:b/>
          <w:szCs w:val="20"/>
        </w:rPr>
        <w:t> </w:t>
      </w:r>
      <w:r w:rsidRPr="00135348">
        <w:rPr>
          <w:rFonts w:cs="Arial"/>
          <w:b/>
          <w:szCs w:val="20"/>
        </w:rPr>
        <w:t>641, nezaměstnaných</w:t>
      </w:r>
      <w:r>
        <w:rPr>
          <w:rFonts w:cs="Arial"/>
          <w:szCs w:val="20"/>
        </w:rPr>
        <w:t xml:space="preserve"> pouze </w:t>
      </w:r>
      <w:r w:rsidRPr="00135348">
        <w:rPr>
          <w:rFonts w:cs="Arial"/>
          <w:b/>
          <w:szCs w:val="20"/>
        </w:rPr>
        <w:t>16</w:t>
      </w:r>
      <w:r>
        <w:rPr>
          <w:rFonts w:cs="Arial"/>
          <w:b/>
          <w:szCs w:val="20"/>
        </w:rPr>
        <w:t> </w:t>
      </w:r>
      <w:r w:rsidRPr="00135348">
        <w:rPr>
          <w:rFonts w:cs="Arial"/>
          <w:b/>
          <w:szCs w:val="20"/>
        </w:rPr>
        <w:t>559</w:t>
      </w:r>
      <w:r>
        <w:rPr>
          <w:rFonts w:cs="Arial"/>
          <w:szCs w:val="20"/>
        </w:rPr>
        <w:t xml:space="preserve">. </w:t>
      </w:r>
      <w:r w:rsidRPr="00135348">
        <w:rPr>
          <w:rFonts w:cs="Arial"/>
          <w:b/>
          <w:szCs w:val="20"/>
        </w:rPr>
        <w:t xml:space="preserve">Míra zaměstnanosti </w:t>
      </w:r>
      <w:r>
        <w:rPr>
          <w:rFonts w:cs="Arial"/>
          <w:szCs w:val="20"/>
        </w:rPr>
        <w:t>žen v hlavním městě (podíl počtu zaměstnaných žen na počtu všech žen ve věku 15 a více let se zjištěnou ekonomickou</w:t>
      </w:r>
      <w:r w:rsidR="001A39ED">
        <w:rPr>
          <w:rFonts w:cs="Arial"/>
          <w:szCs w:val="20"/>
        </w:rPr>
        <w:t> </w:t>
      </w:r>
      <w:r>
        <w:rPr>
          <w:rFonts w:cs="Arial"/>
          <w:szCs w:val="20"/>
        </w:rPr>
        <w:t>aktivitou)</w:t>
      </w:r>
      <w:r w:rsidR="001A39ED">
        <w:rPr>
          <w:rFonts w:cs="Arial"/>
          <w:szCs w:val="20"/>
        </w:rPr>
        <w:t> </w:t>
      </w:r>
      <w:r>
        <w:rPr>
          <w:rFonts w:cs="Arial"/>
          <w:szCs w:val="20"/>
        </w:rPr>
        <w:t>dosáhla</w:t>
      </w:r>
      <w:r w:rsidR="001A39ED">
        <w:rPr>
          <w:rFonts w:cs="Arial"/>
          <w:szCs w:val="20"/>
        </w:rPr>
        <w:t> </w:t>
      </w:r>
      <w:r>
        <w:rPr>
          <w:rFonts w:cs="Arial"/>
          <w:szCs w:val="20"/>
        </w:rPr>
        <w:t>na </w:t>
      </w:r>
      <w:r w:rsidRPr="00135348">
        <w:rPr>
          <w:rFonts w:cs="Arial"/>
          <w:b/>
          <w:szCs w:val="20"/>
        </w:rPr>
        <w:t>61,7</w:t>
      </w:r>
      <w:r>
        <w:rPr>
          <w:rFonts w:cs="Arial"/>
          <w:b/>
          <w:szCs w:val="20"/>
        </w:rPr>
        <w:t> </w:t>
      </w:r>
      <w:r w:rsidRPr="00135348">
        <w:rPr>
          <w:rFonts w:cs="Arial"/>
          <w:b/>
          <w:szCs w:val="20"/>
        </w:rPr>
        <w:t>%</w:t>
      </w:r>
      <w:r>
        <w:rPr>
          <w:rFonts w:cs="Arial"/>
          <w:szCs w:val="20"/>
        </w:rPr>
        <w:t xml:space="preserve">. </w:t>
      </w:r>
      <w:r>
        <w:rPr>
          <w:rFonts w:cs="Arial"/>
          <w:szCs w:val="20"/>
        </w:rPr>
        <w:br/>
      </w:r>
      <w:r w:rsidRPr="00F12B51">
        <w:rPr>
          <w:rFonts w:cs="Arial"/>
          <w:b/>
          <w:szCs w:val="20"/>
        </w:rPr>
        <w:t>Stěžejní složku zaměstnaných žen v</w:t>
      </w:r>
      <w:r>
        <w:rPr>
          <w:rFonts w:cs="Arial"/>
          <w:b/>
          <w:szCs w:val="20"/>
        </w:rPr>
        <w:t> </w:t>
      </w:r>
      <w:r w:rsidRPr="00F12B51">
        <w:rPr>
          <w:rFonts w:cs="Arial"/>
          <w:b/>
          <w:szCs w:val="20"/>
        </w:rPr>
        <w:t>Praze</w:t>
      </w:r>
      <w:r>
        <w:rPr>
          <w:rFonts w:cs="Arial"/>
          <w:szCs w:val="20"/>
        </w:rPr>
        <w:t xml:space="preserve">, u nichž bylo zjištěno postavení v zaměstnání, tvořily </w:t>
      </w:r>
      <w:r w:rsidRPr="00F12B51">
        <w:rPr>
          <w:rFonts w:cs="Arial"/>
          <w:b/>
          <w:szCs w:val="20"/>
        </w:rPr>
        <w:t>zaměstnankyně (83,9</w:t>
      </w:r>
      <w:r>
        <w:rPr>
          <w:rFonts w:cs="Arial"/>
          <w:b/>
          <w:szCs w:val="20"/>
        </w:rPr>
        <w:t> </w:t>
      </w:r>
      <w:r w:rsidRPr="00F12B51">
        <w:rPr>
          <w:rFonts w:cs="Arial"/>
          <w:b/>
          <w:szCs w:val="20"/>
        </w:rPr>
        <w:t>%)</w:t>
      </w:r>
      <w:r>
        <w:rPr>
          <w:rFonts w:cs="Arial"/>
          <w:szCs w:val="20"/>
        </w:rPr>
        <w:t>. V postavení osoby pracující na vlastní účet bylo 15,6 % žen a pouze 0,5 % připadlo na zaměstnavatelky.</w:t>
      </w:r>
      <w:r w:rsidR="00496CA7">
        <w:rPr>
          <w:rFonts w:cs="Arial"/>
          <w:szCs w:val="20"/>
        </w:rPr>
        <w:t> </w:t>
      </w:r>
      <w:r>
        <w:rPr>
          <w:rFonts w:cs="Arial"/>
          <w:szCs w:val="20"/>
        </w:rPr>
        <w:t>Zaměstnankyně</w:t>
      </w:r>
      <w:r w:rsidR="00496CA7">
        <w:rPr>
          <w:rFonts w:cs="Arial"/>
          <w:szCs w:val="20"/>
        </w:rPr>
        <w:t> </w:t>
      </w:r>
      <w:r>
        <w:rPr>
          <w:rFonts w:cs="Arial"/>
          <w:szCs w:val="20"/>
        </w:rPr>
        <w:t>přitom</w:t>
      </w:r>
      <w:r w:rsidR="00496CA7">
        <w:rPr>
          <w:rFonts w:cs="Arial"/>
          <w:szCs w:val="20"/>
        </w:rPr>
        <w:t> </w:t>
      </w:r>
      <w:r>
        <w:rPr>
          <w:rFonts w:cs="Arial"/>
          <w:szCs w:val="20"/>
        </w:rPr>
        <w:t>převažovaly</w:t>
      </w:r>
      <w:r w:rsidR="00496CA7">
        <w:rPr>
          <w:rFonts w:cs="Arial"/>
          <w:szCs w:val="20"/>
        </w:rPr>
        <w:t> </w:t>
      </w:r>
      <w:r>
        <w:rPr>
          <w:rFonts w:cs="Arial"/>
          <w:szCs w:val="20"/>
        </w:rPr>
        <w:t>ve všech</w:t>
      </w:r>
      <w:r w:rsidR="00496CA7">
        <w:rPr>
          <w:rFonts w:cs="Arial"/>
          <w:szCs w:val="20"/>
        </w:rPr>
        <w:t> </w:t>
      </w:r>
      <w:r>
        <w:rPr>
          <w:rFonts w:cs="Arial"/>
          <w:szCs w:val="20"/>
        </w:rPr>
        <w:t>třídách</w:t>
      </w:r>
      <w:r w:rsidR="00496CA7">
        <w:rPr>
          <w:rFonts w:cs="Arial"/>
          <w:szCs w:val="20"/>
        </w:rPr>
        <w:t> </w:t>
      </w:r>
      <w:r>
        <w:rPr>
          <w:rFonts w:cs="Arial"/>
          <w:szCs w:val="20"/>
        </w:rPr>
        <w:t xml:space="preserve">zaměstnání. </w:t>
      </w:r>
      <w:r>
        <w:rPr>
          <w:rFonts w:cs="Arial"/>
          <w:szCs w:val="20"/>
        </w:rPr>
        <w:br/>
        <w:t>Absolutně nejvíce žen pracujících na vlastní účet patřilo do třídy specialisté (17 878). Vyšší podíly žen pracujících na vlastní účet měly třídy kvalifikovaní pracovníci v zemědělství, lesnictví a rybářství (27,8 %), řemeslníci</w:t>
      </w:r>
      <w:r w:rsidR="001A39ED">
        <w:rPr>
          <w:rFonts w:cs="Arial"/>
          <w:szCs w:val="20"/>
        </w:rPr>
        <w:t> </w:t>
      </w:r>
      <w:r>
        <w:rPr>
          <w:rFonts w:cs="Arial"/>
          <w:szCs w:val="20"/>
        </w:rPr>
        <w:t>a opraváři</w:t>
      </w:r>
      <w:r w:rsidR="001A39ED">
        <w:rPr>
          <w:rFonts w:cs="Arial"/>
          <w:szCs w:val="20"/>
        </w:rPr>
        <w:t> </w:t>
      </w:r>
      <w:r>
        <w:rPr>
          <w:rFonts w:cs="Arial"/>
          <w:szCs w:val="20"/>
        </w:rPr>
        <w:t>(26 %)</w:t>
      </w:r>
      <w:r w:rsidR="001A39ED">
        <w:rPr>
          <w:rFonts w:cs="Arial"/>
          <w:szCs w:val="20"/>
        </w:rPr>
        <w:t> </w:t>
      </w:r>
      <w:r>
        <w:rPr>
          <w:rFonts w:cs="Arial"/>
          <w:szCs w:val="20"/>
        </w:rPr>
        <w:t>a</w:t>
      </w:r>
      <w:r w:rsidR="001A39ED">
        <w:rPr>
          <w:rFonts w:cs="Arial"/>
          <w:szCs w:val="20"/>
        </w:rPr>
        <w:t> </w:t>
      </w:r>
      <w:r>
        <w:rPr>
          <w:rFonts w:cs="Arial"/>
          <w:szCs w:val="20"/>
        </w:rPr>
        <w:t>pomocní</w:t>
      </w:r>
      <w:r w:rsidR="001A39ED">
        <w:rPr>
          <w:rFonts w:cs="Arial"/>
          <w:szCs w:val="20"/>
        </w:rPr>
        <w:t> </w:t>
      </w:r>
      <w:r>
        <w:rPr>
          <w:rFonts w:cs="Arial"/>
          <w:szCs w:val="20"/>
        </w:rPr>
        <w:t>a nekvalifikovaní</w:t>
      </w:r>
      <w:r w:rsidR="001A39ED">
        <w:rPr>
          <w:rFonts w:cs="Arial"/>
          <w:szCs w:val="20"/>
        </w:rPr>
        <w:t> </w:t>
      </w:r>
      <w:r>
        <w:rPr>
          <w:rFonts w:cs="Arial"/>
          <w:szCs w:val="20"/>
        </w:rPr>
        <w:t>pracovníci</w:t>
      </w:r>
      <w:r w:rsidR="001A39ED">
        <w:rPr>
          <w:rFonts w:cs="Arial"/>
          <w:szCs w:val="20"/>
        </w:rPr>
        <w:t> </w:t>
      </w:r>
      <w:r>
        <w:rPr>
          <w:rFonts w:cs="Arial"/>
          <w:szCs w:val="20"/>
        </w:rPr>
        <w:t xml:space="preserve">(19,2 %). </w:t>
      </w:r>
      <w:r>
        <w:rPr>
          <w:rFonts w:cs="Arial"/>
          <w:szCs w:val="20"/>
        </w:rPr>
        <w:br/>
      </w:r>
      <w:r w:rsidRPr="00F12B51">
        <w:rPr>
          <w:rFonts w:cs="Arial"/>
          <w:b/>
          <w:szCs w:val="20"/>
        </w:rPr>
        <w:t>Hlavní skupinu tzv.</w:t>
      </w:r>
      <w:r>
        <w:rPr>
          <w:rFonts w:cs="Arial"/>
          <w:b/>
          <w:szCs w:val="20"/>
        </w:rPr>
        <w:t> </w:t>
      </w:r>
      <w:r w:rsidRPr="00F12B51">
        <w:rPr>
          <w:rFonts w:cs="Arial"/>
          <w:b/>
          <w:szCs w:val="20"/>
        </w:rPr>
        <w:t>ostatních zaměstnaných žen (79,1</w:t>
      </w:r>
      <w:r>
        <w:rPr>
          <w:rFonts w:cs="Arial"/>
          <w:b/>
          <w:szCs w:val="20"/>
        </w:rPr>
        <w:t> </w:t>
      </w:r>
      <w:r w:rsidRPr="00F12B51">
        <w:rPr>
          <w:rFonts w:cs="Arial"/>
          <w:b/>
          <w:szCs w:val="20"/>
        </w:rPr>
        <w:t>%) doplnily pracující důchodkyně (11,6</w:t>
      </w:r>
      <w:r>
        <w:rPr>
          <w:rFonts w:cs="Arial"/>
          <w:b/>
          <w:szCs w:val="20"/>
        </w:rPr>
        <w:t> </w:t>
      </w:r>
      <w:r w:rsidRPr="00F12B51">
        <w:rPr>
          <w:rFonts w:cs="Arial"/>
          <w:b/>
          <w:szCs w:val="20"/>
        </w:rPr>
        <w:t>%), pracující</w:t>
      </w:r>
      <w:r w:rsidR="001A39ED">
        <w:rPr>
          <w:rFonts w:cs="Arial"/>
          <w:b/>
          <w:szCs w:val="20"/>
        </w:rPr>
        <w:t> </w:t>
      </w:r>
      <w:r w:rsidRPr="00F12B51">
        <w:rPr>
          <w:rFonts w:cs="Arial"/>
          <w:b/>
          <w:szCs w:val="20"/>
        </w:rPr>
        <w:t>žákyně</w:t>
      </w:r>
      <w:r w:rsidR="001A39ED">
        <w:rPr>
          <w:rFonts w:cs="Arial"/>
          <w:b/>
          <w:szCs w:val="20"/>
        </w:rPr>
        <w:t> </w:t>
      </w:r>
      <w:r w:rsidRPr="00F12B51">
        <w:rPr>
          <w:rFonts w:cs="Arial"/>
          <w:b/>
          <w:szCs w:val="20"/>
        </w:rPr>
        <w:t>a</w:t>
      </w:r>
      <w:r>
        <w:rPr>
          <w:rFonts w:cs="Arial"/>
          <w:b/>
          <w:szCs w:val="20"/>
        </w:rPr>
        <w:t> </w:t>
      </w:r>
      <w:r w:rsidRPr="00F12B51">
        <w:rPr>
          <w:rFonts w:cs="Arial"/>
          <w:b/>
          <w:szCs w:val="20"/>
        </w:rPr>
        <w:t>studentky</w:t>
      </w:r>
      <w:r w:rsidR="001A39ED">
        <w:rPr>
          <w:rFonts w:cs="Arial"/>
          <w:b/>
          <w:szCs w:val="20"/>
        </w:rPr>
        <w:t> </w:t>
      </w:r>
      <w:r w:rsidRPr="00F12B51">
        <w:rPr>
          <w:rFonts w:cs="Arial"/>
          <w:b/>
          <w:szCs w:val="20"/>
        </w:rPr>
        <w:t>(7,6</w:t>
      </w:r>
      <w:r>
        <w:rPr>
          <w:rFonts w:cs="Arial"/>
          <w:b/>
          <w:szCs w:val="20"/>
        </w:rPr>
        <w:t> </w:t>
      </w:r>
      <w:r w:rsidRPr="00F12B51">
        <w:rPr>
          <w:rFonts w:cs="Arial"/>
          <w:b/>
          <w:szCs w:val="20"/>
        </w:rPr>
        <w:t>%)</w:t>
      </w:r>
      <w:r w:rsidR="001A39ED">
        <w:rPr>
          <w:rFonts w:cs="Arial"/>
          <w:b/>
          <w:szCs w:val="20"/>
        </w:rPr>
        <w:t> </w:t>
      </w:r>
      <w:r w:rsidRPr="00F12B51">
        <w:rPr>
          <w:rFonts w:cs="Arial"/>
          <w:b/>
          <w:szCs w:val="20"/>
        </w:rPr>
        <w:t>a</w:t>
      </w:r>
      <w:r w:rsidR="001A39ED">
        <w:rPr>
          <w:rFonts w:cs="Arial"/>
          <w:b/>
          <w:szCs w:val="20"/>
        </w:rPr>
        <w:t> </w:t>
      </w:r>
      <w:r w:rsidRPr="00F12B51">
        <w:rPr>
          <w:rFonts w:cs="Arial"/>
          <w:b/>
          <w:szCs w:val="20"/>
        </w:rPr>
        <w:t>ženy</w:t>
      </w:r>
      <w:r w:rsidR="001A39ED">
        <w:rPr>
          <w:rFonts w:cs="Arial"/>
          <w:b/>
          <w:szCs w:val="20"/>
        </w:rPr>
        <w:t> </w:t>
      </w:r>
      <w:r w:rsidRPr="00F12B51">
        <w:rPr>
          <w:rFonts w:cs="Arial"/>
          <w:b/>
          <w:szCs w:val="20"/>
        </w:rPr>
        <w:t>na</w:t>
      </w:r>
      <w:r>
        <w:rPr>
          <w:rFonts w:cs="Arial"/>
          <w:b/>
          <w:szCs w:val="20"/>
        </w:rPr>
        <w:t> </w:t>
      </w:r>
      <w:r w:rsidRPr="00F12B51">
        <w:rPr>
          <w:rFonts w:cs="Arial"/>
          <w:b/>
          <w:szCs w:val="20"/>
        </w:rPr>
        <w:t>mateřské</w:t>
      </w:r>
      <w:r w:rsidR="001A39ED">
        <w:rPr>
          <w:rFonts w:cs="Arial"/>
          <w:b/>
          <w:szCs w:val="20"/>
        </w:rPr>
        <w:t> </w:t>
      </w:r>
      <w:r w:rsidRPr="00F12B51">
        <w:rPr>
          <w:rFonts w:cs="Arial"/>
          <w:b/>
          <w:szCs w:val="20"/>
        </w:rPr>
        <w:t>dovolené</w:t>
      </w:r>
      <w:r w:rsidR="001A39ED">
        <w:rPr>
          <w:rFonts w:cs="Arial"/>
          <w:b/>
          <w:szCs w:val="20"/>
        </w:rPr>
        <w:t> </w:t>
      </w:r>
      <w:r w:rsidRPr="00F12B51">
        <w:rPr>
          <w:rFonts w:cs="Arial"/>
          <w:b/>
          <w:szCs w:val="20"/>
        </w:rPr>
        <w:t>(1,7</w:t>
      </w:r>
      <w:r>
        <w:rPr>
          <w:rFonts w:cs="Arial"/>
          <w:b/>
          <w:szCs w:val="20"/>
        </w:rPr>
        <w:t> </w:t>
      </w:r>
      <w:r w:rsidRPr="00F12B51">
        <w:rPr>
          <w:rFonts w:cs="Arial"/>
          <w:b/>
          <w:szCs w:val="20"/>
        </w:rPr>
        <w:t xml:space="preserve">%). </w:t>
      </w:r>
      <w:r>
        <w:rPr>
          <w:rFonts w:cs="Arial"/>
          <w:szCs w:val="20"/>
        </w:rPr>
        <w:br/>
        <w:t>Ze statistik vyplývá, že každá přibližně čtvrtá důchodkyně v Praze pracovala (v ČR přibližně každá šestá). Nezřídka však na tuto skupinu zaměstnaných žen zbývala práce nekvalifikovaná – ve třídě pomocní a</w:t>
      </w:r>
      <w:r w:rsidR="001A39ED">
        <w:rPr>
          <w:rFonts w:cs="Arial"/>
          <w:szCs w:val="20"/>
        </w:rPr>
        <w:t> </w:t>
      </w:r>
      <w:r>
        <w:rPr>
          <w:rFonts w:cs="Arial"/>
          <w:szCs w:val="20"/>
        </w:rPr>
        <w:t>nekvalifikovaní pracovníci v Praze činil podíl pracujících seniorek 22,2 %. Častěji se pracující důchodkyně vyskytovaly i ve třídě úřednice (11,5 % z celkového množství žen pracujících v této třídě) a řemeslníci a opraváři (10,1 %). Z hlediska odvětví ekonomické činnosti bylo pracující důchodkyně nejčastěji vidět v oblasti nemovitostí (21,9 % z celkového množství žen zaměstnaných v této oblasti) a v odvětví administrativních</w:t>
      </w:r>
      <w:r w:rsidR="001A39ED">
        <w:rPr>
          <w:rFonts w:cs="Arial"/>
          <w:szCs w:val="20"/>
        </w:rPr>
        <w:t> </w:t>
      </w:r>
      <w:r>
        <w:rPr>
          <w:rFonts w:cs="Arial"/>
          <w:szCs w:val="20"/>
        </w:rPr>
        <w:t>a podpůrných</w:t>
      </w:r>
      <w:r w:rsidR="001A39ED">
        <w:rPr>
          <w:rFonts w:cs="Arial"/>
          <w:szCs w:val="20"/>
        </w:rPr>
        <w:t> </w:t>
      </w:r>
      <w:r>
        <w:rPr>
          <w:rFonts w:cs="Arial"/>
          <w:szCs w:val="20"/>
        </w:rPr>
        <w:t>činností</w:t>
      </w:r>
      <w:r w:rsidR="001A39ED">
        <w:rPr>
          <w:rFonts w:cs="Arial"/>
          <w:szCs w:val="20"/>
        </w:rPr>
        <w:t> </w:t>
      </w:r>
      <w:r>
        <w:rPr>
          <w:rFonts w:cs="Arial"/>
          <w:szCs w:val="20"/>
        </w:rPr>
        <w:t>(17,4 %).</w:t>
      </w:r>
      <w:r>
        <w:rPr>
          <w:rFonts w:cs="Arial"/>
          <w:szCs w:val="20"/>
        </w:rPr>
        <w:br/>
        <w:t>Nejvyšší podíly žen na mateřské dovolené v hlavním městě měly třídy specialisté (1,9 %) a zákonodárci a řídící pracovníci (1,7 %), naopak pouze 0,2 % žen na mateřské dovolené bylo sečteno mezi pomocnými a nekvalifikovanými</w:t>
      </w:r>
      <w:r w:rsidR="001A39ED">
        <w:rPr>
          <w:rFonts w:cs="Arial"/>
          <w:szCs w:val="20"/>
        </w:rPr>
        <w:t> </w:t>
      </w:r>
      <w:r>
        <w:rPr>
          <w:rFonts w:cs="Arial"/>
          <w:szCs w:val="20"/>
        </w:rPr>
        <w:t xml:space="preserve">pracovnicemi. </w:t>
      </w:r>
      <w:r>
        <w:rPr>
          <w:rFonts w:cs="Arial"/>
          <w:szCs w:val="20"/>
        </w:rPr>
        <w:br/>
        <w:t>Nejobvyklejšími činnostmi pro přivýdělek pražských studentek byly kulturní, zábavní a rekreační činnosti (13,2 % z celkového množství žen pracujících v tomto odvětví), profesní, vědecké a technické činnosti (10,8 %)</w:t>
      </w:r>
      <w:r w:rsidR="001A39ED">
        <w:rPr>
          <w:rFonts w:cs="Arial"/>
          <w:szCs w:val="20"/>
        </w:rPr>
        <w:t> </w:t>
      </w:r>
      <w:r>
        <w:rPr>
          <w:rFonts w:cs="Arial"/>
          <w:szCs w:val="20"/>
        </w:rPr>
        <w:t>a ubytování,</w:t>
      </w:r>
      <w:r w:rsidR="001A39ED">
        <w:rPr>
          <w:rFonts w:cs="Arial"/>
          <w:szCs w:val="20"/>
        </w:rPr>
        <w:t> </w:t>
      </w:r>
      <w:r>
        <w:rPr>
          <w:rFonts w:cs="Arial"/>
          <w:szCs w:val="20"/>
        </w:rPr>
        <w:t>stravování</w:t>
      </w:r>
      <w:r w:rsidR="001A39ED">
        <w:rPr>
          <w:rFonts w:cs="Arial"/>
          <w:szCs w:val="20"/>
        </w:rPr>
        <w:t> </w:t>
      </w:r>
      <w:r>
        <w:rPr>
          <w:rFonts w:cs="Arial"/>
          <w:szCs w:val="20"/>
        </w:rPr>
        <w:t>a pohostinství</w:t>
      </w:r>
      <w:r w:rsidR="001A39ED">
        <w:rPr>
          <w:rFonts w:cs="Arial"/>
          <w:szCs w:val="20"/>
        </w:rPr>
        <w:t> </w:t>
      </w:r>
      <w:r>
        <w:rPr>
          <w:rFonts w:cs="Arial"/>
          <w:szCs w:val="20"/>
        </w:rPr>
        <w:t>(10,3 %).</w:t>
      </w:r>
      <w:r>
        <w:rPr>
          <w:rFonts w:cs="Arial"/>
          <w:szCs w:val="20"/>
        </w:rPr>
        <w:br/>
      </w:r>
      <w:r>
        <w:rPr>
          <w:rFonts w:cs="Arial"/>
          <w:szCs w:val="20"/>
        </w:rPr>
        <w:br/>
        <w:t xml:space="preserve">V postavení </w:t>
      </w:r>
      <w:r w:rsidRPr="00F12B51">
        <w:rPr>
          <w:rFonts w:cs="Arial"/>
          <w:b/>
          <w:szCs w:val="20"/>
        </w:rPr>
        <w:t>mimo pracovní sílu</w:t>
      </w:r>
      <w:r>
        <w:rPr>
          <w:rFonts w:cs="Arial"/>
          <w:szCs w:val="20"/>
        </w:rPr>
        <w:t xml:space="preserve"> se v Praze v rozhodný okamžik sčítání nacházelo </w:t>
      </w:r>
      <w:r w:rsidRPr="00F12B51">
        <w:rPr>
          <w:rFonts w:cs="Arial"/>
          <w:b/>
          <w:szCs w:val="20"/>
        </w:rPr>
        <w:t>198</w:t>
      </w:r>
      <w:r>
        <w:rPr>
          <w:rFonts w:cs="Arial"/>
          <w:b/>
          <w:szCs w:val="20"/>
        </w:rPr>
        <w:t> </w:t>
      </w:r>
      <w:r w:rsidRPr="00F12B51">
        <w:rPr>
          <w:rFonts w:cs="Arial"/>
          <w:b/>
          <w:szCs w:val="20"/>
        </w:rPr>
        <w:t>308 žen</w:t>
      </w:r>
      <w:r>
        <w:rPr>
          <w:rFonts w:cs="Arial"/>
          <w:szCs w:val="20"/>
        </w:rPr>
        <w:t xml:space="preserve"> </w:t>
      </w:r>
      <w:r w:rsidRPr="00F12B51">
        <w:rPr>
          <w:rFonts w:cs="Arial"/>
          <w:b/>
          <w:szCs w:val="20"/>
        </w:rPr>
        <w:t>(44,8</w:t>
      </w:r>
      <w:r>
        <w:rPr>
          <w:rFonts w:cs="Arial"/>
          <w:b/>
          <w:szCs w:val="20"/>
        </w:rPr>
        <w:t> </w:t>
      </w:r>
      <w:r w:rsidRPr="00F12B51">
        <w:rPr>
          <w:rFonts w:cs="Arial"/>
          <w:b/>
          <w:szCs w:val="20"/>
        </w:rPr>
        <w:t>%) ve</w:t>
      </w:r>
      <w:r>
        <w:rPr>
          <w:rFonts w:cs="Arial"/>
          <w:b/>
          <w:szCs w:val="20"/>
        </w:rPr>
        <w:t> </w:t>
      </w:r>
      <w:r w:rsidRPr="00F12B51">
        <w:rPr>
          <w:rFonts w:cs="Arial"/>
          <w:b/>
          <w:szCs w:val="20"/>
        </w:rPr>
        <w:t>věku 15</w:t>
      </w:r>
      <w:r>
        <w:rPr>
          <w:rFonts w:cs="Arial"/>
          <w:b/>
          <w:szCs w:val="20"/>
        </w:rPr>
        <w:t> </w:t>
      </w:r>
      <w:r w:rsidRPr="00F12B51">
        <w:rPr>
          <w:rFonts w:cs="Arial"/>
          <w:b/>
          <w:szCs w:val="20"/>
        </w:rPr>
        <w:t>a</w:t>
      </w:r>
      <w:r>
        <w:rPr>
          <w:rFonts w:cs="Arial"/>
          <w:b/>
          <w:szCs w:val="20"/>
        </w:rPr>
        <w:t> </w:t>
      </w:r>
      <w:r w:rsidRPr="00F12B51">
        <w:rPr>
          <w:rFonts w:cs="Arial"/>
          <w:b/>
          <w:szCs w:val="20"/>
        </w:rPr>
        <w:t>více</w:t>
      </w:r>
      <w:r>
        <w:rPr>
          <w:rFonts w:cs="Arial"/>
          <w:b/>
          <w:szCs w:val="20"/>
        </w:rPr>
        <w:t> </w:t>
      </w:r>
      <w:r w:rsidRPr="00F12B51">
        <w:rPr>
          <w:rFonts w:cs="Arial"/>
          <w:b/>
          <w:szCs w:val="20"/>
        </w:rPr>
        <w:t>let</w:t>
      </w:r>
      <w:r>
        <w:rPr>
          <w:rFonts w:cs="Arial"/>
          <w:szCs w:val="20"/>
        </w:rPr>
        <w:t xml:space="preserve"> (pro úplnost do kategorie mimo pracovní sílu patřilo i dalších 96 813 dívek mladších 15 let). Skupina mimo pracovní sílu zahrnuje zejména nepracující důchodkyně (131 021), nepracující žákyně a</w:t>
      </w:r>
      <w:r w:rsidR="001A39ED">
        <w:rPr>
          <w:rFonts w:cs="Arial"/>
          <w:szCs w:val="20"/>
        </w:rPr>
        <w:t> </w:t>
      </w:r>
      <w:r>
        <w:rPr>
          <w:rFonts w:cs="Arial"/>
          <w:szCs w:val="20"/>
        </w:rPr>
        <w:t>studentky</w:t>
      </w:r>
      <w:r w:rsidR="001A39ED">
        <w:rPr>
          <w:rFonts w:cs="Arial"/>
          <w:szCs w:val="20"/>
        </w:rPr>
        <w:t> </w:t>
      </w:r>
      <w:r>
        <w:rPr>
          <w:rFonts w:cs="Arial"/>
          <w:szCs w:val="20"/>
        </w:rPr>
        <w:t>(83 369)</w:t>
      </w:r>
      <w:r w:rsidR="001A39ED">
        <w:rPr>
          <w:rFonts w:cs="Arial"/>
          <w:szCs w:val="20"/>
        </w:rPr>
        <w:t> </w:t>
      </w:r>
      <w:r>
        <w:rPr>
          <w:rFonts w:cs="Arial"/>
          <w:szCs w:val="20"/>
        </w:rPr>
        <w:t>a ženy</w:t>
      </w:r>
      <w:r w:rsidR="001A39ED">
        <w:rPr>
          <w:rFonts w:cs="Arial"/>
          <w:szCs w:val="20"/>
        </w:rPr>
        <w:t> </w:t>
      </w:r>
      <w:r>
        <w:rPr>
          <w:rFonts w:cs="Arial"/>
          <w:szCs w:val="20"/>
        </w:rPr>
        <w:t>na rodičovské</w:t>
      </w:r>
      <w:r w:rsidR="001A39ED">
        <w:rPr>
          <w:rFonts w:cs="Arial"/>
          <w:szCs w:val="20"/>
        </w:rPr>
        <w:t> </w:t>
      </w:r>
      <w:r>
        <w:rPr>
          <w:rFonts w:cs="Arial"/>
          <w:szCs w:val="20"/>
        </w:rPr>
        <w:t>dovolené</w:t>
      </w:r>
      <w:r w:rsidR="001A39ED">
        <w:rPr>
          <w:rFonts w:cs="Arial"/>
          <w:szCs w:val="20"/>
        </w:rPr>
        <w:t> </w:t>
      </w:r>
      <w:r>
        <w:rPr>
          <w:rFonts w:cs="Arial"/>
          <w:szCs w:val="20"/>
        </w:rPr>
        <w:t>(23 698).</w:t>
      </w:r>
      <w:r>
        <w:rPr>
          <w:rFonts w:cs="Arial"/>
          <w:szCs w:val="20"/>
        </w:rPr>
        <w:br/>
        <w:t xml:space="preserve">Právě péče o děti a rodinu obecně je pro ženy v jejich pracovním uplatnění nejvíce limitujícím faktorem. Méně často než muže najdeme ženy ve vedoucích pozicích nebo mezi podnikatelkami. </w:t>
      </w:r>
      <w:r w:rsidRPr="00F12B51">
        <w:rPr>
          <w:rFonts w:cs="Arial"/>
          <w:b/>
          <w:szCs w:val="20"/>
        </w:rPr>
        <w:t>Pražské ženy ve</w:t>
      </w:r>
      <w:r>
        <w:rPr>
          <w:rFonts w:cs="Arial"/>
          <w:b/>
          <w:szCs w:val="20"/>
        </w:rPr>
        <w:t> </w:t>
      </w:r>
      <w:r w:rsidRPr="00F12B51">
        <w:rPr>
          <w:rFonts w:cs="Arial"/>
          <w:b/>
          <w:szCs w:val="20"/>
        </w:rPr>
        <w:t>věku 15</w:t>
      </w:r>
      <w:r>
        <w:rPr>
          <w:rFonts w:cs="Arial"/>
          <w:b/>
          <w:szCs w:val="20"/>
        </w:rPr>
        <w:t> </w:t>
      </w:r>
      <w:r w:rsidRPr="00F12B51">
        <w:rPr>
          <w:rFonts w:cs="Arial"/>
          <w:b/>
          <w:szCs w:val="20"/>
        </w:rPr>
        <w:t>a</w:t>
      </w:r>
      <w:r>
        <w:rPr>
          <w:rFonts w:cs="Arial"/>
          <w:b/>
          <w:szCs w:val="20"/>
        </w:rPr>
        <w:t> </w:t>
      </w:r>
      <w:r w:rsidRPr="00F12B51">
        <w:rPr>
          <w:rFonts w:cs="Arial"/>
          <w:b/>
          <w:szCs w:val="20"/>
        </w:rPr>
        <w:t>více</w:t>
      </w:r>
      <w:r>
        <w:rPr>
          <w:rFonts w:cs="Arial"/>
          <w:b/>
          <w:szCs w:val="20"/>
        </w:rPr>
        <w:t> </w:t>
      </w:r>
      <w:r w:rsidRPr="00F12B51">
        <w:rPr>
          <w:rFonts w:cs="Arial"/>
          <w:b/>
          <w:szCs w:val="20"/>
        </w:rPr>
        <w:t>let měly v</w:t>
      </w:r>
      <w:r>
        <w:rPr>
          <w:rFonts w:cs="Arial"/>
          <w:b/>
          <w:szCs w:val="20"/>
        </w:rPr>
        <w:t> </w:t>
      </w:r>
      <w:r w:rsidRPr="00F12B51">
        <w:rPr>
          <w:rFonts w:cs="Arial"/>
          <w:b/>
          <w:szCs w:val="20"/>
        </w:rPr>
        <w:t>průměru 1,2</w:t>
      </w:r>
      <w:r>
        <w:rPr>
          <w:rFonts w:cs="Arial"/>
          <w:b/>
          <w:szCs w:val="20"/>
        </w:rPr>
        <w:t> </w:t>
      </w:r>
      <w:r w:rsidRPr="00F12B51">
        <w:rPr>
          <w:rFonts w:cs="Arial"/>
          <w:b/>
          <w:szCs w:val="20"/>
        </w:rPr>
        <w:t>dítěte, ženy v</w:t>
      </w:r>
      <w:r>
        <w:rPr>
          <w:rFonts w:cs="Arial"/>
          <w:b/>
          <w:szCs w:val="20"/>
        </w:rPr>
        <w:t> </w:t>
      </w:r>
      <w:r w:rsidRPr="00F12B51">
        <w:rPr>
          <w:rFonts w:cs="Arial"/>
          <w:b/>
          <w:szCs w:val="20"/>
        </w:rPr>
        <w:t>celé Č</w:t>
      </w:r>
      <w:r>
        <w:rPr>
          <w:rFonts w:cs="Arial"/>
          <w:b/>
          <w:szCs w:val="20"/>
        </w:rPr>
        <w:t>eské republice</w:t>
      </w:r>
      <w:r w:rsidRPr="00F12B51">
        <w:rPr>
          <w:rFonts w:cs="Arial"/>
          <w:b/>
          <w:szCs w:val="20"/>
        </w:rPr>
        <w:t xml:space="preserve"> 1,6</w:t>
      </w:r>
      <w:r>
        <w:rPr>
          <w:rFonts w:cs="Arial"/>
          <w:b/>
          <w:szCs w:val="20"/>
        </w:rPr>
        <w:t> </w:t>
      </w:r>
      <w:r w:rsidRPr="00F12B51">
        <w:rPr>
          <w:rFonts w:cs="Arial"/>
          <w:b/>
          <w:szCs w:val="20"/>
        </w:rPr>
        <w:t>dítěte</w:t>
      </w:r>
      <w:r>
        <w:rPr>
          <w:rFonts w:cs="Arial"/>
          <w:szCs w:val="20"/>
        </w:rPr>
        <w:t xml:space="preserve"> (započítány jsou všechny živě narozené děti). Nejvíce dětí připadalo v průměru na ženy v postavení zaměstnavatelky (Praha 1,6 dítěte, ČR 1,8 dítěte). Průměrný počet dětí u zaměstnankyň a</w:t>
      </w:r>
      <w:r>
        <w:rPr>
          <w:rFonts w:cs="Arial" w:hint="eastAsia"/>
          <w:szCs w:val="20"/>
        </w:rPr>
        <w:t> </w:t>
      </w:r>
      <w:r>
        <w:rPr>
          <w:rFonts w:cs="Arial"/>
          <w:szCs w:val="20"/>
        </w:rPr>
        <w:t xml:space="preserve">žen pracujících na vlastní účet se prakticky nelišil (1,1 a 1,2 dítěte v Praze a 1,5 dítěte v ČR). Zaměstnané ženy se zjištěným počtem živě narozených dětí v Praze byly nejčastěji bezdětné (38 %), třetina žen měla dvě děti a 21,8 % jedno dítě. V České republice jako celku tvořily největší skupinu zaměstnaných </w:t>
      </w:r>
      <w:r w:rsidR="00C053C8">
        <w:rPr>
          <w:rFonts w:cs="Arial"/>
          <w:szCs w:val="20"/>
        </w:rPr>
        <w:t>žen</w:t>
      </w:r>
      <w:r>
        <w:rPr>
          <w:rFonts w:cs="Arial"/>
          <w:szCs w:val="20"/>
        </w:rPr>
        <w:t xml:space="preserve"> </w:t>
      </w:r>
      <w:r w:rsidR="00C053C8">
        <w:rPr>
          <w:rFonts w:cs="Arial"/>
          <w:szCs w:val="20"/>
        </w:rPr>
        <w:t>ty</w:t>
      </w:r>
      <w:r>
        <w:rPr>
          <w:rFonts w:cs="Arial"/>
          <w:szCs w:val="20"/>
        </w:rPr>
        <w:t xml:space="preserve"> se dvěma dětmi (43,5 %), přibližně čtvrtina žen byla bezdětná a téměř pětina měla jedno dítě. Pouze 6,2 % z pražských zaměstnaných žen mělo děti tři a zanedbatelných 1,1 % čtyři a více dětí. V České republice byly případy zaměstnaných žen s</w:t>
      </w:r>
      <w:r w:rsidR="00496CA7">
        <w:rPr>
          <w:rFonts w:cs="Arial"/>
          <w:szCs w:val="20"/>
        </w:rPr>
        <w:t> </w:t>
      </w:r>
      <w:r>
        <w:rPr>
          <w:rFonts w:cs="Arial"/>
          <w:szCs w:val="20"/>
        </w:rPr>
        <w:t>více</w:t>
      </w:r>
      <w:r w:rsidR="00496CA7">
        <w:rPr>
          <w:rFonts w:cs="Arial"/>
          <w:szCs w:val="20"/>
        </w:rPr>
        <w:t> </w:t>
      </w:r>
      <w:r>
        <w:rPr>
          <w:rFonts w:cs="Arial"/>
          <w:szCs w:val="20"/>
        </w:rPr>
        <w:t>dětmi</w:t>
      </w:r>
      <w:r w:rsidR="00496CA7">
        <w:rPr>
          <w:rFonts w:cs="Arial"/>
          <w:szCs w:val="20"/>
        </w:rPr>
        <w:t> </w:t>
      </w:r>
      <w:r>
        <w:rPr>
          <w:rFonts w:cs="Arial"/>
          <w:szCs w:val="20"/>
        </w:rPr>
        <w:t>častější</w:t>
      </w:r>
      <w:r w:rsidR="00496CA7">
        <w:rPr>
          <w:rFonts w:cs="Arial"/>
          <w:szCs w:val="20"/>
        </w:rPr>
        <w:t> </w:t>
      </w:r>
      <w:r>
        <w:rPr>
          <w:rFonts w:cs="Arial"/>
          <w:szCs w:val="20"/>
        </w:rPr>
        <w:t>–</w:t>
      </w:r>
      <w:r w:rsidR="00496CA7">
        <w:rPr>
          <w:rFonts w:cs="Arial"/>
          <w:szCs w:val="20"/>
        </w:rPr>
        <w:t> </w:t>
      </w:r>
      <w:r>
        <w:rPr>
          <w:rFonts w:cs="Arial"/>
          <w:szCs w:val="20"/>
        </w:rPr>
        <w:t>tři</w:t>
      </w:r>
      <w:r w:rsidR="00496CA7">
        <w:rPr>
          <w:rFonts w:cs="Arial"/>
          <w:szCs w:val="20"/>
        </w:rPr>
        <w:t> </w:t>
      </w:r>
      <w:r>
        <w:rPr>
          <w:rFonts w:cs="Arial"/>
          <w:szCs w:val="20"/>
        </w:rPr>
        <w:t>děti</w:t>
      </w:r>
      <w:r w:rsidR="00496CA7">
        <w:rPr>
          <w:rFonts w:cs="Arial"/>
          <w:szCs w:val="20"/>
        </w:rPr>
        <w:t> </w:t>
      </w:r>
      <w:r>
        <w:rPr>
          <w:rFonts w:cs="Arial"/>
          <w:szCs w:val="20"/>
        </w:rPr>
        <w:t>mělo</w:t>
      </w:r>
      <w:r w:rsidR="00496CA7">
        <w:rPr>
          <w:rFonts w:cs="Arial"/>
          <w:szCs w:val="20"/>
        </w:rPr>
        <w:t> </w:t>
      </w:r>
      <w:r>
        <w:rPr>
          <w:rFonts w:cs="Arial"/>
          <w:szCs w:val="20"/>
        </w:rPr>
        <w:t>9,9 %</w:t>
      </w:r>
      <w:r w:rsidR="00496CA7">
        <w:rPr>
          <w:rFonts w:cs="Arial"/>
          <w:szCs w:val="20"/>
        </w:rPr>
        <w:t> </w:t>
      </w:r>
      <w:r>
        <w:rPr>
          <w:rFonts w:cs="Arial"/>
          <w:szCs w:val="20"/>
        </w:rPr>
        <w:t>z</w:t>
      </w:r>
      <w:r w:rsidR="00496CA7">
        <w:rPr>
          <w:rFonts w:cs="Arial"/>
          <w:szCs w:val="20"/>
        </w:rPr>
        <w:t> </w:t>
      </w:r>
      <w:r>
        <w:rPr>
          <w:rFonts w:cs="Arial"/>
          <w:szCs w:val="20"/>
        </w:rPr>
        <w:t>nich</w:t>
      </w:r>
      <w:r w:rsidR="00496CA7">
        <w:rPr>
          <w:rFonts w:cs="Arial"/>
          <w:szCs w:val="20"/>
        </w:rPr>
        <w:t> </w:t>
      </w:r>
      <w:r>
        <w:rPr>
          <w:rFonts w:cs="Arial"/>
          <w:szCs w:val="20"/>
        </w:rPr>
        <w:t>a čtyři a více</w:t>
      </w:r>
      <w:r w:rsidR="00496CA7">
        <w:rPr>
          <w:rFonts w:cs="Arial"/>
          <w:szCs w:val="20"/>
        </w:rPr>
        <w:t> </w:t>
      </w:r>
      <w:r>
        <w:rPr>
          <w:rFonts w:cs="Arial"/>
          <w:szCs w:val="20"/>
        </w:rPr>
        <w:t>dětí</w:t>
      </w:r>
      <w:r w:rsidR="00496CA7">
        <w:rPr>
          <w:rFonts w:cs="Arial"/>
          <w:szCs w:val="20"/>
        </w:rPr>
        <w:t> </w:t>
      </w:r>
      <w:r>
        <w:rPr>
          <w:rFonts w:cs="Arial"/>
          <w:szCs w:val="20"/>
        </w:rPr>
        <w:t>2,2 % žen.</w:t>
      </w:r>
      <w:r>
        <w:rPr>
          <w:rFonts w:cs="Arial"/>
          <w:szCs w:val="20"/>
        </w:rPr>
        <w:br/>
        <w:t>Z  jednotlivých skupin zaměstnaných žen vybočovaly v Praze i České republice jako celku pouze zaměstnavatelky, které měly více dětí než ostatní skupiny. V Praze prakticky polovina z nich měla děti dvě, 27,7 % jedno dítě a 9,6 % tři děti, v České republice dokonce 54,9 % mělo dvě děti a 12,4 % děti tři. Jenom 11,6 %</w:t>
      </w:r>
      <w:r w:rsidR="001A39ED">
        <w:rPr>
          <w:rFonts w:cs="Arial"/>
          <w:szCs w:val="20"/>
        </w:rPr>
        <w:t> </w:t>
      </w:r>
      <w:r>
        <w:rPr>
          <w:rFonts w:cs="Arial"/>
          <w:szCs w:val="20"/>
        </w:rPr>
        <w:t>zaměstnavatelek</w:t>
      </w:r>
      <w:r w:rsidR="001A39ED">
        <w:rPr>
          <w:rFonts w:cs="Arial"/>
          <w:szCs w:val="20"/>
        </w:rPr>
        <w:t> </w:t>
      </w:r>
      <w:r>
        <w:rPr>
          <w:rFonts w:cs="Arial"/>
          <w:szCs w:val="20"/>
        </w:rPr>
        <w:t>v</w:t>
      </w:r>
      <w:r w:rsidR="001A39ED">
        <w:rPr>
          <w:rFonts w:cs="Arial"/>
          <w:szCs w:val="20"/>
        </w:rPr>
        <w:t> </w:t>
      </w:r>
      <w:r>
        <w:rPr>
          <w:rFonts w:cs="Arial"/>
          <w:szCs w:val="20"/>
        </w:rPr>
        <w:t>Praze</w:t>
      </w:r>
      <w:r w:rsidR="001A39ED">
        <w:rPr>
          <w:rFonts w:cs="Arial"/>
          <w:szCs w:val="20"/>
        </w:rPr>
        <w:t> </w:t>
      </w:r>
      <w:r>
        <w:rPr>
          <w:rFonts w:cs="Arial"/>
          <w:szCs w:val="20"/>
        </w:rPr>
        <w:t>a 8,6 %</w:t>
      </w:r>
      <w:r w:rsidR="001A39ED">
        <w:rPr>
          <w:rFonts w:cs="Arial"/>
          <w:szCs w:val="20"/>
        </w:rPr>
        <w:t> </w:t>
      </w:r>
      <w:r>
        <w:rPr>
          <w:rFonts w:cs="Arial"/>
          <w:szCs w:val="20"/>
        </w:rPr>
        <w:t>v</w:t>
      </w:r>
      <w:r w:rsidR="001A39ED">
        <w:rPr>
          <w:rFonts w:cs="Arial"/>
          <w:szCs w:val="20"/>
        </w:rPr>
        <w:t> </w:t>
      </w:r>
      <w:r>
        <w:rPr>
          <w:rFonts w:cs="Arial"/>
          <w:szCs w:val="20"/>
        </w:rPr>
        <w:t>ČR</w:t>
      </w:r>
      <w:r w:rsidR="001A39ED">
        <w:rPr>
          <w:rFonts w:cs="Arial"/>
          <w:szCs w:val="20"/>
        </w:rPr>
        <w:t> </w:t>
      </w:r>
      <w:r>
        <w:rPr>
          <w:rFonts w:cs="Arial"/>
          <w:szCs w:val="20"/>
        </w:rPr>
        <w:t>představovaly</w:t>
      </w:r>
      <w:r w:rsidR="001A39ED">
        <w:rPr>
          <w:rFonts w:cs="Arial"/>
          <w:szCs w:val="20"/>
        </w:rPr>
        <w:t> </w:t>
      </w:r>
      <w:r>
        <w:rPr>
          <w:rFonts w:cs="Arial"/>
          <w:szCs w:val="20"/>
        </w:rPr>
        <w:t>ženy</w:t>
      </w:r>
      <w:r w:rsidR="001A39ED">
        <w:rPr>
          <w:rFonts w:cs="Arial"/>
          <w:szCs w:val="20"/>
        </w:rPr>
        <w:t> </w:t>
      </w:r>
      <w:r>
        <w:rPr>
          <w:rFonts w:cs="Arial"/>
          <w:szCs w:val="20"/>
        </w:rPr>
        <w:t>bezdětné.</w:t>
      </w:r>
      <w:r>
        <w:rPr>
          <w:rFonts w:cs="Arial"/>
          <w:szCs w:val="20"/>
        </w:rPr>
        <w:br/>
        <w:t xml:space="preserve">Ve skupině nezaměstnaných žen byl v porovnání s jednotlivými kategoriemi zaměstnaných nejvyšší podíl bezdětných žen (Praha 39,9 %, ČR 27,9 %) i žen se čtyřmi a více dětmi (Praha 2,8 %, ČR 7,5 %). </w:t>
      </w:r>
    </w:p>
    <w:p w14:paraId="2ADF9CFC" w14:textId="77777777" w:rsidR="004179D7" w:rsidRDefault="004179D7" w:rsidP="00C138AF">
      <w:pPr>
        <w:jc w:val="both"/>
        <w:rPr>
          <w:rFonts w:cs="Arial"/>
          <w:szCs w:val="20"/>
        </w:rPr>
      </w:pPr>
      <w:r w:rsidRPr="00F12B51">
        <w:rPr>
          <w:rFonts w:cs="Arial"/>
          <w:b/>
          <w:szCs w:val="20"/>
        </w:rPr>
        <w:t>Míra ekonomické aktivity žen</w:t>
      </w:r>
      <w:r>
        <w:rPr>
          <w:rFonts w:cs="Arial"/>
          <w:szCs w:val="20"/>
        </w:rPr>
        <w:t xml:space="preserve"> byla výrazně ovlivněna počtem živě narozených dětí. </w:t>
      </w:r>
      <w:r w:rsidRPr="00F12B51">
        <w:rPr>
          <w:rFonts w:cs="Arial"/>
          <w:b/>
          <w:szCs w:val="20"/>
        </w:rPr>
        <w:t>S</w:t>
      </w:r>
      <w:r>
        <w:rPr>
          <w:rFonts w:cs="Arial"/>
          <w:b/>
          <w:szCs w:val="20"/>
        </w:rPr>
        <w:t> </w:t>
      </w:r>
      <w:r w:rsidRPr="00F12B51">
        <w:rPr>
          <w:rFonts w:cs="Arial"/>
          <w:b/>
          <w:szCs w:val="20"/>
        </w:rPr>
        <w:t>rostoucím počtem živě narozených dětí klesala.</w:t>
      </w:r>
      <w:r>
        <w:rPr>
          <w:rFonts w:cs="Arial"/>
          <w:szCs w:val="20"/>
        </w:rPr>
        <w:t xml:space="preserve"> Nejvyšší míru ekonomické aktivity měly v Praze ženy bezdětné (74,6 %). U žen s jedním dítětem už byla míra ekonomické aktivity pouze 61,8 %, rozdíl mezi ženami se dvěma (59,6 %) a se třemi dětmi (59 %) byl zcela bezvýznamný. U žen se čtyřmi a více dětmi dosáhla míra ekonomické aktivity pouze na 55,4 %. Rovněž v České republice platilo, že čím více dětí ženy měly, tím nižší byla jejich míra ekonomické aktivity – od 63,5 % u žen bezdětných po 42,4 % u žen se čtyřmi a více dětmi. </w:t>
      </w:r>
    </w:p>
    <w:p w14:paraId="5F963D9F" w14:textId="530C27C7" w:rsidR="004179D7" w:rsidRDefault="004179D7" w:rsidP="004179D7">
      <w:pPr>
        <w:rPr>
          <w:rFonts w:cs="Arial"/>
          <w:szCs w:val="20"/>
        </w:rPr>
      </w:pPr>
      <w:r w:rsidRPr="00F12B51">
        <w:rPr>
          <w:rFonts w:cs="Arial"/>
          <w:b/>
          <w:szCs w:val="20"/>
        </w:rPr>
        <w:t xml:space="preserve">Graf </w:t>
      </w:r>
      <w:r w:rsidR="00515C26">
        <w:rPr>
          <w:rFonts w:cs="Arial"/>
          <w:b/>
          <w:szCs w:val="20"/>
        </w:rPr>
        <w:t>4.</w:t>
      </w:r>
      <w:r w:rsidR="00DA5C0D">
        <w:rPr>
          <w:rFonts w:cs="Arial"/>
          <w:b/>
          <w:szCs w:val="20"/>
        </w:rPr>
        <w:t>11</w:t>
      </w:r>
      <w:r w:rsidRPr="00F12B51">
        <w:rPr>
          <w:rFonts w:cs="Arial"/>
          <w:b/>
          <w:szCs w:val="20"/>
        </w:rPr>
        <w:t xml:space="preserve"> Míra ekonomické aktivity žen podle věku a počtu živě narozených dětí v hl. m. Praze</w:t>
      </w:r>
      <w:r w:rsidRPr="007E5368">
        <w:rPr>
          <w:rFonts w:cs="Arial"/>
          <w:szCs w:val="20"/>
        </w:rPr>
        <w:t xml:space="preserve"> </w:t>
      </w:r>
      <w:r w:rsidR="00937693">
        <w:rPr>
          <w:rFonts w:cs="Arial"/>
          <w:szCs w:val="20"/>
        </w:rPr>
        <w:br/>
      </w:r>
      <w:r w:rsidRPr="007E5368">
        <w:rPr>
          <w:rFonts w:cs="Arial"/>
          <w:szCs w:val="20"/>
        </w:rPr>
        <w:t>(ze zjištěných hodnot)</w:t>
      </w:r>
    </w:p>
    <w:p w14:paraId="21C6F7F2" w14:textId="77777777" w:rsidR="004179D7" w:rsidRDefault="004179D7" w:rsidP="004179D7">
      <w:pPr>
        <w:rPr>
          <w:rFonts w:cs="Arial"/>
          <w:szCs w:val="20"/>
        </w:rPr>
      </w:pPr>
      <w:r w:rsidRPr="007E5368">
        <w:rPr>
          <w:rFonts w:cs="Arial"/>
          <w:noProof/>
          <w:szCs w:val="20"/>
        </w:rPr>
        <w:drawing>
          <wp:inline distT="0" distB="0" distL="0" distR="0" wp14:anchorId="1CD7E902" wp14:editId="2212B7A3">
            <wp:extent cx="5760720" cy="2586329"/>
            <wp:effectExtent l="0" t="0" r="0" b="508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586329"/>
                    </a:xfrm>
                    <a:prstGeom prst="rect">
                      <a:avLst/>
                    </a:prstGeom>
                    <a:noFill/>
                    <a:ln>
                      <a:noFill/>
                    </a:ln>
                  </pic:spPr>
                </pic:pic>
              </a:graphicData>
            </a:graphic>
          </wp:inline>
        </w:drawing>
      </w:r>
    </w:p>
    <w:p w14:paraId="6922CA11" w14:textId="5AAE6D4C" w:rsidR="00C550AC" w:rsidRDefault="004179D7" w:rsidP="004D539C">
      <w:r>
        <w:rPr>
          <w:rFonts w:cs="Arial"/>
          <w:szCs w:val="20"/>
        </w:rPr>
        <w:t xml:space="preserve">Míra ekonomické aktivity podle počtu živě narozených dětí byla v Praze nejvyšší ve skupině 45-49 let (93,9 %) a 50-59 let (92,5 %). V jednotlivých pětiletých věkových skupinách až do 44 let byla míra ekonomické aktivity nejvyšší u žen bezdětných. </w:t>
      </w:r>
      <w:r w:rsidR="00C053C8">
        <w:rPr>
          <w:rFonts w:cs="Arial"/>
          <w:szCs w:val="20"/>
        </w:rPr>
        <w:t> U žen ve věku</w:t>
      </w:r>
      <w:r>
        <w:rPr>
          <w:rFonts w:cs="Arial"/>
          <w:szCs w:val="20"/>
        </w:rPr>
        <w:t xml:space="preserve"> 25 až 39 let platilo, že s rostoucím počtem dětí klesá míra ekonomické aktivity. U velmi mladých žen mezi 15 až 24 lety byla míra ekonomické aktivity žen se třemi a více dětmi vyšší než u žen se dvěma (o 8,7 p. b.) nebo jedním dítětem (o 2,9 p. b.).</w:t>
      </w:r>
    </w:p>
    <w:sectPr w:rsidR="00C550AC" w:rsidSect="006F5416">
      <w:headerReference w:type="even" r:id="rId37"/>
      <w:headerReference w:type="default" r:id="rId38"/>
      <w:footerReference w:type="even" r:id="rId39"/>
      <w:footerReference w:type="default" r:id="rId40"/>
      <w:pgSz w:w="11906" w:h="16838" w:code="9"/>
      <w:pgMar w:top="1134" w:right="1134" w:bottom="1418"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7E91FD" w14:textId="77777777" w:rsidR="008674F7" w:rsidRDefault="008674F7" w:rsidP="00E71A58">
      <w:r>
        <w:separator/>
      </w:r>
    </w:p>
  </w:endnote>
  <w:endnote w:type="continuationSeparator" w:id="0">
    <w:p w14:paraId="46EFCE56" w14:textId="77777777" w:rsidR="008674F7" w:rsidRDefault="008674F7"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60000287" w:usb1="00000001" w:usb2="00000000" w:usb3="00000000" w:csb0="0000019F" w:csb1="00000000"/>
  </w:font>
  <w:font w:name="Nirmala UI">
    <w:panose1 w:val="020B0502040204020203"/>
    <w:charset w:val="00"/>
    <w:family w:val="swiss"/>
    <w:pitch w:val="variable"/>
    <w:sig w:usb0="80FF8023" w:usb1="0200004A" w:usb2="000002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78D17" w14:textId="5DA81E81" w:rsidR="004D7D1F" w:rsidRPr="00932443" w:rsidRDefault="004D7D1F" w:rsidP="00A418BC">
    <w:pPr>
      <w:pStyle w:val="Zpat"/>
      <w:rPr>
        <w:szCs w:val="16"/>
      </w:rPr>
    </w:pPr>
    <w:r>
      <w:rPr>
        <w:szCs w:val="16"/>
        <w:lang w:eastAsia="cs-CZ"/>
      </w:rPr>
      <w:drawing>
        <wp:anchor distT="0" distB="0" distL="114300" distR="114300" simplePos="0" relativeHeight="251658240" behindDoc="0" locked="0" layoutInCell="1" allowOverlap="1" wp14:anchorId="25E8974A" wp14:editId="6700A5A8">
          <wp:simplePos x="0" y="0"/>
          <wp:positionH relativeFrom="column">
            <wp:align>right</wp:align>
          </wp:positionH>
          <wp:positionV relativeFrom="paragraph">
            <wp:posOffset>-64770</wp:posOffset>
          </wp:positionV>
          <wp:extent cx="428625" cy="201295"/>
          <wp:effectExtent l="0" t="0" r="3175" b="1905"/>
          <wp:wrapNone/>
          <wp:docPr id="11"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fldChar w:fldCharType="begin"/>
    </w:r>
    <w:r w:rsidRPr="00932443">
      <w:rPr>
        <w:szCs w:val="16"/>
      </w:rPr>
      <w:instrText>PAGE   \* MERGEFORMAT</w:instrText>
    </w:r>
    <w:r w:rsidRPr="00932443">
      <w:rPr>
        <w:szCs w:val="16"/>
      </w:rPr>
      <w:fldChar w:fldCharType="separate"/>
    </w:r>
    <w:r w:rsidR="00C50E3D">
      <w:rPr>
        <w:szCs w:val="16"/>
      </w:rPr>
      <w:t>20</w:t>
    </w:r>
    <w:r w:rsidRPr="00932443">
      <w:rPr>
        <w:szCs w:val="16"/>
      </w:rPr>
      <w:fldChar w:fldCharType="end"/>
    </w:r>
    <w:r w:rsidRPr="00932443">
      <w:rPr>
        <w:szCs w:val="16"/>
      </w:rPr>
      <w:tab/>
    </w:r>
    <w:r>
      <w:rPr>
        <w:szCs w:val="16"/>
      </w:rPr>
      <w:t>2021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06297" w14:textId="2F1CA65C" w:rsidR="004D7D1F" w:rsidRPr="00932443" w:rsidRDefault="004D7D1F" w:rsidP="00A418BC">
    <w:pPr>
      <w:pStyle w:val="Zpat"/>
      <w:rPr>
        <w:szCs w:val="16"/>
      </w:rPr>
    </w:pPr>
    <w:r>
      <w:rPr>
        <w:szCs w:val="16"/>
        <w:lang w:eastAsia="cs-CZ"/>
      </w:rPr>
      <w:drawing>
        <wp:anchor distT="0" distB="0" distL="114300" distR="114300" simplePos="0" relativeHeight="251657216" behindDoc="0" locked="0" layoutInCell="1" allowOverlap="1" wp14:anchorId="1EE00B94" wp14:editId="1428F5AD">
          <wp:simplePos x="0" y="0"/>
          <wp:positionH relativeFrom="column">
            <wp:align>left</wp:align>
          </wp:positionH>
          <wp:positionV relativeFrom="paragraph">
            <wp:posOffset>-122555</wp:posOffset>
          </wp:positionV>
          <wp:extent cx="510540" cy="272415"/>
          <wp:effectExtent l="0" t="0" r="0" b="6985"/>
          <wp:wrapNone/>
          <wp:docPr id="10"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tab/>
    </w:r>
    <w:r>
      <w:rPr>
        <w:rStyle w:val="ZpatChar"/>
        <w:szCs w:val="16"/>
      </w:rPr>
      <w:t>2021</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8674F7">
      <w:rPr>
        <w:rStyle w:val="ZpatChar"/>
        <w:szCs w:val="16"/>
      </w:rPr>
      <w:t>1</w:t>
    </w:r>
    <w:r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F5CB1" w14:textId="77777777" w:rsidR="008674F7" w:rsidRDefault="008674F7" w:rsidP="00E71A58">
      <w:r>
        <w:separator/>
      </w:r>
    </w:p>
  </w:footnote>
  <w:footnote w:type="continuationSeparator" w:id="0">
    <w:p w14:paraId="402E0B70" w14:textId="77777777" w:rsidR="008674F7" w:rsidRDefault="008674F7" w:rsidP="00E71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3F635" w14:textId="77777777" w:rsidR="004D7D1F" w:rsidRPr="005768B2" w:rsidRDefault="004D7D1F" w:rsidP="00F3661B">
    <w:pPr>
      <w:rPr>
        <w:sz w:val="16"/>
        <w:szCs w:val="16"/>
      </w:rPr>
    </w:pPr>
    <w:r w:rsidRPr="005768B2">
      <w:rPr>
        <w:sz w:val="16"/>
        <w:szCs w:val="16"/>
      </w:rPr>
      <w:t xml:space="preserve">Sčítání lidu, domů a bytů </w:t>
    </w:r>
    <w:r>
      <w:rPr>
        <w:sz w:val="16"/>
        <w:szCs w:val="16"/>
      </w:rPr>
      <w:t>–</w:t>
    </w:r>
    <w:r w:rsidRPr="005768B2">
      <w:rPr>
        <w:sz w:val="16"/>
        <w:szCs w:val="16"/>
      </w:rPr>
      <w:t xml:space="preserve"> </w:t>
    </w:r>
    <w:r>
      <w:rPr>
        <w:sz w:val="16"/>
        <w:szCs w:val="16"/>
      </w:rPr>
      <w:t>hl. m. Praha</w:t>
    </w:r>
    <w:r w:rsidRPr="005768B2">
      <w:rPr>
        <w:sz w:val="16"/>
        <w:szCs w:val="16"/>
      </w:rPr>
      <w:t xml:space="preserve"> - analýza výsledků - 2021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14A1A" w14:textId="77777777" w:rsidR="004D7D1F" w:rsidRPr="00EA1787" w:rsidRDefault="004D7D1F" w:rsidP="00EA1787">
    <w:pPr>
      <w:pStyle w:val="Zhlav"/>
    </w:pPr>
    <w:r w:rsidRPr="00F3661B">
      <w:t xml:space="preserve">Sčítání lidu, domů a bytů </w:t>
    </w:r>
    <w:r>
      <w:t>–</w:t>
    </w:r>
    <w:r w:rsidRPr="00F3661B">
      <w:t xml:space="preserve"> </w:t>
    </w:r>
    <w:r>
      <w:t>hl. m. Praha</w:t>
    </w:r>
    <w:r w:rsidRPr="00F3661B">
      <w:t xml:space="preserve"> - analýza výsledků - 2021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4pt;height:11.4pt" o:bullet="t">
        <v:imagedata r:id="rId1" o:title="msoFAAF"/>
      </v:shape>
    </w:pict>
  </w:numPicBullet>
  <w:abstractNum w:abstractNumId="0" w15:restartNumberingAfterBreak="0">
    <w:nsid w:val="FFFFFF7C"/>
    <w:multiLevelType w:val="singleLevel"/>
    <w:tmpl w:val="49CEEC48"/>
    <w:lvl w:ilvl="0">
      <w:start w:val="1"/>
      <w:numFmt w:val="decimal"/>
      <w:lvlText w:val="%1."/>
      <w:lvlJc w:val="left"/>
      <w:pPr>
        <w:tabs>
          <w:tab w:val="num" w:pos="5745"/>
        </w:tabs>
        <w:ind w:left="5745" w:hanging="360"/>
      </w:pPr>
    </w:lvl>
  </w:abstractNum>
  <w:abstractNum w:abstractNumId="1" w15:restartNumberingAfterBreak="0">
    <w:nsid w:val="FFFFFF7D"/>
    <w:multiLevelType w:val="singleLevel"/>
    <w:tmpl w:val="FEC69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A1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62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C8E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F607B6"/>
    <w:multiLevelType w:val="multilevel"/>
    <w:tmpl w:val="5F14163C"/>
    <w:lvl w:ilvl="0">
      <w:start w:val="1"/>
      <w:numFmt w:val="decimal"/>
      <w:pStyle w:val="Nadpis1"/>
      <w:lvlText w:val="%1."/>
      <w:lvlJc w:val="left"/>
      <w:pPr>
        <w:ind w:left="340" w:hanging="340"/>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1" w15:restartNumberingAfterBreak="0">
    <w:nsid w:val="21847027"/>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7F64EF6"/>
    <w:multiLevelType w:val="hybridMultilevel"/>
    <w:tmpl w:val="D42C4130"/>
    <w:lvl w:ilvl="0" w:tplc="9990CEB4">
      <w:start w:val="1"/>
      <w:numFmt w:val="bullet"/>
      <w:lvlText w:val="o"/>
      <w:lvlJc w:val="left"/>
      <w:pPr>
        <w:tabs>
          <w:tab w:val="num" w:pos="2144"/>
        </w:tabs>
        <w:ind w:left="2144" w:hanging="360"/>
      </w:pPr>
      <w:rPr>
        <w:rFonts w:ascii="Courier New" w:hAnsi="Courier New" w:hint="default"/>
      </w:rPr>
    </w:lvl>
    <w:lvl w:ilvl="1" w:tplc="04050003" w:tentative="1">
      <w:start w:val="1"/>
      <w:numFmt w:val="bullet"/>
      <w:lvlText w:val="o"/>
      <w:lvlJc w:val="left"/>
      <w:pPr>
        <w:tabs>
          <w:tab w:val="num" w:pos="2864"/>
        </w:tabs>
        <w:ind w:left="2864" w:hanging="360"/>
      </w:pPr>
      <w:rPr>
        <w:rFonts w:ascii="Courier New" w:hAnsi="Courier New" w:hint="default"/>
      </w:rPr>
    </w:lvl>
    <w:lvl w:ilvl="2" w:tplc="04050005" w:tentative="1">
      <w:start w:val="1"/>
      <w:numFmt w:val="bullet"/>
      <w:lvlText w:val=""/>
      <w:lvlJc w:val="left"/>
      <w:pPr>
        <w:tabs>
          <w:tab w:val="num" w:pos="3584"/>
        </w:tabs>
        <w:ind w:left="3584" w:hanging="360"/>
      </w:pPr>
      <w:rPr>
        <w:rFonts w:ascii="Wingdings" w:hAnsi="Wingdings" w:hint="default"/>
      </w:rPr>
    </w:lvl>
    <w:lvl w:ilvl="3" w:tplc="04050001" w:tentative="1">
      <w:start w:val="1"/>
      <w:numFmt w:val="bullet"/>
      <w:lvlText w:val=""/>
      <w:lvlJc w:val="left"/>
      <w:pPr>
        <w:tabs>
          <w:tab w:val="num" w:pos="4304"/>
        </w:tabs>
        <w:ind w:left="4304" w:hanging="360"/>
      </w:pPr>
      <w:rPr>
        <w:rFonts w:ascii="Symbol" w:hAnsi="Symbol" w:hint="default"/>
      </w:rPr>
    </w:lvl>
    <w:lvl w:ilvl="4" w:tplc="04050003" w:tentative="1">
      <w:start w:val="1"/>
      <w:numFmt w:val="bullet"/>
      <w:lvlText w:val="o"/>
      <w:lvlJc w:val="left"/>
      <w:pPr>
        <w:tabs>
          <w:tab w:val="num" w:pos="5024"/>
        </w:tabs>
        <w:ind w:left="5024" w:hanging="360"/>
      </w:pPr>
      <w:rPr>
        <w:rFonts w:ascii="Courier New" w:hAnsi="Courier New" w:hint="default"/>
      </w:rPr>
    </w:lvl>
    <w:lvl w:ilvl="5" w:tplc="04050005" w:tentative="1">
      <w:start w:val="1"/>
      <w:numFmt w:val="bullet"/>
      <w:lvlText w:val=""/>
      <w:lvlJc w:val="left"/>
      <w:pPr>
        <w:tabs>
          <w:tab w:val="num" w:pos="5744"/>
        </w:tabs>
        <w:ind w:left="5744" w:hanging="360"/>
      </w:pPr>
      <w:rPr>
        <w:rFonts w:ascii="Wingdings" w:hAnsi="Wingdings" w:hint="default"/>
      </w:rPr>
    </w:lvl>
    <w:lvl w:ilvl="6" w:tplc="04050001" w:tentative="1">
      <w:start w:val="1"/>
      <w:numFmt w:val="bullet"/>
      <w:lvlText w:val=""/>
      <w:lvlJc w:val="left"/>
      <w:pPr>
        <w:tabs>
          <w:tab w:val="num" w:pos="6464"/>
        </w:tabs>
        <w:ind w:left="6464" w:hanging="360"/>
      </w:pPr>
      <w:rPr>
        <w:rFonts w:ascii="Symbol" w:hAnsi="Symbol" w:hint="default"/>
      </w:rPr>
    </w:lvl>
    <w:lvl w:ilvl="7" w:tplc="04050003" w:tentative="1">
      <w:start w:val="1"/>
      <w:numFmt w:val="bullet"/>
      <w:lvlText w:val="o"/>
      <w:lvlJc w:val="left"/>
      <w:pPr>
        <w:tabs>
          <w:tab w:val="num" w:pos="7184"/>
        </w:tabs>
        <w:ind w:left="7184" w:hanging="360"/>
      </w:pPr>
      <w:rPr>
        <w:rFonts w:ascii="Courier New" w:hAnsi="Courier New" w:hint="default"/>
      </w:rPr>
    </w:lvl>
    <w:lvl w:ilvl="8" w:tplc="04050005" w:tentative="1">
      <w:start w:val="1"/>
      <w:numFmt w:val="bullet"/>
      <w:lvlText w:val=""/>
      <w:lvlJc w:val="left"/>
      <w:pPr>
        <w:tabs>
          <w:tab w:val="num" w:pos="7904"/>
        </w:tabs>
        <w:ind w:left="7904" w:hanging="360"/>
      </w:pPr>
      <w:rPr>
        <w:rFonts w:ascii="Wingdings" w:hAnsi="Wingdings" w:hint="default"/>
      </w:rPr>
    </w:lvl>
  </w:abstractNum>
  <w:abstractNum w:abstractNumId="14" w15:restartNumberingAfterBreak="0">
    <w:nsid w:val="48384A27"/>
    <w:multiLevelType w:val="hybridMultilevel"/>
    <w:tmpl w:val="1050503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5805376"/>
    <w:multiLevelType w:val="hybridMultilevel"/>
    <w:tmpl w:val="3AE02706"/>
    <w:lvl w:ilvl="0" w:tplc="04050003">
      <w:start w:val="1"/>
      <w:numFmt w:val="bullet"/>
      <w:lvlText w:val="o"/>
      <w:lvlJc w:val="left"/>
      <w:pPr>
        <w:tabs>
          <w:tab w:val="num" w:pos="1800"/>
        </w:tabs>
        <w:ind w:left="180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544463"/>
    <w:multiLevelType w:val="multilevel"/>
    <w:tmpl w:val="14B4B8BC"/>
    <w:lvl w:ilvl="0">
      <w:start w:val="1"/>
      <w:numFmt w:val="decimal"/>
      <w:suff w:val="space"/>
      <w:lvlText w:val="%1."/>
      <w:lvlJc w:val="left"/>
      <w:pPr>
        <w:ind w:left="0" w:firstLine="0"/>
      </w:pPr>
      <w:rPr>
        <w:rFonts w:ascii="Arial" w:hAnsi="Arial" w:hint="default"/>
        <w:b/>
        <w:i w:val="0"/>
        <w:sz w:val="24"/>
      </w:rPr>
    </w:lvl>
    <w:lvl w:ilvl="1">
      <w:start w:val="1"/>
      <w:numFmt w:val="decimal"/>
      <w:suff w:val="space"/>
      <w:lvlText w:val="%1.%2."/>
      <w:lvlJc w:val="left"/>
      <w:pPr>
        <w:ind w:left="624" w:hanging="624"/>
      </w:pPr>
      <w:rPr>
        <w:rFonts w:ascii="Arial" w:hAnsi="Arial" w:hint="default"/>
        <w:b/>
        <w:i w:val="0"/>
        <w:sz w:val="20"/>
      </w:rPr>
    </w:lvl>
    <w:lvl w:ilvl="2">
      <w:start w:val="1"/>
      <w:numFmt w:val="decimal"/>
      <w:lvlText w:val="%1.%2.%3."/>
      <w:lvlJc w:val="left"/>
      <w:pPr>
        <w:tabs>
          <w:tab w:val="num" w:pos="720"/>
        </w:tabs>
        <w:ind w:left="0" w:firstLine="0"/>
      </w:pPr>
      <w:rPr>
        <w:rFonts w:ascii="Arial" w:hAnsi="Arial" w:hint="default"/>
        <w:b/>
        <w:i w:val="0"/>
        <w:sz w:val="20"/>
      </w:rPr>
    </w:lvl>
    <w:lvl w:ilvl="3">
      <w:start w:val="1"/>
      <w:numFmt w:val="decimal"/>
      <w:suff w:val="space"/>
      <w:lvlText w:val="Tab. %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4"/>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2"/>
  </w:num>
  <w:num w:numId="13">
    <w:abstractNumId w:val="15"/>
  </w:num>
  <w:num w:numId="14">
    <w:abstractNumId w:val="16"/>
  </w:num>
  <w:num w:numId="15">
    <w:abstractNumId w:val="13"/>
  </w:num>
  <w:num w:numId="16">
    <w:abstractNumId w:val="17"/>
  </w:num>
  <w:num w:numId="17">
    <w:abstractNumId w:val="17"/>
  </w:num>
  <w:num w:numId="18">
    <w:abstractNumId w:val="10"/>
  </w:num>
  <w:num w:numId="19">
    <w:abstractNumId w:val="11"/>
  </w:num>
  <w:num w:numId="20">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6407"/>
  <w:hyphenationZone w:val="425"/>
  <w:evenAndOddHeaders/>
  <w:drawingGridHorizontalSpacing w:val="110"/>
  <w:displayHorizontalDrawingGridEvery w:val="2"/>
  <w:characterSpacingControl w:val="doNotCompress"/>
  <w:savePreviewPicture/>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171"/>
    <w:rsid w:val="0000209D"/>
    <w:rsid w:val="00004D5A"/>
    <w:rsid w:val="000056D5"/>
    <w:rsid w:val="0000729D"/>
    <w:rsid w:val="0000767A"/>
    <w:rsid w:val="00010702"/>
    <w:rsid w:val="000154C6"/>
    <w:rsid w:val="00016992"/>
    <w:rsid w:val="000234D6"/>
    <w:rsid w:val="00023D29"/>
    <w:rsid w:val="00026389"/>
    <w:rsid w:val="00031AE0"/>
    <w:rsid w:val="000322EF"/>
    <w:rsid w:val="00033FCD"/>
    <w:rsid w:val="00041CEC"/>
    <w:rsid w:val="00041DA0"/>
    <w:rsid w:val="0004694F"/>
    <w:rsid w:val="000522E4"/>
    <w:rsid w:val="000572FC"/>
    <w:rsid w:val="00057DD1"/>
    <w:rsid w:val="000610E1"/>
    <w:rsid w:val="000618EE"/>
    <w:rsid w:val="00062EC5"/>
    <w:rsid w:val="00062F22"/>
    <w:rsid w:val="000655D5"/>
    <w:rsid w:val="000712B3"/>
    <w:rsid w:val="0008263E"/>
    <w:rsid w:val="00082C19"/>
    <w:rsid w:val="00085395"/>
    <w:rsid w:val="00087634"/>
    <w:rsid w:val="00087F2B"/>
    <w:rsid w:val="000974D1"/>
    <w:rsid w:val="0009799E"/>
    <w:rsid w:val="000A1183"/>
    <w:rsid w:val="000A256D"/>
    <w:rsid w:val="000A3A2C"/>
    <w:rsid w:val="000B30FA"/>
    <w:rsid w:val="000C3408"/>
    <w:rsid w:val="000C6AFD"/>
    <w:rsid w:val="000D5637"/>
    <w:rsid w:val="000E1E6A"/>
    <w:rsid w:val="000E6DB0"/>
    <w:rsid w:val="000E6FBD"/>
    <w:rsid w:val="00100F5C"/>
    <w:rsid w:val="0010437D"/>
    <w:rsid w:val="00104C4C"/>
    <w:rsid w:val="00107DF9"/>
    <w:rsid w:val="00112147"/>
    <w:rsid w:val="0012192F"/>
    <w:rsid w:val="00125D69"/>
    <w:rsid w:val="001405FA"/>
    <w:rsid w:val="0014120F"/>
    <w:rsid w:val="001425C3"/>
    <w:rsid w:val="00143464"/>
    <w:rsid w:val="001443AF"/>
    <w:rsid w:val="0016256B"/>
    <w:rsid w:val="00163793"/>
    <w:rsid w:val="00166171"/>
    <w:rsid w:val="0016785F"/>
    <w:rsid w:val="001706D6"/>
    <w:rsid w:val="001714F2"/>
    <w:rsid w:val="00175AA4"/>
    <w:rsid w:val="0018360D"/>
    <w:rsid w:val="00184B08"/>
    <w:rsid w:val="00185010"/>
    <w:rsid w:val="001857F6"/>
    <w:rsid w:val="00185F52"/>
    <w:rsid w:val="001A39ED"/>
    <w:rsid w:val="001A552F"/>
    <w:rsid w:val="001A5FF4"/>
    <w:rsid w:val="001B2CA9"/>
    <w:rsid w:val="001B3110"/>
    <w:rsid w:val="001B4729"/>
    <w:rsid w:val="001B6C09"/>
    <w:rsid w:val="001B7D99"/>
    <w:rsid w:val="001C05CD"/>
    <w:rsid w:val="001D1A2A"/>
    <w:rsid w:val="001D51E7"/>
    <w:rsid w:val="001D68B2"/>
    <w:rsid w:val="001E6840"/>
    <w:rsid w:val="001F40BD"/>
    <w:rsid w:val="001F4597"/>
    <w:rsid w:val="0020135E"/>
    <w:rsid w:val="002118B9"/>
    <w:rsid w:val="00217C5B"/>
    <w:rsid w:val="0022139E"/>
    <w:rsid w:val="002252E0"/>
    <w:rsid w:val="002255F6"/>
    <w:rsid w:val="00225A24"/>
    <w:rsid w:val="00227850"/>
    <w:rsid w:val="00227A53"/>
    <w:rsid w:val="00230C6E"/>
    <w:rsid w:val="00236443"/>
    <w:rsid w:val="002436BA"/>
    <w:rsid w:val="00244A15"/>
    <w:rsid w:val="00247319"/>
    <w:rsid w:val="0024799E"/>
    <w:rsid w:val="002537DC"/>
    <w:rsid w:val="00253C0F"/>
    <w:rsid w:val="00264157"/>
    <w:rsid w:val="00271465"/>
    <w:rsid w:val="00285412"/>
    <w:rsid w:val="00287A83"/>
    <w:rsid w:val="0029209F"/>
    <w:rsid w:val="00296AF2"/>
    <w:rsid w:val="002A00BE"/>
    <w:rsid w:val="002A16D4"/>
    <w:rsid w:val="002A230C"/>
    <w:rsid w:val="002A51CF"/>
    <w:rsid w:val="002A5826"/>
    <w:rsid w:val="002A592A"/>
    <w:rsid w:val="002B0A52"/>
    <w:rsid w:val="002B2CDE"/>
    <w:rsid w:val="002B6000"/>
    <w:rsid w:val="002B6284"/>
    <w:rsid w:val="002C04BA"/>
    <w:rsid w:val="002C43BD"/>
    <w:rsid w:val="002D0E59"/>
    <w:rsid w:val="002D545A"/>
    <w:rsid w:val="002D5D85"/>
    <w:rsid w:val="002E02A1"/>
    <w:rsid w:val="002E4E4C"/>
    <w:rsid w:val="00304771"/>
    <w:rsid w:val="003052D4"/>
    <w:rsid w:val="00306C5B"/>
    <w:rsid w:val="00306E71"/>
    <w:rsid w:val="00316DBE"/>
    <w:rsid w:val="00320148"/>
    <w:rsid w:val="003209D6"/>
    <w:rsid w:val="00321664"/>
    <w:rsid w:val="00321924"/>
    <w:rsid w:val="0032656E"/>
    <w:rsid w:val="0033123A"/>
    <w:rsid w:val="00332190"/>
    <w:rsid w:val="00344668"/>
    <w:rsid w:val="003462D9"/>
    <w:rsid w:val="00360C86"/>
    <w:rsid w:val="003657F3"/>
    <w:rsid w:val="00375817"/>
    <w:rsid w:val="00380BB6"/>
    <w:rsid w:val="003818DC"/>
    <w:rsid w:val="00383D12"/>
    <w:rsid w:val="00384327"/>
    <w:rsid w:val="00385D98"/>
    <w:rsid w:val="00390EA0"/>
    <w:rsid w:val="003A2B4D"/>
    <w:rsid w:val="003A478C"/>
    <w:rsid w:val="003A5525"/>
    <w:rsid w:val="003A6B38"/>
    <w:rsid w:val="003A7B9C"/>
    <w:rsid w:val="003B337D"/>
    <w:rsid w:val="003B5A32"/>
    <w:rsid w:val="003C3490"/>
    <w:rsid w:val="003D1F8F"/>
    <w:rsid w:val="003D6920"/>
    <w:rsid w:val="003E4C91"/>
    <w:rsid w:val="003E7899"/>
    <w:rsid w:val="003F313C"/>
    <w:rsid w:val="003F4B2C"/>
    <w:rsid w:val="003F551C"/>
    <w:rsid w:val="003F7D23"/>
    <w:rsid w:val="00400D80"/>
    <w:rsid w:val="004071B7"/>
    <w:rsid w:val="00407C13"/>
    <w:rsid w:val="00410638"/>
    <w:rsid w:val="004179D7"/>
    <w:rsid w:val="0042324B"/>
    <w:rsid w:val="0042750A"/>
    <w:rsid w:val="00432A58"/>
    <w:rsid w:val="00432E27"/>
    <w:rsid w:val="00433A93"/>
    <w:rsid w:val="00434617"/>
    <w:rsid w:val="00440900"/>
    <w:rsid w:val="004441A0"/>
    <w:rsid w:val="0045703B"/>
    <w:rsid w:val="00460FB3"/>
    <w:rsid w:val="00466A4B"/>
    <w:rsid w:val="00475B69"/>
    <w:rsid w:val="00476240"/>
    <w:rsid w:val="00476439"/>
    <w:rsid w:val="0047735C"/>
    <w:rsid w:val="004776BC"/>
    <w:rsid w:val="00477EF0"/>
    <w:rsid w:val="0048139F"/>
    <w:rsid w:val="00481E40"/>
    <w:rsid w:val="00484ECE"/>
    <w:rsid w:val="004900FF"/>
    <w:rsid w:val="0049063D"/>
    <w:rsid w:val="004915CB"/>
    <w:rsid w:val="004924DC"/>
    <w:rsid w:val="00496CA7"/>
    <w:rsid w:val="004A01CA"/>
    <w:rsid w:val="004A14E4"/>
    <w:rsid w:val="004A3212"/>
    <w:rsid w:val="004A61C5"/>
    <w:rsid w:val="004A77DF"/>
    <w:rsid w:val="004B1417"/>
    <w:rsid w:val="004B55B7"/>
    <w:rsid w:val="004B6468"/>
    <w:rsid w:val="004C384C"/>
    <w:rsid w:val="004C3867"/>
    <w:rsid w:val="004C4CD0"/>
    <w:rsid w:val="004C70DC"/>
    <w:rsid w:val="004D0211"/>
    <w:rsid w:val="004D0794"/>
    <w:rsid w:val="004D539C"/>
    <w:rsid w:val="004D7D1F"/>
    <w:rsid w:val="004F06F5"/>
    <w:rsid w:val="004F215D"/>
    <w:rsid w:val="004F33A0"/>
    <w:rsid w:val="00500A8A"/>
    <w:rsid w:val="005108C0"/>
    <w:rsid w:val="00511873"/>
    <w:rsid w:val="005118B1"/>
    <w:rsid w:val="00512A2F"/>
    <w:rsid w:val="005138BF"/>
    <w:rsid w:val="00513B7E"/>
    <w:rsid w:val="00514217"/>
    <w:rsid w:val="00515C26"/>
    <w:rsid w:val="00515C74"/>
    <w:rsid w:val="0052007E"/>
    <w:rsid w:val="0052337A"/>
    <w:rsid w:val="00525137"/>
    <w:rsid w:val="005251DD"/>
    <w:rsid w:val="005253C3"/>
    <w:rsid w:val="00532CE7"/>
    <w:rsid w:val="0053324C"/>
    <w:rsid w:val="00534A28"/>
    <w:rsid w:val="00541508"/>
    <w:rsid w:val="0055599F"/>
    <w:rsid w:val="00556D68"/>
    <w:rsid w:val="005647BF"/>
    <w:rsid w:val="0056613B"/>
    <w:rsid w:val="0057364B"/>
    <w:rsid w:val="00574773"/>
    <w:rsid w:val="005768B2"/>
    <w:rsid w:val="00583FFD"/>
    <w:rsid w:val="00584CA2"/>
    <w:rsid w:val="005911BE"/>
    <w:rsid w:val="00593152"/>
    <w:rsid w:val="00597288"/>
    <w:rsid w:val="005A10F2"/>
    <w:rsid w:val="005A21E0"/>
    <w:rsid w:val="005A28FF"/>
    <w:rsid w:val="005A36A6"/>
    <w:rsid w:val="005A3DF8"/>
    <w:rsid w:val="005A5549"/>
    <w:rsid w:val="005B121D"/>
    <w:rsid w:val="005B7F1E"/>
    <w:rsid w:val="005C06ED"/>
    <w:rsid w:val="005C6CA0"/>
    <w:rsid w:val="005D5802"/>
    <w:rsid w:val="005D7890"/>
    <w:rsid w:val="005E7C78"/>
    <w:rsid w:val="005F3EB1"/>
    <w:rsid w:val="005F4939"/>
    <w:rsid w:val="005F5469"/>
    <w:rsid w:val="00604307"/>
    <w:rsid w:val="0060487F"/>
    <w:rsid w:val="00604EAD"/>
    <w:rsid w:val="006104FB"/>
    <w:rsid w:val="00612A2F"/>
    <w:rsid w:val="00616E05"/>
    <w:rsid w:val="0061795F"/>
    <w:rsid w:val="00622BBB"/>
    <w:rsid w:val="00624093"/>
    <w:rsid w:val="00633619"/>
    <w:rsid w:val="006404A7"/>
    <w:rsid w:val="006451E4"/>
    <w:rsid w:val="00645B33"/>
    <w:rsid w:val="006516CB"/>
    <w:rsid w:val="00655A75"/>
    <w:rsid w:val="00657E87"/>
    <w:rsid w:val="006632E2"/>
    <w:rsid w:val="00664803"/>
    <w:rsid w:val="00665BA4"/>
    <w:rsid w:val="00667AF2"/>
    <w:rsid w:val="006710C9"/>
    <w:rsid w:val="00674D89"/>
    <w:rsid w:val="00675E37"/>
    <w:rsid w:val="0068174E"/>
    <w:rsid w:val="00681DCE"/>
    <w:rsid w:val="0068260E"/>
    <w:rsid w:val="00683C40"/>
    <w:rsid w:val="00686729"/>
    <w:rsid w:val="00695BEF"/>
    <w:rsid w:val="006977F6"/>
    <w:rsid w:val="00697A13"/>
    <w:rsid w:val="006A0FF5"/>
    <w:rsid w:val="006A109C"/>
    <w:rsid w:val="006A3DB9"/>
    <w:rsid w:val="006A6F27"/>
    <w:rsid w:val="006B344A"/>
    <w:rsid w:val="006B5B42"/>
    <w:rsid w:val="006B749D"/>
    <w:rsid w:val="006B78D8"/>
    <w:rsid w:val="006C113F"/>
    <w:rsid w:val="006C123E"/>
    <w:rsid w:val="006C56D4"/>
    <w:rsid w:val="006C6924"/>
    <w:rsid w:val="006C7CA6"/>
    <w:rsid w:val="006D14DE"/>
    <w:rsid w:val="006D3E8A"/>
    <w:rsid w:val="006D5922"/>
    <w:rsid w:val="006D61F6"/>
    <w:rsid w:val="006E279A"/>
    <w:rsid w:val="006E313B"/>
    <w:rsid w:val="006F5416"/>
    <w:rsid w:val="006F7137"/>
    <w:rsid w:val="00706AD4"/>
    <w:rsid w:val="00710EB3"/>
    <w:rsid w:val="00713A1E"/>
    <w:rsid w:val="007140BE"/>
    <w:rsid w:val="007211F5"/>
    <w:rsid w:val="00725BB5"/>
    <w:rsid w:val="00730AE8"/>
    <w:rsid w:val="007336A6"/>
    <w:rsid w:val="00741493"/>
    <w:rsid w:val="00752180"/>
    <w:rsid w:val="00755202"/>
    <w:rsid w:val="00755D3A"/>
    <w:rsid w:val="00756FDB"/>
    <w:rsid w:val="007578D3"/>
    <w:rsid w:val="007609C6"/>
    <w:rsid w:val="0076175D"/>
    <w:rsid w:val="00761AD2"/>
    <w:rsid w:val="0076521E"/>
    <w:rsid w:val="007661E9"/>
    <w:rsid w:val="00776169"/>
    <w:rsid w:val="00776527"/>
    <w:rsid w:val="00780EF1"/>
    <w:rsid w:val="00790764"/>
    <w:rsid w:val="0079453C"/>
    <w:rsid w:val="00794677"/>
    <w:rsid w:val="00795F2C"/>
    <w:rsid w:val="007B6689"/>
    <w:rsid w:val="007C00FC"/>
    <w:rsid w:val="007D40DF"/>
    <w:rsid w:val="007D749B"/>
    <w:rsid w:val="007D7ADE"/>
    <w:rsid w:val="007E12BD"/>
    <w:rsid w:val="007E3F3E"/>
    <w:rsid w:val="007E51D4"/>
    <w:rsid w:val="007E7E61"/>
    <w:rsid w:val="007F0845"/>
    <w:rsid w:val="007F48B0"/>
    <w:rsid w:val="00806FA4"/>
    <w:rsid w:val="00807C82"/>
    <w:rsid w:val="00810B16"/>
    <w:rsid w:val="00811C65"/>
    <w:rsid w:val="00816905"/>
    <w:rsid w:val="00821FF6"/>
    <w:rsid w:val="00825C4D"/>
    <w:rsid w:val="008271E1"/>
    <w:rsid w:val="0083143E"/>
    <w:rsid w:val="00831CDE"/>
    <w:rsid w:val="00831EBA"/>
    <w:rsid w:val="00834304"/>
    <w:rsid w:val="00834FAA"/>
    <w:rsid w:val="00836086"/>
    <w:rsid w:val="00840C82"/>
    <w:rsid w:val="0084708F"/>
    <w:rsid w:val="008477C8"/>
    <w:rsid w:val="0085114D"/>
    <w:rsid w:val="00852217"/>
    <w:rsid w:val="00855408"/>
    <w:rsid w:val="00856D65"/>
    <w:rsid w:val="00861B41"/>
    <w:rsid w:val="00863434"/>
    <w:rsid w:val="00865E4C"/>
    <w:rsid w:val="008674F7"/>
    <w:rsid w:val="00867CA3"/>
    <w:rsid w:val="008701E4"/>
    <w:rsid w:val="00875A32"/>
    <w:rsid w:val="00876086"/>
    <w:rsid w:val="008873D4"/>
    <w:rsid w:val="00893E85"/>
    <w:rsid w:val="00894031"/>
    <w:rsid w:val="008A3E2E"/>
    <w:rsid w:val="008B7C02"/>
    <w:rsid w:val="008B7D2B"/>
    <w:rsid w:val="008C0049"/>
    <w:rsid w:val="008C0E88"/>
    <w:rsid w:val="008C5CC5"/>
    <w:rsid w:val="008C7591"/>
    <w:rsid w:val="008D1E6A"/>
    <w:rsid w:val="008D2A16"/>
    <w:rsid w:val="008D675B"/>
    <w:rsid w:val="008E2C57"/>
    <w:rsid w:val="008E31FF"/>
    <w:rsid w:val="008E3ACF"/>
    <w:rsid w:val="008E52CF"/>
    <w:rsid w:val="008E6F06"/>
    <w:rsid w:val="008F029B"/>
    <w:rsid w:val="008F3FC9"/>
    <w:rsid w:val="008F585B"/>
    <w:rsid w:val="009003A8"/>
    <w:rsid w:val="00902500"/>
    <w:rsid w:val="00902EFF"/>
    <w:rsid w:val="00905EBB"/>
    <w:rsid w:val="00906401"/>
    <w:rsid w:val="00906510"/>
    <w:rsid w:val="0091155E"/>
    <w:rsid w:val="00912A92"/>
    <w:rsid w:val="00913B33"/>
    <w:rsid w:val="0091728D"/>
    <w:rsid w:val="0092180B"/>
    <w:rsid w:val="00921F14"/>
    <w:rsid w:val="00924AC8"/>
    <w:rsid w:val="00924DC6"/>
    <w:rsid w:val="0092597A"/>
    <w:rsid w:val="00932443"/>
    <w:rsid w:val="00937693"/>
    <w:rsid w:val="00937AE2"/>
    <w:rsid w:val="0094206C"/>
    <w:rsid w:val="0094427A"/>
    <w:rsid w:val="009503BC"/>
    <w:rsid w:val="00961B57"/>
    <w:rsid w:val="00965DB8"/>
    <w:rsid w:val="00974923"/>
    <w:rsid w:val="00980D3D"/>
    <w:rsid w:val="00982AFC"/>
    <w:rsid w:val="00987A30"/>
    <w:rsid w:val="00992CF3"/>
    <w:rsid w:val="009956BA"/>
    <w:rsid w:val="009968D6"/>
    <w:rsid w:val="009A1CAB"/>
    <w:rsid w:val="009A31D4"/>
    <w:rsid w:val="009A60D1"/>
    <w:rsid w:val="009A6592"/>
    <w:rsid w:val="009B6FD3"/>
    <w:rsid w:val="009C0DB5"/>
    <w:rsid w:val="009C1750"/>
    <w:rsid w:val="009C2D4B"/>
    <w:rsid w:val="009C2E29"/>
    <w:rsid w:val="009C554B"/>
    <w:rsid w:val="009C719E"/>
    <w:rsid w:val="009D3ACD"/>
    <w:rsid w:val="009E5273"/>
    <w:rsid w:val="009E5DDB"/>
    <w:rsid w:val="009F314E"/>
    <w:rsid w:val="009F3162"/>
    <w:rsid w:val="009F4AEF"/>
    <w:rsid w:val="009F4CA7"/>
    <w:rsid w:val="009F682F"/>
    <w:rsid w:val="00A10D66"/>
    <w:rsid w:val="00A140C9"/>
    <w:rsid w:val="00A14114"/>
    <w:rsid w:val="00A16413"/>
    <w:rsid w:val="00A23E43"/>
    <w:rsid w:val="00A302FD"/>
    <w:rsid w:val="00A30F65"/>
    <w:rsid w:val="00A418BC"/>
    <w:rsid w:val="00A428A4"/>
    <w:rsid w:val="00A46DE0"/>
    <w:rsid w:val="00A50D73"/>
    <w:rsid w:val="00A52CAD"/>
    <w:rsid w:val="00A53FC7"/>
    <w:rsid w:val="00A6133B"/>
    <w:rsid w:val="00A61C65"/>
    <w:rsid w:val="00A62CE1"/>
    <w:rsid w:val="00A6741E"/>
    <w:rsid w:val="00A73902"/>
    <w:rsid w:val="00A75E40"/>
    <w:rsid w:val="00A764C5"/>
    <w:rsid w:val="00A7694E"/>
    <w:rsid w:val="00A77D1D"/>
    <w:rsid w:val="00A857C0"/>
    <w:rsid w:val="00A9292F"/>
    <w:rsid w:val="00AA2996"/>
    <w:rsid w:val="00AA52BF"/>
    <w:rsid w:val="00AA559A"/>
    <w:rsid w:val="00AB2AF1"/>
    <w:rsid w:val="00AB7377"/>
    <w:rsid w:val="00AC2A17"/>
    <w:rsid w:val="00AD306C"/>
    <w:rsid w:val="00AE09B3"/>
    <w:rsid w:val="00AE1A83"/>
    <w:rsid w:val="00AE300F"/>
    <w:rsid w:val="00AF5CD4"/>
    <w:rsid w:val="00B00913"/>
    <w:rsid w:val="00B01593"/>
    <w:rsid w:val="00B03010"/>
    <w:rsid w:val="00B10A4D"/>
    <w:rsid w:val="00B17E71"/>
    <w:rsid w:val="00B17FDE"/>
    <w:rsid w:val="00B21BC9"/>
    <w:rsid w:val="00B2379C"/>
    <w:rsid w:val="00B2541A"/>
    <w:rsid w:val="00B2687D"/>
    <w:rsid w:val="00B32DDB"/>
    <w:rsid w:val="00B34528"/>
    <w:rsid w:val="00B402FC"/>
    <w:rsid w:val="00B46604"/>
    <w:rsid w:val="00B51582"/>
    <w:rsid w:val="00B530BB"/>
    <w:rsid w:val="00B530CD"/>
    <w:rsid w:val="00B549C6"/>
    <w:rsid w:val="00B555BE"/>
    <w:rsid w:val="00B55F5E"/>
    <w:rsid w:val="00B5752E"/>
    <w:rsid w:val="00B63A11"/>
    <w:rsid w:val="00B64C24"/>
    <w:rsid w:val="00B6608F"/>
    <w:rsid w:val="00B679FB"/>
    <w:rsid w:val="00B728D0"/>
    <w:rsid w:val="00B76D1E"/>
    <w:rsid w:val="00B80EC6"/>
    <w:rsid w:val="00B92D1D"/>
    <w:rsid w:val="00B938C5"/>
    <w:rsid w:val="00B95940"/>
    <w:rsid w:val="00BA3206"/>
    <w:rsid w:val="00BB46F3"/>
    <w:rsid w:val="00BB4CB1"/>
    <w:rsid w:val="00BB4F98"/>
    <w:rsid w:val="00BC7154"/>
    <w:rsid w:val="00BD366B"/>
    <w:rsid w:val="00BD6D50"/>
    <w:rsid w:val="00BD6D57"/>
    <w:rsid w:val="00BE18B9"/>
    <w:rsid w:val="00BE2495"/>
    <w:rsid w:val="00BE42D9"/>
    <w:rsid w:val="00BF1578"/>
    <w:rsid w:val="00C053C8"/>
    <w:rsid w:val="00C138AF"/>
    <w:rsid w:val="00C218BF"/>
    <w:rsid w:val="00C21F94"/>
    <w:rsid w:val="00C2261F"/>
    <w:rsid w:val="00C2295E"/>
    <w:rsid w:val="00C25D83"/>
    <w:rsid w:val="00C27913"/>
    <w:rsid w:val="00C27ECC"/>
    <w:rsid w:val="00C33A90"/>
    <w:rsid w:val="00C33B68"/>
    <w:rsid w:val="00C36303"/>
    <w:rsid w:val="00C36A79"/>
    <w:rsid w:val="00C405D4"/>
    <w:rsid w:val="00C407CD"/>
    <w:rsid w:val="00C4513B"/>
    <w:rsid w:val="00C50E3D"/>
    <w:rsid w:val="00C54697"/>
    <w:rsid w:val="00C550AC"/>
    <w:rsid w:val="00C62A5B"/>
    <w:rsid w:val="00C73885"/>
    <w:rsid w:val="00C73C14"/>
    <w:rsid w:val="00C747B1"/>
    <w:rsid w:val="00C82191"/>
    <w:rsid w:val="00C86AB0"/>
    <w:rsid w:val="00C90CF4"/>
    <w:rsid w:val="00C92364"/>
    <w:rsid w:val="00C92EB6"/>
    <w:rsid w:val="00C93389"/>
    <w:rsid w:val="00CB4930"/>
    <w:rsid w:val="00CB7C87"/>
    <w:rsid w:val="00CC2E7D"/>
    <w:rsid w:val="00CD10A5"/>
    <w:rsid w:val="00CD1EEB"/>
    <w:rsid w:val="00CD2076"/>
    <w:rsid w:val="00CD34A1"/>
    <w:rsid w:val="00CE670B"/>
    <w:rsid w:val="00CE6C75"/>
    <w:rsid w:val="00CF1754"/>
    <w:rsid w:val="00CF51EC"/>
    <w:rsid w:val="00CF73AE"/>
    <w:rsid w:val="00D002C8"/>
    <w:rsid w:val="00D040DD"/>
    <w:rsid w:val="00D13986"/>
    <w:rsid w:val="00D235B7"/>
    <w:rsid w:val="00D25F28"/>
    <w:rsid w:val="00D27973"/>
    <w:rsid w:val="00D34F0D"/>
    <w:rsid w:val="00D4007C"/>
    <w:rsid w:val="00D50F46"/>
    <w:rsid w:val="00D63BEF"/>
    <w:rsid w:val="00D64DBE"/>
    <w:rsid w:val="00D66223"/>
    <w:rsid w:val="00D72700"/>
    <w:rsid w:val="00D75738"/>
    <w:rsid w:val="00D8084C"/>
    <w:rsid w:val="00D80EF3"/>
    <w:rsid w:val="00D97626"/>
    <w:rsid w:val="00DA5C0D"/>
    <w:rsid w:val="00DA73AF"/>
    <w:rsid w:val="00DA7C0C"/>
    <w:rsid w:val="00DB2EC8"/>
    <w:rsid w:val="00DC5B3B"/>
    <w:rsid w:val="00DD129F"/>
    <w:rsid w:val="00DD4E36"/>
    <w:rsid w:val="00DD5D72"/>
    <w:rsid w:val="00DD6226"/>
    <w:rsid w:val="00DE3C6A"/>
    <w:rsid w:val="00DE5B57"/>
    <w:rsid w:val="00DF42FF"/>
    <w:rsid w:val="00E01C0E"/>
    <w:rsid w:val="00E03F9A"/>
    <w:rsid w:val="00E04694"/>
    <w:rsid w:val="00E053B2"/>
    <w:rsid w:val="00E06CD2"/>
    <w:rsid w:val="00E06F53"/>
    <w:rsid w:val="00E116D7"/>
    <w:rsid w:val="00E125C6"/>
    <w:rsid w:val="00E12B1E"/>
    <w:rsid w:val="00E1542E"/>
    <w:rsid w:val="00E17262"/>
    <w:rsid w:val="00E253A2"/>
    <w:rsid w:val="00E3309D"/>
    <w:rsid w:val="00E37706"/>
    <w:rsid w:val="00E42999"/>
    <w:rsid w:val="00E50156"/>
    <w:rsid w:val="00E5331E"/>
    <w:rsid w:val="00E53470"/>
    <w:rsid w:val="00E539F6"/>
    <w:rsid w:val="00E6519D"/>
    <w:rsid w:val="00E6711C"/>
    <w:rsid w:val="00E67696"/>
    <w:rsid w:val="00E71A58"/>
    <w:rsid w:val="00E72A7A"/>
    <w:rsid w:val="00E75C94"/>
    <w:rsid w:val="00E849C8"/>
    <w:rsid w:val="00E877BE"/>
    <w:rsid w:val="00E93820"/>
    <w:rsid w:val="00EA0C68"/>
    <w:rsid w:val="00EA1787"/>
    <w:rsid w:val="00EA32BC"/>
    <w:rsid w:val="00EA7CD1"/>
    <w:rsid w:val="00EB4511"/>
    <w:rsid w:val="00EB4D61"/>
    <w:rsid w:val="00EC03D7"/>
    <w:rsid w:val="00ED62C6"/>
    <w:rsid w:val="00ED64C1"/>
    <w:rsid w:val="00EE3446"/>
    <w:rsid w:val="00EE3E78"/>
    <w:rsid w:val="00EE4B1B"/>
    <w:rsid w:val="00EF150D"/>
    <w:rsid w:val="00EF1F5A"/>
    <w:rsid w:val="00EF47BF"/>
    <w:rsid w:val="00F04811"/>
    <w:rsid w:val="00F0488C"/>
    <w:rsid w:val="00F05F5E"/>
    <w:rsid w:val="00F10F11"/>
    <w:rsid w:val="00F15AAA"/>
    <w:rsid w:val="00F15BEF"/>
    <w:rsid w:val="00F2298E"/>
    <w:rsid w:val="00F24407"/>
    <w:rsid w:val="00F24FAA"/>
    <w:rsid w:val="00F3364D"/>
    <w:rsid w:val="00F3661B"/>
    <w:rsid w:val="00F36C72"/>
    <w:rsid w:val="00F437CC"/>
    <w:rsid w:val="00F4636F"/>
    <w:rsid w:val="00F47067"/>
    <w:rsid w:val="00F525EB"/>
    <w:rsid w:val="00F63DDE"/>
    <w:rsid w:val="00F63FB7"/>
    <w:rsid w:val="00F649D2"/>
    <w:rsid w:val="00F6602B"/>
    <w:rsid w:val="00F66213"/>
    <w:rsid w:val="00F7260E"/>
    <w:rsid w:val="00F73A0C"/>
    <w:rsid w:val="00F756DB"/>
    <w:rsid w:val="00F85066"/>
    <w:rsid w:val="00F86435"/>
    <w:rsid w:val="00FA5D4D"/>
    <w:rsid w:val="00FB02F2"/>
    <w:rsid w:val="00FB0EE2"/>
    <w:rsid w:val="00FB542E"/>
    <w:rsid w:val="00FB759C"/>
    <w:rsid w:val="00FC0E5F"/>
    <w:rsid w:val="00FC15BF"/>
    <w:rsid w:val="00FC1A95"/>
    <w:rsid w:val="00FC266E"/>
    <w:rsid w:val="00FC56DE"/>
    <w:rsid w:val="00FC684B"/>
    <w:rsid w:val="00FC7827"/>
    <w:rsid w:val="00FD3265"/>
    <w:rsid w:val="00FD54E6"/>
    <w:rsid w:val="00FE2F78"/>
    <w:rsid w:val="00FF7B9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0E66B049"/>
  <w15:docId w15:val="{ABB23CD1-7A59-40B7-9136-ACFFED53C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A6F27"/>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4900FF"/>
    <w:pPr>
      <w:keepNext/>
      <w:keepLines/>
      <w:numPr>
        <w:numId w:val="18"/>
      </w:numPr>
      <w:spacing w:after="100" w:line="288" w:lineRule="auto"/>
      <w:contextualSpacing/>
      <w:outlineLvl w:val="0"/>
    </w:pPr>
    <w:rPr>
      <w:rFonts w:ascii="Arial" w:eastAsia="MS Gothic" w:hAnsi="Arial"/>
      <w:b/>
      <w:bCs/>
      <w:color w:val="C00000"/>
      <w:sz w:val="32"/>
      <w:szCs w:val="28"/>
      <w:lang w:eastAsia="cs-CZ"/>
    </w:rPr>
  </w:style>
  <w:style w:type="paragraph" w:styleId="Nadpis2">
    <w:name w:val="heading 2"/>
    <w:next w:val="Normln"/>
    <w:link w:val="Nadpis2Char"/>
    <w:uiPriority w:val="9"/>
    <w:qFormat/>
    <w:rsid w:val="004900FF"/>
    <w:pPr>
      <w:keepNext/>
      <w:keepLines/>
      <w:numPr>
        <w:ilvl w:val="1"/>
        <w:numId w:val="18"/>
      </w:numPr>
      <w:spacing w:line="288" w:lineRule="auto"/>
      <w:outlineLvl w:val="1"/>
    </w:pPr>
    <w:rPr>
      <w:rFonts w:ascii="Arial" w:eastAsia="MS Gothic" w:hAnsi="Arial"/>
      <w:b/>
      <w:bCs/>
      <w:color w:val="BC091B"/>
      <w:sz w:val="28"/>
      <w:szCs w:val="26"/>
      <w:lang w:eastAsia="cs-CZ"/>
    </w:rPr>
  </w:style>
  <w:style w:type="paragraph" w:styleId="Nadpis3">
    <w:name w:val="heading 3"/>
    <w:next w:val="Normln"/>
    <w:link w:val="Nadpis3Char"/>
    <w:uiPriority w:val="9"/>
    <w:qFormat/>
    <w:rsid w:val="004900FF"/>
    <w:pPr>
      <w:keepNext/>
      <w:keepLines/>
      <w:numPr>
        <w:ilvl w:val="2"/>
        <w:numId w:val="18"/>
      </w:numPr>
      <w:spacing w:line="288" w:lineRule="auto"/>
      <w:outlineLvl w:val="2"/>
    </w:pPr>
    <w:rPr>
      <w:rFonts w:ascii="Arial" w:eastAsia="MS Gothic" w:hAnsi="Arial"/>
      <w:b/>
      <w:bCs/>
      <w:color w:val="BC091B"/>
      <w:sz w:val="24"/>
      <w:szCs w:val="24"/>
      <w:lang w:eastAsia="cs-CZ"/>
    </w:rPr>
  </w:style>
  <w:style w:type="paragraph" w:styleId="Nadpis4">
    <w:name w:val="heading 4"/>
    <w:next w:val="Normln"/>
    <w:link w:val="Nadpis4Char"/>
    <w:uiPriority w:val="9"/>
    <w:qFormat/>
    <w:rsid w:val="004900FF"/>
    <w:pPr>
      <w:keepNext/>
      <w:keepLines/>
      <w:numPr>
        <w:ilvl w:val="3"/>
        <w:numId w:val="18"/>
      </w:numPr>
      <w:spacing w:line="288" w:lineRule="auto"/>
      <w:outlineLvl w:val="3"/>
    </w:pPr>
    <w:rPr>
      <w:rFonts w:ascii="Arial" w:eastAsia="MS Gothic" w:hAnsi="Arial"/>
      <w:b/>
      <w:bCs/>
      <w:iCs/>
      <w:color w:val="BC091B"/>
      <w:szCs w:val="24"/>
      <w:lang w:eastAsia="cs-CZ"/>
    </w:rPr>
  </w:style>
  <w:style w:type="paragraph" w:styleId="Nadpis5">
    <w:name w:val="heading 5"/>
    <w:basedOn w:val="Normln"/>
    <w:next w:val="Normln"/>
    <w:link w:val="Nadpis5Char"/>
    <w:uiPriority w:val="9"/>
    <w:semiHidden/>
    <w:unhideWhenUsed/>
    <w:rsid w:val="00AC2A17"/>
    <w:pPr>
      <w:keepNext/>
      <w:keepLines/>
      <w:numPr>
        <w:ilvl w:val="4"/>
        <w:numId w:val="18"/>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AC2A17"/>
    <w:pPr>
      <w:keepNext/>
      <w:keepLines/>
      <w:numPr>
        <w:ilvl w:val="5"/>
        <w:numId w:val="18"/>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AC2A17"/>
    <w:pPr>
      <w:keepNext/>
      <w:keepLines/>
      <w:numPr>
        <w:ilvl w:val="6"/>
        <w:numId w:val="18"/>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AC2A17"/>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30F65"/>
    <w:pPr>
      <w:numPr>
        <w:ilvl w:val="8"/>
        <w:numId w:val="18"/>
      </w:num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FB02F2"/>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lang w:eastAsia="cs-CZ"/>
    </w:rPr>
  </w:style>
  <w:style w:type="paragraph" w:customStyle="1" w:styleId="Box2">
    <w:name w:val="Box 2"/>
    <w:qFormat/>
    <w:rsid w:val="004900FF"/>
    <w:pPr>
      <w:spacing w:before="240" w:after="240" w:line="288" w:lineRule="auto"/>
      <w:ind w:left="709"/>
      <w:contextualSpacing/>
    </w:pPr>
    <w:rPr>
      <w:rFonts w:ascii="Arial" w:hAnsi="Arial" w:cs="Arial"/>
      <w:color w:val="BC091B"/>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lang w:eastAsia="cs-CZ"/>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nadpis">
    <w:name w:val="Subtitle"/>
    <w:next w:val="Normln"/>
    <w:link w:val="PodnadpisChar"/>
    <w:uiPriority w:val="11"/>
    <w:qFormat/>
    <w:rsid w:val="004900FF"/>
    <w:pPr>
      <w:spacing w:line="288" w:lineRule="auto"/>
    </w:pPr>
    <w:rPr>
      <w:rFonts w:ascii="Arial" w:eastAsia="Times New Roman" w:hAnsi="Arial" w:cs="Arial"/>
      <w:b/>
      <w:color w:val="BC091B"/>
      <w:sz w:val="28"/>
      <w:szCs w:val="24"/>
      <w:lang w:eastAsia="cs-CZ"/>
    </w:rPr>
  </w:style>
  <w:style w:type="character" w:customStyle="1" w:styleId="PodnadpisChar">
    <w:name w:val="Podnadpis Char"/>
    <w:link w:val="Podnadpis"/>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paragraph" w:styleId="Nadpisobsahu">
    <w:name w:val="TOC Heading"/>
    <w:basedOn w:val="Nadpis1"/>
    <w:next w:val="Normln"/>
    <w:uiPriority w:val="39"/>
    <w:unhideWhenUsed/>
    <w:qFormat/>
    <w:rsid w:val="00EA1787"/>
    <w:pPr>
      <w:spacing w:before="240" w:after="0" w:line="259" w:lineRule="auto"/>
      <w:contextualSpacing w:val="0"/>
      <w:outlineLvl w:val="9"/>
    </w:pPr>
    <w:rPr>
      <w:rFonts w:asciiTheme="majorHAnsi" w:eastAsiaTheme="majorEastAsia" w:hAnsiTheme="majorHAnsi" w:cstheme="majorBidi"/>
      <w:b w:val="0"/>
      <w:bCs w:val="0"/>
      <w:color w:val="365F91" w:themeColor="accent1" w:themeShade="BF"/>
      <w:szCs w:val="32"/>
    </w:rPr>
  </w:style>
  <w:style w:type="character" w:styleId="Odkaznakoment">
    <w:name w:val="annotation reference"/>
    <w:basedOn w:val="Standardnpsmoodstavce"/>
    <w:uiPriority w:val="99"/>
    <w:semiHidden/>
    <w:unhideWhenUsed/>
    <w:rsid w:val="00D64DBE"/>
    <w:rPr>
      <w:sz w:val="16"/>
      <w:szCs w:val="16"/>
    </w:rPr>
  </w:style>
  <w:style w:type="paragraph" w:styleId="Textkomente">
    <w:name w:val="annotation text"/>
    <w:basedOn w:val="Normln"/>
    <w:link w:val="TextkomenteChar"/>
    <w:uiPriority w:val="99"/>
    <w:unhideWhenUsed/>
    <w:rsid w:val="00D64DBE"/>
    <w:pPr>
      <w:spacing w:line="240" w:lineRule="auto"/>
    </w:pPr>
    <w:rPr>
      <w:szCs w:val="20"/>
    </w:rPr>
  </w:style>
  <w:style w:type="character" w:customStyle="1" w:styleId="TextkomenteChar">
    <w:name w:val="Text komentáře Char"/>
    <w:basedOn w:val="Standardnpsmoodstavce"/>
    <w:link w:val="Textkomente"/>
    <w:uiPriority w:val="99"/>
    <w:rsid w:val="00D64DBE"/>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D64DBE"/>
    <w:rPr>
      <w:b/>
      <w:bCs/>
    </w:rPr>
  </w:style>
  <w:style w:type="character" w:customStyle="1" w:styleId="PedmtkomenteChar">
    <w:name w:val="Předmět komentáře Char"/>
    <w:basedOn w:val="TextkomenteChar"/>
    <w:link w:val="Pedmtkomente"/>
    <w:uiPriority w:val="99"/>
    <w:semiHidden/>
    <w:rsid w:val="00D64DBE"/>
    <w:rPr>
      <w:rFonts w:ascii="Arial" w:eastAsia="Times New Roman" w:hAnsi="Arial"/>
      <w:b/>
      <w:bCs/>
      <w:lang w:eastAsia="cs-CZ"/>
    </w:rPr>
  </w:style>
  <w:style w:type="character" w:customStyle="1" w:styleId="Nadpis5Char">
    <w:name w:val="Nadpis 5 Char"/>
    <w:basedOn w:val="Standardnpsmoodstavce"/>
    <w:link w:val="Nadpis5"/>
    <w:uiPriority w:val="9"/>
    <w:semiHidden/>
    <w:rsid w:val="00AC2A17"/>
    <w:rPr>
      <w:rFonts w:asciiTheme="majorHAnsi" w:eastAsiaTheme="majorEastAsia" w:hAnsiTheme="majorHAnsi" w:cstheme="majorBidi"/>
      <w:color w:val="365F91" w:themeColor="accent1" w:themeShade="BF"/>
      <w:szCs w:val="24"/>
      <w:lang w:eastAsia="cs-CZ"/>
    </w:rPr>
  </w:style>
  <w:style w:type="paragraph" w:customStyle="1" w:styleId="Default">
    <w:name w:val="Default"/>
    <w:rsid w:val="00811C65"/>
    <w:pPr>
      <w:autoSpaceDE w:val="0"/>
      <w:autoSpaceDN w:val="0"/>
      <w:adjustRightInd w:val="0"/>
    </w:pPr>
    <w:rPr>
      <w:rFonts w:ascii="Arial" w:eastAsiaTheme="minorHAnsi" w:hAnsi="Arial" w:cs="Arial"/>
      <w:color w:val="000000"/>
      <w:sz w:val="24"/>
      <w:szCs w:val="24"/>
    </w:rPr>
  </w:style>
  <w:style w:type="paragraph" w:customStyle="1" w:styleId="Muj-zakltext3">
    <w:name w:val="Muj-zakl.text3"/>
    <w:basedOn w:val="Normln"/>
    <w:rsid w:val="00811C65"/>
    <w:pPr>
      <w:keepNext/>
      <w:spacing w:after="0" w:line="240" w:lineRule="auto"/>
      <w:jc w:val="both"/>
    </w:pPr>
    <w:rPr>
      <w:rFonts w:cs="Arial"/>
      <w:bCs/>
    </w:rPr>
  </w:style>
  <w:style w:type="character" w:customStyle="1" w:styleId="Nadpis6Char">
    <w:name w:val="Nadpis 6 Char"/>
    <w:basedOn w:val="Standardnpsmoodstavce"/>
    <w:link w:val="Nadpis6"/>
    <w:uiPriority w:val="9"/>
    <w:semiHidden/>
    <w:rsid w:val="00AC2A17"/>
    <w:rPr>
      <w:rFonts w:asciiTheme="majorHAnsi" w:eastAsiaTheme="majorEastAsia" w:hAnsiTheme="majorHAnsi" w:cstheme="majorBidi"/>
      <w:color w:val="243F60" w:themeColor="accent1" w:themeShade="7F"/>
      <w:szCs w:val="24"/>
      <w:lang w:eastAsia="cs-CZ"/>
    </w:rPr>
  </w:style>
  <w:style w:type="character" w:customStyle="1" w:styleId="Nadpis7Char">
    <w:name w:val="Nadpis 7 Char"/>
    <w:basedOn w:val="Standardnpsmoodstavce"/>
    <w:link w:val="Nadpis7"/>
    <w:uiPriority w:val="9"/>
    <w:semiHidden/>
    <w:rsid w:val="00AC2A17"/>
    <w:rPr>
      <w:rFonts w:asciiTheme="majorHAnsi" w:eastAsiaTheme="majorEastAsia" w:hAnsiTheme="majorHAnsi" w:cstheme="majorBidi"/>
      <w:i/>
      <w:iCs/>
      <w:color w:val="243F60" w:themeColor="accent1" w:themeShade="7F"/>
      <w:szCs w:val="24"/>
      <w:lang w:eastAsia="cs-CZ"/>
    </w:rPr>
  </w:style>
  <w:style w:type="character" w:customStyle="1" w:styleId="Nadpis8Char">
    <w:name w:val="Nadpis 8 Char"/>
    <w:basedOn w:val="Standardnpsmoodstavce"/>
    <w:link w:val="Nadpis8"/>
    <w:uiPriority w:val="9"/>
    <w:semiHidden/>
    <w:rsid w:val="00AC2A17"/>
    <w:rPr>
      <w:rFonts w:asciiTheme="majorHAnsi" w:eastAsiaTheme="majorEastAsia" w:hAnsiTheme="majorHAnsi" w:cstheme="majorBidi"/>
      <w:color w:val="272727" w:themeColor="text1" w:themeTint="D8"/>
      <w:sz w:val="21"/>
      <w:szCs w:val="21"/>
      <w:lang w:eastAsia="cs-CZ"/>
    </w:rPr>
  </w:style>
  <w:style w:type="character" w:styleId="Zstupntext">
    <w:name w:val="Placeholder Text"/>
    <w:basedOn w:val="Standardnpsmoodstavce"/>
    <w:uiPriority w:val="99"/>
    <w:semiHidden/>
    <w:rsid w:val="00806FA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705525022">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305505669">
      <w:marLeft w:val="0"/>
      <w:marRight w:val="0"/>
      <w:marTop w:val="0"/>
      <w:marBottom w:val="0"/>
      <w:divBdr>
        <w:top w:val="none" w:sz="0" w:space="0" w:color="auto"/>
        <w:left w:val="none" w:sz="0" w:space="0" w:color="auto"/>
        <w:bottom w:val="none" w:sz="0" w:space="0" w:color="auto"/>
        <w:right w:val="none" w:sz="0" w:space="0" w:color="auto"/>
      </w:divBdr>
      <w:divsChild>
        <w:div w:id="895357251">
          <w:marLeft w:val="0"/>
          <w:marRight w:val="0"/>
          <w:marTop w:val="0"/>
          <w:marBottom w:val="0"/>
          <w:divBdr>
            <w:top w:val="none" w:sz="0" w:space="0" w:color="auto"/>
            <w:left w:val="none" w:sz="0" w:space="0" w:color="auto"/>
            <w:bottom w:val="none" w:sz="0" w:space="0" w:color="auto"/>
            <w:right w:val="none" w:sz="0" w:space="0" w:color="auto"/>
          </w:divBdr>
          <w:divsChild>
            <w:div w:id="1322778735">
              <w:marLeft w:val="0"/>
              <w:marRight w:val="0"/>
              <w:marTop w:val="0"/>
              <w:marBottom w:val="0"/>
              <w:divBdr>
                <w:top w:val="none" w:sz="0" w:space="0" w:color="auto"/>
                <w:left w:val="none" w:sz="0" w:space="0" w:color="auto"/>
                <w:bottom w:val="none" w:sz="0" w:space="0" w:color="auto"/>
                <w:right w:val="none" w:sz="0" w:space="0" w:color="auto"/>
              </w:divBdr>
              <w:divsChild>
                <w:div w:id="389115106">
                  <w:marLeft w:val="0"/>
                  <w:marRight w:val="0"/>
                  <w:marTop w:val="0"/>
                  <w:marBottom w:val="0"/>
                  <w:divBdr>
                    <w:top w:val="none" w:sz="0" w:space="0" w:color="auto"/>
                    <w:left w:val="none" w:sz="0" w:space="0" w:color="auto"/>
                    <w:bottom w:val="none" w:sz="0" w:space="0" w:color="auto"/>
                    <w:right w:val="none" w:sz="0" w:space="0" w:color="auto"/>
                  </w:divBdr>
                  <w:divsChild>
                    <w:div w:id="1791896326">
                      <w:marLeft w:val="0"/>
                      <w:marRight w:val="0"/>
                      <w:marTop w:val="0"/>
                      <w:marBottom w:val="0"/>
                      <w:divBdr>
                        <w:top w:val="none" w:sz="0" w:space="0" w:color="auto"/>
                        <w:left w:val="none" w:sz="0" w:space="0" w:color="auto"/>
                        <w:bottom w:val="none" w:sz="0" w:space="0" w:color="auto"/>
                        <w:right w:val="none" w:sz="0" w:space="0" w:color="auto"/>
                      </w:divBdr>
                      <w:divsChild>
                        <w:div w:id="210653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footer" Target="footer1.xml"/><Relationship Id="rId21" Type="http://schemas.openxmlformats.org/officeDocument/2006/relationships/image" Target="media/image15.jpeg"/><Relationship Id="rId34" Type="http://schemas.openxmlformats.org/officeDocument/2006/relationships/image" Target="media/image28.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image" Target="media/image2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8" Type="http://schemas.openxmlformats.org/officeDocument/2006/relationships/image" Target="media/image2.emf"/><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jpeg"/><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F2699-7C0D-4AAE-9690-EE589C619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6226</Words>
  <Characters>36738</Characters>
  <Application>Microsoft Office Word</Application>
  <DocSecurity>0</DocSecurity>
  <Lines>306</Lines>
  <Paragraphs>85</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Manager/>
  <Company>CSU</Company>
  <LinksUpToDate>false</LinksUpToDate>
  <CharactersWithSpaces>42879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Varmužová Věra</dc:creator>
  <cp:keywords/>
  <dc:description/>
  <cp:lastModifiedBy>Podhorská Jana</cp:lastModifiedBy>
  <cp:revision>2</cp:revision>
  <cp:lastPrinted>2023-10-25T13:50:00Z</cp:lastPrinted>
  <dcterms:created xsi:type="dcterms:W3CDTF">2023-10-26T12:09:00Z</dcterms:created>
  <dcterms:modified xsi:type="dcterms:W3CDTF">2023-10-26T12:09:00Z</dcterms:modified>
  <cp:category/>
</cp:coreProperties>
</file>