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0F8" w:rsidRPr="005F3682" w:rsidRDefault="007B30F8" w:rsidP="007B30F8">
      <w:pPr>
        <w:pStyle w:val="Nadpis1"/>
      </w:pPr>
      <w:bookmarkStart w:id="0" w:name="_Toc145675404"/>
      <w:r w:rsidRPr="005F3682">
        <w:t>Obyvatelstvo</w:t>
      </w:r>
      <w:bookmarkEnd w:id="0"/>
    </w:p>
    <w:p w:rsidR="007B30F8" w:rsidRPr="005F3682" w:rsidRDefault="007B30F8" w:rsidP="007B30F8">
      <w:pPr>
        <w:rPr>
          <w:rFonts w:cs="Arial"/>
        </w:rPr>
      </w:pPr>
      <w:r w:rsidRPr="005F3682">
        <w:rPr>
          <w:rFonts w:cs="Arial"/>
        </w:rPr>
        <w:t>K 26. 3. 2021 mělo Hlavní město Praha podle výsledků Sčítání lidu, domů a bytů 1 301 432 obyvatel. Hlavní město bylo, s podílem 12,4 % osob, po Středočeském kraji druhým n</w:t>
      </w:r>
      <w:r>
        <w:rPr>
          <w:rFonts w:cs="Arial"/>
        </w:rPr>
        <w:t>ejlidnatějším</w:t>
      </w:r>
      <w:r w:rsidRPr="005F3682">
        <w:rPr>
          <w:rFonts w:cs="Arial"/>
        </w:rPr>
        <w:t xml:space="preserve"> krajem České republiky. Z celkového počtu obyvatel představovaly ženy 51,3 %. </w:t>
      </w:r>
    </w:p>
    <w:p w:rsidR="007B30F8" w:rsidRPr="005F3682" w:rsidRDefault="007B30F8" w:rsidP="007B30F8">
      <w:pPr>
        <w:rPr>
          <w:rFonts w:cs="Arial"/>
        </w:rPr>
      </w:pP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1" w:name="_Toc145675405"/>
      <w:r w:rsidRPr="005F3682">
        <w:rPr>
          <w:rFonts w:cs="Arial"/>
        </w:rPr>
        <w:t>Věková struktura</w:t>
      </w:r>
      <w:bookmarkEnd w:id="1"/>
    </w:p>
    <w:p w:rsidR="007B30F8" w:rsidRPr="00CB2656" w:rsidRDefault="007B30F8" w:rsidP="007B30F8">
      <w:pPr>
        <w:rPr>
          <w:rFonts w:cs="Arial"/>
        </w:rPr>
      </w:pPr>
      <w:r w:rsidRPr="005F3682">
        <w:rPr>
          <w:rFonts w:cs="Arial"/>
        </w:rPr>
        <w:t>Složení obyvatelstva podle věku a pohlaví je výsledkem dlouhodobého vývoje porodnosti, úmrtnosti</w:t>
      </w:r>
      <w:r w:rsidRPr="005F3682">
        <w:rPr>
          <w:rFonts w:cs="Arial"/>
        </w:rPr>
        <w:br/>
        <w:t xml:space="preserve">a migrace. Pro věkovou strukturu hlavního města Prahy, stejně tak jako pro věkovou strukturu ČR, jsou charakteristické nepravidelnosti, způsobené především výkyvy ve vývoji porodnosti. Těmi nejvýraznějšími byly mimo jiné: pokles za první světové války a vzestup po jejím ukončení, pokles za hospodářské a politické krize ve 30. letech, natalitní vlna po ukončení druhé světové války a v 70. letech, pokles počtu </w:t>
      </w:r>
      <w:r>
        <w:rPr>
          <w:rFonts w:cs="Arial"/>
        </w:rPr>
        <w:t>narozených od 90. let a od nultých let narůstající</w:t>
      </w:r>
      <w:r w:rsidRPr="005F3682">
        <w:rPr>
          <w:rFonts w:cs="Arial"/>
        </w:rPr>
        <w:t xml:space="preserve"> </w:t>
      </w:r>
      <w:r w:rsidRPr="00CB2656">
        <w:rPr>
          <w:rFonts w:cs="Arial"/>
        </w:rPr>
        <w:t>migrace, zejména zahraniční, která výrazně ovlivňuje věkovou strukturu v mladších věkových skupinách</w:t>
      </w:r>
      <w:r>
        <w:rPr>
          <w:rFonts w:cs="Arial"/>
        </w:rPr>
        <w:t>.</w:t>
      </w:r>
    </w:p>
    <w:p w:rsidR="007B30F8" w:rsidRPr="005F3682" w:rsidRDefault="007B30F8" w:rsidP="007B30F8">
      <w:pPr>
        <w:rPr>
          <w:rFonts w:cs="Arial"/>
        </w:rPr>
      </w:pPr>
      <w:r w:rsidRPr="005F3682">
        <w:rPr>
          <w:rFonts w:cs="Arial"/>
        </w:rPr>
        <w:t>Uvedené nerovnoměrnosti se v čase posouvají do vyšších věků a ovlivňují věkovou strukturu v jednotlivých letech. Nerovnoměrné zastoupení starších věkových kategorií podle pohlaví je dáno výrazně vyšší úmrtností mužů v tomto věku.</w:t>
      </w:r>
    </w:p>
    <w:p w:rsidR="007B30F8" w:rsidRPr="005F3682" w:rsidRDefault="007B30F8" w:rsidP="007B30F8">
      <w:pPr>
        <w:rPr>
          <w:rFonts w:cs="Arial"/>
        </w:rPr>
      </w:pPr>
      <w:r w:rsidRPr="005F3682">
        <w:rPr>
          <w:rFonts w:cs="Arial"/>
        </w:rPr>
        <w:t>Věková struktura obyvatelstva Prahy se mírně odlišuje od věkové struktury ČR. Podíl osob ve věku 0-14 let v Praze tvořil 15,3 %, průměr za ČR byl 16,1 %. Odlišnost od ostatních krajů a průměru ČR byla i v podílu osob v produktivním věku. Podíl osob ve věku 15-64 let byl v Praze 66,3 %, tedy o 2,8 procentních bodů vyšší než průměr v ČR (63,5 %). Byl to také nejvyšší podíl osob v produktivním věku ze všech krajů ČR. Naopak podíl lidí ve věku 65 a více byl v Praze (18,4 %) o dva procentní body nižší než v celé ČR (20,4 %) a byl nejnižší i ve srovnání s ostatními kraji ČR.</w:t>
      </w:r>
    </w:p>
    <w:p w:rsidR="00D918DB" w:rsidRDefault="00D918DB" w:rsidP="00D918DB">
      <w:pPr>
        <w:rPr>
          <w:rFonts w:cs="Arial"/>
        </w:rPr>
      </w:pPr>
      <w:r w:rsidRPr="005F3682">
        <w:rPr>
          <w:rFonts w:cs="Arial"/>
        </w:rPr>
        <w:t xml:space="preserve">Nejpočetnější generací podle desetiletých věkových skupin byli lidé ve věku 30-39 let, tedy lidé narození v 80. letech a na </w:t>
      </w:r>
      <w:r>
        <w:rPr>
          <w:rFonts w:cs="Arial"/>
        </w:rPr>
        <w:t>úplném po</w:t>
      </w:r>
      <w:r w:rsidRPr="005F3682">
        <w:rPr>
          <w:rFonts w:cs="Arial"/>
        </w:rPr>
        <w:t>čátku 90. let minulého století.</w:t>
      </w:r>
      <w:r>
        <w:rPr>
          <w:rFonts w:cs="Arial"/>
        </w:rPr>
        <w:t xml:space="preserve"> V devadesátých letech porodnost prudce klesla a tak je významné zastoupení této věkové skupiny dáno především migrací </w:t>
      </w:r>
      <w:r>
        <w:t>z  ostatních krajů ČR i ze zahraničí.</w:t>
      </w:r>
      <w:r w:rsidRPr="005F3682">
        <w:rPr>
          <w:rFonts w:cs="Arial"/>
        </w:rPr>
        <w:t xml:space="preserve"> Podle jednotek věku byli nejvíce zastoupení lidé, kterým bylo 42 let, a to jak u mužů, tak i u</w:t>
      </w:r>
      <w:r>
        <w:rPr>
          <w:rFonts w:cs="Arial"/>
        </w:rPr>
        <w:t xml:space="preserve"> žen. Početně významná je kromě osob ve věku 30-39 let také populace osob narozených ve druhé polovině sedmdesátých let, které byly v době sčítání nejčastěji ve věku 40-46 let. </w:t>
      </w:r>
      <w:r w:rsidRPr="005F3682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</w:p>
    <w:p w:rsidR="007B30F8" w:rsidRPr="00524D59" w:rsidRDefault="007B30F8" w:rsidP="007B30F8">
      <w:pPr>
        <w:rPr>
          <w:rFonts w:cs="Arial"/>
          <w:b/>
        </w:rPr>
      </w:pPr>
      <w:r w:rsidRPr="00524D59">
        <w:rPr>
          <w:rFonts w:cs="Arial"/>
          <w:b/>
        </w:rPr>
        <w:t>Tab. 3.1.1 Obyvatelstvo v hl. m. Praze, Středočeském kraji a ČR</w:t>
      </w:r>
    </w:p>
    <w:p w:rsidR="007B30F8" w:rsidRDefault="007B30F8" w:rsidP="007B30F8">
      <w:pPr>
        <w:rPr>
          <w:rFonts w:cs="Arial"/>
        </w:rPr>
      </w:pPr>
      <w:r w:rsidRPr="00A72ABE">
        <w:rPr>
          <w:rFonts w:cs="Arial"/>
          <w:noProof/>
        </w:rPr>
        <w:drawing>
          <wp:inline distT="0" distB="0" distL="0" distR="0" wp14:anchorId="1825598C" wp14:editId="6BE909DA">
            <wp:extent cx="5758609" cy="8477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36" cy="8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D918DB" w:rsidRDefault="00D918DB" w:rsidP="00D918DB">
      <w:pPr>
        <w:rPr>
          <w:rFonts w:cs="Arial"/>
        </w:rPr>
      </w:pPr>
      <w:r w:rsidRPr="005F3682">
        <w:rPr>
          <w:rFonts w:cs="Arial"/>
        </w:rPr>
        <w:t>Nejnižší počet žijících osob byl logicky vlivem úmrtnosti na vrcholu věkové pyramidy. Počet osob starších 70 let se v jednotlivých generacích pohyboval pod hranicí 10 tis. osob. Hned po nejstarších věkových kategoriích byly v populaci hlavního města nejméně zastoupeny mladší věkové kategorie</w:t>
      </w:r>
      <w:r>
        <w:rPr>
          <w:rFonts w:cs="Arial"/>
        </w:rPr>
        <w:t xml:space="preserve"> a to konkrétně desetiletá skupina 10-19 let. V této skupině bylo o 23 tisíc obyvatel méně než ve skupině       0-9 let. Nejméně zastoupenou jednoletou věkovou skupinou z těch pod 70 let byli lidé, kterým bylo v době sčítání 17 let, tedy narození mezi roky 2003 a 2004. </w:t>
      </w:r>
    </w:p>
    <w:p w:rsidR="00D918DB" w:rsidRDefault="00D918DB" w:rsidP="00D918DB">
      <w:pPr>
        <w:rPr>
          <w:rFonts w:cs="Arial"/>
        </w:rPr>
      </w:pPr>
      <w:r w:rsidRPr="00D0055F">
        <w:rPr>
          <w:rFonts w:cs="Arial"/>
        </w:rPr>
        <w:t>Z pohledu věkové struktury jsou patrné odlišnosti v podílovém zastoupení mužů</w:t>
      </w:r>
      <w:r>
        <w:rPr>
          <w:rFonts w:cs="Arial"/>
        </w:rPr>
        <w:t xml:space="preserve"> </w:t>
      </w:r>
      <w:r w:rsidRPr="00D0055F">
        <w:rPr>
          <w:rFonts w:cs="Arial"/>
        </w:rPr>
        <w:t xml:space="preserve">a žen. Věková </w:t>
      </w:r>
      <w:r>
        <w:rPr>
          <w:rFonts w:cs="Arial"/>
        </w:rPr>
        <w:t>s</w:t>
      </w:r>
      <w:r w:rsidRPr="00D0055F">
        <w:rPr>
          <w:rFonts w:cs="Arial"/>
        </w:rPr>
        <w:t>truktura mužů je odlišná od věkové struktury žen. Zatímco</w:t>
      </w:r>
      <w:r>
        <w:rPr>
          <w:rFonts w:cs="Arial"/>
        </w:rPr>
        <w:t xml:space="preserve"> </w:t>
      </w:r>
      <w:r w:rsidRPr="00D0055F">
        <w:rPr>
          <w:rFonts w:cs="Arial"/>
        </w:rPr>
        <w:t>chlapců se rodí nepatrně více než dívek, ve starší populaci (65 a více)</w:t>
      </w:r>
      <w:r>
        <w:rPr>
          <w:rFonts w:cs="Arial"/>
        </w:rPr>
        <w:t xml:space="preserve"> </w:t>
      </w:r>
      <w:r w:rsidRPr="00D0055F">
        <w:rPr>
          <w:rFonts w:cs="Arial"/>
        </w:rPr>
        <w:t>převažují ženy. Z celkového rozložení populace starší 75 let, představují starší</w:t>
      </w:r>
      <w:r>
        <w:rPr>
          <w:rFonts w:cs="Arial"/>
        </w:rPr>
        <w:t xml:space="preserve"> ženy 62,5</w:t>
      </w:r>
      <w:r w:rsidRPr="00D0055F">
        <w:rPr>
          <w:rFonts w:cs="Arial"/>
        </w:rPr>
        <w:t xml:space="preserve"> %</w:t>
      </w:r>
      <w:r>
        <w:rPr>
          <w:rFonts w:cs="Arial"/>
        </w:rPr>
        <w:t xml:space="preserve"> případů</w:t>
      </w:r>
      <w:r w:rsidRPr="00D0055F">
        <w:rPr>
          <w:rFonts w:cs="Arial"/>
        </w:rPr>
        <w:t xml:space="preserve">. </w:t>
      </w:r>
      <w:r w:rsidRPr="00D0055F">
        <w:rPr>
          <w:rFonts w:cs="Arial"/>
        </w:rPr>
        <w:lastRenderedPageBreak/>
        <w:t>Ženy také dosahují vyššího průměrného věku než muži. Ženám</w:t>
      </w:r>
      <w:r>
        <w:rPr>
          <w:rFonts w:cs="Arial"/>
        </w:rPr>
        <w:t xml:space="preserve"> </w:t>
      </w:r>
      <w:r w:rsidRPr="00D0055F">
        <w:rPr>
          <w:rFonts w:cs="Arial"/>
        </w:rPr>
        <w:t>v hlavním městě by</w:t>
      </w:r>
      <w:r>
        <w:rPr>
          <w:rFonts w:cs="Arial"/>
        </w:rPr>
        <w:t>lo ke dni sčítání v průměru 42,8</w:t>
      </w:r>
      <w:r w:rsidRPr="00D0055F">
        <w:rPr>
          <w:rFonts w:cs="Arial"/>
        </w:rPr>
        <w:t xml:space="preserve"> let, mužům v</w:t>
      </w:r>
      <w:r>
        <w:rPr>
          <w:rFonts w:cs="Arial"/>
        </w:rPr>
        <w:t> </w:t>
      </w:r>
      <w:r w:rsidRPr="00D0055F">
        <w:rPr>
          <w:rFonts w:cs="Arial"/>
        </w:rPr>
        <w:t>průměru</w:t>
      </w:r>
      <w:r>
        <w:rPr>
          <w:rFonts w:cs="Arial"/>
        </w:rPr>
        <w:t xml:space="preserve"> </w:t>
      </w:r>
      <w:r w:rsidRPr="00D0055F">
        <w:rPr>
          <w:rFonts w:cs="Arial"/>
        </w:rPr>
        <w:t xml:space="preserve">o </w:t>
      </w:r>
      <w:r>
        <w:rPr>
          <w:rFonts w:cs="Arial"/>
        </w:rPr>
        <w:t xml:space="preserve">necelé </w:t>
      </w:r>
      <w:r w:rsidRPr="00D0055F">
        <w:rPr>
          <w:rFonts w:cs="Arial"/>
        </w:rPr>
        <w:t>3 roky méně (39,</w:t>
      </w:r>
      <w:r>
        <w:rPr>
          <w:rFonts w:cs="Arial"/>
        </w:rPr>
        <w:t>9</w:t>
      </w:r>
      <w:r w:rsidRPr="00D0055F">
        <w:rPr>
          <w:rFonts w:cs="Arial"/>
        </w:rPr>
        <w:t xml:space="preserve"> let). Také poměr mladé a starší populace (tzv. index</w:t>
      </w:r>
      <w:r>
        <w:rPr>
          <w:rFonts w:cs="Arial"/>
        </w:rPr>
        <w:t xml:space="preserve"> </w:t>
      </w:r>
      <w:r w:rsidRPr="00D0055F">
        <w:rPr>
          <w:rFonts w:cs="Arial"/>
        </w:rPr>
        <w:t>stáří - udávající počet obyvatel ve věku 65 a více let na 100 osob ve věku</w:t>
      </w:r>
      <w:r>
        <w:rPr>
          <w:rFonts w:cs="Arial"/>
        </w:rPr>
        <w:t xml:space="preserve"> </w:t>
      </w:r>
      <w:r w:rsidRPr="00D0055F">
        <w:rPr>
          <w:rFonts w:cs="Arial"/>
        </w:rPr>
        <w:t>0-14 let) je u obou pohlaví</w:t>
      </w:r>
      <w:r>
        <w:rPr>
          <w:rFonts w:cs="Arial"/>
        </w:rPr>
        <w:t xml:space="preserve"> výrazně</w:t>
      </w:r>
      <w:r w:rsidRPr="00D0055F">
        <w:rPr>
          <w:rFonts w:cs="Arial"/>
        </w:rPr>
        <w:t xml:space="preserve"> odlišný.</w:t>
      </w:r>
      <w:r>
        <w:rPr>
          <w:rFonts w:cs="Arial"/>
        </w:rPr>
        <w:t xml:space="preserve"> U mužů vlivem zvýšené úmrtnosti ve vyšších věkových skupinách převyšoval počet dětí ve věku 0-14 let počet mužů ve věku nad 65 let a hodnota indexu stáří je tak </w:t>
      </w:r>
      <w:r w:rsidRPr="00BC1E91">
        <w:rPr>
          <w:rFonts w:cs="Arial"/>
        </w:rPr>
        <w:t xml:space="preserve">pod stovkovou hranicí </w:t>
      </w:r>
      <w:r>
        <w:rPr>
          <w:rFonts w:cs="Arial"/>
        </w:rPr>
        <w:t>- 95,6, U žen naopak výrazně převyšoval počet ve věkové skupině 65 let a více a hodnota indexu stáří byla 145,5.</w:t>
      </w:r>
    </w:p>
    <w:p w:rsidR="00D918DB" w:rsidRDefault="00D918DB" w:rsidP="00D918DB">
      <w:r>
        <w:rPr>
          <w:rFonts w:cs="Arial"/>
        </w:rPr>
        <w:t>Věkové rozložení</w:t>
      </w:r>
      <w:r w:rsidRPr="00F1458C">
        <w:rPr>
          <w:rFonts w:cs="Arial"/>
        </w:rPr>
        <w:t xml:space="preserve"> obyvatelstva lze charakterizovat rovněž pomocí indexu</w:t>
      </w:r>
      <w:r>
        <w:rPr>
          <w:rFonts w:cs="Arial"/>
        </w:rPr>
        <w:t xml:space="preserve"> </w:t>
      </w:r>
      <w:r w:rsidRPr="00F1458C">
        <w:rPr>
          <w:rFonts w:cs="Arial"/>
        </w:rPr>
        <w:t>ekonomického zatížení, který vyjadřuje počet osob ve věku 0-14 let a počet</w:t>
      </w:r>
      <w:r>
        <w:rPr>
          <w:rFonts w:cs="Arial"/>
        </w:rPr>
        <w:t xml:space="preserve"> </w:t>
      </w:r>
      <w:r w:rsidRPr="00F1458C">
        <w:rPr>
          <w:rFonts w:cs="Arial"/>
        </w:rPr>
        <w:t>seniorů (osob ve věku 65 a více let) na 100 osob v produktivním věku</w:t>
      </w:r>
      <w:r>
        <w:rPr>
          <w:rFonts w:cs="Arial"/>
        </w:rPr>
        <w:t xml:space="preserve"> </w:t>
      </w:r>
      <w:r w:rsidRPr="00F1458C">
        <w:rPr>
          <w:rFonts w:cs="Arial"/>
        </w:rPr>
        <w:t xml:space="preserve">(15-64 let). Na 100 osob v produktivním věku připadalo </w:t>
      </w:r>
      <w:r>
        <w:rPr>
          <w:rFonts w:cs="Arial"/>
        </w:rPr>
        <w:t>51</w:t>
      </w:r>
      <w:r w:rsidRPr="00F1458C">
        <w:rPr>
          <w:rFonts w:cs="Arial"/>
        </w:rPr>
        <w:t xml:space="preserve"> osob</w:t>
      </w:r>
      <w:r>
        <w:rPr>
          <w:rFonts w:cs="Arial"/>
        </w:rPr>
        <w:t xml:space="preserve"> v neproduktivním věku (46 mužů, 55</w:t>
      </w:r>
      <w:r w:rsidRPr="00F1458C">
        <w:rPr>
          <w:rFonts w:cs="Arial"/>
        </w:rPr>
        <w:t xml:space="preserve"> žen)</w:t>
      </w:r>
      <w:r>
        <w:rPr>
          <w:rFonts w:cs="Arial"/>
        </w:rPr>
        <w:t xml:space="preserve">. </w:t>
      </w:r>
      <w:r w:rsidRPr="00805B84">
        <w:rPr>
          <w:rFonts w:cs="Arial"/>
        </w:rPr>
        <w:t>In</w:t>
      </w:r>
      <w:r>
        <w:t>dex ekonomického zatížení nepostihuje ekonomickou závislost, dává do poměru pouze vybrané věkové skupiny. Podíl závislých osob může být jiný, protože část osob v produktivním věku je nezaměstnaných, naopak část osob ve věku 65 let a více je zaměstnáno.</w:t>
      </w:r>
    </w:p>
    <w:p w:rsidR="007B30F8" w:rsidRDefault="007B30F8" w:rsidP="007B30F8"/>
    <w:p w:rsidR="007B30F8" w:rsidRDefault="007B30F8" w:rsidP="007B30F8">
      <w:pPr>
        <w:rPr>
          <w:rFonts w:cs="Arial"/>
          <w:b/>
        </w:rPr>
      </w:pPr>
      <w:r w:rsidRPr="00480517">
        <w:rPr>
          <w:rFonts w:cs="Arial"/>
          <w:b/>
        </w:rPr>
        <w:t>Tab. 3.1.2 Obyvatelstvo podle pohlaví a věku v hl. m. Praze, Středočeském kraji a ČR</w:t>
      </w:r>
    </w:p>
    <w:p w:rsidR="007B30F8" w:rsidRDefault="007B30F8" w:rsidP="007B30F8">
      <w:pPr>
        <w:rPr>
          <w:rFonts w:cs="Arial"/>
          <w:b/>
        </w:rPr>
      </w:pPr>
      <w:r w:rsidRPr="00A72ABE">
        <w:rPr>
          <w:rFonts w:cs="Arial"/>
          <w:b/>
          <w:noProof/>
        </w:rPr>
        <w:drawing>
          <wp:inline distT="0" distB="0" distL="0" distR="0" wp14:anchorId="662BE0A9" wp14:editId="3C56A5F6">
            <wp:extent cx="5760720" cy="1133561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87" w:rsidRPr="00480517" w:rsidRDefault="000F5687" w:rsidP="007B30F8">
      <w:pPr>
        <w:rPr>
          <w:rFonts w:cs="Arial"/>
          <w:b/>
        </w:rPr>
      </w:pPr>
    </w:p>
    <w:p w:rsidR="000F5687" w:rsidRDefault="00D918DB" w:rsidP="00D918DB">
      <w:pPr>
        <w:rPr>
          <w:rFonts w:cs="Arial"/>
        </w:rPr>
      </w:pPr>
      <w:r>
        <w:rPr>
          <w:rFonts w:cs="Arial"/>
        </w:rPr>
        <w:t xml:space="preserve">Obyvatelé Prahy jsou v průměru mladší než obyvatelé celé ČR. Průměrný věk obyvatel Prahy byl o 1,3 let nižší než v České republice, kdy v Praze byl 41,4 a v ČR 42,7. Stejný rozdíl mezi Prahou a ČR byl i u průměrného věku mužů, i u žen. Praha také měla jak celkově, tak i u mužů, tuto hodnotu nejnižší ze všech krajů ČR. U žen byla druhá nejnižší po Středočeském kraji.  </w:t>
      </w:r>
    </w:p>
    <w:p w:rsidR="000F5687" w:rsidRDefault="000F5687" w:rsidP="000F5687">
      <w:r>
        <w:br w:type="page"/>
      </w:r>
    </w:p>
    <w:p w:rsidR="000F5687" w:rsidRPr="000F5687" w:rsidRDefault="000F5687" w:rsidP="000F5687">
      <w:pPr>
        <w:rPr>
          <w:rFonts w:cs="Arial"/>
          <w:b/>
        </w:rPr>
      </w:pPr>
      <w:r>
        <w:rPr>
          <w:rFonts w:cs="Arial"/>
          <w:b/>
        </w:rPr>
        <w:t xml:space="preserve">Kartogram 3.1 </w:t>
      </w:r>
      <w:r w:rsidRPr="000F5687">
        <w:rPr>
          <w:rFonts w:cs="Arial"/>
          <w:b/>
        </w:rPr>
        <w:t>Index stáří v městských částech hl. m. Prahy</w:t>
      </w:r>
    </w:p>
    <w:p w:rsidR="000F5687" w:rsidRDefault="007B30F8" w:rsidP="007B30F8">
      <w:pPr>
        <w:rPr>
          <w:rFonts w:cs="Arial"/>
          <w:b/>
        </w:rPr>
      </w:pPr>
      <w:r w:rsidRPr="00561A62">
        <w:rPr>
          <w:rFonts w:cs="Arial"/>
          <w:b/>
          <w:noProof/>
        </w:rPr>
        <w:drawing>
          <wp:inline distT="0" distB="0" distL="0" distR="0" wp14:anchorId="63299DCA" wp14:editId="4E973CE7">
            <wp:extent cx="5758815" cy="4122420"/>
            <wp:effectExtent l="0" t="0" r="0" b="0"/>
            <wp:docPr id="7" name="Obrázek 7" descr="C:\Users\vlc37431\Documents\SLDB 2022 publikace\Hlavní publikace\kartogramy\IndexStar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c37431\Documents\SLDB 2022 publikace\Hlavní publikace\kartogramy\IndexStari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8" b="1067"/>
                    <a:stretch/>
                  </pic:blipFill>
                  <pic:spPr bwMode="auto">
                    <a:xfrm>
                      <a:off x="0" y="0"/>
                      <a:ext cx="5760000" cy="41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87" w:rsidRDefault="000F5687" w:rsidP="000F5687">
      <w:pPr>
        <w:spacing w:before="360"/>
        <w:rPr>
          <w:rFonts w:cs="Arial"/>
          <w:b/>
        </w:rPr>
      </w:pPr>
      <w:r>
        <w:rPr>
          <w:rFonts w:cs="Arial"/>
          <w:b/>
        </w:rPr>
        <w:t>Kartogram 3.2 Děti v městských částech hl. m. Prahy</w:t>
      </w:r>
    </w:p>
    <w:p w:rsidR="007B30F8" w:rsidRDefault="007B30F8" w:rsidP="007B30F8">
      <w:pPr>
        <w:rPr>
          <w:rFonts w:cs="Arial"/>
          <w:b/>
        </w:rPr>
      </w:pPr>
      <w:r w:rsidRPr="00561A62">
        <w:rPr>
          <w:rFonts w:cs="Arial"/>
          <w:b/>
          <w:noProof/>
        </w:rPr>
        <w:drawing>
          <wp:inline distT="0" distB="0" distL="0" distR="0" wp14:anchorId="1B0840B0" wp14:editId="26A66074">
            <wp:extent cx="5759307" cy="4048760"/>
            <wp:effectExtent l="0" t="0" r="0" b="8890"/>
            <wp:docPr id="38" name="Obrázek 38" descr="C:\Users\vlc37431\Documents\SLDB 2022 publikace\Hlavní publikace\kartogramy\Podil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c37431\Documents\SLDB 2022 publikace\Hlavní publikace\kartogramy\PodilDe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/>
                    <a:stretch/>
                  </pic:blipFill>
                  <pic:spPr bwMode="auto">
                    <a:xfrm>
                      <a:off x="0" y="0"/>
                      <a:ext cx="5760000" cy="4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0F8" w:rsidRPr="005F3682" w:rsidRDefault="007B30F8" w:rsidP="007B30F8">
      <w:pPr>
        <w:rPr>
          <w:rFonts w:cs="Arial"/>
        </w:rPr>
      </w:pPr>
      <w:r>
        <w:rPr>
          <w:rFonts w:cs="Arial"/>
          <w:b/>
        </w:rPr>
        <w:t>Graf 3</w:t>
      </w:r>
      <w:r w:rsidRPr="00AC71A1">
        <w:rPr>
          <w:rFonts w:cs="Arial"/>
          <w:b/>
        </w:rPr>
        <w:t>.</w:t>
      </w:r>
      <w:r>
        <w:rPr>
          <w:rFonts w:cs="Arial"/>
          <w:b/>
        </w:rPr>
        <w:t xml:space="preserve">1 </w:t>
      </w:r>
      <w:r w:rsidRPr="00AC71A1">
        <w:rPr>
          <w:rFonts w:cs="Arial"/>
          <w:b/>
        </w:rPr>
        <w:t>Obyvatelstvo podle pohlaví, věku a rodinného stavu v hl. m. Praze</w:t>
      </w:r>
      <w:r>
        <w:rPr>
          <w:noProof/>
        </w:rPr>
        <w:drawing>
          <wp:inline distT="0" distB="0" distL="0" distR="0" wp14:anchorId="57CF04AD" wp14:editId="3BF34614">
            <wp:extent cx="5760720" cy="70161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2" w:name="_Toc145675406"/>
      <w:r w:rsidRPr="005F3682">
        <w:rPr>
          <w:rFonts w:cs="Arial"/>
        </w:rPr>
        <w:t>Rodinný stav</w:t>
      </w:r>
      <w:bookmarkEnd w:id="2"/>
      <w:r w:rsidRPr="005F3682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 w:rsidRPr="005D38DC">
        <w:rPr>
          <w:rFonts w:cs="Arial"/>
        </w:rPr>
        <w:t>Vedle struktury podle věku je významnou charakteristikou obyvatelstva jeho složení podle rodinného</w:t>
      </w:r>
      <w:r w:rsidRPr="005D38DC">
        <w:rPr>
          <w:rFonts w:cs="Arial"/>
        </w:rPr>
        <w:br/>
        <w:t>stavu. To je určováno především časováním vstupu do manželství, výší rozvodovosti a s ní spojené</w:t>
      </w:r>
      <w:r w:rsidRPr="005D38DC">
        <w:rPr>
          <w:rFonts w:cs="Arial"/>
        </w:rPr>
        <w:br/>
        <w:t>sňatečnosti rozvedených. Ve vyšším věku ovlivňuje strukturu obyvatelstva podle rodinného stavu rozdílná</w:t>
      </w:r>
      <w:r>
        <w:rPr>
          <w:rFonts w:cs="Arial"/>
        </w:rPr>
        <w:t xml:space="preserve"> </w:t>
      </w:r>
      <w:r w:rsidRPr="005D38DC">
        <w:rPr>
          <w:rFonts w:cs="Arial"/>
        </w:rPr>
        <w:t>úroveň úmrtnosti mužů a žen. Na počty a podíly osob podle věku a rodinného stavu dále působí</w:t>
      </w:r>
      <w:r w:rsidRPr="005D38DC">
        <w:rPr>
          <w:rFonts w:cs="Arial"/>
        </w:rPr>
        <w:br/>
        <w:t>nepravidelnost věkové struktury zmíněná v předchozí podkapitole.</w:t>
      </w:r>
    </w:p>
    <w:p w:rsidR="00D918DB" w:rsidRDefault="00D918DB" w:rsidP="00D918DB">
      <w:pPr>
        <w:rPr>
          <w:rFonts w:cs="Arial"/>
        </w:rPr>
      </w:pPr>
      <w:r w:rsidRPr="00365922">
        <w:rPr>
          <w:rFonts w:cs="Arial"/>
        </w:rPr>
        <w:t xml:space="preserve">Z celkového počtu </w:t>
      </w:r>
      <w:r>
        <w:rPr>
          <w:rFonts w:cs="Arial"/>
        </w:rPr>
        <w:t>mužů nad 15 let žijících v </w:t>
      </w:r>
      <w:r w:rsidRPr="00365922">
        <w:rPr>
          <w:rFonts w:cs="Arial"/>
        </w:rPr>
        <w:t>Pra</w:t>
      </w:r>
      <w:r>
        <w:rPr>
          <w:rFonts w:cs="Arial"/>
        </w:rPr>
        <w:t xml:space="preserve">ze </w:t>
      </w:r>
      <w:r w:rsidRPr="00365922">
        <w:rPr>
          <w:rFonts w:cs="Arial"/>
        </w:rPr>
        <w:t>se z</w:t>
      </w:r>
      <w:r>
        <w:rPr>
          <w:rFonts w:cs="Arial"/>
        </w:rPr>
        <w:t>jištěným rodinným stavem jich bylo 43</w:t>
      </w:r>
      <w:r w:rsidRPr="00365922">
        <w:rPr>
          <w:rFonts w:cs="Arial"/>
        </w:rPr>
        <w:t>,</w:t>
      </w:r>
      <w:r>
        <w:rPr>
          <w:rFonts w:cs="Arial"/>
        </w:rPr>
        <w:t>3</w:t>
      </w:r>
      <w:r w:rsidRPr="00365922">
        <w:rPr>
          <w:rFonts w:cs="Arial"/>
        </w:rPr>
        <w:t xml:space="preserve"> %</w:t>
      </w:r>
      <w:r>
        <w:rPr>
          <w:rFonts w:cs="Arial"/>
        </w:rPr>
        <w:t xml:space="preserve"> </w:t>
      </w:r>
      <w:r w:rsidRPr="00365922">
        <w:rPr>
          <w:rFonts w:cs="Arial"/>
        </w:rPr>
        <w:t xml:space="preserve">svobodných, </w:t>
      </w:r>
      <w:r>
        <w:rPr>
          <w:rFonts w:cs="Arial"/>
        </w:rPr>
        <w:t>42,6</w:t>
      </w:r>
      <w:r w:rsidRPr="00365922">
        <w:rPr>
          <w:rFonts w:cs="Arial"/>
        </w:rPr>
        <w:t xml:space="preserve"> </w:t>
      </w:r>
      <w:r>
        <w:rPr>
          <w:rFonts w:cs="Arial"/>
        </w:rPr>
        <w:t>% ženatých, 11,6 % rozvedených a 2,3</w:t>
      </w:r>
      <w:r w:rsidRPr="00365922">
        <w:rPr>
          <w:rFonts w:cs="Arial"/>
        </w:rPr>
        <w:t xml:space="preserve"> %</w:t>
      </w:r>
      <w:r>
        <w:rPr>
          <w:rFonts w:cs="Arial"/>
        </w:rPr>
        <w:t xml:space="preserve"> </w:t>
      </w:r>
      <w:r w:rsidRPr="00365922">
        <w:rPr>
          <w:rFonts w:cs="Arial"/>
        </w:rPr>
        <w:t>ovdovělých.</w:t>
      </w:r>
      <w:r>
        <w:rPr>
          <w:rFonts w:cs="Arial"/>
        </w:rPr>
        <w:t xml:space="preserve"> U žen bylo svobodných 34,5 % žen, vdaných 39,2 %, rozvedených 15,9 % a ovdovělých 10,4 % žen. </w:t>
      </w:r>
      <w:r w:rsidRPr="00365922">
        <w:rPr>
          <w:rFonts w:cs="Arial"/>
        </w:rPr>
        <w:t xml:space="preserve">Podíl svobodných </w:t>
      </w:r>
      <w:r>
        <w:rPr>
          <w:rFonts w:cs="Arial"/>
        </w:rPr>
        <w:t>mužů</w:t>
      </w:r>
      <w:r w:rsidRPr="00365922">
        <w:rPr>
          <w:rFonts w:cs="Arial"/>
        </w:rPr>
        <w:t xml:space="preserve"> v</w:t>
      </w:r>
      <w:r>
        <w:rPr>
          <w:rFonts w:cs="Arial"/>
        </w:rPr>
        <w:t> </w:t>
      </w:r>
      <w:r w:rsidRPr="00365922">
        <w:rPr>
          <w:rFonts w:cs="Arial"/>
        </w:rPr>
        <w:t>Praze</w:t>
      </w:r>
      <w:r>
        <w:rPr>
          <w:rFonts w:cs="Arial"/>
        </w:rPr>
        <w:t xml:space="preserve"> převyšoval</w:t>
      </w:r>
      <w:r w:rsidRPr="00365922">
        <w:rPr>
          <w:rFonts w:cs="Arial"/>
        </w:rPr>
        <w:t xml:space="preserve"> podíl svobodných</w:t>
      </w:r>
      <w:r>
        <w:rPr>
          <w:rFonts w:cs="Arial"/>
        </w:rPr>
        <w:t xml:space="preserve"> mužů </w:t>
      </w:r>
      <w:r w:rsidRPr="00365922">
        <w:rPr>
          <w:rFonts w:cs="Arial"/>
        </w:rPr>
        <w:t xml:space="preserve">v České republice o </w:t>
      </w:r>
      <w:r>
        <w:rPr>
          <w:rFonts w:cs="Arial"/>
        </w:rPr>
        <w:t>5,8</w:t>
      </w:r>
      <w:r w:rsidRPr="00365922">
        <w:rPr>
          <w:rFonts w:cs="Arial"/>
        </w:rPr>
        <w:t xml:space="preserve"> procentních bodů</w:t>
      </w:r>
      <w:r>
        <w:rPr>
          <w:rFonts w:cs="Arial"/>
        </w:rPr>
        <w:t>. Podíl ženatých mužů ve stejné věkově kategorii byl v Praze o 4,2 procentní body nižší</w:t>
      </w:r>
      <w:r w:rsidRPr="00365922">
        <w:rPr>
          <w:rFonts w:cs="Arial"/>
        </w:rPr>
        <w:t>. Výrazný rozdíl oproti republikovému průměru jsme mohli zaznamenat</w:t>
      </w:r>
      <w:r>
        <w:rPr>
          <w:rFonts w:cs="Arial"/>
        </w:rPr>
        <w:t xml:space="preserve"> </w:t>
      </w:r>
      <w:r w:rsidRPr="00365922">
        <w:rPr>
          <w:rFonts w:cs="Arial"/>
        </w:rPr>
        <w:t xml:space="preserve">také u </w:t>
      </w:r>
      <w:r>
        <w:rPr>
          <w:rFonts w:cs="Arial"/>
        </w:rPr>
        <w:t>svobodných</w:t>
      </w:r>
      <w:r w:rsidRPr="00365922">
        <w:rPr>
          <w:rFonts w:cs="Arial"/>
        </w:rPr>
        <w:t xml:space="preserve"> </w:t>
      </w:r>
      <w:r>
        <w:rPr>
          <w:rFonts w:cs="Arial"/>
        </w:rPr>
        <w:t>a vdaných žen. P</w:t>
      </w:r>
      <w:r w:rsidRPr="00365922">
        <w:rPr>
          <w:rFonts w:cs="Arial"/>
        </w:rPr>
        <w:t xml:space="preserve">odíl </w:t>
      </w:r>
      <w:r>
        <w:rPr>
          <w:rFonts w:cs="Arial"/>
        </w:rPr>
        <w:t xml:space="preserve">svobodných žen nad 15 let </w:t>
      </w:r>
      <w:r w:rsidRPr="00365922">
        <w:rPr>
          <w:rFonts w:cs="Arial"/>
        </w:rPr>
        <w:t>byl v</w:t>
      </w:r>
      <w:r>
        <w:rPr>
          <w:rFonts w:cs="Arial"/>
        </w:rPr>
        <w:t> </w:t>
      </w:r>
      <w:r w:rsidRPr="00365922">
        <w:rPr>
          <w:rFonts w:cs="Arial"/>
        </w:rPr>
        <w:t>hlavním</w:t>
      </w:r>
      <w:r>
        <w:rPr>
          <w:rFonts w:cs="Arial"/>
        </w:rPr>
        <w:t xml:space="preserve"> městě o 7</w:t>
      </w:r>
      <w:r w:rsidRPr="00365922">
        <w:rPr>
          <w:rFonts w:cs="Arial"/>
        </w:rPr>
        <w:t>,</w:t>
      </w:r>
      <w:r>
        <w:rPr>
          <w:rFonts w:cs="Arial"/>
        </w:rPr>
        <w:t>6 p. b. vyšší než v celé ČR, podíl vdaných žen byl o 5,3 p. b. nižší.</w:t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  <w:noProof/>
        </w:rPr>
      </w:pPr>
      <w:r w:rsidRPr="00B83717">
        <w:rPr>
          <w:rFonts w:cs="Arial"/>
          <w:b/>
        </w:rPr>
        <w:t>Tab. 3.2.1 Obyvatelstvo podle pohlaví, rodinného stavu a věku</w:t>
      </w:r>
    </w:p>
    <w:p w:rsidR="007B30F8" w:rsidRDefault="007B30F8" w:rsidP="007B30F8">
      <w:pPr>
        <w:rPr>
          <w:rFonts w:cs="Arial"/>
        </w:rPr>
      </w:pPr>
      <w:r w:rsidRPr="00480517">
        <w:rPr>
          <w:rFonts w:cs="Arial"/>
          <w:noProof/>
        </w:rPr>
        <w:drawing>
          <wp:inline distT="0" distB="0" distL="0" distR="0" wp14:anchorId="7ED42FF3" wp14:editId="2D407072">
            <wp:extent cx="5760720" cy="248241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  <w:r w:rsidRPr="00162085">
        <w:rPr>
          <w:rFonts w:cs="Arial"/>
        </w:rPr>
        <w:t>Rozdíly ve struktuře podle rodinného stavu byly výraznější při současném</w:t>
      </w:r>
      <w:r>
        <w:rPr>
          <w:rFonts w:cs="Arial"/>
        </w:rPr>
        <w:t xml:space="preserve"> </w:t>
      </w:r>
      <w:r w:rsidRPr="00162085">
        <w:rPr>
          <w:rFonts w:cs="Arial"/>
        </w:rPr>
        <w:t>zahrnutí kritéria věku a pohlaví. Do 15 let věku jsou všechny osoby z</w:t>
      </w:r>
      <w:r>
        <w:rPr>
          <w:rFonts w:cs="Arial"/>
        </w:rPr>
        <w:t> </w:t>
      </w:r>
      <w:r w:rsidRPr="00162085">
        <w:rPr>
          <w:rFonts w:cs="Arial"/>
        </w:rPr>
        <w:t>hlediska</w:t>
      </w:r>
      <w:r>
        <w:rPr>
          <w:rFonts w:cs="Arial"/>
        </w:rPr>
        <w:t xml:space="preserve"> </w:t>
      </w:r>
      <w:r w:rsidRPr="00162085">
        <w:rPr>
          <w:rFonts w:cs="Arial"/>
        </w:rPr>
        <w:t>rodinného stavu svobodné. Pro osoby starší 15 let svobodné i žijící</w:t>
      </w:r>
      <w:r>
        <w:rPr>
          <w:rFonts w:cs="Arial"/>
        </w:rPr>
        <w:t xml:space="preserve"> </w:t>
      </w:r>
      <w:r w:rsidRPr="00162085">
        <w:rPr>
          <w:rFonts w:cs="Arial"/>
        </w:rPr>
        <w:t>v manželství byl charakteristický jejich vyšší podíl mezi muži. Mezi osobami</w:t>
      </w:r>
      <w:r>
        <w:rPr>
          <w:rFonts w:cs="Arial"/>
        </w:rPr>
        <w:t xml:space="preserve"> </w:t>
      </w:r>
      <w:r w:rsidRPr="00162085">
        <w:rPr>
          <w:rFonts w:cs="Arial"/>
        </w:rPr>
        <w:t>rozvedenými a ovdovělými bychom naopak častěji hledali ženy. Především díky</w:t>
      </w:r>
      <w:r>
        <w:rPr>
          <w:rFonts w:cs="Arial"/>
        </w:rPr>
        <w:t xml:space="preserve"> </w:t>
      </w:r>
      <w:r w:rsidRPr="00162085">
        <w:rPr>
          <w:rFonts w:cs="Arial"/>
        </w:rPr>
        <w:t xml:space="preserve">tomu, že u </w:t>
      </w:r>
      <w:r>
        <w:rPr>
          <w:rFonts w:cs="Arial"/>
        </w:rPr>
        <w:t>r</w:t>
      </w:r>
      <w:r w:rsidRPr="00162085">
        <w:rPr>
          <w:rFonts w:cs="Arial"/>
        </w:rPr>
        <w:t>ozvedených uzavírali další manželství častěji muži než ženy.</w:t>
      </w:r>
      <w:r>
        <w:rPr>
          <w:rFonts w:cs="Arial"/>
        </w:rPr>
        <w:t xml:space="preserve"> </w:t>
      </w:r>
      <w:r w:rsidRPr="00162085">
        <w:rPr>
          <w:rFonts w:cs="Arial"/>
        </w:rPr>
        <w:t>Převaha vdov nad vdovci byla logicky způsobena vyšší úmrtností mužů.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Společenským jevem, jenž byl zaznamenán už při minulém sčítání lidu a jenž se v uplynulých deseti letech dále pokračoval, bylo s</w:t>
      </w:r>
      <w:r w:rsidRPr="00162085">
        <w:rPr>
          <w:rFonts w:cs="Arial"/>
        </w:rPr>
        <w:t>nižování sňatečnosti</w:t>
      </w:r>
      <w:r>
        <w:rPr>
          <w:rFonts w:cs="Arial"/>
        </w:rPr>
        <w:t xml:space="preserve"> v mladším věku a preference</w:t>
      </w:r>
      <w:r w:rsidRPr="00162085">
        <w:rPr>
          <w:rFonts w:cs="Arial"/>
        </w:rPr>
        <w:t xml:space="preserve"> neformálních soužití. Odklad</w:t>
      </w:r>
      <w:r>
        <w:rPr>
          <w:rFonts w:cs="Arial"/>
        </w:rPr>
        <w:t xml:space="preserve"> </w:t>
      </w:r>
      <w:r w:rsidRPr="00162085">
        <w:rPr>
          <w:rFonts w:cs="Arial"/>
        </w:rPr>
        <w:t xml:space="preserve">sňatků </w:t>
      </w:r>
      <w:r>
        <w:rPr>
          <w:rFonts w:cs="Arial"/>
        </w:rPr>
        <w:t>do</w:t>
      </w:r>
      <w:r w:rsidRPr="00162085">
        <w:rPr>
          <w:rFonts w:cs="Arial"/>
        </w:rPr>
        <w:t>prová</w:t>
      </w:r>
      <w:r>
        <w:rPr>
          <w:rFonts w:cs="Arial"/>
        </w:rPr>
        <w:t>zí také</w:t>
      </w:r>
      <w:r w:rsidRPr="00162085">
        <w:rPr>
          <w:rFonts w:cs="Arial"/>
        </w:rPr>
        <w:t xml:space="preserve"> posun maximální plodnosti do vyššího věku. To pak dále ovlivňuje také celkový počet dětí</w:t>
      </w:r>
      <w:r>
        <w:rPr>
          <w:rFonts w:cs="Arial"/>
        </w:rPr>
        <w:t xml:space="preserve"> </w:t>
      </w:r>
      <w:r w:rsidRPr="00162085">
        <w:rPr>
          <w:rFonts w:cs="Arial"/>
        </w:rPr>
        <w:t>v populaci, kdy ženy, které jsou prvorodičkami ve vyšším věku, mají během</w:t>
      </w:r>
      <w:r>
        <w:rPr>
          <w:rFonts w:cs="Arial"/>
        </w:rPr>
        <w:t xml:space="preserve"> </w:t>
      </w:r>
      <w:r w:rsidRPr="00162085">
        <w:rPr>
          <w:rFonts w:cs="Arial"/>
        </w:rPr>
        <w:t>svého života méně dětí</w:t>
      </w:r>
    </w:p>
    <w:p w:rsidR="007B30F8" w:rsidRDefault="007B30F8" w:rsidP="007B30F8">
      <w:pPr>
        <w:rPr>
          <w:rFonts w:cs="Arial"/>
        </w:rPr>
      </w:pPr>
      <w:r w:rsidRPr="00963687">
        <w:rPr>
          <w:rFonts w:cs="Arial"/>
        </w:rPr>
        <w:t>V důsledku posunu uzavíraní manželství do vyššího věku či jeho nahrazování</w:t>
      </w:r>
      <w:r>
        <w:rPr>
          <w:rFonts w:cs="Arial"/>
        </w:rPr>
        <w:t xml:space="preserve"> </w:t>
      </w:r>
      <w:r w:rsidRPr="00963687">
        <w:rPr>
          <w:rFonts w:cs="Arial"/>
        </w:rPr>
        <w:t>nesezdaným soužitím byl vysoký podíl svobodných mezi mladými lidmi.</w:t>
      </w:r>
      <w:r>
        <w:rPr>
          <w:rFonts w:cs="Arial"/>
        </w:rPr>
        <w:t xml:space="preserve"> </w:t>
      </w:r>
      <w:r w:rsidRPr="00963687">
        <w:rPr>
          <w:rFonts w:cs="Arial"/>
        </w:rPr>
        <w:t xml:space="preserve">Ve věkové skupině 25-29 let bylo </w:t>
      </w:r>
      <w:r>
        <w:rPr>
          <w:rFonts w:cs="Arial"/>
        </w:rPr>
        <w:t>80</w:t>
      </w:r>
      <w:r w:rsidRPr="00963687">
        <w:rPr>
          <w:rFonts w:cs="Arial"/>
        </w:rPr>
        <w:t xml:space="preserve"> % žen svobodných, mužů dokonce</w:t>
      </w:r>
      <w:r>
        <w:rPr>
          <w:rFonts w:cs="Arial"/>
        </w:rPr>
        <w:t xml:space="preserve"> </w:t>
      </w:r>
      <w:r w:rsidRPr="00963687">
        <w:rPr>
          <w:rFonts w:cs="Arial"/>
        </w:rPr>
        <w:t xml:space="preserve">o </w:t>
      </w:r>
      <w:r>
        <w:rPr>
          <w:rFonts w:cs="Arial"/>
        </w:rPr>
        <w:t>7,6</w:t>
      </w:r>
      <w:r w:rsidRPr="00963687">
        <w:rPr>
          <w:rFonts w:cs="Arial"/>
        </w:rPr>
        <w:t xml:space="preserve"> procentních bodů více. Ve věku 30-34 let byla stále ještě nadpoloviční</w:t>
      </w:r>
      <w:r>
        <w:rPr>
          <w:rFonts w:cs="Arial"/>
        </w:rPr>
        <w:t xml:space="preserve"> </w:t>
      </w:r>
      <w:r w:rsidRPr="00963687">
        <w:rPr>
          <w:rFonts w:cs="Arial"/>
        </w:rPr>
        <w:t xml:space="preserve">většina </w:t>
      </w:r>
      <w:r>
        <w:rPr>
          <w:rFonts w:cs="Arial"/>
        </w:rPr>
        <w:t>žen (58,3 %), i mužů (69,1 %)</w:t>
      </w:r>
      <w:r w:rsidRPr="00963687">
        <w:rPr>
          <w:rFonts w:cs="Arial"/>
        </w:rPr>
        <w:t xml:space="preserve"> této věkové kategorie svobodných. Teprve ve věkové kategorii</w:t>
      </w:r>
      <w:r>
        <w:rPr>
          <w:rFonts w:cs="Arial"/>
        </w:rPr>
        <w:t xml:space="preserve"> 40-49 </w:t>
      </w:r>
      <w:r w:rsidRPr="00963687">
        <w:rPr>
          <w:rFonts w:cs="Arial"/>
        </w:rPr>
        <w:t xml:space="preserve">let byla nadpoloviční většina </w:t>
      </w:r>
      <w:r>
        <w:rPr>
          <w:rFonts w:cs="Arial"/>
        </w:rPr>
        <w:t xml:space="preserve">žen vdaná a to 51,8 %. Podíl ženatých mužů v této věkové kategorii nepřesáhl polovinu jen těsně (49,4 %). </w:t>
      </w:r>
      <w:r w:rsidRPr="00963687">
        <w:rPr>
          <w:rFonts w:cs="Arial"/>
        </w:rPr>
        <w:t>Manželství velmi</w:t>
      </w:r>
      <w:r>
        <w:rPr>
          <w:rFonts w:cs="Arial"/>
        </w:rPr>
        <w:t xml:space="preserve"> </w:t>
      </w:r>
      <w:r w:rsidRPr="00963687">
        <w:rPr>
          <w:rFonts w:cs="Arial"/>
        </w:rPr>
        <w:t>mladých párů prakticky vymizela. Vdaných žen mladších 20 let bylo v</w:t>
      </w:r>
      <w:r>
        <w:rPr>
          <w:rFonts w:cs="Arial"/>
        </w:rPr>
        <w:t> </w:t>
      </w:r>
      <w:r w:rsidRPr="00963687">
        <w:rPr>
          <w:rFonts w:cs="Arial"/>
        </w:rPr>
        <w:t>hlavním</w:t>
      </w:r>
      <w:r>
        <w:rPr>
          <w:rFonts w:cs="Arial"/>
        </w:rPr>
        <w:t xml:space="preserve"> </w:t>
      </w:r>
      <w:r w:rsidRPr="00963687">
        <w:rPr>
          <w:rFonts w:cs="Arial"/>
        </w:rPr>
        <w:t xml:space="preserve">městě sečteno pouze </w:t>
      </w:r>
      <w:r>
        <w:rPr>
          <w:rFonts w:cs="Arial"/>
        </w:rPr>
        <w:t>25, ženatí muži</w:t>
      </w:r>
      <w:r w:rsidRPr="00963687">
        <w:rPr>
          <w:rFonts w:cs="Arial"/>
        </w:rPr>
        <w:t xml:space="preserve"> </w:t>
      </w:r>
      <w:r>
        <w:rPr>
          <w:rFonts w:cs="Arial"/>
        </w:rPr>
        <w:t xml:space="preserve">byli </w:t>
      </w:r>
      <w:r w:rsidRPr="00963687">
        <w:rPr>
          <w:rFonts w:cs="Arial"/>
        </w:rPr>
        <w:t xml:space="preserve">pouze </w:t>
      </w:r>
      <w:r>
        <w:rPr>
          <w:rFonts w:cs="Arial"/>
        </w:rPr>
        <w:t>4.</w:t>
      </w:r>
    </w:p>
    <w:p w:rsidR="007B30F8" w:rsidRDefault="007B30F8" w:rsidP="007B30F8">
      <w:pPr>
        <w:rPr>
          <w:rFonts w:cs="Arial"/>
        </w:rPr>
      </w:pPr>
      <w:r w:rsidRPr="0046025F">
        <w:rPr>
          <w:rFonts w:cs="Arial"/>
        </w:rPr>
        <w:t>Díky vzestupu rozvodovosti a snížení zájmu o opětovné uzavření manželství</w:t>
      </w:r>
      <w:r>
        <w:rPr>
          <w:rFonts w:cs="Arial"/>
        </w:rPr>
        <w:t xml:space="preserve"> </w:t>
      </w:r>
      <w:r w:rsidRPr="0046025F">
        <w:rPr>
          <w:rFonts w:cs="Arial"/>
        </w:rPr>
        <w:t xml:space="preserve">přibývá se zvyšujícím </w:t>
      </w:r>
      <w:r>
        <w:rPr>
          <w:rFonts w:cs="Arial"/>
        </w:rPr>
        <w:t xml:space="preserve">se </w:t>
      </w:r>
      <w:r w:rsidRPr="0046025F">
        <w:rPr>
          <w:rFonts w:cs="Arial"/>
        </w:rPr>
        <w:t>věkem také rozvedených osob. Nejvíce rozvedených</w:t>
      </w:r>
      <w:r>
        <w:rPr>
          <w:rFonts w:cs="Arial"/>
        </w:rPr>
        <w:t xml:space="preserve"> </w:t>
      </w:r>
      <w:r w:rsidRPr="0046025F">
        <w:rPr>
          <w:rFonts w:cs="Arial"/>
        </w:rPr>
        <w:t>mužů i žen v příslušné věkové skupině bylo v Praze ve věku 50-59 let (z dané</w:t>
      </w:r>
      <w:r>
        <w:rPr>
          <w:rFonts w:cs="Arial"/>
        </w:rPr>
        <w:t xml:space="preserve"> </w:t>
      </w:r>
      <w:r w:rsidRPr="0046025F">
        <w:rPr>
          <w:rFonts w:cs="Arial"/>
        </w:rPr>
        <w:t>vě</w:t>
      </w:r>
      <w:r>
        <w:rPr>
          <w:rFonts w:cs="Arial"/>
        </w:rPr>
        <w:t>kové skupiny bylo rozvedených 26</w:t>
      </w:r>
      <w:r w:rsidRPr="0046025F">
        <w:rPr>
          <w:rFonts w:cs="Arial"/>
        </w:rPr>
        <w:t>,</w:t>
      </w:r>
      <w:r>
        <w:rPr>
          <w:rFonts w:cs="Arial"/>
        </w:rPr>
        <w:t>1 % mužů a 32,3</w:t>
      </w:r>
      <w:r w:rsidRPr="0046025F">
        <w:rPr>
          <w:rFonts w:cs="Arial"/>
        </w:rPr>
        <w:t xml:space="preserve"> % žen). Se zvyšujícím</w:t>
      </w:r>
      <w:r>
        <w:rPr>
          <w:rFonts w:cs="Arial"/>
        </w:rPr>
        <w:t xml:space="preserve"> </w:t>
      </w:r>
      <w:r w:rsidRPr="0046025F">
        <w:rPr>
          <w:rFonts w:cs="Arial"/>
        </w:rPr>
        <w:t>se věkem přirozeně přibýval podíl ovdovělých, v případě žen o něco dříve.</w:t>
      </w:r>
      <w:r>
        <w:rPr>
          <w:rFonts w:cs="Arial"/>
        </w:rPr>
        <w:t xml:space="preserve"> </w:t>
      </w:r>
      <w:r w:rsidRPr="0046025F">
        <w:rPr>
          <w:rFonts w:cs="Arial"/>
        </w:rPr>
        <w:t xml:space="preserve">V důsledku zvýšené úmrtnosti mužů bylo ze všech žen starších 70 let </w:t>
      </w:r>
      <w:r>
        <w:rPr>
          <w:rFonts w:cs="Arial"/>
        </w:rPr>
        <w:t>43</w:t>
      </w:r>
      <w:r w:rsidRPr="0046025F">
        <w:rPr>
          <w:rFonts w:cs="Arial"/>
        </w:rPr>
        <w:t>,7 %</w:t>
      </w:r>
      <w:r>
        <w:rPr>
          <w:rFonts w:cs="Arial"/>
        </w:rPr>
        <w:t xml:space="preserve"> </w:t>
      </w:r>
      <w:r w:rsidRPr="0046025F">
        <w:rPr>
          <w:rFonts w:cs="Arial"/>
        </w:rPr>
        <w:t>ovdovělých, kdežto z mužů ve věku 70 a více let bylo ovdovělých pouze</w:t>
      </w:r>
      <w:r>
        <w:rPr>
          <w:rFonts w:cs="Arial"/>
        </w:rPr>
        <w:t xml:space="preserve"> </w:t>
      </w:r>
      <w:r w:rsidRPr="0046025F">
        <w:rPr>
          <w:rFonts w:cs="Arial"/>
        </w:rPr>
        <w:t>1</w:t>
      </w:r>
      <w:r>
        <w:rPr>
          <w:rFonts w:cs="Arial"/>
        </w:rPr>
        <w:t>3</w:t>
      </w:r>
      <w:r w:rsidRPr="0046025F">
        <w:rPr>
          <w:rFonts w:cs="Arial"/>
        </w:rPr>
        <w:t>,</w:t>
      </w:r>
      <w:r>
        <w:rPr>
          <w:rFonts w:cs="Arial"/>
        </w:rPr>
        <w:t>8</w:t>
      </w:r>
      <w:r w:rsidRPr="0046025F">
        <w:rPr>
          <w:rFonts w:cs="Arial"/>
        </w:rPr>
        <w:t xml:space="preserve"> %</w:t>
      </w:r>
    </w:p>
    <w:p w:rsidR="007B30F8" w:rsidRDefault="007B30F8" w:rsidP="007B30F8">
      <w:pPr>
        <w:rPr>
          <w:rFonts w:cs="Arial"/>
        </w:rPr>
      </w:pPr>
      <w:r w:rsidRPr="00DB31D8">
        <w:rPr>
          <w:rFonts w:cs="Arial"/>
        </w:rPr>
        <w:t>Za zmínku také stojí údaj o registrovaném partnerství. Registrované partnerství</w:t>
      </w:r>
      <w:r>
        <w:rPr>
          <w:rFonts w:cs="Arial"/>
        </w:rPr>
        <w:t xml:space="preserve"> </w:t>
      </w:r>
      <w:r w:rsidRPr="00DB31D8">
        <w:rPr>
          <w:rFonts w:cs="Arial"/>
        </w:rPr>
        <w:t>je právní stav uzavřený osobami stejného pohlaví. V hlavním městě bylo</w:t>
      </w:r>
      <w:r>
        <w:rPr>
          <w:rFonts w:cs="Arial"/>
        </w:rPr>
        <w:t xml:space="preserve"> při sčítání 202</w:t>
      </w:r>
      <w:r w:rsidRPr="00DB31D8">
        <w:rPr>
          <w:rFonts w:cs="Arial"/>
        </w:rPr>
        <w:t xml:space="preserve">1 sečteno </w:t>
      </w:r>
      <w:r>
        <w:rPr>
          <w:rFonts w:cs="Arial"/>
        </w:rPr>
        <w:t xml:space="preserve">1 519 osob aktuálně žijících v </w:t>
      </w:r>
      <w:r w:rsidRPr="00DB31D8">
        <w:rPr>
          <w:rFonts w:cs="Arial"/>
        </w:rPr>
        <w:t>registrované</w:t>
      </w:r>
      <w:r>
        <w:rPr>
          <w:rFonts w:cs="Arial"/>
        </w:rPr>
        <w:t>m</w:t>
      </w:r>
      <w:r w:rsidRPr="00DB31D8">
        <w:rPr>
          <w:rFonts w:cs="Arial"/>
        </w:rPr>
        <w:t xml:space="preserve"> partnerství</w:t>
      </w:r>
      <w:r>
        <w:rPr>
          <w:rFonts w:cs="Arial"/>
        </w:rPr>
        <w:t>, z toho 1 092 mužů a 427 žen</w:t>
      </w:r>
      <w:r w:rsidRPr="00DB31D8">
        <w:rPr>
          <w:rFonts w:cs="Arial"/>
        </w:rPr>
        <w:t>. Muži tedy mají mezi registrovanými partnery výraznou</w:t>
      </w:r>
      <w:r>
        <w:rPr>
          <w:rFonts w:cs="Arial"/>
        </w:rPr>
        <w:t xml:space="preserve"> </w:t>
      </w:r>
      <w:r w:rsidRPr="00DB31D8">
        <w:rPr>
          <w:rFonts w:cs="Arial"/>
        </w:rPr>
        <w:t>převahu (7</w:t>
      </w:r>
      <w:r>
        <w:rPr>
          <w:rFonts w:cs="Arial"/>
        </w:rPr>
        <w:t>1</w:t>
      </w:r>
      <w:r w:rsidRPr="00DB31D8">
        <w:rPr>
          <w:rFonts w:cs="Arial"/>
        </w:rPr>
        <w:t>,</w:t>
      </w:r>
      <w:r>
        <w:rPr>
          <w:rFonts w:cs="Arial"/>
        </w:rPr>
        <w:t>9 %). Podle věku</w:t>
      </w:r>
      <w:r w:rsidRPr="00DB31D8">
        <w:rPr>
          <w:rFonts w:cs="Arial"/>
        </w:rPr>
        <w:t xml:space="preserve"> bylo nejvíce registrovaných partnerů</w:t>
      </w:r>
      <w:r>
        <w:rPr>
          <w:rFonts w:cs="Arial"/>
        </w:rPr>
        <w:t xml:space="preserve">/partnerek </w:t>
      </w:r>
      <w:r w:rsidRPr="00DB31D8">
        <w:rPr>
          <w:rFonts w:cs="Arial"/>
        </w:rPr>
        <w:t xml:space="preserve">ve věku </w:t>
      </w:r>
      <w:r>
        <w:rPr>
          <w:rFonts w:cs="Arial"/>
        </w:rPr>
        <w:t xml:space="preserve">40-44 </w:t>
      </w:r>
      <w:r w:rsidRPr="00DB31D8">
        <w:rPr>
          <w:rFonts w:cs="Arial"/>
        </w:rPr>
        <w:t xml:space="preserve">let </w:t>
      </w:r>
      <w:r>
        <w:rPr>
          <w:rFonts w:cs="Arial"/>
        </w:rPr>
        <w:t>(272</w:t>
      </w:r>
      <w:r w:rsidRPr="00DB31D8">
        <w:rPr>
          <w:rFonts w:cs="Arial"/>
        </w:rPr>
        <w:t xml:space="preserve"> osob) a 35-39 let (</w:t>
      </w:r>
      <w:r>
        <w:rPr>
          <w:rFonts w:cs="Arial"/>
        </w:rPr>
        <w:t>263 osob).</w:t>
      </w:r>
    </w:p>
    <w:p w:rsidR="007B30F8" w:rsidRPr="005F3682" w:rsidRDefault="007B30F8" w:rsidP="007B30F8">
      <w:pPr>
        <w:rPr>
          <w:rFonts w:cs="Arial"/>
        </w:rPr>
      </w:pP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3" w:name="_Toc145675407"/>
      <w:r w:rsidRPr="005F3682">
        <w:rPr>
          <w:rFonts w:cs="Arial"/>
        </w:rPr>
        <w:t>Plodnost žen</w:t>
      </w:r>
      <w:bookmarkEnd w:id="3"/>
    </w:p>
    <w:p w:rsidR="007B30F8" w:rsidRDefault="007B30F8" w:rsidP="007B30F8">
      <w:pPr>
        <w:rPr>
          <w:rFonts w:cs="Arial"/>
        </w:rPr>
      </w:pPr>
      <w:r>
        <w:rPr>
          <w:rFonts w:cs="Arial"/>
        </w:rPr>
        <w:t>I</w:t>
      </w:r>
      <w:r w:rsidRPr="00E17BA1">
        <w:rPr>
          <w:rFonts w:cs="Arial"/>
        </w:rPr>
        <w:t>nformace o reprodukčním chování obyvatelstva patří mezi nejdůležitější výsledky populačních cenzů</w:t>
      </w:r>
      <w:r>
        <w:rPr>
          <w:rFonts w:cs="Arial"/>
        </w:rPr>
        <w:t xml:space="preserve"> </w:t>
      </w:r>
      <w:r w:rsidRPr="00E17BA1">
        <w:rPr>
          <w:rFonts w:cs="Arial"/>
        </w:rPr>
        <w:t>a slouží především k vyhodnocení trendů populačního vývoje a věkové struktury obyvatelstva. Údaje</w:t>
      </w:r>
      <w:r>
        <w:rPr>
          <w:rFonts w:cs="Arial"/>
        </w:rPr>
        <w:t xml:space="preserve"> </w:t>
      </w:r>
      <w:r w:rsidRPr="00E17BA1">
        <w:rPr>
          <w:rFonts w:cs="Arial"/>
        </w:rPr>
        <w:t>o plodnosti žen se zjišťují otázkou na počet narozených dětí, na kterou odpovídají všechny ženy starší</w:t>
      </w:r>
      <w:r>
        <w:rPr>
          <w:rFonts w:cs="Arial"/>
        </w:rPr>
        <w:t xml:space="preserve"> </w:t>
      </w:r>
      <w:r w:rsidRPr="00E17BA1">
        <w:rPr>
          <w:rFonts w:cs="Arial"/>
        </w:rPr>
        <w:t>15 let. Jedná se vlastně o retrospektivní šetření u žijících žen, zachycující stav k okamžiku sčítání.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Při sčítání 202</w:t>
      </w:r>
      <w:r w:rsidRPr="00E17BA1">
        <w:rPr>
          <w:rFonts w:cs="Arial"/>
        </w:rPr>
        <w:t>1 bylo na území Prahy 5</w:t>
      </w:r>
      <w:r>
        <w:rPr>
          <w:rFonts w:cs="Arial"/>
        </w:rPr>
        <w:t>7</w:t>
      </w:r>
      <w:r w:rsidRPr="00E17BA1">
        <w:rPr>
          <w:rFonts w:cs="Arial"/>
        </w:rPr>
        <w:t xml:space="preserve">0 </w:t>
      </w:r>
      <w:r>
        <w:rPr>
          <w:rFonts w:cs="Arial"/>
        </w:rPr>
        <w:t>938</w:t>
      </w:r>
      <w:r w:rsidRPr="00E17BA1">
        <w:rPr>
          <w:rFonts w:cs="Arial"/>
        </w:rPr>
        <w:t xml:space="preserve"> žen ve věku 15 a více let. Těmto</w:t>
      </w:r>
      <w:r>
        <w:rPr>
          <w:rFonts w:cs="Arial"/>
        </w:rPr>
        <w:t xml:space="preserve"> </w:t>
      </w:r>
      <w:r w:rsidRPr="00E17BA1">
        <w:rPr>
          <w:rFonts w:cs="Arial"/>
        </w:rPr>
        <w:t xml:space="preserve">ženám se během jejich </w:t>
      </w:r>
      <w:r w:rsidRPr="001A2E2C">
        <w:rPr>
          <w:rFonts w:cs="Arial"/>
        </w:rPr>
        <w:t>dosavadního života narodilo 666 610 dětí (podle údajů zjištěných k datu sčítání), což znamenalo, že na 1 000 žen se zjištěným počtem dětí připadalo 1 208 dětí. Úroveň celkové plodnosti žen v hlavním městě byla ve srovnání s ostatními kraji</w:t>
      </w:r>
      <w:r w:rsidRPr="00E17BA1">
        <w:rPr>
          <w:rFonts w:cs="Arial"/>
        </w:rPr>
        <w:t xml:space="preserve"> nejnižší. V celorepublikovém měřítku byl počet dětí</w:t>
      </w:r>
      <w:r>
        <w:rPr>
          <w:rFonts w:cs="Arial"/>
        </w:rPr>
        <w:t xml:space="preserve"> </w:t>
      </w:r>
      <w:r w:rsidRPr="00E17BA1">
        <w:rPr>
          <w:rFonts w:cs="Arial"/>
        </w:rPr>
        <w:t>připadajících na 1 000 žen se zjištěným počtem dětí 1 57</w:t>
      </w:r>
      <w:r>
        <w:rPr>
          <w:rFonts w:cs="Arial"/>
        </w:rPr>
        <w:t>0</w:t>
      </w:r>
      <w:r w:rsidRPr="00E17BA1">
        <w:rPr>
          <w:rFonts w:cs="Arial"/>
        </w:rPr>
        <w:t xml:space="preserve">. </w:t>
      </w:r>
    </w:p>
    <w:p w:rsidR="007B30F8" w:rsidRDefault="007B30F8" w:rsidP="007B30F8">
      <w:pPr>
        <w:rPr>
          <w:rFonts w:cs="Arial"/>
        </w:rPr>
      </w:pPr>
    </w:p>
    <w:p w:rsidR="007B30F8" w:rsidRPr="00B83717" w:rsidRDefault="007B30F8" w:rsidP="007B30F8">
      <w:pPr>
        <w:spacing w:after="0" w:line="240" w:lineRule="auto"/>
        <w:rPr>
          <w:rFonts w:cs="Arial"/>
          <w:b/>
          <w:bCs/>
          <w:szCs w:val="20"/>
        </w:rPr>
      </w:pPr>
      <w:r w:rsidRPr="00B83717">
        <w:rPr>
          <w:rFonts w:cs="Arial"/>
          <w:b/>
          <w:bCs/>
          <w:szCs w:val="20"/>
        </w:rPr>
        <w:t xml:space="preserve">Tab. 3.3.1 Ženy podle počtu živě narozených dětí a věku </w:t>
      </w:r>
    </w:p>
    <w:p w:rsidR="007B30F8" w:rsidRPr="00AF7D34" w:rsidRDefault="007B30F8" w:rsidP="007B30F8">
      <w:pPr>
        <w:rPr>
          <w:rFonts w:cs="Arial"/>
        </w:rPr>
      </w:pPr>
      <w:r w:rsidRPr="00B83717">
        <w:rPr>
          <w:rFonts w:cs="Arial"/>
          <w:noProof/>
        </w:rPr>
        <w:drawing>
          <wp:inline distT="0" distB="0" distL="0" distR="0" wp14:anchorId="1C267FF0" wp14:editId="0C06C859">
            <wp:extent cx="5686425" cy="27622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  <w:r>
        <w:rPr>
          <w:rFonts w:cs="Arial"/>
        </w:rPr>
        <w:t>C</w:t>
      </w:r>
      <w:r w:rsidRPr="00AF7D34">
        <w:rPr>
          <w:rFonts w:cs="Arial"/>
        </w:rPr>
        <w:t xml:space="preserve">elkově </w:t>
      </w:r>
      <w:r>
        <w:rPr>
          <w:rFonts w:cs="Arial"/>
        </w:rPr>
        <w:t>3,4</w:t>
      </w:r>
      <w:r w:rsidRPr="00AF7D34">
        <w:rPr>
          <w:rFonts w:cs="Arial"/>
        </w:rPr>
        <w:t xml:space="preserve"> % </w:t>
      </w:r>
      <w:r>
        <w:rPr>
          <w:rFonts w:cs="Arial"/>
        </w:rPr>
        <w:t xml:space="preserve">ze všech žen neuvedlo ve sčítacím formuláři počet narozených dětí </w:t>
      </w:r>
      <w:r w:rsidRPr="00AF7D34">
        <w:rPr>
          <w:rFonts w:cs="Arial"/>
        </w:rPr>
        <w:t>(</w:t>
      </w:r>
      <w:r>
        <w:rPr>
          <w:rFonts w:cs="Arial"/>
        </w:rPr>
        <w:t>19,2</w:t>
      </w:r>
      <w:r w:rsidRPr="00AF7D34">
        <w:rPr>
          <w:rFonts w:cs="Arial"/>
        </w:rPr>
        <w:t xml:space="preserve"> tis. žen starších 15 let). </w:t>
      </w:r>
      <w:r>
        <w:rPr>
          <w:rFonts w:cs="Arial"/>
        </w:rPr>
        <w:t>To může být dáno také</w:t>
      </w:r>
      <w:r w:rsidRPr="00AF7D34">
        <w:rPr>
          <w:rFonts w:cs="Arial"/>
        </w:rPr>
        <w:t xml:space="preserve"> tím, že mezi ženami, které údaj</w:t>
      </w:r>
      <w:r>
        <w:rPr>
          <w:rFonts w:cs="Arial"/>
        </w:rPr>
        <w:t xml:space="preserve"> </w:t>
      </w:r>
      <w:r w:rsidRPr="00AF7D34">
        <w:rPr>
          <w:rFonts w:cs="Arial"/>
        </w:rPr>
        <w:t>nevyplnily, se vyskytovaly i ty, které k datu sčítání žádné děti neměly.</w:t>
      </w:r>
      <w:r>
        <w:rPr>
          <w:rFonts w:cs="Arial"/>
        </w:rPr>
        <w:t xml:space="preserve"> </w:t>
      </w:r>
      <w:r w:rsidRPr="00AF7D34">
        <w:rPr>
          <w:rFonts w:cs="Arial"/>
        </w:rPr>
        <w:t>Z těchto důvodů byly do výpočtu ukazatelů plodnosti zahrnuty pouze ty ženy,</w:t>
      </w:r>
      <w:r>
        <w:rPr>
          <w:rFonts w:cs="Arial"/>
        </w:rPr>
        <w:t xml:space="preserve"> </w:t>
      </w:r>
      <w:r w:rsidRPr="00AF7D34">
        <w:rPr>
          <w:rFonts w:cs="Arial"/>
        </w:rPr>
        <w:t>které tento údaj uvedly</w:t>
      </w:r>
      <w:r>
        <w:rPr>
          <w:rFonts w:cs="Arial"/>
        </w:rPr>
        <w:t>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Nejvíce žen, konkrétně 34</w:t>
      </w:r>
      <w:r w:rsidRPr="00AF7D34">
        <w:rPr>
          <w:rFonts w:cs="Arial"/>
        </w:rPr>
        <w:t>,</w:t>
      </w:r>
      <w:r>
        <w:rPr>
          <w:rFonts w:cs="Arial"/>
        </w:rPr>
        <w:t>2</w:t>
      </w:r>
      <w:r w:rsidRPr="00AF7D34">
        <w:rPr>
          <w:rFonts w:cs="Arial"/>
        </w:rPr>
        <w:t xml:space="preserve"> % žen, bylo ke dni sčítání matkami dvou dětí,</w:t>
      </w:r>
      <w:r>
        <w:rPr>
          <w:rFonts w:cs="Arial"/>
        </w:rPr>
        <w:t xml:space="preserve"> 32</w:t>
      </w:r>
      <w:r w:rsidRPr="00AF7D34">
        <w:rPr>
          <w:rFonts w:cs="Arial"/>
        </w:rPr>
        <w:t>,0 % že</w:t>
      </w:r>
      <w:r>
        <w:rPr>
          <w:rFonts w:cs="Arial"/>
        </w:rPr>
        <w:t>n bylo bezdětných a 22</w:t>
      </w:r>
      <w:r w:rsidRPr="00AF7D34">
        <w:rPr>
          <w:rFonts w:cs="Arial"/>
        </w:rPr>
        <w:t>,</w:t>
      </w:r>
      <w:r>
        <w:rPr>
          <w:rFonts w:cs="Arial"/>
        </w:rPr>
        <w:t>4</w:t>
      </w:r>
      <w:r w:rsidRPr="00AF7D34">
        <w:rPr>
          <w:rFonts w:cs="Arial"/>
        </w:rPr>
        <w:t xml:space="preserve"> % se narodilo jedno dítě. Převažující model</w:t>
      </w:r>
      <w:r>
        <w:rPr>
          <w:rFonts w:cs="Arial"/>
        </w:rPr>
        <w:t xml:space="preserve"> </w:t>
      </w:r>
      <w:r w:rsidRPr="00AF7D34">
        <w:rPr>
          <w:rFonts w:cs="Arial"/>
        </w:rPr>
        <w:t>dvoudětné rodiny, charakteristický pro Prahu jako region s nejnižší úrovní</w:t>
      </w:r>
      <w:r>
        <w:rPr>
          <w:rFonts w:cs="Arial"/>
        </w:rPr>
        <w:t xml:space="preserve"> </w:t>
      </w:r>
      <w:r w:rsidRPr="00AF7D34">
        <w:rPr>
          <w:rFonts w:cs="Arial"/>
        </w:rPr>
        <w:t>plodnosti v republice, zůstal tak prozatím zachován, ačkoliv je v hlavním městě</w:t>
      </w:r>
      <w:r>
        <w:rPr>
          <w:rFonts w:cs="Arial"/>
        </w:rPr>
        <w:t xml:space="preserve"> podíl žen se dvěma dětmi o 8</w:t>
      </w:r>
      <w:r w:rsidRPr="00AF7D34">
        <w:rPr>
          <w:rFonts w:cs="Arial"/>
        </w:rPr>
        <w:t>,</w:t>
      </w:r>
      <w:r>
        <w:rPr>
          <w:rFonts w:cs="Arial"/>
        </w:rPr>
        <w:t>1</w:t>
      </w:r>
      <w:r w:rsidRPr="00AF7D34">
        <w:rPr>
          <w:rFonts w:cs="Arial"/>
        </w:rPr>
        <w:t xml:space="preserve"> procentních bodů nižší než v průměru v ČR.</w:t>
      </w:r>
      <w:r>
        <w:rPr>
          <w:rFonts w:cs="Arial"/>
        </w:rPr>
        <w:t xml:space="preserve"> Podíl žen se třemi a více dětmi byl v celé ČR větší skoro o polovinu. V Praze tvořili tyto ženy 8,0%, v celé ČR 15,4 %. Podíl bezdětných žen i žen s jedním dítětem byl v Praze naopak vyšší, kdy v </w:t>
      </w:r>
      <w:r w:rsidRPr="00AF7D34">
        <w:rPr>
          <w:rFonts w:cs="Arial"/>
        </w:rPr>
        <w:t>Č</w:t>
      </w:r>
      <w:r>
        <w:rPr>
          <w:rFonts w:cs="Arial"/>
        </w:rPr>
        <w:t xml:space="preserve">eské </w:t>
      </w:r>
      <w:r w:rsidRPr="00AF7D34">
        <w:rPr>
          <w:rFonts w:cs="Arial"/>
        </w:rPr>
        <w:t>R</w:t>
      </w:r>
      <w:r>
        <w:rPr>
          <w:rFonts w:cs="Arial"/>
        </w:rPr>
        <w:t>epublice</w:t>
      </w:r>
      <w:r w:rsidRPr="00AF7D34">
        <w:rPr>
          <w:rFonts w:cs="Arial"/>
        </w:rPr>
        <w:t xml:space="preserve"> bylo 2</w:t>
      </w:r>
      <w:r>
        <w:rPr>
          <w:rFonts w:cs="Arial"/>
        </w:rPr>
        <w:t>2</w:t>
      </w:r>
      <w:r w:rsidRPr="00AF7D34">
        <w:rPr>
          <w:rFonts w:cs="Arial"/>
        </w:rPr>
        <w:t>,</w:t>
      </w:r>
      <w:r>
        <w:rPr>
          <w:rFonts w:cs="Arial"/>
        </w:rPr>
        <w:t>0</w:t>
      </w:r>
      <w:r w:rsidRPr="00AF7D34">
        <w:rPr>
          <w:rFonts w:cs="Arial"/>
        </w:rPr>
        <w:t xml:space="preserve"> % žen b</w:t>
      </w:r>
      <w:r>
        <w:rPr>
          <w:rFonts w:cs="Arial"/>
        </w:rPr>
        <w:t>ezdětných a jedno dítě mělo 18,2</w:t>
      </w:r>
      <w:r w:rsidRPr="00AF7D34">
        <w:rPr>
          <w:rFonts w:cs="Arial"/>
        </w:rPr>
        <w:t xml:space="preserve"> % žen. </w:t>
      </w:r>
      <w:r>
        <w:rPr>
          <w:rFonts w:cs="Arial"/>
        </w:rPr>
        <w:t>Celkem 29</w:t>
      </w:r>
      <w:r w:rsidRPr="00F7030D">
        <w:rPr>
          <w:rFonts w:cs="Arial"/>
        </w:rPr>
        <w:t xml:space="preserve"> žen</w:t>
      </w:r>
      <w:r>
        <w:rPr>
          <w:rFonts w:cs="Arial"/>
        </w:rPr>
        <w:t xml:space="preserve"> </w:t>
      </w:r>
      <w:r w:rsidRPr="00F7030D">
        <w:rPr>
          <w:rFonts w:cs="Arial"/>
        </w:rPr>
        <w:t>žijících v Praze uvedlo</w:t>
      </w:r>
      <w:r>
        <w:rPr>
          <w:rFonts w:cs="Arial"/>
        </w:rPr>
        <w:t xml:space="preserve"> </w:t>
      </w:r>
      <w:r w:rsidRPr="00F7030D">
        <w:rPr>
          <w:rFonts w:cs="Arial"/>
        </w:rPr>
        <w:t>počet dětí 10 a více.</w:t>
      </w:r>
    </w:p>
    <w:p w:rsidR="007B30F8" w:rsidRDefault="007B30F8" w:rsidP="007B30F8">
      <w:pPr>
        <w:rPr>
          <w:rFonts w:cs="Arial"/>
        </w:rPr>
      </w:pPr>
      <w:r w:rsidRPr="00F7030D">
        <w:rPr>
          <w:rFonts w:cs="Arial"/>
        </w:rPr>
        <w:t>Výše ukazatele počtu dětí připadajících na 1 000 žen je ovlivněna</w:t>
      </w:r>
      <w:r>
        <w:rPr>
          <w:rFonts w:cs="Arial"/>
        </w:rPr>
        <w:t xml:space="preserve"> </w:t>
      </w:r>
      <w:r w:rsidRPr="00F7030D">
        <w:rPr>
          <w:rFonts w:cs="Arial"/>
        </w:rPr>
        <w:t>neukončenou, převážně však ještě nezapočatou plodností mladých žen.</w:t>
      </w:r>
      <w:r>
        <w:rPr>
          <w:rFonts w:cs="Arial"/>
        </w:rPr>
        <w:t xml:space="preserve"> </w:t>
      </w:r>
      <w:r w:rsidRPr="00F7030D">
        <w:rPr>
          <w:rFonts w:cs="Arial"/>
        </w:rPr>
        <w:t>Převážná většina žen do 25 let byla bezdětných. Ve věku 15-19 let bylo</w:t>
      </w:r>
      <w:r>
        <w:rPr>
          <w:rFonts w:cs="Arial"/>
        </w:rPr>
        <w:t xml:space="preserve"> bezdětných 99,5</w:t>
      </w:r>
      <w:r w:rsidRPr="00F7030D">
        <w:rPr>
          <w:rFonts w:cs="Arial"/>
        </w:rPr>
        <w:t xml:space="preserve"> % z těch žen, které uvedly svůj počet narozených dětí.</w:t>
      </w:r>
      <w:r>
        <w:rPr>
          <w:rFonts w:cs="Arial"/>
        </w:rPr>
        <w:t xml:space="preserve"> </w:t>
      </w:r>
      <w:r w:rsidRPr="00F7030D">
        <w:rPr>
          <w:rFonts w:cs="Arial"/>
        </w:rPr>
        <w:t>Ve v</w:t>
      </w:r>
      <w:r>
        <w:rPr>
          <w:rFonts w:cs="Arial"/>
        </w:rPr>
        <w:t>ěku 20-24 let bylo bezdětných 94</w:t>
      </w:r>
      <w:r w:rsidRPr="00F7030D">
        <w:rPr>
          <w:rFonts w:cs="Arial"/>
        </w:rPr>
        <w:t>,</w:t>
      </w:r>
      <w:r>
        <w:rPr>
          <w:rFonts w:cs="Arial"/>
        </w:rPr>
        <w:t>7</w:t>
      </w:r>
      <w:r w:rsidRPr="00F7030D">
        <w:rPr>
          <w:rFonts w:cs="Arial"/>
        </w:rPr>
        <w:t xml:space="preserve"> % žen se zjištěným počtem dětí. Nízká</w:t>
      </w:r>
      <w:r>
        <w:rPr>
          <w:rFonts w:cs="Arial"/>
        </w:rPr>
        <w:t xml:space="preserve"> </w:t>
      </w:r>
      <w:r w:rsidRPr="00F7030D">
        <w:rPr>
          <w:rFonts w:cs="Arial"/>
        </w:rPr>
        <w:t>plodnost byla zjištěna i u žen ve věku 25-29 let</w:t>
      </w:r>
      <w:r>
        <w:rPr>
          <w:rFonts w:cs="Arial"/>
        </w:rPr>
        <w:t>, bezdětných bylo 81,9</w:t>
      </w:r>
      <w:r w:rsidRPr="00F7030D">
        <w:rPr>
          <w:rFonts w:cs="Arial"/>
        </w:rPr>
        <w:t xml:space="preserve"> % žen se</w:t>
      </w:r>
      <w:r>
        <w:rPr>
          <w:rFonts w:cs="Arial"/>
        </w:rPr>
        <w:t xml:space="preserve"> </w:t>
      </w:r>
      <w:r w:rsidRPr="00F7030D">
        <w:rPr>
          <w:rFonts w:cs="Arial"/>
        </w:rPr>
        <w:t>zjištěným počtem dětí. Od 30 roku</w:t>
      </w:r>
      <w:r>
        <w:rPr>
          <w:rFonts w:cs="Arial"/>
        </w:rPr>
        <w:t xml:space="preserve"> výše</w:t>
      </w:r>
      <w:r w:rsidRPr="00F7030D">
        <w:rPr>
          <w:rFonts w:cs="Arial"/>
        </w:rPr>
        <w:t xml:space="preserve"> </w:t>
      </w:r>
      <w:r>
        <w:rPr>
          <w:rFonts w:cs="Arial"/>
        </w:rPr>
        <w:t>se podíl bezdětných žen výrazně snižoval ve prospěch podílu žen s jedním či více dětmi.</w:t>
      </w:r>
      <w:r w:rsidRPr="00F7030D">
        <w:rPr>
          <w:rFonts w:cs="Arial"/>
        </w:rPr>
        <w:t xml:space="preserve"> Ženy starší 35 let měly stabilně</w:t>
      </w:r>
      <w:r>
        <w:rPr>
          <w:rFonts w:cs="Arial"/>
        </w:rPr>
        <w:t xml:space="preserve"> </w:t>
      </w:r>
      <w:r w:rsidRPr="00F7030D">
        <w:rPr>
          <w:rFonts w:cs="Arial"/>
        </w:rPr>
        <w:t>nejčastěji dvě děti. Nejvyšší hodnoty počtu narozených</w:t>
      </w:r>
      <w:r>
        <w:rPr>
          <w:rFonts w:cs="Arial"/>
        </w:rPr>
        <w:t xml:space="preserve"> dětí</w:t>
      </w:r>
      <w:r w:rsidRPr="00F7030D">
        <w:rPr>
          <w:rFonts w:cs="Arial"/>
        </w:rPr>
        <w:t xml:space="preserve"> na 1 000 žen byly</w:t>
      </w:r>
      <w:r>
        <w:rPr>
          <w:rFonts w:cs="Arial"/>
        </w:rPr>
        <w:t xml:space="preserve"> </w:t>
      </w:r>
      <w:r w:rsidRPr="00F7030D">
        <w:rPr>
          <w:rFonts w:cs="Arial"/>
        </w:rPr>
        <w:t xml:space="preserve">zjištěny u </w:t>
      </w:r>
      <w:r>
        <w:rPr>
          <w:rFonts w:cs="Arial"/>
        </w:rPr>
        <w:t>60</w:t>
      </w:r>
      <w:r w:rsidRPr="00F7030D">
        <w:rPr>
          <w:rFonts w:cs="Arial"/>
        </w:rPr>
        <w:t>-</w:t>
      </w:r>
      <w:r>
        <w:rPr>
          <w:rFonts w:cs="Arial"/>
        </w:rPr>
        <w:t>69</w:t>
      </w:r>
      <w:r w:rsidRPr="00F7030D">
        <w:rPr>
          <w:rFonts w:cs="Arial"/>
        </w:rPr>
        <w:t>letých žen (1 7</w:t>
      </w:r>
      <w:r>
        <w:rPr>
          <w:rFonts w:cs="Arial"/>
        </w:rPr>
        <w:t>29</w:t>
      </w:r>
      <w:r w:rsidRPr="00F7030D">
        <w:rPr>
          <w:rFonts w:cs="Arial"/>
        </w:rPr>
        <w:t xml:space="preserve"> dětí na 1 000 žen). Počet dětí narozených</w:t>
      </w:r>
      <w:r>
        <w:rPr>
          <w:rFonts w:cs="Arial"/>
        </w:rPr>
        <w:t xml:space="preserve"> </w:t>
      </w:r>
      <w:r w:rsidRPr="00F7030D">
        <w:rPr>
          <w:rFonts w:cs="Arial"/>
        </w:rPr>
        <w:t>jedné ženě</w:t>
      </w:r>
      <w:r>
        <w:rPr>
          <w:rFonts w:cs="Arial"/>
        </w:rPr>
        <w:t xml:space="preserve"> v průměru</w:t>
      </w:r>
      <w:r w:rsidRPr="00F7030D">
        <w:rPr>
          <w:rFonts w:cs="Arial"/>
        </w:rPr>
        <w:t xml:space="preserve"> nepřesáhl v Praze hodnoty 2 u žádné věkové kategorie. Ani jedna</w:t>
      </w:r>
      <w:r>
        <w:rPr>
          <w:rFonts w:cs="Arial"/>
        </w:rPr>
        <w:t xml:space="preserve"> </w:t>
      </w:r>
      <w:r w:rsidRPr="00F7030D">
        <w:rPr>
          <w:rFonts w:cs="Arial"/>
        </w:rPr>
        <w:t>generace tedy nezajistila svou přirozenou reprodukci</w:t>
      </w:r>
      <w:r>
        <w:rPr>
          <w:rFonts w:cs="Arial"/>
        </w:rPr>
        <w:t>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Převážná většina všech dětí (54,3</w:t>
      </w:r>
      <w:r w:rsidRPr="00066684">
        <w:rPr>
          <w:rFonts w:cs="Arial"/>
        </w:rPr>
        <w:t xml:space="preserve"> %) se narodila ženám vdaným.</w:t>
      </w:r>
      <w:r>
        <w:rPr>
          <w:rFonts w:cs="Arial"/>
        </w:rPr>
        <w:t xml:space="preserve"> </w:t>
      </w:r>
      <w:r w:rsidRPr="00066684">
        <w:rPr>
          <w:rFonts w:cs="Arial"/>
        </w:rPr>
        <w:t>Na 1 000</w:t>
      </w:r>
      <w:r>
        <w:rPr>
          <w:rFonts w:cs="Arial"/>
        </w:rPr>
        <w:t xml:space="preserve"> vdaných žen tak připadalo 1 692</w:t>
      </w:r>
      <w:r w:rsidRPr="00066684">
        <w:rPr>
          <w:rFonts w:cs="Arial"/>
        </w:rPr>
        <w:t xml:space="preserve"> dětí. </w:t>
      </w:r>
      <w:r>
        <w:rPr>
          <w:rFonts w:cs="Arial"/>
        </w:rPr>
        <w:t xml:space="preserve">Rozvedeným, ovdovělým a ženám </w:t>
      </w:r>
      <w:r w:rsidRPr="00066684">
        <w:rPr>
          <w:rFonts w:cs="Arial"/>
        </w:rPr>
        <w:t>s nezjištěný</w:t>
      </w:r>
      <w:r>
        <w:rPr>
          <w:rFonts w:cs="Arial"/>
        </w:rPr>
        <w:t>m rodinným stavem se narodilo 36</w:t>
      </w:r>
      <w:r w:rsidRPr="00066684">
        <w:rPr>
          <w:rFonts w:cs="Arial"/>
        </w:rPr>
        <w:t>,</w:t>
      </w:r>
      <w:r>
        <w:rPr>
          <w:rFonts w:cs="Arial"/>
        </w:rPr>
        <w:t>2</w:t>
      </w:r>
      <w:r w:rsidRPr="00066684">
        <w:rPr>
          <w:rFonts w:cs="Arial"/>
        </w:rPr>
        <w:t xml:space="preserve"> % všech dětí. V</w:t>
      </w:r>
      <w:r>
        <w:rPr>
          <w:rFonts w:cs="Arial"/>
        </w:rPr>
        <w:t> </w:t>
      </w:r>
      <w:r w:rsidRPr="00066684">
        <w:rPr>
          <w:rFonts w:cs="Arial"/>
        </w:rPr>
        <w:t>průměru</w:t>
      </w:r>
      <w:r>
        <w:rPr>
          <w:rFonts w:cs="Arial"/>
        </w:rPr>
        <w:t xml:space="preserve"> </w:t>
      </w:r>
      <w:r w:rsidRPr="00066684">
        <w:rPr>
          <w:rFonts w:cs="Arial"/>
        </w:rPr>
        <w:t>při</w:t>
      </w:r>
      <w:r>
        <w:rPr>
          <w:rFonts w:cs="Arial"/>
        </w:rPr>
        <w:t>padalo na 1 000 těchto žen 1 623</w:t>
      </w:r>
      <w:r w:rsidRPr="00066684">
        <w:rPr>
          <w:rFonts w:cs="Arial"/>
        </w:rPr>
        <w:t xml:space="preserve"> dětí.</w:t>
      </w:r>
      <w:r>
        <w:rPr>
          <w:rFonts w:cs="Arial"/>
        </w:rPr>
        <w:t xml:space="preserve"> Svobodným ženám se narodilo zbývajících 9,5 % ze všech dětí.</w:t>
      </w:r>
      <w:r w:rsidRPr="00066684">
        <w:rPr>
          <w:rFonts w:cs="Arial"/>
        </w:rPr>
        <w:t xml:space="preserve"> Z výše uvedeného vyplývá, že</w:t>
      </w:r>
      <w:r>
        <w:rPr>
          <w:rFonts w:cs="Arial"/>
        </w:rPr>
        <w:t xml:space="preserve"> </w:t>
      </w:r>
      <w:r w:rsidRPr="00066684">
        <w:rPr>
          <w:rFonts w:cs="Arial"/>
        </w:rPr>
        <w:t>rodinný stav, respektive uzavření či neuzavření manželství, byl jednoznačně</w:t>
      </w:r>
      <w:r>
        <w:rPr>
          <w:rFonts w:cs="Arial"/>
        </w:rPr>
        <w:t xml:space="preserve"> </w:t>
      </w:r>
      <w:r w:rsidRPr="00066684">
        <w:rPr>
          <w:rFonts w:cs="Arial"/>
        </w:rPr>
        <w:t>výrazným faktorem ovlivňujícím výši plodnosti.</w:t>
      </w:r>
    </w:p>
    <w:p w:rsidR="007B30F8" w:rsidRDefault="007B30F8" w:rsidP="007B30F8">
      <w:pPr>
        <w:rPr>
          <w:rFonts w:cs="Arial"/>
        </w:rPr>
      </w:pPr>
      <w:r w:rsidRPr="004E17A5">
        <w:rPr>
          <w:rFonts w:cs="Arial"/>
        </w:rPr>
        <w:t>Zajímavá byla struktura vdaných žen do 29 let podle počtu dětí.</w:t>
      </w:r>
      <w:r>
        <w:rPr>
          <w:rFonts w:cs="Arial"/>
        </w:rPr>
        <w:t xml:space="preserve"> Skoro polovina, přesněji 48,4</w:t>
      </w:r>
      <w:r w:rsidRPr="004E17A5">
        <w:rPr>
          <w:rFonts w:cs="Arial"/>
        </w:rPr>
        <w:t xml:space="preserve"> % těchto žen bylo bezdětných (ve věkové skupině 15-19 let</w:t>
      </w:r>
      <w:r>
        <w:rPr>
          <w:rFonts w:cs="Arial"/>
        </w:rPr>
        <w:t xml:space="preserve"> dokonce </w:t>
      </w:r>
      <w:r w:rsidRPr="004E17A5">
        <w:rPr>
          <w:rFonts w:cs="Arial"/>
        </w:rPr>
        <w:t>76</w:t>
      </w:r>
      <w:r>
        <w:rPr>
          <w:rFonts w:cs="Arial"/>
        </w:rPr>
        <w:t>,0</w:t>
      </w:r>
      <w:r w:rsidRPr="004E17A5">
        <w:rPr>
          <w:rFonts w:cs="Arial"/>
        </w:rPr>
        <w:t xml:space="preserve"> % žen). Vypovídá to o tom, že pro poměrně velkou část žen</w:t>
      </w:r>
      <w:r>
        <w:rPr>
          <w:rFonts w:cs="Arial"/>
        </w:rPr>
        <w:t xml:space="preserve"> </w:t>
      </w:r>
      <w:r w:rsidRPr="004E17A5">
        <w:rPr>
          <w:rFonts w:cs="Arial"/>
        </w:rPr>
        <w:t>neznamenal sňatek zároveň zahájení reprodukce a vdané ženy tak odkládaly</w:t>
      </w:r>
      <w:r>
        <w:rPr>
          <w:rFonts w:cs="Arial"/>
        </w:rPr>
        <w:t xml:space="preserve"> </w:t>
      </w:r>
      <w:r w:rsidRPr="004E17A5">
        <w:rPr>
          <w:rFonts w:cs="Arial"/>
        </w:rPr>
        <w:t>rození dětí i v rámci manželství. Mezi vdanými ženami ve vyšší věkové skupině,</w:t>
      </w:r>
      <w:r>
        <w:rPr>
          <w:rFonts w:cs="Arial"/>
        </w:rPr>
        <w:t xml:space="preserve"> </w:t>
      </w:r>
      <w:r w:rsidRPr="004E17A5">
        <w:rPr>
          <w:rFonts w:cs="Arial"/>
        </w:rPr>
        <w:t>tedy mezi ženami ve věku 30-3</w:t>
      </w:r>
      <w:r>
        <w:rPr>
          <w:rFonts w:cs="Arial"/>
        </w:rPr>
        <w:t>9</w:t>
      </w:r>
      <w:r w:rsidRPr="004E17A5">
        <w:rPr>
          <w:rFonts w:cs="Arial"/>
        </w:rPr>
        <w:t xml:space="preserve"> let</w:t>
      </w:r>
      <w:r>
        <w:rPr>
          <w:rFonts w:cs="Arial"/>
        </w:rPr>
        <w:t>,</w:t>
      </w:r>
      <w:r w:rsidRPr="004E17A5">
        <w:rPr>
          <w:rFonts w:cs="Arial"/>
        </w:rPr>
        <w:t xml:space="preserve"> již</w:t>
      </w:r>
      <w:r>
        <w:rPr>
          <w:rFonts w:cs="Arial"/>
        </w:rPr>
        <w:t xml:space="preserve"> výrazně</w:t>
      </w:r>
      <w:r w:rsidRPr="004E17A5">
        <w:rPr>
          <w:rFonts w:cs="Arial"/>
        </w:rPr>
        <w:t xml:space="preserve"> převládají ty, které mají jedno</w:t>
      </w:r>
      <w:r>
        <w:rPr>
          <w:rFonts w:cs="Arial"/>
        </w:rPr>
        <w:t xml:space="preserve"> a více </w:t>
      </w:r>
      <w:r w:rsidRPr="004E17A5">
        <w:rPr>
          <w:rFonts w:cs="Arial"/>
        </w:rPr>
        <w:t>d</w:t>
      </w:r>
      <w:r>
        <w:rPr>
          <w:rFonts w:cs="Arial"/>
        </w:rPr>
        <w:t>ětí (80,3 %). Bezdětných a zároveň vdaných žen ve věkové skupině 30-39 let bylo pouhých 16,4 % (u zbývající 3,3 % nebyl počet dětí zjištěn).</w:t>
      </w:r>
    </w:p>
    <w:p w:rsidR="007B30F8" w:rsidRDefault="007B30F8" w:rsidP="007B30F8">
      <w:pPr>
        <w:rPr>
          <w:rFonts w:cs="Arial"/>
        </w:rPr>
      </w:pPr>
    </w:p>
    <w:p w:rsidR="007B30F8" w:rsidRPr="004466CE" w:rsidRDefault="007B30F8" w:rsidP="007B30F8">
      <w:pPr>
        <w:rPr>
          <w:rFonts w:cs="Arial"/>
          <w:b/>
        </w:rPr>
      </w:pPr>
      <w:r>
        <w:rPr>
          <w:rFonts w:cs="Arial"/>
          <w:b/>
        </w:rPr>
        <w:t>Graf 3.2</w:t>
      </w:r>
      <w:r w:rsidRPr="004466CE">
        <w:rPr>
          <w:rFonts w:cs="Arial"/>
          <w:b/>
        </w:rPr>
        <w:t xml:space="preserve"> Počet dětí na 1 000 žen podle rodinného stavu a věku žen v hl. m. Praze</w:t>
      </w:r>
    </w:p>
    <w:p w:rsidR="007B30F8" w:rsidRDefault="0006506E" w:rsidP="007B30F8">
      <w:pPr>
        <w:rPr>
          <w:rFonts w:cs="Arial"/>
        </w:rPr>
      </w:pPr>
      <w:r w:rsidRPr="0006506E">
        <w:rPr>
          <w:rFonts w:cs="Arial"/>
          <w:noProof/>
        </w:rPr>
        <w:drawing>
          <wp:inline distT="0" distB="0" distL="0" distR="0">
            <wp:extent cx="6120130" cy="26499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2746E6">
        <w:rPr>
          <w:rFonts w:cs="Arial"/>
        </w:rPr>
        <w:t>Důležitým faktorem diferenciace plodnosti byla výše vzdělání. Obecně platilo,</w:t>
      </w:r>
      <w:r>
        <w:rPr>
          <w:rFonts w:cs="Arial"/>
        </w:rPr>
        <w:t xml:space="preserve"> </w:t>
      </w:r>
      <w:r w:rsidRPr="002746E6">
        <w:rPr>
          <w:rFonts w:cs="Arial"/>
        </w:rPr>
        <w:t>že ženy s nižším vzděláním měly vyšší plodnost, přičemž nejvyšší plodnost</w:t>
      </w:r>
      <w:r>
        <w:rPr>
          <w:rFonts w:cs="Arial"/>
        </w:rPr>
        <w:t xml:space="preserve"> </w:t>
      </w:r>
      <w:r w:rsidRPr="002746E6">
        <w:rPr>
          <w:rFonts w:cs="Arial"/>
        </w:rPr>
        <w:t>měly ženy se středním vzděláním bez maturity (vč. vyučení), kdy na 1 000 žen</w:t>
      </w:r>
      <w:r>
        <w:rPr>
          <w:rFonts w:cs="Arial"/>
        </w:rPr>
        <w:t xml:space="preserve"> starších 15 let připadalo 1 565</w:t>
      </w:r>
      <w:r w:rsidRPr="002746E6">
        <w:rPr>
          <w:rFonts w:cs="Arial"/>
        </w:rPr>
        <w:t xml:space="preserve"> dětí. Druhou nejvyšší plodnost v</w:t>
      </w:r>
      <w:r>
        <w:rPr>
          <w:rFonts w:cs="Arial"/>
        </w:rPr>
        <w:t> </w:t>
      </w:r>
      <w:r w:rsidRPr="002746E6">
        <w:rPr>
          <w:rFonts w:cs="Arial"/>
        </w:rPr>
        <w:t>závislosti</w:t>
      </w:r>
      <w:r>
        <w:rPr>
          <w:rFonts w:cs="Arial"/>
        </w:rPr>
        <w:t xml:space="preserve"> </w:t>
      </w:r>
      <w:r w:rsidRPr="002746E6">
        <w:rPr>
          <w:rFonts w:cs="Arial"/>
        </w:rPr>
        <w:t>na výši vzdělá</w:t>
      </w:r>
      <w:r>
        <w:rPr>
          <w:rFonts w:cs="Arial"/>
        </w:rPr>
        <w:t>ní měly ženy bez vzdělání, 1 260</w:t>
      </w:r>
      <w:r w:rsidRPr="002746E6">
        <w:rPr>
          <w:rFonts w:cs="Arial"/>
        </w:rPr>
        <w:t xml:space="preserve"> dětí na 1 000 žen příslušné</w:t>
      </w:r>
      <w:r>
        <w:rPr>
          <w:rFonts w:cs="Arial"/>
        </w:rPr>
        <w:t xml:space="preserve"> </w:t>
      </w:r>
      <w:r w:rsidRPr="002746E6">
        <w:rPr>
          <w:rFonts w:cs="Arial"/>
        </w:rPr>
        <w:t>vzdělanostní kategorie. Nejnižší úroveň plodnosti byla charakteristická</w:t>
      </w:r>
      <w:r>
        <w:rPr>
          <w:rFonts w:cs="Arial"/>
        </w:rPr>
        <w:t xml:space="preserve"> </w:t>
      </w:r>
      <w:r w:rsidRPr="002746E6">
        <w:rPr>
          <w:rFonts w:cs="Arial"/>
        </w:rPr>
        <w:t>pro</w:t>
      </w:r>
      <w:r>
        <w:rPr>
          <w:rFonts w:cs="Arial"/>
        </w:rPr>
        <w:t xml:space="preserve"> absolventky vysokých škol (1 068</w:t>
      </w:r>
      <w:r w:rsidRPr="002746E6">
        <w:rPr>
          <w:rFonts w:cs="Arial"/>
        </w:rPr>
        <w:t xml:space="preserve"> dětí na 1 000 žen)</w:t>
      </w:r>
      <w:r>
        <w:rPr>
          <w:rFonts w:cs="Arial"/>
        </w:rPr>
        <w:t>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 xml:space="preserve">Rozdíly </w:t>
      </w:r>
      <w:r w:rsidRPr="002746E6">
        <w:rPr>
          <w:rFonts w:cs="Arial"/>
        </w:rPr>
        <w:t>mezi jednotlivými vzdělanostními kategoriemi byly</w:t>
      </w:r>
      <w:r>
        <w:rPr>
          <w:rFonts w:cs="Arial"/>
        </w:rPr>
        <w:t xml:space="preserve"> také </w:t>
      </w:r>
      <w:r w:rsidRPr="002746E6">
        <w:rPr>
          <w:rFonts w:cs="Arial"/>
        </w:rPr>
        <w:t xml:space="preserve">ve struktuře podle </w:t>
      </w:r>
      <w:r>
        <w:rPr>
          <w:rFonts w:cs="Arial"/>
        </w:rPr>
        <w:t>toho, zda ženy byly bezdětné, nebo s jedním a více dětmi.</w:t>
      </w:r>
      <w:r w:rsidRPr="002746E6">
        <w:rPr>
          <w:rFonts w:cs="Arial"/>
        </w:rPr>
        <w:t xml:space="preserve"> </w:t>
      </w:r>
      <w:r>
        <w:rPr>
          <w:rFonts w:cs="Arial"/>
        </w:rPr>
        <w:t xml:space="preserve">Nejnižší podíl bezdětných žen byl u kategorie </w:t>
      </w:r>
      <w:r w:rsidRPr="002746E6">
        <w:rPr>
          <w:rFonts w:cs="Arial"/>
        </w:rPr>
        <w:t>mezi vyučenými a se středním</w:t>
      </w:r>
      <w:r>
        <w:rPr>
          <w:rFonts w:cs="Arial"/>
        </w:rPr>
        <w:t xml:space="preserve"> </w:t>
      </w:r>
      <w:r w:rsidRPr="002746E6">
        <w:rPr>
          <w:rFonts w:cs="Arial"/>
        </w:rPr>
        <w:t>vzděláním bez maturity</w:t>
      </w:r>
      <w:r>
        <w:rPr>
          <w:rFonts w:cs="Arial"/>
        </w:rPr>
        <w:t xml:space="preserve"> a to 15,7 %. Bezdětných žen se středním vzděláním s maturitou bylo 29,9 %. Největší podíl bezdětných žen byl mezi vysokoškolsky vzdělanými, kde tvořil 39,5 %. Velký podíl bezdětných žen byl u těch se základním vzděláním (52,6 %), do této kategorie však spadali také např. studentky středních škol v nízkém věku.</w:t>
      </w:r>
    </w:p>
    <w:p w:rsidR="007B30F8" w:rsidRDefault="007B30F8" w:rsidP="007B30F8">
      <w:pPr>
        <w:rPr>
          <w:rFonts w:cs="Arial"/>
        </w:rPr>
      </w:pPr>
    </w:p>
    <w:p w:rsidR="0006506E" w:rsidRDefault="0006506E" w:rsidP="007B30F8">
      <w:pPr>
        <w:rPr>
          <w:rFonts w:cs="Arial"/>
        </w:rPr>
      </w:pPr>
    </w:p>
    <w:p w:rsidR="0006506E" w:rsidRDefault="0006506E" w:rsidP="007B30F8">
      <w:pPr>
        <w:rPr>
          <w:rFonts w:cs="Arial"/>
        </w:rPr>
      </w:pPr>
    </w:p>
    <w:p w:rsidR="007B30F8" w:rsidRDefault="007B30F8" w:rsidP="000F5687">
      <w:pPr>
        <w:jc w:val="left"/>
        <w:rPr>
          <w:rFonts w:cs="Arial"/>
          <w:noProof/>
        </w:rPr>
      </w:pPr>
      <w:r w:rsidRPr="001A2E2C">
        <w:rPr>
          <w:rFonts w:cs="Arial"/>
          <w:b/>
          <w:bCs/>
          <w:szCs w:val="20"/>
        </w:rPr>
        <w:t>Tab. 3.3.1 Ženy podle počtu živě narozených dětí a věku</w:t>
      </w:r>
      <w:r w:rsidRPr="006972B0">
        <w:rPr>
          <w:rFonts w:cs="Arial"/>
          <w:b/>
        </w:rPr>
        <w:t xml:space="preserve"> </w:t>
      </w:r>
    </w:p>
    <w:p w:rsidR="0006506E" w:rsidRDefault="0006506E" w:rsidP="000F5687">
      <w:pPr>
        <w:jc w:val="left"/>
        <w:rPr>
          <w:rFonts w:cs="Arial"/>
        </w:rPr>
      </w:pPr>
      <w:r w:rsidRPr="0006506E">
        <w:rPr>
          <w:rFonts w:cs="Arial"/>
          <w:noProof/>
        </w:rPr>
        <w:drawing>
          <wp:inline distT="0" distB="0" distL="0" distR="0">
            <wp:extent cx="6120130" cy="239075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Pr="005F3682" w:rsidRDefault="007B30F8" w:rsidP="007B30F8">
      <w:pPr>
        <w:rPr>
          <w:rFonts w:cs="Arial"/>
        </w:rPr>
      </w:pPr>
    </w:p>
    <w:p w:rsidR="007B30F8" w:rsidRDefault="007B30F8" w:rsidP="007B30F8">
      <w:pPr>
        <w:pStyle w:val="Nadpis2"/>
        <w:spacing w:after="120"/>
        <w:jc w:val="both"/>
        <w:rPr>
          <w:rFonts w:cs="Arial"/>
        </w:rPr>
      </w:pPr>
      <w:bookmarkStart w:id="4" w:name="_Toc145675408"/>
      <w:r w:rsidRPr="005F3682">
        <w:rPr>
          <w:rFonts w:cs="Arial"/>
        </w:rPr>
        <w:t>Státní občanství</w:t>
      </w:r>
      <w:bookmarkEnd w:id="4"/>
      <w:r w:rsidRPr="005F3682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 w:rsidRPr="00443D9E">
        <w:rPr>
          <w:rFonts w:cs="Arial"/>
        </w:rPr>
        <w:t>Z celkového počtu osob sečtených</w:t>
      </w:r>
      <w:r>
        <w:rPr>
          <w:rFonts w:cs="Arial"/>
        </w:rPr>
        <w:t xml:space="preserve"> v Praze</w:t>
      </w:r>
      <w:r w:rsidRPr="00443D9E">
        <w:rPr>
          <w:rFonts w:cs="Arial"/>
        </w:rPr>
        <w:t xml:space="preserve"> k datu sčítání tvořily naprostou většinu</w:t>
      </w:r>
      <w:r>
        <w:rPr>
          <w:rFonts w:cs="Arial"/>
        </w:rPr>
        <w:t xml:space="preserve"> </w:t>
      </w:r>
      <w:r w:rsidRPr="00443D9E">
        <w:rPr>
          <w:rFonts w:cs="Arial"/>
        </w:rPr>
        <w:t>(85,2 %) osoby se státním občanstvím České republiky. Obyvatel s cizí státní</w:t>
      </w:r>
      <w:r>
        <w:rPr>
          <w:rFonts w:cs="Arial"/>
        </w:rPr>
        <w:t xml:space="preserve"> </w:t>
      </w:r>
      <w:r w:rsidRPr="00443D9E">
        <w:rPr>
          <w:rFonts w:cs="Arial"/>
        </w:rPr>
        <w:t>příslušností bylo na území hlavního města sečteno 1</w:t>
      </w:r>
      <w:r>
        <w:rPr>
          <w:rFonts w:cs="Arial"/>
        </w:rPr>
        <w:t>80</w:t>
      </w:r>
      <w:r w:rsidRPr="00443D9E">
        <w:rPr>
          <w:rFonts w:cs="Arial"/>
        </w:rPr>
        <w:t xml:space="preserve"> </w:t>
      </w:r>
      <w:r>
        <w:rPr>
          <w:rFonts w:cs="Arial"/>
        </w:rPr>
        <w:t>387</w:t>
      </w:r>
      <w:r w:rsidRPr="00443D9E">
        <w:rPr>
          <w:rFonts w:cs="Arial"/>
        </w:rPr>
        <w:t>. Za osoby s</w:t>
      </w:r>
      <w:r>
        <w:rPr>
          <w:rFonts w:cs="Arial"/>
        </w:rPr>
        <w:t> </w:t>
      </w:r>
      <w:r w:rsidRPr="00443D9E">
        <w:rPr>
          <w:rFonts w:cs="Arial"/>
        </w:rPr>
        <w:t>cizí</w:t>
      </w:r>
      <w:r>
        <w:rPr>
          <w:rFonts w:cs="Arial"/>
        </w:rPr>
        <w:t xml:space="preserve"> </w:t>
      </w:r>
      <w:r w:rsidRPr="00443D9E">
        <w:rPr>
          <w:rFonts w:cs="Arial"/>
        </w:rPr>
        <w:t>státní příslušností byly považovány osoby s jinou státní příslušností než České</w:t>
      </w:r>
      <w:r>
        <w:rPr>
          <w:rFonts w:cs="Arial"/>
        </w:rPr>
        <w:t xml:space="preserve"> </w:t>
      </w:r>
      <w:r w:rsidRPr="00443D9E">
        <w:rPr>
          <w:rFonts w:cs="Arial"/>
        </w:rPr>
        <w:t>republiky.</w:t>
      </w:r>
      <w:r>
        <w:rPr>
          <w:rFonts w:cs="Arial"/>
        </w:rPr>
        <w:t xml:space="preserve"> </w:t>
      </w:r>
      <w:r w:rsidRPr="00443D9E">
        <w:rPr>
          <w:rFonts w:cs="Arial"/>
        </w:rPr>
        <w:t>Kromě státního občanství jednotlivých států jsou ve zpracování výsledků</w:t>
      </w:r>
      <w:r>
        <w:rPr>
          <w:rFonts w:cs="Arial"/>
        </w:rPr>
        <w:t xml:space="preserve"> </w:t>
      </w:r>
      <w:r w:rsidRPr="00443D9E">
        <w:rPr>
          <w:rFonts w:cs="Arial"/>
        </w:rPr>
        <w:t>uváděny samostatně i údaje za osoby s dvojím občanstvím a za osoby</w:t>
      </w:r>
      <w:r>
        <w:rPr>
          <w:rFonts w:cs="Arial"/>
        </w:rPr>
        <w:t xml:space="preserve"> </w:t>
      </w:r>
      <w:r w:rsidRPr="00443D9E">
        <w:rPr>
          <w:rFonts w:cs="Arial"/>
        </w:rPr>
        <w:t>bez státního občanství, u nichž byla tato skutečnost zjištěna.</w:t>
      </w:r>
    </w:p>
    <w:p w:rsidR="007B30F8" w:rsidRDefault="007B30F8" w:rsidP="007B30F8">
      <w:pPr>
        <w:rPr>
          <w:rFonts w:cs="Arial"/>
        </w:rPr>
      </w:pPr>
      <w:r w:rsidRPr="00443D9E">
        <w:rPr>
          <w:rFonts w:cs="Arial"/>
        </w:rPr>
        <w:t>Osoby s cizí státní p</w:t>
      </w:r>
      <w:r>
        <w:rPr>
          <w:rFonts w:cs="Arial"/>
        </w:rPr>
        <w:t>říslušností tak představovaly 13</w:t>
      </w:r>
      <w:r w:rsidRPr="00443D9E">
        <w:rPr>
          <w:rFonts w:cs="Arial"/>
        </w:rPr>
        <w:t>,</w:t>
      </w:r>
      <w:r>
        <w:rPr>
          <w:rFonts w:cs="Arial"/>
        </w:rPr>
        <w:t>9</w:t>
      </w:r>
      <w:r w:rsidRPr="00443D9E">
        <w:rPr>
          <w:rFonts w:cs="Arial"/>
        </w:rPr>
        <w:t xml:space="preserve"> % úhrnného počtu</w:t>
      </w:r>
      <w:r>
        <w:rPr>
          <w:rFonts w:cs="Arial"/>
        </w:rPr>
        <w:t xml:space="preserve"> </w:t>
      </w:r>
      <w:r w:rsidRPr="00443D9E">
        <w:rPr>
          <w:rFonts w:cs="Arial"/>
        </w:rPr>
        <w:t>obyvatel hlavního města. Největší absolutní počet cizinců pocházel z</w:t>
      </w:r>
      <w:r>
        <w:rPr>
          <w:rFonts w:cs="Arial"/>
        </w:rPr>
        <w:t> </w:t>
      </w:r>
      <w:r w:rsidRPr="00443D9E">
        <w:rPr>
          <w:rFonts w:cs="Arial"/>
        </w:rPr>
        <w:t>Ukrajiny</w:t>
      </w:r>
      <w:r>
        <w:rPr>
          <w:rFonts w:cs="Arial"/>
        </w:rPr>
        <w:t xml:space="preserve"> </w:t>
      </w:r>
      <w:r w:rsidRPr="00443D9E">
        <w:rPr>
          <w:rFonts w:cs="Arial"/>
        </w:rPr>
        <w:t>(</w:t>
      </w:r>
      <w:r>
        <w:rPr>
          <w:rFonts w:cs="Arial"/>
        </w:rPr>
        <w:t>54,4 tis. osob), Slovenska (24</w:t>
      </w:r>
      <w:r w:rsidRPr="00443D9E">
        <w:rPr>
          <w:rFonts w:cs="Arial"/>
        </w:rPr>
        <w:t>,</w:t>
      </w:r>
      <w:r>
        <w:rPr>
          <w:rFonts w:cs="Arial"/>
        </w:rPr>
        <w:t>2 tis.), Ruska (23,0</w:t>
      </w:r>
      <w:r w:rsidRPr="00443D9E">
        <w:rPr>
          <w:rFonts w:cs="Arial"/>
        </w:rPr>
        <w:t xml:space="preserve"> tis.) a Vietnamu (1</w:t>
      </w:r>
      <w:r>
        <w:rPr>
          <w:rFonts w:cs="Arial"/>
        </w:rPr>
        <w:t>2</w:t>
      </w:r>
      <w:r w:rsidRPr="00443D9E">
        <w:rPr>
          <w:rFonts w:cs="Arial"/>
        </w:rPr>
        <w:t>,</w:t>
      </w:r>
      <w:r>
        <w:rPr>
          <w:rFonts w:cs="Arial"/>
        </w:rPr>
        <w:t>7</w:t>
      </w:r>
      <w:r w:rsidRPr="00443D9E">
        <w:rPr>
          <w:rFonts w:cs="Arial"/>
        </w:rPr>
        <w:t xml:space="preserve"> tis.).</w:t>
      </w:r>
      <w:r>
        <w:rPr>
          <w:rFonts w:cs="Arial"/>
        </w:rPr>
        <w:t xml:space="preserve"> Z celkového počtu cizinců jich 25,7 % pocházelo ze zemí Evropské unie. Občané evropských zemí mimo EU </w:t>
      </w:r>
      <w:r w:rsidRPr="006972B0">
        <w:rPr>
          <w:rFonts w:cs="Arial"/>
        </w:rPr>
        <w:t xml:space="preserve">(kam od roku 2020 patří i Velká Británie) </w:t>
      </w:r>
      <w:r>
        <w:rPr>
          <w:rFonts w:cs="Arial"/>
        </w:rPr>
        <w:t xml:space="preserve">tvořili skoro polovinu, přesněji 49,4 % všech cizinců žijících v Praze. Cizinci ze zemí mimo Evropu pak tvořili zbývajících 24,9 %. Ze zemí mimo Evropu žilo v Praze po Vietnamu nejvíce cizinců z Číny (4,1 tisíc), Kazachstánu (4 tisíce), a USA (3,3 tisíce). </w:t>
      </w:r>
    </w:p>
    <w:p w:rsidR="007B30F8" w:rsidRDefault="007B30F8" w:rsidP="007B30F8">
      <w:pPr>
        <w:rPr>
          <w:rFonts w:cs="Arial"/>
        </w:rPr>
      </w:pPr>
      <w:r w:rsidRPr="00A619FE">
        <w:rPr>
          <w:rFonts w:cs="Arial"/>
        </w:rPr>
        <w:t>V celorepublikovém měřítku pře</w:t>
      </w:r>
      <w:r>
        <w:rPr>
          <w:rFonts w:cs="Arial"/>
        </w:rPr>
        <w:t>d</w:t>
      </w:r>
      <w:r w:rsidRPr="00A619FE">
        <w:rPr>
          <w:rFonts w:cs="Arial"/>
        </w:rPr>
        <w:t>stavoval podíl cizinců v hlavním městě výrazný</w:t>
      </w:r>
      <w:r>
        <w:rPr>
          <w:rFonts w:cs="Arial"/>
        </w:rPr>
        <w:t xml:space="preserve"> </w:t>
      </w:r>
      <w:r w:rsidRPr="00A619FE">
        <w:rPr>
          <w:rFonts w:cs="Arial"/>
        </w:rPr>
        <w:t xml:space="preserve">nadprůměr. V ČR </w:t>
      </w:r>
      <w:r>
        <w:rPr>
          <w:rFonts w:cs="Arial"/>
        </w:rPr>
        <w:t>c</w:t>
      </w:r>
      <w:r w:rsidRPr="00A619FE">
        <w:rPr>
          <w:rFonts w:cs="Arial"/>
        </w:rPr>
        <w:t>elkem byl podíl cizinců na počtu obyvatel 4,</w:t>
      </w:r>
      <w:r>
        <w:rPr>
          <w:rFonts w:cs="Arial"/>
        </w:rPr>
        <w:t>7</w:t>
      </w:r>
      <w:r w:rsidRPr="00A619FE">
        <w:rPr>
          <w:rFonts w:cs="Arial"/>
        </w:rPr>
        <w:t xml:space="preserve"> %, Praha tak</w:t>
      </w:r>
      <w:r>
        <w:rPr>
          <w:rFonts w:cs="Arial"/>
        </w:rPr>
        <w:t xml:space="preserve"> </w:t>
      </w:r>
      <w:r w:rsidRPr="00A619FE">
        <w:rPr>
          <w:rFonts w:cs="Arial"/>
        </w:rPr>
        <w:t xml:space="preserve">byla </w:t>
      </w:r>
      <w:r>
        <w:rPr>
          <w:rFonts w:cs="Arial"/>
        </w:rPr>
        <w:t>s 13,9 % o 9,1</w:t>
      </w:r>
      <w:r w:rsidRPr="00A619FE">
        <w:rPr>
          <w:rFonts w:cs="Arial"/>
        </w:rPr>
        <w:t xml:space="preserve"> procentních bodů nad</w:t>
      </w:r>
      <w:r>
        <w:rPr>
          <w:rFonts w:cs="Arial"/>
        </w:rPr>
        <w:t xml:space="preserve"> </w:t>
      </w:r>
      <w:r w:rsidRPr="00A619FE">
        <w:rPr>
          <w:rFonts w:cs="Arial"/>
        </w:rPr>
        <w:t>republikovým průměrem a byla krajem</w:t>
      </w:r>
      <w:r>
        <w:rPr>
          <w:rFonts w:cs="Arial"/>
        </w:rPr>
        <w:t xml:space="preserve"> </w:t>
      </w:r>
      <w:r w:rsidRPr="00A619FE">
        <w:rPr>
          <w:rFonts w:cs="Arial"/>
        </w:rPr>
        <w:t>s</w:t>
      </w:r>
      <w:r>
        <w:rPr>
          <w:rFonts w:cs="Arial"/>
        </w:rPr>
        <w:t>e suverénně</w:t>
      </w:r>
      <w:r w:rsidRPr="00A619FE">
        <w:rPr>
          <w:rFonts w:cs="Arial"/>
        </w:rPr>
        <w:t xml:space="preserve"> nejvyšším podílem cizinců. V pořadí druhým krajem byl až s 5,</w:t>
      </w:r>
      <w:r>
        <w:rPr>
          <w:rFonts w:cs="Arial"/>
        </w:rPr>
        <w:t>7</w:t>
      </w:r>
      <w:r w:rsidRPr="00A619FE">
        <w:rPr>
          <w:rFonts w:cs="Arial"/>
        </w:rPr>
        <w:t xml:space="preserve"> %</w:t>
      </w:r>
      <w:r>
        <w:rPr>
          <w:rFonts w:cs="Arial"/>
        </w:rPr>
        <w:t xml:space="preserve"> Plzeňský</w:t>
      </w:r>
      <w:r w:rsidRPr="00A619FE">
        <w:rPr>
          <w:rFonts w:cs="Arial"/>
        </w:rPr>
        <w:t xml:space="preserve"> kraj.</w:t>
      </w:r>
    </w:p>
    <w:p w:rsidR="007B30F8" w:rsidRDefault="007B30F8" w:rsidP="007B30F8">
      <w:pPr>
        <w:rPr>
          <w:rFonts w:cs="Arial"/>
        </w:rPr>
      </w:pPr>
      <w:r w:rsidRPr="00A619FE">
        <w:rPr>
          <w:rFonts w:cs="Arial"/>
        </w:rPr>
        <w:t>Celkově byl mezi cizinci vyšší počet mužů než žen.</w:t>
      </w:r>
      <w:r>
        <w:rPr>
          <w:rFonts w:cs="Arial"/>
        </w:rPr>
        <w:t xml:space="preserve"> Muži tvořili 52,7 % cizinců žijících v Praze. Muži také převládali u většiny početněji zastoupených zemí. </w:t>
      </w:r>
      <w:r w:rsidRPr="00A619FE">
        <w:rPr>
          <w:rFonts w:cs="Arial"/>
        </w:rPr>
        <w:t>Jen ve výjimečných případech státního</w:t>
      </w:r>
      <w:r>
        <w:rPr>
          <w:rFonts w:cs="Arial"/>
        </w:rPr>
        <w:t xml:space="preserve"> </w:t>
      </w:r>
      <w:r w:rsidRPr="00A619FE">
        <w:rPr>
          <w:rFonts w:cs="Arial"/>
        </w:rPr>
        <w:t>občanství přev</w:t>
      </w:r>
      <w:r>
        <w:rPr>
          <w:rFonts w:cs="Arial"/>
        </w:rPr>
        <w:t>ažovaly ženy a to např. z Polska, Ruska či Běloruska (z evropských zemí) nebo Kazachstánu, Japonska či Jižní Koreje (z mimoevropských zemí). Muži</w:t>
      </w:r>
      <w:r w:rsidRPr="00A619FE">
        <w:rPr>
          <w:rFonts w:cs="Arial"/>
        </w:rPr>
        <w:t xml:space="preserve"> výrazně</w:t>
      </w:r>
      <w:r>
        <w:rPr>
          <w:rFonts w:cs="Arial"/>
        </w:rPr>
        <w:t xml:space="preserve">ji </w:t>
      </w:r>
      <w:r w:rsidRPr="00A619FE">
        <w:rPr>
          <w:rFonts w:cs="Arial"/>
        </w:rPr>
        <w:t>dominovali u</w:t>
      </w:r>
      <w:r>
        <w:rPr>
          <w:rFonts w:cs="Arial"/>
        </w:rPr>
        <w:t xml:space="preserve"> většiny početněji zastoupených zemí Evropské Unie, z mimoevropských pak nejvýrazněji u Uzbekistánu, Indie a USA.</w:t>
      </w:r>
      <w:r w:rsidRPr="00A619FE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 w:rsidRPr="00937C9E">
        <w:rPr>
          <w:rFonts w:cs="Arial"/>
        </w:rPr>
        <w:t>Pro věkovou strukturu cizinců je charakteristické výrazné zastoupení osob</w:t>
      </w:r>
      <w:r>
        <w:rPr>
          <w:rFonts w:cs="Arial"/>
        </w:rPr>
        <w:t xml:space="preserve"> </w:t>
      </w:r>
      <w:r w:rsidRPr="00937C9E">
        <w:rPr>
          <w:rFonts w:cs="Arial"/>
        </w:rPr>
        <w:t>v produktivním věku (15-64 let). Podíl produktivní složky cizinců tvořil 8</w:t>
      </w:r>
      <w:r>
        <w:rPr>
          <w:rFonts w:cs="Arial"/>
        </w:rPr>
        <w:t>4</w:t>
      </w:r>
      <w:r w:rsidRPr="00937C9E">
        <w:rPr>
          <w:rFonts w:cs="Arial"/>
        </w:rPr>
        <w:t>,</w:t>
      </w:r>
      <w:r>
        <w:rPr>
          <w:rFonts w:cs="Arial"/>
        </w:rPr>
        <w:t>8</w:t>
      </w:r>
      <w:r w:rsidRPr="00937C9E">
        <w:rPr>
          <w:rFonts w:cs="Arial"/>
        </w:rPr>
        <w:t xml:space="preserve"> %</w:t>
      </w:r>
      <w:r>
        <w:rPr>
          <w:rFonts w:cs="Arial"/>
        </w:rPr>
        <w:t>. P</w:t>
      </w:r>
      <w:r w:rsidRPr="00937C9E">
        <w:rPr>
          <w:rFonts w:cs="Arial"/>
        </w:rPr>
        <w:t xml:space="preserve">ro srovnání podíl produktivní složky </w:t>
      </w:r>
      <w:r>
        <w:rPr>
          <w:rFonts w:cs="Arial"/>
        </w:rPr>
        <w:t>obyvatel</w:t>
      </w:r>
      <w:r w:rsidRPr="00937C9E">
        <w:rPr>
          <w:rFonts w:cs="Arial"/>
        </w:rPr>
        <w:t xml:space="preserve"> </w:t>
      </w:r>
      <w:r>
        <w:rPr>
          <w:rFonts w:cs="Arial"/>
        </w:rPr>
        <w:t>s českým státním občanstvím činil 63,1 %. Logicky</w:t>
      </w:r>
      <w:r w:rsidRPr="00937C9E">
        <w:rPr>
          <w:rFonts w:cs="Arial"/>
        </w:rPr>
        <w:t xml:space="preserve"> díky tomu bylo procentuální zastoupení zbylých dvou věkových</w:t>
      </w:r>
      <w:r>
        <w:rPr>
          <w:rFonts w:cs="Arial"/>
        </w:rPr>
        <w:t xml:space="preserve"> </w:t>
      </w:r>
      <w:r w:rsidRPr="00937C9E">
        <w:rPr>
          <w:rFonts w:cs="Arial"/>
        </w:rPr>
        <w:t>složek cizinců nižší. Vzhledem k převážně pracovně orientované imigraci byl</w:t>
      </w:r>
      <w:r>
        <w:rPr>
          <w:rFonts w:cs="Arial"/>
        </w:rPr>
        <w:t xml:space="preserve"> </w:t>
      </w:r>
      <w:r w:rsidRPr="00937C9E">
        <w:rPr>
          <w:rFonts w:cs="Arial"/>
        </w:rPr>
        <w:t xml:space="preserve">podíl dětí mladších 15 let </w:t>
      </w:r>
      <w:r>
        <w:rPr>
          <w:rFonts w:cs="Arial"/>
        </w:rPr>
        <w:t>12,0</w:t>
      </w:r>
      <w:r w:rsidRPr="00937C9E">
        <w:rPr>
          <w:rFonts w:cs="Arial"/>
        </w:rPr>
        <w:t xml:space="preserve"> % a osob starších 65 let </w:t>
      </w:r>
      <w:r>
        <w:rPr>
          <w:rFonts w:cs="Arial"/>
        </w:rPr>
        <w:t>3,2</w:t>
      </w:r>
      <w:r w:rsidRPr="00937C9E">
        <w:rPr>
          <w:rFonts w:cs="Arial"/>
        </w:rPr>
        <w:t xml:space="preserve"> %.</w:t>
      </w:r>
    </w:p>
    <w:p w:rsidR="007B30F8" w:rsidRDefault="007B30F8" w:rsidP="007B30F8">
      <w:pPr>
        <w:rPr>
          <w:rFonts w:cs="Arial"/>
        </w:rPr>
      </w:pPr>
    </w:p>
    <w:p w:rsidR="007C4CD9" w:rsidRDefault="007C4CD9" w:rsidP="007B30F8">
      <w:pPr>
        <w:rPr>
          <w:rFonts w:cs="Arial"/>
        </w:rPr>
      </w:pPr>
    </w:p>
    <w:p w:rsidR="007C4CD9" w:rsidRDefault="007C4CD9" w:rsidP="007B30F8">
      <w:pPr>
        <w:rPr>
          <w:rFonts w:cs="Arial"/>
        </w:rPr>
      </w:pPr>
    </w:p>
    <w:p w:rsidR="0006506E" w:rsidRDefault="0006506E" w:rsidP="007B30F8">
      <w:pPr>
        <w:rPr>
          <w:rFonts w:cs="Arial"/>
        </w:rPr>
      </w:pPr>
    </w:p>
    <w:p w:rsidR="007B30F8" w:rsidRDefault="007B30F8" w:rsidP="007B30F8">
      <w:pPr>
        <w:spacing w:after="0" w:line="240" w:lineRule="auto"/>
        <w:rPr>
          <w:rFonts w:cs="Arial"/>
          <w:b/>
          <w:bCs/>
          <w:szCs w:val="20"/>
          <w:vertAlign w:val="superscript"/>
        </w:rPr>
      </w:pPr>
      <w:r w:rsidRPr="00E77DA1">
        <w:rPr>
          <w:rFonts w:cs="Arial"/>
          <w:b/>
          <w:bCs/>
          <w:szCs w:val="20"/>
        </w:rPr>
        <w:t>Tab. 3.4.1 Obyvatelstvo podle pohlaví, věku a státního občanství</w:t>
      </w:r>
      <w:r w:rsidRPr="00E77DA1">
        <w:rPr>
          <w:rFonts w:cs="Arial"/>
          <w:b/>
          <w:bCs/>
          <w:szCs w:val="20"/>
          <w:vertAlign w:val="superscript"/>
        </w:rPr>
        <w:t>*)</w:t>
      </w:r>
    </w:p>
    <w:p w:rsidR="007B30F8" w:rsidRPr="00E77DA1" w:rsidRDefault="007B30F8" w:rsidP="007B30F8">
      <w:pPr>
        <w:spacing w:after="0" w:line="240" w:lineRule="auto"/>
        <w:rPr>
          <w:rFonts w:cs="Arial"/>
          <w:b/>
          <w:bCs/>
          <w:szCs w:val="20"/>
        </w:rPr>
      </w:pPr>
    </w:p>
    <w:p w:rsidR="007B30F8" w:rsidRDefault="007B30F8" w:rsidP="007B30F8">
      <w:pPr>
        <w:rPr>
          <w:rFonts w:cs="Arial"/>
        </w:rPr>
      </w:pPr>
      <w:r w:rsidRPr="00E77DA1">
        <w:rPr>
          <w:rFonts w:cs="Arial"/>
          <w:noProof/>
        </w:rPr>
        <w:drawing>
          <wp:inline distT="0" distB="0" distL="0" distR="0" wp14:anchorId="3A7058C2" wp14:editId="0309DD0D">
            <wp:extent cx="5686425" cy="6353175"/>
            <wp:effectExtent l="0" t="0" r="9525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197C5D">
        <w:rPr>
          <w:rFonts w:cs="Arial"/>
        </w:rPr>
        <w:t xml:space="preserve">Z vybraných nejčastějších cizích státních občanství měli </w:t>
      </w:r>
      <w:r>
        <w:rPr>
          <w:rFonts w:cs="Arial"/>
        </w:rPr>
        <w:t>ve věkové struktuře nejvíce zastoupené děti o</w:t>
      </w:r>
      <w:r w:rsidRPr="00197C5D">
        <w:rPr>
          <w:rFonts w:cs="Arial"/>
        </w:rPr>
        <w:t xml:space="preserve">bčané </w:t>
      </w:r>
      <w:r>
        <w:rPr>
          <w:rFonts w:cs="Arial"/>
        </w:rPr>
        <w:t>Vietnamu (24,5</w:t>
      </w:r>
      <w:r w:rsidRPr="00197C5D">
        <w:rPr>
          <w:rFonts w:cs="Arial"/>
        </w:rPr>
        <w:t xml:space="preserve"> % osob ve věku 0-14 let),</w:t>
      </w:r>
      <w:r>
        <w:rPr>
          <w:rFonts w:cs="Arial"/>
        </w:rPr>
        <w:t xml:space="preserve"> Japonska (20,3 %) a Jihokorejské republiky (20,1)</w:t>
      </w:r>
      <w:r w:rsidRPr="00197C5D">
        <w:rPr>
          <w:rFonts w:cs="Arial"/>
        </w:rPr>
        <w:t>.</w:t>
      </w:r>
      <w:r>
        <w:rPr>
          <w:rFonts w:cs="Arial"/>
        </w:rPr>
        <w:t xml:space="preserve"> Z evropských zemí byly děti ve věku 0-14 let nejčastěji zastoupeni u státních občanů Rumunska (16,8 %). Nejstarší</w:t>
      </w:r>
      <w:r w:rsidRPr="00197C5D">
        <w:rPr>
          <w:rFonts w:cs="Arial"/>
        </w:rPr>
        <w:t xml:space="preserve"> věkovou strukturou se</w:t>
      </w:r>
      <w:r>
        <w:rPr>
          <w:rFonts w:cs="Arial"/>
        </w:rPr>
        <w:t xml:space="preserve"> vyznačovali občané Německa (15,0</w:t>
      </w:r>
      <w:r w:rsidRPr="00197C5D">
        <w:rPr>
          <w:rFonts w:cs="Arial"/>
        </w:rPr>
        <w:t xml:space="preserve"> % osob starších 65 let)</w:t>
      </w:r>
      <w:r>
        <w:rPr>
          <w:rFonts w:cs="Arial"/>
        </w:rPr>
        <w:t xml:space="preserve"> a Chorvatska (12,2 % </w:t>
      </w:r>
      <w:r w:rsidRPr="00197C5D">
        <w:rPr>
          <w:rFonts w:cs="Arial"/>
        </w:rPr>
        <w:t>osob starších 65 let</w:t>
      </w:r>
      <w:r>
        <w:rPr>
          <w:rFonts w:cs="Arial"/>
        </w:rPr>
        <w:t>).</w:t>
      </w:r>
    </w:p>
    <w:p w:rsidR="007B30F8" w:rsidRDefault="007B30F8" w:rsidP="007B30F8">
      <w:pPr>
        <w:rPr>
          <w:rFonts w:cs="Arial"/>
        </w:rPr>
      </w:pPr>
    </w:p>
    <w:p w:rsidR="007C4CD9" w:rsidRPr="00B61D6C" w:rsidRDefault="007C4CD9" w:rsidP="007C4CD9">
      <w:pPr>
        <w:rPr>
          <w:rFonts w:cs="Arial"/>
        </w:rPr>
      </w:pPr>
      <w:r>
        <w:rPr>
          <w:rFonts w:cs="Arial"/>
        </w:rPr>
        <w:t>Největší podíl</w:t>
      </w:r>
      <w:r w:rsidRPr="00B61D6C">
        <w:rPr>
          <w:rFonts w:cs="Arial"/>
        </w:rPr>
        <w:t xml:space="preserve"> osob s cizím státním občanstvím</w:t>
      </w:r>
      <w:r>
        <w:rPr>
          <w:rFonts w:cs="Arial"/>
        </w:rPr>
        <w:t xml:space="preserve"> měli městské části v širším centru Prahy. Našli se však i městské části na okraji hlavního města s relativně velkým podílem cizinců, jako např. Nebušice, Březiněves, Libuš, Řeporyje a Zličín. </w:t>
      </w:r>
    </w:p>
    <w:p w:rsidR="007C4CD9" w:rsidRDefault="007C4CD9" w:rsidP="007B30F8">
      <w:pPr>
        <w:rPr>
          <w:rFonts w:cs="Arial"/>
        </w:rPr>
      </w:pPr>
    </w:p>
    <w:p w:rsidR="007C4CD9" w:rsidRDefault="007C4CD9" w:rsidP="007B30F8">
      <w:pPr>
        <w:rPr>
          <w:rFonts w:cs="Arial"/>
        </w:rPr>
      </w:pPr>
    </w:p>
    <w:p w:rsidR="000F5687" w:rsidRPr="000F5687" w:rsidRDefault="000F5687" w:rsidP="007B30F8">
      <w:pPr>
        <w:rPr>
          <w:rFonts w:cs="Arial"/>
          <w:b/>
        </w:rPr>
      </w:pPr>
      <w:r w:rsidRPr="000F5687">
        <w:rPr>
          <w:rFonts w:cs="Arial"/>
          <w:b/>
        </w:rPr>
        <w:t>Kartogram 3.3 Obyvatelstvo s cizím státním občanstvím v městských částech hl. m. Prahy</w:t>
      </w:r>
    </w:p>
    <w:p w:rsidR="007C4CD9" w:rsidRDefault="007C4CD9" w:rsidP="007B30F8">
      <w:pPr>
        <w:rPr>
          <w:rFonts w:cs="Arial"/>
        </w:rPr>
      </w:pPr>
      <w:r w:rsidRPr="00BF1EA4">
        <w:rPr>
          <w:rFonts w:cs="Arial"/>
          <w:b/>
          <w:noProof/>
          <w:color w:val="FF0000"/>
        </w:rPr>
        <w:drawing>
          <wp:inline distT="0" distB="0" distL="0" distR="0" wp14:anchorId="5A2DC60A" wp14:editId="29135E40">
            <wp:extent cx="5760143" cy="4255135"/>
            <wp:effectExtent l="0" t="0" r="0" b="0"/>
            <wp:docPr id="19" name="Obrázek 19" descr="C:\Users\vlc37431\Documents\SLDB 2022 publikace\Hlavní publikace\kartogramy\PodilCizin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c37431\Documents\SLDB 2022 publikace\Hlavní publikace\kartogramy\PodilCizin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9"/>
                    <a:stretch/>
                  </pic:blipFill>
                  <pic:spPr bwMode="auto">
                    <a:xfrm>
                      <a:off x="0" y="0"/>
                      <a:ext cx="5760720" cy="42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CD9" w:rsidRDefault="007C4CD9" w:rsidP="007B30F8">
      <w:pPr>
        <w:rPr>
          <w:rFonts w:cs="Arial"/>
        </w:rPr>
      </w:pPr>
    </w:p>
    <w:p w:rsidR="007B30F8" w:rsidRPr="009474D8" w:rsidRDefault="007B30F8" w:rsidP="007B30F8">
      <w:pPr>
        <w:pStyle w:val="Nadpis2"/>
        <w:spacing w:after="120"/>
        <w:jc w:val="both"/>
        <w:rPr>
          <w:rFonts w:cs="Arial"/>
        </w:rPr>
      </w:pPr>
      <w:r w:rsidRPr="009474D8">
        <w:rPr>
          <w:rFonts w:cs="Arial"/>
        </w:rPr>
        <w:t>Národnost, mateřský jazyk</w:t>
      </w:r>
    </w:p>
    <w:p w:rsidR="007B30F8" w:rsidRPr="004F609E" w:rsidRDefault="007B30F8" w:rsidP="007B30F8">
      <w:pPr>
        <w:rPr>
          <w:rFonts w:cs="Arial"/>
        </w:rPr>
      </w:pPr>
      <w:r w:rsidRPr="004F609E">
        <w:rPr>
          <w:rFonts w:cs="Arial"/>
        </w:rPr>
        <w:t>Při sčítání lidu, domů a bytů nebylo vyplnění otázky na národnost povinné. Údaj</w:t>
      </w:r>
      <w:r>
        <w:rPr>
          <w:rFonts w:cs="Arial"/>
        </w:rPr>
        <w:t xml:space="preserve"> </w:t>
      </w:r>
      <w:r w:rsidRPr="004F609E">
        <w:rPr>
          <w:rFonts w:cs="Arial"/>
        </w:rPr>
        <w:t>vyplňoval každý občan podle svého rozhodnutí, včetně možnosti uvedení dvou</w:t>
      </w:r>
      <w:r>
        <w:rPr>
          <w:rFonts w:cs="Arial"/>
        </w:rPr>
        <w:t xml:space="preserve"> </w:t>
      </w:r>
      <w:r w:rsidRPr="004F609E">
        <w:rPr>
          <w:rFonts w:cs="Arial"/>
        </w:rPr>
        <w:t>národností nebo neuvedení žádné. Stejně jako v případě otázky náboženské</w:t>
      </w:r>
      <w:r>
        <w:rPr>
          <w:rFonts w:cs="Arial"/>
        </w:rPr>
        <w:t xml:space="preserve"> </w:t>
      </w:r>
      <w:r w:rsidRPr="004F609E">
        <w:rPr>
          <w:rFonts w:cs="Arial"/>
        </w:rPr>
        <w:t>víry se jednalo o dobrovolný údaj.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Jelikož</w:t>
      </w:r>
      <w:r w:rsidRPr="004F609E">
        <w:rPr>
          <w:rFonts w:cs="Arial"/>
        </w:rPr>
        <w:t xml:space="preserve"> se jednalo o dobrovolný údaj, otázku o národnosti </w:t>
      </w:r>
      <w:r>
        <w:rPr>
          <w:rFonts w:cs="Arial"/>
        </w:rPr>
        <w:t>ne</w:t>
      </w:r>
      <w:r w:rsidRPr="004F609E">
        <w:rPr>
          <w:rFonts w:cs="Arial"/>
        </w:rPr>
        <w:t>vyplnil poměrně velký</w:t>
      </w:r>
      <w:r>
        <w:rPr>
          <w:rFonts w:cs="Arial"/>
        </w:rPr>
        <w:t xml:space="preserve"> </w:t>
      </w:r>
      <w:r w:rsidRPr="004F609E">
        <w:rPr>
          <w:rFonts w:cs="Arial"/>
        </w:rPr>
        <w:t>podíl osob.</w:t>
      </w:r>
      <w:r>
        <w:rPr>
          <w:rFonts w:cs="Arial"/>
        </w:rPr>
        <w:t xml:space="preserve"> V Praze na otázku národnosti odpovědělo 70 % osob, přičemž v celé ČR to bylo 72,4 %</w:t>
      </w:r>
      <w:r w:rsidRPr="004F609E">
        <w:rPr>
          <w:rFonts w:cs="Arial"/>
        </w:rPr>
        <w:t xml:space="preserve"> </w:t>
      </w:r>
      <w:r>
        <w:rPr>
          <w:rFonts w:cs="Arial"/>
        </w:rPr>
        <w:t>osob</w:t>
      </w:r>
      <w:r w:rsidRPr="004F609E">
        <w:rPr>
          <w:rFonts w:cs="Arial"/>
        </w:rPr>
        <w:t>.</w:t>
      </w:r>
      <w:r>
        <w:rPr>
          <w:rFonts w:cs="Arial"/>
        </w:rPr>
        <w:t xml:space="preserve"> Vyplněnost této otázky tak byla podobná jako u náboženství, kde v Praze odpovědělo 71,7 % osob.</w:t>
      </w:r>
    </w:p>
    <w:p w:rsidR="007B30F8" w:rsidRDefault="007B30F8" w:rsidP="007B30F8">
      <w:pPr>
        <w:rPr>
          <w:rFonts w:cs="Arial"/>
        </w:rPr>
      </w:pPr>
      <w:r w:rsidRPr="004F5720">
        <w:rPr>
          <w:rFonts w:cs="Arial"/>
        </w:rPr>
        <w:t>Struktura obyvatel hlavního města podle národnosti k datu sčítání tedy</w:t>
      </w:r>
      <w:r>
        <w:rPr>
          <w:rFonts w:cs="Arial"/>
        </w:rPr>
        <w:t xml:space="preserve"> </w:t>
      </w:r>
      <w:r w:rsidRPr="004F5720">
        <w:rPr>
          <w:rFonts w:cs="Arial"/>
        </w:rPr>
        <w:t>vypadala následovně</w:t>
      </w:r>
      <w:r>
        <w:rPr>
          <w:rFonts w:cs="Arial"/>
        </w:rPr>
        <w:t>:</w:t>
      </w:r>
      <w:r w:rsidRPr="004F5720">
        <w:rPr>
          <w:rFonts w:cs="Arial"/>
        </w:rPr>
        <w:t xml:space="preserve"> Z osob, které </w:t>
      </w:r>
      <w:r>
        <w:rPr>
          <w:rFonts w:cs="Arial"/>
        </w:rPr>
        <w:t xml:space="preserve">dobrovolně </w:t>
      </w:r>
      <w:r w:rsidRPr="004F5720">
        <w:rPr>
          <w:rFonts w:cs="Arial"/>
        </w:rPr>
        <w:t xml:space="preserve">uvedly </w:t>
      </w:r>
      <w:r>
        <w:rPr>
          <w:rFonts w:cs="Arial"/>
        </w:rPr>
        <w:t>svou</w:t>
      </w:r>
      <w:r w:rsidRPr="004F5720">
        <w:rPr>
          <w:rFonts w:cs="Arial"/>
        </w:rPr>
        <w:t xml:space="preserve"> národnost, bylo 8</w:t>
      </w:r>
      <w:r>
        <w:rPr>
          <w:rFonts w:cs="Arial"/>
        </w:rPr>
        <w:t>8,2</w:t>
      </w:r>
      <w:r w:rsidRPr="004F5720">
        <w:rPr>
          <w:rFonts w:cs="Arial"/>
        </w:rPr>
        <w:t xml:space="preserve"> % osob</w:t>
      </w:r>
      <w:r>
        <w:rPr>
          <w:rFonts w:cs="Arial"/>
        </w:rPr>
        <w:t xml:space="preserve"> </w:t>
      </w:r>
      <w:r w:rsidRPr="004F5720">
        <w:rPr>
          <w:rFonts w:cs="Arial"/>
        </w:rPr>
        <w:t xml:space="preserve">české národnosti, </w:t>
      </w:r>
      <w:r>
        <w:rPr>
          <w:rFonts w:cs="Arial"/>
        </w:rPr>
        <w:t>3,6 % národnosti ukrajinské, 3</w:t>
      </w:r>
      <w:r w:rsidRPr="004F5720">
        <w:rPr>
          <w:rFonts w:cs="Arial"/>
        </w:rPr>
        <w:t>,5 % slovenské,</w:t>
      </w:r>
      <w:r>
        <w:rPr>
          <w:rFonts w:cs="Arial"/>
        </w:rPr>
        <w:t xml:space="preserve"> a 2,2 % národnosti ruské. Co se týče národností nepatřící k žádnému aktuálně existujícímu státu, tak k národnosti moravské se přihlásilo 0,8 % Pražanů, k národnosti romské 0,2 % a ke slezské 0,1 %. </w:t>
      </w:r>
    </w:p>
    <w:p w:rsidR="007B30F8" w:rsidRDefault="007B30F8" w:rsidP="007B30F8">
      <w:pPr>
        <w:rPr>
          <w:rFonts w:cs="Arial"/>
        </w:rPr>
      </w:pPr>
      <w:r w:rsidRPr="00650A90">
        <w:rPr>
          <w:rFonts w:cs="Arial"/>
        </w:rPr>
        <w:t>Populace menšinových národností se odlišovala v</w:t>
      </w:r>
      <w:r>
        <w:rPr>
          <w:rFonts w:cs="Arial"/>
        </w:rPr>
        <w:t> </w:t>
      </w:r>
      <w:r w:rsidRPr="00650A90">
        <w:rPr>
          <w:rFonts w:cs="Arial"/>
        </w:rPr>
        <w:t>demografických</w:t>
      </w:r>
      <w:r>
        <w:rPr>
          <w:rFonts w:cs="Arial"/>
        </w:rPr>
        <w:t xml:space="preserve"> </w:t>
      </w:r>
      <w:r w:rsidRPr="00650A90">
        <w:rPr>
          <w:rFonts w:cs="Arial"/>
        </w:rPr>
        <w:t>charakteristikách od většinové populace. Například netypická převaha</w:t>
      </w:r>
      <w:r>
        <w:rPr>
          <w:rFonts w:cs="Arial"/>
        </w:rPr>
        <w:t xml:space="preserve"> </w:t>
      </w:r>
      <w:r w:rsidRPr="00650A90">
        <w:rPr>
          <w:rFonts w:cs="Arial"/>
        </w:rPr>
        <w:t>v zastoupení mužů nad ženami byla z</w:t>
      </w:r>
      <w:r>
        <w:rPr>
          <w:rFonts w:cs="Arial"/>
        </w:rPr>
        <w:t>jištěna u slezské národnosti (65</w:t>
      </w:r>
      <w:r w:rsidRPr="00650A90">
        <w:rPr>
          <w:rFonts w:cs="Arial"/>
        </w:rPr>
        <w:t>,</w:t>
      </w:r>
      <w:r>
        <w:rPr>
          <w:rFonts w:cs="Arial"/>
        </w:rPr>
        <w:t>9</w:t>
      </w:r>
      <w:r w:rsidRPr="00650A90">
        <w:rPr>
          <w:rFonts w:cs="Arial"/>
        </w:rPr>
        <w:t xml:space="preserve"> %</w:t>
      </w:r>
      <w:r>
        <w:rPr>
          <w:rFonts w:cs="Arial"/>
        </w:rPr>
        <w:t xml:space="preserve"> mužů), německé </w:t>
      </w:r>
      <w:r w:rsidRPr="00650A90">
        <w:rPr>
          <w:rFonts w:cs="Arial"/>
        </w:rPr>
        <w:t>(</w:t>
      </w:r>
      <w:r>
        <w:rPr>
          <w:rFonts w:cs="Arial"/>
        </w:rPr>
        <w:t>59,1 % mužů</w:t>
      </w:r>
      <w:r w:rsidRPr="00650A90">
        <w:rPr>
          <w:rFonts w:cs="Arial"/>
        </w:rPr>
        <w:t>)</w:t>
      </w:r>
      <w:r>
        <w:rPr>
          <w:rFonts w:cs="Arial"/>
        </w:rPr>
        <w:t xml:space="preserve"> a moravské (55,1 % mužů), naopak ženy výrazněji převažovali u národností ruské (58,1 % žen), polské (57,9 % žen) a slovenské (54,9 % žen).</w:t>
      </w:r>
    </w:p>
    <w:p w:rsidR="00D918DB" w:rsidRDefault="00D918DB" w:rsidP="007B30F8">
      <w:pPr>
        <w:rPr>
          <w:rFonts w:cs="Arial"/>
          <w:b/>
        </w:rPr>
      </w:pPr>
    </w:p>
    <w:p w:rsidR="007C4CD9" w:rsidRDefault="007C4CD9" w:rsidP="007B30F8">
      <w:pPr>
        <w:rPr>
          <w:rFonts w:cs="Arial"/>
          <w:b/>
        </w:rPr>
      </w:pPr>
    </w:p>
    <w:p w:rsidR="007C4CD9" w:rsidRDefault="007C4CD9" w:rsidP="007B30F8">
      <w:pPr>
        <w:rPr>
          <w:rFonts w:cs="Arial"/>
          <w:b/>
        </w:rPr>
      </w:pPr>
    </w:p>
    <w:p w:rsidR="007C4CD9" w:rsidRDefault="007C4CD9" w:rsidP="007B30F8">
      <w:pPr>
        <w:rPr>
          <w:rFonts w:cs="Arial"/>
          <w:b/>
        </w:rPr>
      </w:pPr>
    </w:p>
    <w:p w:rsidR="007B30F8" w:rsidRDefault="007B30F8" w:rsidP="007B30F8">
      <w:pPr>
        <w:rPr>
          <w:rFonts w:cs="Arial"/>
        </w:rPr>
      </w:pPr>
      <w:r w:rsidRPr="00E77DA1">
        <w:rPr>
          <w:rFonts w:cs="Arial"/>
          <w:b/>
        </w:rPr>
        <w:t>Tab. 3.5.1 Obyvatelstvo podle pohlaví, věku a národnosti</w:t>
      </w:r>
    </w:p>
    <w:p w:rsidR="007B30F8" w:rsidRDefault="00D918DB" w:rsidP="007B30F8">
      <w:pPr>
        <w:rPr>
          <w:rFonts w:cs="Arial"/>
        </w:rPr>
      </w:pPr>
      <w:r w:rsidRPr="00D918DB">
        <w:rPr>
          <w:rFonts w:cs="Arial"/>
          <w:noProof/>
        </w:rPr>
        <w:drawing>
          <wp:inline distT="0" distB="0" distL="0" distR="0">
            <wp:extent cx="6120130" cy="27084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Pr="004F5720" w:rsidRDefault="007B30F8" w:rsidP="007B30F8">
      <w:pPr>
        <w:rPr>
          <w:rFonts w:cs="Arial"/>
        </w:rPr>
      </w:pPr>
    </w:p>
    <w:p w:rsidR="007B30F8" w:rsidRPr="004F609E" w:rsidRDefault="007B30F8" w:rsidP="007B30F8">
      <w:pPr>
        <w:rPr>
          <w:rFonts w:cs="Arial"/>
        </w:rPr>
      </w:pPr>
      <w:r w:rsidRPr="00650A90">
        <w:rPr>
          <w:rFonts w:cs="Arial"/>
        </w:rPr>
        <w:t>Z hlediska věkového</w:t>
      </w:r>
      <w:r>
        <w:rPr>
          <w:rFonts w:cs="Arial"/>
        </w:rPr>
        <w:t xml:space="preserve"> </w:t>
      </w:r>
      <w:r w:rsidRPr="00650A90">
        <w:rPr>
          <w:rFonts w:cs="Arial"/>
        </w:rPr>
        <w:t xml:space="preserve">rozložení se </w:t>
      </w:r>
      <w:r>
        <w:rPr>
          <w:rFonts w:cs="Arial"/>
        </w:rPr>
        <w:t>různé</w:t>
      </w:r>
      <w:r w:rsidRPr="00650A90">
        <w:rPr>
          <w:rFonts w:cs="Arial"/>
        </w:rPr>
        <w:t xml:space="preserve"> národnosti vyznačovaly vyšším podílem osob v</w:t>
      </w:r>
      <w:r>
        <w:rPr>
          <w:rFonts w:cs="Arial"/>
        </w:rPr>
        <w:t> </w:t>
      </w:r>
      <w:r w:rsidRPr="00650A90">
        <w:rPr>
          <w:rFonts w:cs="Arial"/>
        </w:rPr>
        <w:t>produktivním</w:t>
      </w:r>
      <w:r>
        <w:rPr>
          <w:rFonts w:cs="Arial"/>
        </w:rPr>
        <w:t xml:space="preserve"> </w:t>
      </w:r>
      <w:r w:rsidRPr="00650A90">
        <w:rPr>
          <w:rFonts w:cs="Arial"/>
        </w:rPr>
        <w:t xml:space="preserve">věku. Zastoupení věkové kategorie dětí do 15 </w:t>
      </w:r>
      <w:r>
        <w:rPr>
          <w:rFonts w:cs="Arial"/>
        </w:rPr>
        <w:t>bylo poměrně nízké u slezské (4,6 %) a moravské (5,2 %) národnosti</w:t>
      </w:r>
      <w:r w:rsidRPr="00650A90">
        <w:rPr>
          <w:rFonts w:cs="Arial"/>
        </w:rPr>
        <w:t>.</w:t>
      </w:r>
      <w:r>
        <w:rPr>
          <w:rFonts w:cs="Arial"/>
        </w:rPr>
        <w:t xml:space="preserve"> K těmto dvěma národnostem se tak v Praze aktivně hlásili hlavně dospělí lidé. Produktivní věková skupina, tedy lidé ve věku mezi 15-64 lety, byla z nejčetnějších národností výrazně zastoupena u národnosti ukrajinské (85,6 %), ruské (82 %) a čínské (81,4 %). U těchto národností byl pak výrazněji nižší podíl v kategorii nad 65 let. </w:t>
      </w:r>
    </w:p>
    <w:p w:rsidR="007B30F8" w:rsidRDefault="007B30F8" w:rsidP="007B30F8">
      <w:pPr>
        <w:rPr>
          <w:rFonts w:cs="Arial"/>
        </w:rPr>
      </w:pPr>
      <w:r w:rsidRPr="00BA620E">
        <w:rPr>
          <w:rFonts w:cs="Arial"/>
        </w:rPr>
        <w:t>Spolu s přihlášením k národnosti úzce souvisí uvedení mateřského jazyka.</w:t>
      </w:r>
      <w:r>
        <w:rPr>
          <w:rFonts w:cs="Arial"/>
        </w:rPr>
        <w:t xml:space="preserve"> </w:t>
      </w:r>
      <w:r w:rsidRPr="00BA620E">
        <w:rPr>
          <w:rFonts w:cs="Arial"/>
        </w:rPr>
        <w:t>Otázka na mateřský jazyk je v zásadě ekvivalentem k dobrovolné otázce</w:t>
      </w:r>
      <w:r>
        <w:rPr>
          <w:rFonts w:cs="Arial"/>
        </w:rPr>
        <w:t xml:space="preserve"> </w:t>
      </w:r>
      <w:r w:rsidRPr="00BA620E">
        <w:rPr>
          <w:rFonts w:cs="Arial"/>
        </w:rPr>
        <w:t>národnosti. Jako mateřský jazyk se uváděl jazyk, kterým se sčítanou osobou</w:t>
      </w:r>
      <w:r>
        <w:rPr>
          <w:rFonts w:cs="Arial"/>
        </w:rPr>
        <w:t xml:space="preserve"> </w:t>
      </w:r>
      <w:r w:rsidRPr="00BA620E">
        <w:rPr>
          <w:rFonts w:cs="Arial"/>
        </w:rPr>
        <w:t>v dětství hovořila matka nebo osoby, které ji vychovaly. Bylo přípustné uvést</w:t>
      </w:r>
      <w:r>
        <w:rPr>
          <w:rFonts w:cs="Arial"/>
        </w:rPr>
        <w:t xml:space="preserve"> </w:t>
      </w:r>
      <w:r w:rsidRPr="00BA620E">
        <w:rPr>
          <w:rFonts w:cs="Arial"/>
        </w:rPr>
        <w:t xml:space="preserve">i více jazyků. </w:t>
      </w:r>
      <w:r>
        <w:rPr>
          <w:rFonts w:cs="Arial"/>
        </w:rPr>
        <w:t>O</w:t>
      </w:r>
      <w:r w:rsidRPr="001B26A4">
        <w:rPr>
          <w:rFonts w:cs="Arial"/>
        </w:rPr>
        <w:t xml:space="preserve">soby, které uvedly dva mateřské jazyky, </w:t>
      </w:r>
      <w:r>
        <w:rPr>
          <w:rFonts w:cs="Arial"/>
        </w:rPr>
        <w:t xml:space="preserve">byly </w:t>
      </w:r>
      <w:r w:rsidRPr="001B26A4">
        <w:rPr>
          <w:rFonts w:cs="Arial"/>
        </w:rPr>
        <w:t>započteny v obou mateřských jazycích</w:t>
      </w:r>
      <w:r>
        <w:rPr>
          <w:rFonts w:cs="Arial"/>
        </w:rPr>
        <w:t xml:space="preserve">. </w:t>
      </w:r>
    </w:p>
    <w:p w:rsidR="007C4CD9" w:rsidRDefault="007C4CD9" w:rsidP="007B30F8">
      <w:pPr>
        <w:rPr>
          <w:rFonts w:cs="Arial"/>
          <w:b/>
        </w:rPr>
      </w:pPr>
    </w:p>
    <w:p w:rsidR="007B30F8" w:rsidRPr="000500E7" w:rsidRDefault="007B30F8" w:rsidP="007B30F8">
      <w:pPr>
        <w:rPr>
          <w:rFonts w:cs="Arial"/>
          <w:b/>
        </w:rPr>
      </w:pPr>
      <w:r w:rsidRPr="000F3371">
        <w:rPr>
          <w:rFonts w:cs="Arial"/>
          <w:b/>
        </w:rPr>
        <w:t>Tab. 3.5.2 Obyvatelstvo podle pohlaví, věku a mateřského jazyka</w:t>
      </w:r>
    </w:p>
    <w:p w:rsidR="007B30F8" w:rsidRPr="004F609E" w:rsidRDefault="00D918DB" w:rsidP="007B30F8">
      <w:pPr>
        <w:rPr>
          <w:rFonts w:cs="Arial"/>
        </w:rPr>
      </w:pPr>
      <w:r w:rsidRPr="00D918DB">
        <w:rPr>
          <w:rFonts w:cs="Arial"/>
          <w:noProof/>
        </w:rPr>
        <w:drawing>
          <wp:inline distT="0" distB="0" distL="0" distR="0">
            <wp:extent cx="6096000" cy="302196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75" cy="30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  <w:r w:rsidRPr="00E42A18">
        <w:rPr>
          <w:rFonts w:cs="Arial"/>
        </w:rPr>
        <w:t>Z osob, které uvedly mateřský jazyk, bylo nejvíce osob s</w:t>
      </w:r>
      <w:r>
        <w:rPr>
          <w:rFonts w:cs="Arial"/>
        </w:rPr>
        <w:t> </w:t>
      </w:r>
      <w:r w:rsidRPr="00E42A18">
        <w:rPr>
          <w:rFonts w:cs="Arial"/>
        </w:rPr>
        <w:t>českým</w:t>
      </w:r>
      <w:r>
        <w:rPr>
          <w:rFonts w:cs="Arial"/>
        </w:rPr>
        <w:t xml:space="preserve"> mateřským jazykem (85,2 %), následováno podílem 3</w:t>
      </w:r>
      <w:r w:rsidRPr="00E42A18">
        <w:rPr>
          <w:rFonts w:cs="Arial"/>
        </w:rPr>
        <w:t>,</w:t>
      </w:r>
      <w:r>
        <w:rPr>
          <w:rFonts w:cs="Arial"/>
        </w:rPr>
        <w:t>9</w:t>
      </w:r>
      <w:r w:rsidRPr="00E42A18">
        <w:rPr>
          <w:rFonts w:cs="Arial"/>
        </w:rPr>
        <w:t xml:space="preserve"> % osob s</w:t>
      </w:r>
      <w:r>
        <w:rPr>
          <w:rFonts w:cs="Arial"/>
        </w:rPr>
        <w:t xml:space="preserve"> ruským </w:t>
      </w:r>
      <w:r w:rsidRPr="00E42A18">
        <w:rPr>
          <w:rFonts w:cs="Arial"/>
        </w:rPr>
        <w:t>mateřským</w:t>
      </w:r>
      <w:r>
        <w:rPr>
          <w:rFonts w:cs="Arial"/>
        </w:rPr>
        <w:t xml:space="preserve"> </w:t>
      </w:r>
      <w:r w:rsidRPr="00E42A18">
        <w:rPr>
          <w:rFonts w:cs="Arial"/>
        </w:rPr>
        <w:t xml:space="preserve">jazykem, </w:t>
      </w:r>
      <w:r>
        <w:rPr>
          <w:rFonts w:cs="Arial"/>
        </w:rPr>
        <w:t xml:space="preserve">3,6 </w:t>
      </w:r>
      <w:r w:rsidRPr="00E42A18">
        <w:rPr>
          <w:rFonts w:cs="Arial"/>
        </w:rPr>
        <w:t xml:space="preserve">% </w:t>
      </w:r>
      <w:r>
        <w:rPr>
          <w:rFonts w:cs="Arial"/>
        </w:rPr>
        <w:t xml:space="preserve">s </w:t>
      </w:r>
      <w:r w:rsidRPr="00E42A18">
        <w:rPr>
          <w:rFonts w:cs="Arial"/>
        </w:rPr>
        <w:t>ukrajinským</w:t>
      </w:r>
      <w:r>
        <w:rPr>
          <w:rFonts w:cs="Arial"/>
        </w:rPr>
        <w:t>, 3,4 % se slovenským</w:t>
      </w:r>
      <w:r w:rsidRPr="00E42A18">
        <w:rPr>
          <w:rFonts w:cs="Arial"/>
        </w:rPr>
        <w:t xml:space="preserve"> a 1,</w:t>
      </w:r>
      <w:r>
        <w:rPr>
          <w:rFonts w:cs="Arial"/>
        </w:rPr>
        <w:t>2</w:t>
      </w:r>
      <w:r w:rsidRPr="00E42A18">
        <w:rPr>
          <w:rFonts w:cs="Arial"/>
        </w:rPr>
        <w:t xml:space="preserve"> % </w:t>
      </w:r>
      <w:r>
        <w:rPr>
          <w:rFonts w:cs="Arial"/>
        </w:rPr>
        <w:t>s vietnamským a stejně tak 1,2 % s anglickým</w:t>
      </w:r>
      <w:r w:rsidRPr="00E42A18">
        <w:rPr>
          <w:rFonts w:cs="Arial"/>
        </w:rPr>
        <w:t xml:space="preserve">. </w:t>
      </w:r>
      <w:r>
        <w:rPr>
          <w:rFonts w:cs="Arial"/>
        </w:rPr>
        <w:t>Přestože v otázce národnosti převládala ukrajinská nad ruskou, u mateřského jazyka měla větší podíl ruština nad ukrajinštinou, což může být způsobeno tím, že část občanů ukrajinské národnosti uvádělo ruštinu jako mateřský jazyk. Větší podíl anglického mateřského jazyka zase vychází z kumulace několika méně zastoupených národností, které tímto jazykem mluví.</w:t>
      </w:r>
    </w:p>
    <w:p w:rsidR="007C4CD9" w:rsidRDefault="007C4CD9" w:rsidP="007C4CD9">
      <w:pPr>
        <w:spacing w:after="160" w:line="259" w:lineRule="auto"/>
        <w:rPr>
          <w:rFonts w:cs="Arial"/>
          <w:b/>
        </w:rPr>
      </w:pPr>
    </w:p>
    <w:p w:rsidR="007B30F8" w:rsidRPr="000500E7" w:rsidRDefault="007B30F8" w:rsidP="007C4CD9">
      <w:pPr>
        <w:spacing w:after="160" w:line="259" w:lineRule="auto"/>
        <w:rPr>
          <w:rFonts w:cs="Arial"/>
          <w:b/>
        </w:rPr>
      </w:pPr>
      <w:r>
        <w:rPr>
          <w:rFonts w:cs="Arial"/>
          <w:b/>
        </w:rPr>
        <w:t>Graf 3</w:t>
      </w:r>
      <w:r w:rsidRPr="000500E7">
        <w:rPr>
          <w:rFonts w:cs="Arial"/>
          <w:b/>
        </w:rPr>
        <w:t>.</w:t>
      </w:r>
      <w:r>
        <w:rPr>
          <w:rFonts w:cs="Arial"/>
          <w:b/>
        </w:rPr>
        <w:t>3</w:t>
      </w:r>
      <w:r w:rsidRPr="000500E7">
        <w:rPr>
          <w:rFonts w:cs="Arial"/>
          <w:b/>
        </w:rPr>
        <w:t xml:space="preserve"> Obyvatelstvo podle vybraného mateřského jazyka a pohlaví v hl. m. Praze *)</w:t>
      </w:r>
    </w:p>
    <w:p w:rsidR="007B30F8" w:rsidRDefault="007B30F8" w:rsidP="007B30F8">
      <w:pPr>
        <w:rPr>
          <w:rFonts w:cs="Arial"/>
          <w:b/>
          <w:color w:val="FF0000"/>
        </w:rPr>
      </w:pPr>
      <w:r>
        <w:rPr>
          <w:noProof/>
        </w:rPr>
        <w:drawing>
          <wp:inline distT="0" distB="0" distL="0" distR="0" wp14:anchorId="00EF7282" wp14:editId="7D08836B">
            <wp:extent cx="5760720" cy="27412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7D0977">
        <w:rPr>
          <w:rFonts w:cs="Arial"/>
        </w:rPr>
        <w:t>Z hlediska poměru mezi pohlavími, bylo výrazně vyšší zastoupení mužů</w:t>
      </w:r>
      <w:r>
        <w:rPr>
          <w:rFonts w:cs="Arial"/>
        </w:rPr>
        <w:t xml:space="preserve"> </w:t>
      </w:r>
      <w:r w:rsidRPr="007D0977">
        <w:rPr>
          <w:rFonts w:cs="Arial"/>
        </w:rPr>
        <w:t>než žen s mateřským jazykem anglickým (6</w:t>
      </w:r>
      <w:r>
        <w:rPr>
          <w:rFonts w:cs="Arial"/>
        </w:rPr>
        <w:t>1</w:t>
      </w:r>
      <w:r w:rsidRPr="007D0977">
        <w:rPr>
          <w:rFonts w:cs="Arial"/>
        </w:rPr>
        <w:t>,</w:t>
      </w:r>
      <w:r>
        <w:rPr>
          <w:rFonts w:cs="Arial"/>
        </w:rPr>
        <w:t>4</w:t>
      </w:r>
      <w:r w:rsidRPr="007D0977">
        <w:rPr>
          <w:rFonts w:cs="Arial"/>
        </w:rPr>
        <w:t xml:space="preserve"> % mužů a 3</w:t>
      </w:r>
      <w:r>
        <w:rPr>
          <w:rFonts w:cs="Arial"/>
        </w:rPr>
        <w:t>8,6</w:t>
      </w:r>
      <w:r w:rsidRPr="007D0977">
        <w:rPr>
          <w:rFonts w:cs="Arial"/>
        </w:rPr>
        <w:t xml:space="preserve"> % žen)</w:t>
      </w:r>
      <w:r>
        <w:rPr>
          <w:rFonts w:cs="Arial"/>
        </w:rPr>
        <w:t xml:space="preserve">, německým (57,7 % mužů) </w:t>
      </w:r>
      <w:r w:rsidRPr="007D0977">
        <w:rPr>
          <w:rFonts w:cs="Arial"/>
        </w:rPr>
        <w:t>a romským (</w:t>
      </w:r>
      <w:r>
        <w:rPr>
          <w:rFonts w:cs="Arial"/>
        </w:rPr>
        <w:t>54,3 % mužů</w:t>
      </w:r>
      <w:r w:rsidRPr="007D0977">
        <w:rPr>
          <w:rFonts w:cs="Arial"/>
        </w:rPr>
        <w:t xml:space="preserve">). </w:t>
      </w:r>
      <w:r>
        <w:rPr>
          <w:rFonts w:cs="Arial"/>
        </w:rPr>
        <w:t>Podobně</w:t>
      </w:r>
      <w:r w:rsidRPr="007D0977">
        <w:rPr>
          <w:rFonts w:cs="Arial"/>
        </w:rPr>
        <w:t xml:space="preserve"> jako v případě národnosti byl</w:t>
      </w:r>
      <w:r>
        <w:rPr>
          <w:rFonts w:cs="Arial"/>
        </w:rPr>
        <w:t xml:space="preserve"> </w:t>
      </w:r>
      <w:r w:rsidRPr="007D0977">
        <w:rPr>
          <w:rFonts w:cs="Arial"/>
        </w:rPr>
        <w:t xml:space="preserve">nejvyšší podíl žen zaznamenán u </w:t>
      </w:r>
      <w:r>
        <w:rPr>
          <w:rFonts w:cs="Arial"/>
        </w:rPr>
        <w:t>polského (57,5</w:t>
      </w:r>
      <w:r w:rsidRPr="007D0977">
        <w:rPr>
          <w:rFonts w:cs="Arial"/>
        </w:rPr>
        <w:t xml:space="preserve"> % žen)</w:t>
      </w:r>
      <w:r>
        <w:rPr>
          <w:rFonts w:cs="Arial"/>
        </w:rPr>
        <w:t xml:space="preserve"> a ruského (55,7 % žen) a slovenského (54,4 % žen) mateřského jazyka</w:t>
      </w:r>
      <w:r w:rsidRPr="007D0977">
        <w:rPr>
          <w:rFonts w:cs="Arial"/>
        </w:rPr>
        <w:t>.</w:t>
      </w:r>
      <w:r>
        <w:rPr>
          <w:rFonts w:cs="Arial"/>
        </w:rPr>
        <w:t xml:space="preserve"> </w:t>
      </w:r>
      <w:r w:rsidRPr="007D0977">
        <w:rPr>
          <w:rFonts w:cs="Arial"/>
        </w:rPr>
        <w:t>Provázanost národnosti a mateřského jazyka se projevila i z hlediska věkového</w:t>
      </w:r>
      <w:r>
        <w:rPr>
          <w:rFonts w:cs="Arial"/>
        </w:rPr>
        <w:t xml:space="preserve"> </w:t>
      </w:r>
      <w:r w:rsidRPr="007D0977">
        <w:rPr>
          <w:rFonts w:cs="Arial"/>
        </w:rPr>
        <w:t>rozložení. Jiné než české mateřské jazyky se vyznačovaly opět vyšším podílem</w:t>
      </w:r>
      <w:r>
        <w:rPr>
          <w:rFonts w:cs="Arial"/>
        </w:rPr>
        <w:t xml:space="preserve"> </w:t>
      </w:r>
      <w:r w:rsidRPr="007D0977">
        <w:rPr>
          <w:rFonts w:cs="Arial"/>
        </w:rPr>
        <w:t>osob v produktivním věku.</w:t>
      </w:r>
    </w:p>
    <w:p w:rsidR="007C4CD9" w:rsidRPr="00B61D6C" w:rsidRDefault="007C4CD9" w:rsidP="007B30F8">
      <w:pPr>
        <w:rPr>
          <w:rFonts w:cs="Arial"/>
          <w:b/>
        </w:rPr>
      </w:pPr>
    </w:p>
    <w:p w:rsidR="007B30F8" w:rsidRDefault="007B30F8" w:rsidP="007B30F8">
      <w:pPr>
        <w:pStyle w:val="Nadpis2"/>
        <w:spacing w:after="120"/>
        <w:jc w:val="both"/>
        <w:rPr>
          <w:rFonts w:cs="Arial"/>
        </w:rPr>
      </w:pPr>
      <w:bookmarkStart w:id="5" w:name="_Toc145675410"/>
      <w:r w:rsidRPr="005F3682">
        <w:rPr>
          <w:rFonts w:cs="Arial"/>
        </w:rPr>
        <w:t>Vztah k náboženské víře</w:t>
      </w:r>
      <w:bookmarkEnd w:id="5"/>
      <w:r w:rsidRPr="005F3682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 w:rsidRPr="001D64CD">
        <w:rPr>
          <w:rFonts w:cs="Arial"/>
        </w:rPr>
        <w:t>Údaj o náboženském vyznání vyplňoval každý občan podle svého rozhodnutí.</w:t>
      </w:r>
      <w:r>
        <w:rPr>
          <w:rFonts w:cs="Arial"/>
        </w:rPr>
        <w:t xml:space="preserve"> </w:t>
      </w:r>
      <w:r w:rsidRPr="001D64CD">
        <w:rPr>
          <w:rFonts w:cs="Arial"/>
        </w:rPr>
        <w:t>Uvedení tohoto údaje nebylo povinn</w:t>
      </w:r>
      <w:r>
        <w:rPr>
          <w:rFonts w:cs="Arial"/>
        </w:rPr>
        <w:t xml:space="preserve">é, jednalo se o dobrovolný údaj, </w:t>
      </w:r>
      <w:r w:rsidRPr="004F609E">
        <w:rPr>
          <w:rFonts w:cs="Arial"/>
        </w:rPr>
        <w:t>stejně jako</w:t>
      </w:r>
      <w:r>
        <w:rPr>
          <w:rFonts w:cs="Arial"/>
        </w:rPr>
        <w:t xml:space="preserve"> </w:t>
      </w:r>
      <w:r w:rsidRPr="004F609E">
        <w:rPr>
          <w:rFonts w:cs="Arial"/>
        </w:rPr>
        <w:t>v případě otázky národnosti</w:t>
      </w:r>
      <w:r>
        <w:rPr>
          <w:rFonts w:cs="Arial"/>
        </w:rPr>
        <w:t>.</w:t>
      </w:r>
      <w:r w:rsidRPr="001D64CD">
        <w:rPr>
          <w:rFonts w:cs="Arial"/>
        </w:rPr>
        <w:t xml:space="preserve"> Možností bylo buď uvést „bez náboženské víry“</w:t>
      </w:r>
      <w:r>
        <w:rPr>
          <w:rFonts w:cs="Arial"/>
        </w:rPr>
        <w:t xml:space="preserve"> </w:t>
      </w:r>
      <w:r w:rsidRPr="001D64CD">
        <w:rPr>
          <w:rFonts w:cs="Arial"/>
        </w:rPr>
        <w:t>nebo „věřící – nehlásící se k žádné církvi ani náboženské společnosti“</w:t>
      </w:r>
      <w:r>
        <w:rPr>
          <w:rFonts w:cs="Arial"/>
        </w:rPr>
        <w:t xml:space="preserve"> </w:t>
      </w:r>
      <w:r w:rsidRPr="001D64CD">
        <w:rPr>
          <w:rFonts w:cs="Arial"/>
        </w:rPr>
        <w:t>nebo „věřící – hlásící se k církvi, náboženské společnosti“ s možností doplnění</w:t>
      </w:r>
      <w:r>
        <w:rPr>
          <w:rFonts w:cs="Arial"/>
        </w:rPr>
        <w:t xml:space="preserve"> </w:t>
      </w:r>
      <w:r w:rsidRPr="001D64CD">
        <w:rPr>
          <w:rFonts w:cs="Arial"/>
        </w:rPr>
        <w:t xml:space="preserve">konkrétní církve nebo náboženské společnosti. </w:t>
      </w:r>
    </w:p>
    <w:p w:rsidR="007B30F8" w:rsidRDefault="007B30F8" w:rsidP="007B30F8">
      <w:pPr>
        <w:rPr>
          <w:rFonts w:cs="Arial"/>
        </w:rPr>
      </w:pPr>
      <w:r w:rsidRPr="005A1034">
        <w:rPr>
          <w:rFonts w:cs="Arial"/>
        </w:rPr>
        <w:t>Jelikož se jednalo o dobrovolnou otázku, zůstal údaj o náboženském vyznání</w:t>
      </w:r>
      <w:r>
        <w:rPr>
          <w:rFonts w:cs="Arial"/>
        </w:rPr>
        <w:t xml:space="preserve"> při Sčítání v roce 2021 v poměrně velké </w:t>
      </w:r>
      <w:r w:rsidRPr="005A1034">
        <w:rPr>
          <w:rFonts w:cs="Arial"/>
        </w:rPr>
        <w:t xml:space="preserve">míře nevyplněn. </w:t>
      </w:r>
      <w:r>
        <w:rPr>
          <w:rFonts w:cs="Arial"/>
        </w:rPr>
        <w:t>28,3</w:t>
      </w:r>
      <w:r w:rsidRPr="005A1034">
        <w:rPr>
          <w:rFonts w:cs="Arial"/>
        </w:rPr>
        <w:t xml:space="preserve"> % osob odpověď na tuto</w:t>
      </w:r>
      <w:r>
        <w:rPr>
          <w:rFonts w:cs="Arial"/>
        </w:rPr>
        <w:t xml:space="preserve"> </w:t>
      </w:r>
      <w:r w:rsidRPr="005A1034">
        <w:rPr>
          <w:rFonts w:cs="Arial"/>
        </w:rPr>
        <w:t>otázku neuvedlo</w:t>
      </w:r>
      <w:r>
        <w:rPr>
          <w:rFonts w:cs="Arial"/>
        </w:rPr>
        <w:t>. V celé České republice to bylo 30,0% osob</w:t>
      </w:r>
      <w:r w:rsidRPr="005A1034">
        <w:rPr>
          <w:rFonts w:cs="Arial"/>
        </w:rPr>
        <w:t>.</w:t>
      </w:r>
      <w:r>
        <w:rPr>
          <w:rFonts w:cs="Arial"/>
        </w:rPr>
        <w:t xml:space="preserve"> Vyplněnost této otázky tak byla podobná jako u národnosti, kde odpověď neuvedlo 30 % účastníků Sčítání.</w:t>
      </w:r>
      <w:r w:rsidRPr="005A1034">
        <w:rPr>
          <w:rFonts w:cs="Arial"/>
        </w:rPr>
        <w:t xml:space="preserve"> Podíl osob</w:t>
      </w:r>
      <w:r>
        <w:rPr>
          <w:rFonts w:cs="Arial"/>
        </w:rPr>
        <w:t>, které na otázku odpověděli, ale uvedli, že jsou</w:t>
      </w:r>
      <w:r w:rsidRPr="005A1034">
        <w:rPr>
          <w:rFonts w:cs="Arial"/>
        </w:rPr>
        <w:t xml:space="preserve"> bez </w:t>
      </w:r>
      <w:r>
        <w:rPr>
          <w:rFonts w:cs="Arial"/>
        </w:rPr>
        <w:t>náboženské víry, tvořil v</w:t>
      </w:r>
      <w:r w:rsidRPr="005A1034">
        <w:rPr>
          <w:rFonts w:cs="Arial"/>
        </w:rPr>
        <w:t xml:space="preserve"> hlavním městě</w:t>
      </w:r>
      <w:r>
        <w:rPr>
          <w:rFonts w:cs="Arial"/>
        </w:rPr>
        <w:t xml:space="preserve"> 49,6 %,</w:t>
      </w:r>
      <w:r w:rsidRPr="005A1034">
        <w:rPr>
          <w:rFonts w:cs="Arial"/>
        </w:rPr>
        <w:t xml:space="preserve"> </w:t>
      </w:r>
      <w:r>
        <w:rPr>
          <w:rFonts w:cs="Arial"/>
        </w:rPr>
        <w:t>a byl tak o</w:t>
      </w:r>
      <w:r w:rsidRPr="005A1034">
        <w:rPr>
          <w:rFonts w:cs="Arial"/>
        </w:rPr>
        <w:t xml:space="preserve"> </w:t>
      </w:r>
      <w:r>
        <w:rPr>
          <w:rFonts w:cs="Arial"/>
        </w:rPr>
        <w:t>1,8</w:t>
      </w:r>
      <w:r w:rsidRPr="005A1034">
        <w:rPr>
          <w:rFonts w:cs="Arial"/>
        </w:rPr>
        <w:t xml:space="preserve"> procentních bodů</w:t>
      </w:r>
      <w:r>
        <w:rPr>
          <w:rFonts w:cs="Arial"/>
        </w:rPr>
        <w:t xml:space="preserve"> větší, než </w:t>
      </w:r>
      <w:r w:rsidRPr="005A1034">
        <w:rPr>
          <w:rFonts w:cs="Arial"/>
        </w:rPr>
        <w:t xml:space="preserve">republikový </w:t>
      </w:r>
      <w:r>
        <w:rPr>
          <w:rFonts w:cs="Arial"/>
        </w:rPr>
        <w:t>podíl.</w:t>
      </w:r>
      <w:r w:rsidRPr="005A1034">
        <w:rPr>
          <w:rFonts w:cs="Arial"/>
        </w:rPr>
        <w:t xml:space="preserve"> </w:t>
      </w:r>
      <w:r>
        <w:rPr>
          <w:rFonts w:cs="Arial"/>
        </w:rPr>
        <w:t>N</w:t>
      </w:r>
      <w:r w:rsidRPr="005A1034">
        <w:rPr>
          <w:rFonts w:cs="Arial"/>
        </w:rPr>
        <w:t xml:space="preserve">aopak </w:t>
      </w:r>
      <w:r>
        <w:rPr>
          <w:rFonts w:cs="Arial"/>
        </w:rPr>
        <w:t xml:space="preserve">podíl osob </w:t>
      </w:r>
      <w:r w:rsidRPr="005A1034">
        <w:rPr>
          <w:rFonts w:cs="Arial"/>
        </w:rPr>
        <w:t>věřících přihlášených k církvi nebo náboženské</w:t>
      </w:r>
      <w:r>
        <w:rPr>
          <w:rFonts w:cs="Arial"/>
        </w:rPr>
        <w:t xml:space="preserve"> </w:t>
      </w:r>
      <w:r w:rsidRPr="005A1034">
        <w:rPr>
          <w:rFonts w:cs="Arial"/>
        </w:rPr>
        <w:t xml:space="preserve">společnosti </w:t>
      </w:r>
      <w:r>
        <w:rPr>
          <w:rFonts w:cs="Arial"/>
        </w:rPr>
        <w:t>byl v Praze oproti ČR o 1,5 p. b. nižší, když tvořil hodnotu 11,6 %.</w:t>
      </w:r>
      <w:r w:rsidRPr="005A1034">
        <w:rPr>
          <w:rFonts w:cs="Arial"/>
        </w:rPr>
        <w:t xml:space="preserve"> Podíl osob, které se označily za věřící, ale nepřihlásily se k žádné církvi, byl</w:t>
      </w:r>
      <w:r>
        <w:rPr>
          <w:rFonts w:cs="Arial"/>
        </w:rPr>
        <w:t xml:space="preserve"> v Praze naopak mírně vyšší (10,5</w:t>
      </w:r>
      <w:r w:rsidRPr="005A1034">
        <w:rPr>
          <w:rFonts w:cs="Arial"/>
        </w:rPr>
        <w:t xml:space="preserve"> %) než v</w:t>
      </w:r>
      <w:r>
        <w:rPr>
          <w:rFonts w:cs="Arial"/>
        </w:rPr>
        <w:t> </w:t>
      </w:r>
      <w:r w:rsidRPr="005A1034">
        <w:rPr>
          <w:rFonts w:cs="Arial"/>
        </w:rPr>
        <w:t>ČR</w:t>
      </w:r>
      <w:r>
        <w:rPr>
          <w:rFonts w:cs="Arial"/>
        </w:rPr>
        <w:t xml:space="preserve"> (9,1</w:t>
      </w:r>
      <w:r w:rsidRPr="005A1034">
        <w:rPr>
          <w:rFonts w:cs="Arial"/>
        </w:rPr>
        <w:t xml:space="preserve"> %). Pokud vezmeme v úvahu obě kategorie věřících (hlásících se</w:t>
      </w:r>
      <w:r>
        <w:rPr>
          <w:rFonts w:cs="Arial"/>
        </w:rPr>
        <w:t xml:space="preserve"> k některé církvi </w:t>
      </w:r>
      <w:r w:rsidRPr="005A1034">
        <w:rPr>
          <w:rFonts w:cs="Arial"/>
        </w:rPr>
        <w:t xml:space="preserve">i nehlásících) bylo v Praze </w:t>
      </w:r>
      <w:r>
        <w:rPr>
          <w:rFonts w:cs="Arial"/>
        </w:rPr>
        <w:t>12,3</w:t>
      </w:r>
      <w:r w:rsidRPr="005A1034">
        <w:rPr>
          <w:rFonts w:cs="Arial"/>
        </w:rPr>
        <w:t xml:space="preserve"> % věřících osob z celé populace</w:t>
      </w:r>
      <w:r>
        <w:rPr>
          <w:rFonts w:cs="Arial"/>
        </w:rPr>
        <w:t xml:space="preserve"> ČR</w:t>
      </w:r>
      <w:r w:rsidRPr="005A1034">
        <w:rPr>
          <w:rFonts w:cs="Arial"/>
        </w:rPr>
        <w:t>.</w:t>
      </w:r>
      <w:r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  <w:b/>
        </w:rPr>
      </w:pPr>
    </w:p>
    <w:p w:rsidR="007C4CD9" w:rsidRDefault="007C4CD9" w:rsidP="007B30F8">
      <w:pPr>
        <w:rPr>
          <w:rFonts w:cs="Arial"/>
          <w:b/>
        </w:rPr>
      </w:pPr>
    </w:p>
    <w:p w:rsidR="007B30F8" w:rsidRPr="009B4C86" w:rsidRDefault="007B30F8" w:rsidP="007B30F8">
      <w:pPr>
        <w:rPr>
          <w:rFonts w:cs="Arial"/>
          <w:b/>
        </w:rPr>
      </w:pPr>
      <w:r w:rsidRPr="009B4C86">
        <w:rPr>
          <w:rFonts w:cs="Arial"/>
          <w:b/>
        </w:rPr>
        <w:t>Tab. 3.6.1 Obyvatelstvo podle pohlaví, věku a náboženské víry</w:t>
      </w:r>
    </w:p>
    <w:p w:rsidR="007B30F8" w:rsidRDefault="007B30F8" w:rsidP="007B30F8">
      <w:pPr>
        <w:rPr>
          <w:rFonts w:cs="Arial"/>
        </w:rPr>
      </w:pPr>
      <w:r w:rsidRPr="009B4C86">
        <w:rPr>
          <w:rFonts w:cs="Arial"/>
          <w:noProof/>
        </w:rPr>
        <w:drawing>
          <wp:inline distT="0" distB="0" distL="0" distR="0" wp14:anchorId="2412899E" wp14:editId="76362C2A">
            <wp:extent cx="5686425" cy="29051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F33BAD">
        <w:rPr>
          <w:rFonts w:cs="Arial"/>
        </w:rPr>
        <w:t xml:space="preserve">Z hlediska konkrétní církve či náboženské společnosti </w:t>
      </w:r>
      <w:r>
        <w:rPr>
          <w:rFonts w:cs="Arial"/>
        </w:rPr>
        <w:t>dominovala</w:t>
      </w:r>
      <w:r w:rsidRPr="00F33BAD">
        <w:rPr>
          <w:rFonts w:cs="Arial"/>
        </w:rPr>
        <w:t xml:space="preserve"> v hlavním městě</w:t>
      </w:r>
      <w:r>
        <w:rPr>
          <w:rFonts w:cs="Arial"/>
        </w:rPr>
        <w:t xml:space="preserve"> Praze </w:t>
      </w:r>
      <w:r w:rsidRPr="00F33BAD">
        <w:rPr>
          <w:rFonts w:cs="Arial"/>
        </w:rPr>
        <w:t>římskokatolick</w:t>
      </w:r>
      <w:r>
        <w:rPr>
          <w:rFonts w:cs="Arial"/>
        </w:rPr>
        <w:t>á</w:t>
      </w:r>
      <w:r w:rsidRPr="00F33BAD">
        <w:rPr>
          <w:rFonts w:cs="Arial"/>
        </w:rPr>
        <w:t xml:space="preserve"> círk</w:t>
      </w:r>
      <w:r>
        <w:rPr>
          <w:rFonts w:cs="Arial"/>
        </w:rPr>
        <w:t>e</w:t>
      </w:r>
      <w:r w:rsidRPr="00F33BAD">
        <w:rPr>
          <w:rFonts w:cs="Arial"/>
        </w:rPr>
        <w:t>v.</w:t>
      </w:r>
      <w:r>
        <w:rPr>
          <w:rFonts w:cs="Arial"/>
        </w:rPr>
        <w:t xml:space="preserve"> K této církvi se přihlásilo 4,2</w:t>
      </w:r>
      <w:r w:rsidRPr="00F33BAD">
        <w:rPr>
          <w:rFonts w:cs="Arial"/>
        </w:rPr>
        <w:t xml:space="preserve"> % všech</w:t>
      </w:r>
      <w:r>
        <w:rPr>
          <w:rFonts w:cs="Arial"/>
        </w:rPr>
        <w:t xml:space="preserve"> </w:t>
      </w:r>
      <w:r w:rsidRPr="00F33BAD">
        <w:rPr>
          <w:rFonts w:cs="Arial"/>
        </w:rPr>
        <w:t>obyvatel Prahy</w:t>
      </w:r>
      <w:r>
        <w:rPr>
          <w:rFonts w:cs="Arial"/>
        </w:rPr>
        <w:t xml:space="preserve"> a 36,4 % všech o</w:t>
      </w:r>
      <w:r w:rsidRPr="00F33BAD">
        <w:rPr>
          <w:rFonts w:cs="Arial"/>
        </w:rPr>
        <w:t>sob věřících a</w:t>
      </w:r>
      <w:r>
        <w:rPr>
          <w:rFonts w:cs="Arial"/>
        </w:rPr>
        <w:t xml:space="preserve"> </w:t>
      </w:r>
      <w:r w:rsidRPr="00F33BAD">
        <w:rPr>
          <w:rFonts w:cs="Arial"/>
        </w:rPr>
        <w:t>přihlášených ke konkrétní církvi či náboženské společnosti.</w:t>
      </w:r>
      <w:r>
        <w:rPr>
          <w:rFonts w:cs="Arial"/>
        </w:rPr>
        <w:t xml:space="preserve"> V absolutních číslech se k římskokatolické církvi hlásilo 55 tisíc obyvatel Prahy, dalších 26,5 tisíc se identifikovalo jako katolíci bez dalšího upřesnění, 14 tisíc osob se hlásilo k pravoslavné církvi, 5,5 tisíc k českobratrské církvi evangelické a 4 tisíce k církvi husitské. Toto byly nejvíce zastoupené církve v Praze. Římskokatolická církev měla nejvyšší zastoupení také v celé ČR, kdy se k ní hlásilo 7,0% obyvatel a 53,9 % všech o</w:t>
      </w:r>
      <w:r w:rsidRPr="00F33BAD">
        <w:rPr>
          <w:rFonts w:cs="Arial"/>
        </w:rPr>
        <w:t>sob věřících a</w:t>
      </w:r>
      <w:r>
        <w:rPr>
          <w:rFonts w:cs="Arial"/>
        </w:rPr>
        <w:t xml:space="preserve"> </w:t>
      </w:r>
      <w:r w:rsidRPr="00F33BAD">
        <w:rPr>
          <w:rFonts w:cs="Arial"/>
        </w:rPr>
        <w:t>přihlášených ke konkrétní církvi či náboženské společnosti</w:t>
      </w:r>
      <w:r>
        <w:rPr>
          <w:rFonts w:cs="Arial"/>
        </w:rPr>
        <w:t>. Pravoslavná církev měla v Praze výrazněji větší zastoupení než v celé ČR (1,1% ze všech obyvatel, v ČR 0,4 %), přičemž v Praze žilo 35,1 % všech osob, hlásících se v České republice k této církvi. To může být vysvětleno také výraznějším podílem ruské menšiny v Praze oproti zbytku ČR.</w:t>
      </w:r>
    </w:p>
    <w:p w:rsidR="007B30F8" w:rsidRDefault="007B30F8" w:rsidP="007B30F8">
      <w:pPr>
        <w:rPr>
          <w:rFonts w:cs="Arial"/>
        </w:rPr>
      </w:pPr>
    </w:p>
    <w:p w:rsidR="007B30F8" w:rsidRPr="009B4C86" w:rsidRDefault="007B30F8" w:rsidP="007B30F8">
      <w:pPr>
        <w:rPr>
          <w:rFonts w:cs="Arial"/>
          <w:b/>
        </w:rPr>
      </w:pPr>
      <w:r>
        <w:rPr>
          <w:rFonts w:cs="Arial"/>
          <w:b/>
        </w:rPr>
        <w:t>Graf 3</w:t>
      </w:r>
      <w:r w:rsidRPr="009B4C86">
        <w:rPr>
          <w:rFonts w:cs="Arial"/>
          <w:b/>
        </w:rPr>
        <w:t xml:space="preserve">. </w:t>
      </w:r>
      <w:r>
        <w:rPr>
          <w:rFonts w:cs="Arial"/>
          <w:b/>
        </w:rPr>
        <w:t>4</w:t>
      </w:r>
      <w:r w:rsidRPr="009B4C86">
        <w:rPr>
          <w:rFonts w:cs="Arial"/>
          <w:b/>
        </w:rPr>
        <w:t xml:space="preserve"> Obyvatelstvo podle náboženské víry a pohlaví v hl. m. Praze</w:t>
      </w:r>
    </w:p>
    <w:p w:rsidR="007B30F8" w:rsidRDefault="0021725D" w:rsidP="007B30F8">
      <w:pPr>
        <w:rPr>
          <w:rFonts w:cs="Arial"/>
        </w:rPr>
      </w:pPr>
      <w:r>
        <w:rPr>
          <w:noProof/>
        </w:rPr>
        <w:drawing>
          <wp:inline distT="0" distB="0" distL="0" distR="0" wp14:anchorId="74D28E9B" wp14:editId="141F809D">
            <wp:extent cx="6120130" cy="25412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47358D">
        <w:rPr>
          <w:rFonts w:cs="Arial"/>
        </w:rPr>
        <w:t xml:space="preserve">K náboženskému vyznání se </w:t>
      </w:r>
      <w:r>
        <w:rPr>
          <w:rFonts w:cs="Arial"/>
        </w:rPr>
        <w:t>častěji hlásily ženy. V roce 202</w:t>
      </w:r>
      <w:r w:rsidRPr="0047358D">
        <w:rPr>
          <w:rFonts w:cs="Arial"/>
        </w:rPr>
        <w:t>1 bylo zastoupení</w:t>
      </w:r>
      <w:r>
        <w:rPr>
          <w:rFonts w:cs="Arial"/>
        </w:rPr>
        <w:t xml:space="preserve"> </w:t>
      </w:r>
      <w:r w:rsidRPr="0047358D">
        <w:rPr>
          <w:rFonts w:cs="Arial"/>
        </w:rPr>
        <w:t>věř</w:t>
      </w:r>
      <w:r>
        <w:rPr>
          <w:rFonts w:cs="Arial"/>
        </w:rPr>
        <w:t>ících v ženské části populace (tedy mezi všemi dotázanými) 23,6 %, v mužské 20</w:t>
      </w:r>
      <w:r w:rsidRPr="0047358D">
        <w:rPr>
          <w:rFonts w:cs="Arial"/>
        </w:rPr>
        <w:t>,</w:t>
      </w:r>
      <w:r>
        <w:rPr>
          <w:rFonts w:cs="Arial"/>
        </w:rPr>
        <w:t>5</w:t>
      </w:r>
      <w:r w:rsidRPr="0047358D">
        <w:rPr>
          <w:rFonts w:cs="Arial"/>
        </w:rPr>
        <w:t xml:space="preserve"> %. Převaha žen byla</w:t>
      </w:r>
      <w:r>
        <w:rPr>
          <w:rFonts w:cs="Arial"/>
        </w:rPr>
        <w:t xml:space="preserve"> </w:t>
      </w:r>
      <w:r w:rsidRPr="0047358D">
        <w:rPr>
          <w:rFonts w:cs="Arial"/>
        </w:rPr>
        <w:t>charakteristická pro všechny nejčetněji zastoupené církve či náboženské</w:t>
      </w:r>
      <w:r>
        <w:rPr>
          <w:rFonts w:cs="Arial"/>
        </w:rPr>
        <w:t xml:space="preserve"> </w:t>
      </w:r>
      <w:r w:rsidRPr="0047358D">
        <w:rPr>
          <w:rFonts w:cs="Arial"/>
        </w:rPr>
        <w:t>společnosti</w:t>
      </w:r>
      <w:r>
        <w:rPr>
          <w:rFonts w:cs="Arial"/>
        </w:rPr>
        <w:t xml:space="preserve">, jak lze vidět v tabulce 3.6.1 </w:t>
      </w:r>
    </w:p>
    <w:p w:rsidR="007B30F8" w:rsidRDefault="007B30F8" w:rsidP="007B30F8">
      <w:pPr>
        <w:rPr>
          <w:rFonts w:cs="Arial"/>
          <w:b/>
        </w:rPr>
      </w:pPr>
    </w:p>
    <w:p w:rsidR="007B30F8" w:rsidRPr="009B4C86" w:rsidRDefault="007B30F8" w:rsidP="007B30F8">
      <w:pPr>
        <w:rPr>
          <w:rFonts w:cs="Arial"/>
          <w:b/>
        </w:rPr>
      </w:pPr>
      <w:r w:rsidRPr="009B4C86">
        <w:rPr>
          <w:rFonts w:cs="Arial"/>
          <w:b/>
        </w:rPr>
        <w:t>Tab. 3.6.2 Obyvatelstvo podle pohlaví a náboženské víry v hl. m Praze, Středočeském kraji a České republice</w:t>
      </w:r>
    </w:p>
    <w:p w:rsidR="007B30F8" w:rsidRDefault="007B30F8" w:rsidP="007B30F8">
      <w:pPr>
        <w:rPr>
          <w:rFonts w:cs="Arial"/>
        </w:rPr>
      </w:pPr>
      <w:r w:rsidRPr="009B4C86">
        <w:rPr>
          <w:rFonts w:cs="Arial"/>
          <w:noProof/>
        </w:rPr>
        <w:drawing>
          <wp:inline distT="0" distB="0" distL="0" distR="0" wp14:anchorId="3F8309C0" wp14:editId="2119D980">
            <wp:extent cx="5758956" cy="9715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25" cy="9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 w:rsidRPr="002E3429">
        <w:rPr>
          <w:rFonts w:cs="Arial"/>
        </w:rPr>
        <w:t xml:space="preserve">Převážná většina </w:t>
      </w:r>
      <w:r>
        <w:rPr>
          <w:rFonts w:cs="Arial"/>
        </w:rPr>
        <w:t xml:space="preserve">osob bez náboženské víry </w:t>
      </w:r>
      <w:r w:rsidRPr="002E3429">
        <w:rPr>
          <w:rFonts w:cs="Arial"/>
        </w:rPr>
        <w:t>se nacházela ve věkové skupině 15-64 let</w:t>
      </w:r>
      <w:r>
        <w:rPr>
          <w:rFonts w:cs="Arial"/>
        </w:rPr>
        <w:t xml:space="preserve"> a to 67</w:t>
      </w:r>
      <w:r w:rsidRPr="002E3429">
        <w:rPr>
          <w:rFonts w:cs="Arial"/>
        </w:rPr>
        <w:t>,</w:t>
      </w:r>
      <w:r>
        <w:rPr>
          <w:rFonts w:cs="Arial"/>
        </w:rPr>
        <w:t>5</w:t>
      </w:r>
      <w:r w:rsidRPr="002E3429">
        <w:rPr>
          <w:rFonts w:cs="Arial"/>
        </w:rPr>
        <w:t xml:space="preserve"> % </w:t>
      </w:r>
      <w:r>
        <w:rPr>
          <w:rFonts w:cs="Arial"/>
        </w:rPr>
        <w:t xml:space="preserve">všech, kteří tuto odpověď </w:t>
      </w:r>
      <w:r w:rsidR="0021725D">
        <w:rPr>
          <w:rFonts w:cs="Arial"/>
        </w:rPr>
        <w:t>uvedli.</w:t>
      </w:r>
      <w:r w:rsidR="0021725D" w:rsidRPr="002E3429">
        <w:rPr>
          <w:rFonts w:cs="Arial"/>
        </w:rPr>
        <w:t xml:space="preserve"> </w:t>
      </w:r>
      <w:r w:rsidR="0021725D">
        <w:rPr>
          <w:rFonts w:cs="Arial"/>
        </w:rPr>
        <w:t>Osoby starší 65 let tvořily 16,7</w:t>
      </w:r>
      <w:r w:rsidR="0021725D" w:rsidRPr="002E3429">
        <w:rPr>
          <w:rFonts w:cs="Arial"/>
        </w:rPr>
        <w:t xml:space="preserve"> %</w:t>
      </w:r>
      <w:r w:rsidR="0021725D">
        <w:rPr>
          <w:rFonts w:cs="Arial"/>
        </w:rPr>
        <w:t xml:space="preserve"> </w:t>
      </w:r>
      <w:r>
        <w:rPr>
          <w:rFonts w:cs="Arial"/>
        </w:rPr>
        <w:t xml:space="preserve">a děti do 14 let zbývajících 15,8 %. U osob věřících a zároveň hlásících se </w:t>
      </w:r>
      <w:r w:rsidRPr="00302BA2">
        <w:rPr>
          <w:rFonts w:cs="Arial"/>
        </w:rPr>
        <w:t>k církvi, náboženské společnosti nebo směru</w:t>
      </w:r>
      <w:r>
        <w:rPr>
          <w:rFonts w:cs="Arial"/>
        </w:rPr>
        <w:t xml:space="preserve"> byl podíl osob nad 65 let vyšší, a to 27,4 %. Osoby ve věku 15-64 let tvořili 61,7 % této kategorie. Naopak u lidí věřících, nehlásících se k žádné církvi lidé mezi 15- 64 lety převažovali výrazněji, a tvořili 73,1 % osob této kategorii, zatímco lidé nad 65 let tvořili 19,1 %</w:t>
      </w:r>
      <w:r w:rsidRPr="00302BA2">
        <w:rPr>
          <w:rFonts w:cs="Arial"/>
        </w:rPr>
        <w:t xml:space="preserve"> </w:t>
      </w:r>
      <w:r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 xml:space="preserve">Obecně platilo, že s přibývajícím věkem, se zvyšoval podíl věřících, a to hlavně po překročení hranice 75 let. Zvyšoval se hlavně podíl věřících hlásících se k některé církvi nebo náboženské společnosti, ve věkové skupině 75-84 let tvořili 22,3 % a ve věkové skupině nad 85 let tvořili 26,5 %. Naopak podíl osob bez náboženské víry se v těchto věkových skupinách oproti mladším ročníkům výrazněji snížil. U věkových skupin, které se pohybovaly v rozmezí 0-75  let, byl tento podíl kolem 50 %. Ve skupinách 75-84 let a 85 let a více klesnul na 38,3 %, potažmo 34,5 %. Podíl věřících nehlásících se k žádné církvi byl napříč věkovými skupinami, s výjimkou dětí, konstantní, v rozmezí 10 – 12,5 </w:t>
      </w:r>
      <w:r w:rsidRPr="003E56B0">
        <w:rPr>
          <w:rFonts w:cs="Arial"/>
        </w:rPr>
        <w:t xml:space="preserve">%. </w:t>
      </w:r>
    </w:p>
    <w:p w:rsidR="007B30F8" w:rsidRDefault="007B30F8" w:rsidP="007B30F8">
      <w:pPr>
        <w:rPr>
          <w:rFonts w:cs="Arial"/>
          <w:b/>
        </w:rPr>
      </w:pPr>
    </w:p>
    <w:p w:rsidR="007B30F8" w:rsidRPr="009B4C86" w:rsidRDefault="007B30F8" w:rsidP="007B30F8">
      <w:pPr>
        <w:rPr>
          <w:rFonts w:cs="Arial"/>
          <w:b/>
        </w:rPr>
      </w:pPr>
      <w:r>
        <w:rPr>
          <w:rFonts w:cs="Arial"/>
          <w:b/>
        </w:rPr>
        <w:t>Graf 3</w:t>
      </w:r>
      <w:r w:rsidRPr="009B4C86">
        <w:rPr>
          <w:rFonts w:cs="Arial"/>
          <w:b/>
        </w:rPr>
        <w:t xml:space="preserve">. </w:t>
      </w:r>
      <w:r>
        <w:rPr>
          <w:rFonts w:cs="Arial"/>
          <w:b/>
        </w:rPr>
        <w:t>5</w:t>
      </w:r>
      <w:r w:rsidRPr="009B4C86">
        <w:rPr>
          <w:rFonts w:cs="Arial"/>
          <w:b/>
        </w:rPr>
        <w:t xml:space="preserve"> Obyvatelstvo podle náboženské víry a věku v hl. m. Praze</w:t>
      </w:r>
    </w:p>
    <w:p w:rsidR="007B30F8" w:rsidRDefault="007B30F8" w:rsidP="007B30F8">
      <w:pPr>
        <w:rPr>
          <w:rFonts w:cs="Arial"/>
        </w:rPr>
      </w:pPr>
      <w:r w:rsidRPr="009B4C86">
        <w:rPr>
          <w:rFonts w:cs="Arial"/>
          <w:noProof/>
        </w:rPr>
        <w:drawing>
          <wp:inline distT="0" distB="0" distL="0" distR="0" wp14:anchorId="77B9D9AA" wp14:editId="2FE04A9E">
            <wp:extent cx="5760720" cy="2451846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C4CD9" w:rsidRDefault="007C4CD9" w:rsidP="007B30F8">
      <w:pPr>
        <w:rPr>
          <w:rFonts w:cs="Arial"/>
        </w:rPr>
      </w:pP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6" w:name="_Toc145675411"/>
      <w:r w:rsidRPr="005F3682">
        <w:rPr>
          <w:rFonts w:cs="Arial"/>
        </w:rPr>
        <w:t>Místo bydliště v době narození</w:t>
      </w:r>
      <w:bookmarkEnd w:id="6"/>
    </w:p>
    <w:p w:rsidR="007B30F8" w:rsidRDefault="007B30F8" w:rsidP="007B30F8">
      <w:pPr>
        <w:rPr>
          <w:rFonts w:cs="Arial"/>
        </w:rPr>
      </w:pPr>
      <w:r w:rsidRPr="00CA1E5D">
        <w:rPr>
          <w:rFonts w:cs="Arial"/>
        </w:rPr>
        <w:t>Jedna z otázek na sčítacím formuláři osob směřující ke zjištění migračních trendů se týkala místa</w:t>
      </w:r>
      <w:r>
        <w:rPr>
          <w:rFonts w:cs="Arial"/>
        </w:rPr>
        <w:t xml:space="preserve"> </w:t>
      </w:r>
      <w:r w:rsidRPr="00CA1E5D">
        <w:rPr>
          <w:rFonts w:cs="Arial"/>
        </w:rPr>
        <w:t>bydliště</w:t>
      </w:r>
      <w:r>
        <w:rPr>
          <w:rFonts w:cs="Arial"/>
        </w:rPr>
        <w:t xml:space="preserve"> </w:t>
      </w:r>
      <w:r w:rsidRPr="00CA1E5D">
        <w:rPr>
          <w:rFonts w:cs="Arial"/>
        </w:rPr>
        <w:t>matky v době narození sčítané osoby, tedy místa prvního bydliště, kde sčítaná osoba žila hned po</w:t>
      </w:r>
      <w:r>
        <w:rPr>
          <w:rFonts w:cs="Arial"/>
        </w:rPr>
        <w:t xml:space="preserve"> </w:t>
      </w:r>
      <w:r w:rsidRPr="00CA1E5D">
        <w:rPr>
          <w:rFonts w:cs="Arial"/>
        </w:rPr>
        <w:t>narození. Výsledkem zpracování byl podíl „původního“ obyvatelstva, resp. osob, které měly v</w:t>
      </w:r>
      <w:r>
        <w:rPr>
          <w:rFonts w:cs="Arial"/>
        </w:rPr>
        <w:t> </w:t>
      </w:r>
      <w:r w:rsidRPr="00CA1E5D">
        <w:rPr>
          <w:rFonts w:cs="Arial"/>
        </w:rPr>
        <w:t>rozhodném</w:t>
      </w:r>
      <w:r>
        <w:rPr>
          <w:rFonts w:cs="Arial"/>
        </w:rPr>
        <w:t xml:space="preserve"> </w:t>
      </w:r>
      <w:r w:rsidRPr="00CA1E5D">
        <w:rPr>
          <w:rFonts w:cs="Arial"/>
        </w:rPr>
        <w:t xml:space="preserve">okamžiku sčítání obvyklé bydliště ve stejné obci, jako jejich matka v době </w:t>
      </w:r>
      <w:r>
        <w:rPr>
          <w:rFonts w:cs="Arial"/>
        </w:rPr>
        <w:t>jejich</w:t>
      </w:r>
      <w:r w:rsidRPr="00CA1E5D">
        <w:rPr>
          <w:rFonts w:cs="Arial"/>
        </w:rPr>
        <w:t xml:space="preserve"> narození. Pro tento podíl</w:t>
      </w:r>
      <w:r>
        <w:rPr>
          <w:rFonts w:cs="Arial"/>
        </w:rPr>
        <w:t xml:space="preserve"> </w:t>
      </w:r>
      <w:r w:rsidRPr="00CA1E5D">
        <w:rPr>
          <w:rFonts w:cs="Arial"/>
        </w:rPr>
        <w:t>se také používá označení „podíl rodáků“, což jednodušeji vystihuje podstatu tohoto ukazatele.</w:t>
      </w:r>
      <w:r>
        <w:rPr>
          <w:rFonts w:cs="Arial"/>
        </w:rPr>
        <w:t xml:space="preserve"> </w:t>
      </w:r>
      <w:r w:rsidRPr="00CA1E5D">
        <w:rPr>
          <w:rFonts w:cs="Arial"/>
        </w:rPr>
        <w:t>Neznamenalo to vš</w:t>
      </w:r>
      <w:r w:rsidR="0021725D">
        <w:rPr>
          <w:rFonts w:cs="Arial"/>
        </w:rPr>
        <w:t>ak, že se osoby nikdy nestěhovaly</w:t>
      </w:r>
      <w:r w:rsidRPr="00CA1E5D">
        <w:rPr>
          <w:rFonts w:cs="Arial"/>
        </w:rPr>
        <w:t>. Tento údaj nevypovídá o migračních pohybech mezi</w:t>
      </w:r>
      <w:r>
        <w:rPr>
          <w:rFonts w:cs="Arial"/>
        </w:rPr>
        <w:t xml:space="preserve"> </w:t>
      </w:r>
      <w:r w:rsidRPr="00CA1E5D">
        <w:rPr>
          <w:rFonts w:cs="Arial"/>
        </w:rPr>
        <w:t>narozením a datem sčítání.</w:t>
      </w:r>
    </w:p>
    <w:p w:rsidR="007B30F8" w:rsidRPr="009B4C86" w:rsidRDefault="007B30F8" w:rsidP="007B30F8">
      <w:pPr>
        <w:rPr>
          <w:rFonts w:cs="Arial"/>
          <w:b/>
        </w:rPr>
      </w:pPr>
      <w:r w:rsidRPr="009B4C86">
        <w:rPr>
          <w:rFonts w:cs="Arial"/>
          <w:b/>
        </w:rPr>
        <w:t>Tab. 3.7.1 Obyvatelstvo podle pohlaví, věku a místa bydliště v době narození</w:t>
      </w:r>
    </w:p>
    <w:p w:rsidR="007B30F8" w:rsidRDefault="007B30F8" w:rsidP="007B30F8">
      <w:pPr>
        <w:rPr>
          <w:rFonts w:cs="Arial"/>
        </w:rPr>
      </w:pPr>
      <w:r w:rsidRPr="00FF4061">
        <w:rPr>
          <w:rFonts w:cs="Arial"/>
          <w:noProof/>
        </w:rPr>
        <w:drawing>
          <wp:inline distT="0" distB="0" distL="0" distR="0" wp14:anchorId="4A9B4C9D" wp14:editId="42D70C3C">
            <wp:extent cx="5686425" cy="24098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  <w:r w:rsidRPr="00D96721">
        <w:rPr>
          <w:rFonts w:cs="Arial"/>
        </w:rPr>
        <w:t>Ke dni sčítání žilo v Praze 1</w:t>
      </w:r>
      <w:r>
        <w:rPr>
          <w:rFonts w:cs="Arial"/>
        </w:rPr>
        <w:t> 301 432</w:t>
      </w:r>
      <w:r w:rsidRPr="00D96721">
        <w:rPr>
          <w:rFonts w:cs="Arial"/>
        </w:rPr>
        <w:t xml:space="preserve"> osob, z</w:t>
      </w:r>
      <w:r>
        <w:rPr>
          <w:rFonts w:cs="Arial"/>
        </w:rPr>
        <w:t> </w:t>
      </w:r>
      <w:r w:rsidRPr="00D96721">
        <w:rPr>
          <w:rFonts w:cs="Arial"/>
        </w:rPr>
        <w:t>toho</w:t>
      </w:r>
      <w:r>
        <w:rPr>
          <w:rFonts w:cs="Arial"/>
        </w:rPr>
        <w:t xml:space="preserve"> se</w:t>
      </w:r>
      <w:r w:rsidRPr="00D96721">
        <w:rPr>
          <w:rFonts w:cs="Arial"/>
        </w:rPr>
        <w:t xml:space="preserve"> 8</w:t>
      </w:r>
      <w:r>
        <w:rPr>
          <w:rFonts w:cs="Arial"/>
        </w:rPr>
        <w:t>4</w:t>
      </w:r>
      <w:r w:rsidRPr="00D96721">
        <w:rPr>
          <w:rFonts w:cs="Arial"/>
        </w:rPr>
        <w:t>,</w:t>
      </w:r>
      <w:r>
        <w:rPr>
          <w:rFonts w:cs="Arial"/>
        </w:rPr>
        <w:t>4</w:t>
      </w:r>
      <w:r w:rsidRPr="00D96721">
        <w:rPr>
          <w:rFonts w:cs="Arial"/>
        </w:rPr>
        <w:t xml:space="preserve"> % narodilo</w:t>
      </w:r>
      <w:r>
        <w:rPr>
          <w:rFonts w:cs="Arial"/>
        </w:rPr>
        <w:t xml:space="preserve"> </w:t>
      </w:r>
      <w:r w:rsidRPr="00D96721">
        <w:rPr>
          <w:rFonts w:cs="Arial"/>
        </w:rPr>
        <w:t>v</w:t>
      </w:r>
      <w:r>
        <w:rPr>
          <w:rFonts w:cs="Arial"/>
        </w:rPr>
        <w:t> </w:t>
      </w:r>
      <w:r w:rsidRPr="00D96721">
        <w:rPr>
          <w:rFonts w:cs="Arial"/>
        </w:rPr>
        <w:t>ČR</w:t>
      </w:r>
      <w:r>
        <w:rPr>
          <w:rFonts w:cs="Arial"/>
        </w:rPr>
        <w:t>. V zahraničí se narodilo</w:t>
      </w:r>
      <w:r w:rsidRPr="00D96721">
        <w:rPr>
          <w:rFonts w:cs="Arial"/>
        </w:rPr>
        <w:t xml:space="preserve"> 15,6</w:t>
      </w:r>
      <w:r>
        <w:rPr>
          <w:rFonts w:cs="Arial"/>
        </w:rPr>
        <w:t xml:space="preserve"> % obyvatel hlavního města</w:t>
      </w:r>
      <w:r w:rsidRPr="00D96721">
        <w:rPr>
          <w:rFonts w:cs="Arial"/>
        </w:rPr>
        <w:t>, z toho více jak</w:t>
      </w:r>
      <w:r>
        <w:rPr>
          <w:rFonts w:cs="Arial"/>
        </w:rPr>
        <w:t xml:space="preserve"> </w:t>
      </w:r>
      <w:r w:rsidRPr="00D96721">
        <w:rPr>
          <w:rFonts w:cs="Arial"/>
        </w:rPr>
        <w:t>pětina na Slovensku (2</w:t>
      </w:r>
      <w:r>
        <w:rPr>
          <w:rFonts w:cs="Arial"/>
        </w:rPr>
        <w:t>0</w:t>
      </w:r>
      <w:r w:rsidRPr="00D96721">
        <w:rPr>
          <w:rFonts w:cs="Arial"/>
        </w:rPr>
        <w:t>,</w:t>
      </w:r>
      <w:r>
        <w:rPr>
          <w:rFonts w:cs="Arial"/>
        </w:rPr>
        <w:t>7</w:t>
      </w:r>
      <w:r w:rsidRPr="00D96721">
        <w:rPr>
          <w:rFonts w:cs="Arial"/>
        </w:rPr>
        <w:t xml:space="preserve"> %)</w:t>
      </w:r>
      <w:r>
        <w:rPr>
          <w:rFonts w:cs="Arial"/>
        </w:rPr>
        <w:t>.</w:t>
      </w:r>
      <w:r w:rsidRPr="00D96721">
        <w:rPr>
          <w:rFonts w:cs="Arial"/>
        </w:rPr>
        <w:t xml:space="preserve"> </w:t>
      </w:r>
      <w:r>
        <w:rPr>
          <w:rFonts w:cs="Arial"/>
        </w:rPr>
        <w:t>Pražští rodáci tvořili 53,7 % obyvatel Prahy, rodáci z jiných krajů ČR 27,9% a lidé</w:t>
      </w:r>
      <w:r w:rsidR="0021725D">
        <w:rPr>
          <w:rFonts w:cs="Arial"/>
        </w:rPr>
        <w:t>,</w:t>
      </w:r>
      <w:r>
        <w:rPr>
          <w:rFonts w:cs="Arial"/>
        </w:rPr>
        <w:t xml:space="preserve"> u kterých bylo zjištěno, že pochází z ČR, ale nebylo zjištěno místo narození, tvořili 2,8 %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Děti do patnácti let tvořili u pražských rodáků celou čtvrtinu jejich populace, konkrétně 25,2 %. Naopak u lidí narozených v jiném kraji ČR (3,2 %) a v zahraničí (4,7 %) měla tato věková skupina výrazně menší podíl. U pražských obyvatel narozených mimo ČR měla velmi výrazný podíl skupina obyvatel v produktivním věku (tedy 15-64 let) a to 87,5 %.</w:t>
      </w:r>
    </w:p>
    <w:p w:rsidR="007B30F8" w:rsidRDefault="007B30F8" w:rsidP="007B30F8">
      <w:pPr>
        <w:rPr>
          <w:rFonts w:cs="Arial"/>
        </w:rPr>
      </w:pPr>
      <w:r w:rsidRPr="00D96721">
        <w:rPr>
          <w:rFonts w:cs="Arial"/>
        </w:rPr>
        <w:t>Osoby, které ke dni sčítání bydlely v Praze, ale nepatří mezi</w:t>
      </w:r>
      <w:r>
        <w:rPr>
          <w:rFonts w:cs="Arial"/>
        </w:rPr>
        <w:t xml:space="preserve"> </w:t>
      </w:r>
      <w:r w:rsidRPr="00D96721">
        <w:rPr>
          <w:rFonts w:cs="Arial"/>
        </w:rPr>
        <w:t>zdejší rodáky, nejčastěji pocházeli ze Středočeského (</w:t>
      </w:r>
      <w:r>
        <w:rPr>
          <w:rFonts w:cs="Arial"/>
        </w:rPr>
        <w:t>88,3 tisíc</w:t>
      </w:r>
      <w:r w:rsidRPr="00D96721">
        <w:rPr>
          <w:rFonts w:cs="Arial"/>
        </w:rPr>
        <w:t xml:space="preserve"> osob), Ústeckého (</w:t>
      </w:r>
      <w:r>
        <w:rPr>
          <w:rFonts w:cs="Arial"/>
        </w:rPr>
        <w:t>37,5 tisíc osob</w:t>
      </w:r>
      <w:r w:rsidRPr="00D96721">
        <w:rPr>
          <w:rFonts w:cs="Arial"/>
        </w:rPr>
        <w:t xml:space="preserve">) </w:t>
      </w:r>
      <w:r>
        <w:rPr>
          <w:rFonts w:cs="Arial"/>
        </w:rPr>
        <w:t xml:space="preserve">Moravskoslezského (31,7 tisíc osob) </w:t>
      </w:r>
      <w:r w:rsidRPr="00D96721">
        <w:rPr>
          <w:rFonts w:cs="Arial"/>
        </w:rPr>
        <w:t>a Jihočeského kraje (</w:t>
      </w:r>
      <w:r>
        <w:rPr>
          <w:rFonts w:cs="Arial"/>
        </w:rPr>
        <w:t>30,7 tisíc osob).</w:t>
      </w:r>
    </w:p>
    <w:p w:rsidR="007B30F8" w:rsidRDefault="007B30F8" w:rsidP="007B30F8">
      <w:pPr>
        <w:rPr>
          <w:rFonts w:cs="Arial"/>
        </w:rPr>
      </w:pPr>
    </w:p>
    <w:p w:rsidR="007B30F8" w:rsidRPr="009B4C86" w:rsidRDefault="007B30F8" w:rsidP="007B30F8">
      <w:pPr>
        <w:rPr>
          <w:rFonts w:cs="Arial"/>
          <w:b/>
        </w:rPr>
      </w:pPr>
      <w:r w:rsidRPr="009B4C86">
        <w:rPr>
          <w:rFonts w:cs="Arial"/>
          <w:b/>
        </w:rPr>
        <w:t xml:space="preserve">Graf </w:t>
      </w:r>
      <w:r>
        <w:rPr>
          <w:rFonts w:cs="Arial"/>
          <w:b/>
        </w:rPr>
        <w:t>3</w:t>
      </w:r>
      <w:r w:rsidRPr="009B4C86">
        <w:rPr>
          <w:rFonts w:cs="Arial"/>
          <w:b/>
        </w:rPr>
        <w:t xml:space="preserve">. </w:t>
      </w:r>
      <w:r>
        <w:rPr>
          <w:rFonts w:cs="Arial"/>
          <w:b/>
        </w:rPr>
        <w:t>6</w:t>
      </w:r>
      <w:r w:rsidRPr="009B4C86">
        <w:rPr>
          <w:rFonts w:cs="Arial"/>
          <w:b/>
        </w:rPr>
        <w:t xml:space="preserve"> Obyvatelstvo podle místa bydliště v době narození a pohlaví v hl. m. Praze (ze zjištěných hodnot)</w:t>
      </w:r>
    </w:p>
    <w:p w:rsidR="007B30F8" w:rsidRDefault="007B30F8" w:rsidP="007B30F8">
      <w:pPr>
        <w:rPr>
          <w:noProof/>
        </w:rPr>
      </w:pPr>
    </w:p>
    <w:p w:rsidR="007B30F8" w:rsidRDefault="007B30F8" w:rsidP="007B30F8">
      <w:pPr>
        <w:rPr>
          <w:rFonts w:cs="Arial"/>
        </w:rPr>
      </w:pPr>
      <w:r>
        <w:rPr>
          <w:noProof/>
        </w:rPr>
        <w:drawing>
          <wp:inline distT="0" distB="0" distL="0" distR="0" wp14:anchorId="4EFD3489" wp14:editId="62D54455">
            <wp:extent cx="5760720" cy="27412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C4CD9" w:rsidRDefault="007B30F8" w:rsidP="007B30F8">
      <w:pPr>
        <w:rPr>
          <w:rFonts w:cs="Arial"/>
        </w:rPr>
      </w:pPr>
      <w:r>
        <w:rPr>
          <w:rFonts w:cs="Arial"/>
        </w:rPr>
        <w:t>Největší podíl pražských rodáků na celkovém obyvatelstvu měly městské části na okrajích Prahy. Výjimkou z tohoto pravidla byla jen městská část Zličín, kde rodáci tvořili méně než polovinu obyvatel. V městských částech v centru Prahy naopak ve většině případů převažovaly osoby, které se do Prahy přistěhovaly.</w:t>
      </w:r>
    </w:p>
    <w:p w:rsidR="000F5687" w:rsidRPr="000F5687" w:rsidRDefault="000F5687" w:rsidP="007B30F8">
      <w:pPr>
        <w:rPr>
          <w:rFonts w:cs="Arial"/>
          <w:b/>
        </w:rPr>
      </w:pPr>
      <w:r w:rsidRPr="000F5687">
        <w:rPr>
          <w:rFonts w:cs="Arial"/>
          <w:b/>
        </w:rPr>
        <w:t>Kartogram 3.4. Obyvatelstvo s bydlištěm v době narození v Praze v městských částech hl. m. Prahy</w:t>
      </w:r>
    </w:p>
    <w:p w:rsidR="007C4CD9" w:rsidRDefault="007C4CD9" w:rsidP="007B30F8">
      <w:pPr>
        <w:rPr>
          <w:rFonts w:cs="Arial"/>
        </w:rPr>
      </w:pPr>
      <w:r w:rsidRPr="00BF1EA4">
        <w:rPr>
          <w:rFonts w:cs="Arial"/>
          <w:noProof/>
        </w:rPr>
        <w:drawing>
          <wp:inline distT="0" distB="0" distL="0" distR="0" wp14:anchorId="75DAB20F" wp14:editId="61EDE35B">
            <wp:extent cx="5628785" cy="4284980"/>
            <wp:effectExtent l="0" t="0" r="0" b="1270"/>
            <wp:docPr id="14" name="Obrázek 14" descr="C:\Users\vlc37431\Documents\SLDB 2022 publikace\Hlavní publikace\kartogramy\PodilRod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c37431\Documents\SLDB 2022 publikace\Hlavní publikace\kartogramy\PodilRoda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0"/>
                    <a:stretch/>
                  </pic:blipFill>
                  <pic:spPr bwMode="auto">
                    <a:xfrm>
                      <a:off x="0" y="0"/>
                      <a:ext cx="5631875" cy="42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CD9" w:rsidRDefault="007C4CD9" w:rsidP="007B30F8">
      <w:pPr>
        <w:rPr>
          <w:rFonts w:cs="Arial"/>
        </w:rPr>
      </w:pPr>
    </w:p>
    <w:p w:rsidR="007B30F8" w:rsidRPr="005F3682" w:rsidRDefault="007B30F8" w:rsidP="007B30F8">
      <w:pPr>
        <w:rPr>
          <w:rFonts w:cs="Arial"/>
        </w:rPr>
      </w:pP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7" w:name="_Toc145675412"/>
      <w:r w:rsidRPr="005F3682">
        <w:rPr>
          <w:rFonts w:cs="Arial"/>
        </w:rPr>
        <w:t>Vzdělanostní struktura</w:t>
      </w:r>
      <w:bookmarkEnd w:id="7"/>
    </w:p>
    <w:p w:rsidR="007B30F8" w:rsidRDefault="007B30F8" w:rsidP="007B30F8">
      <w:pPr>
        <w:rPr>
          <w:rFonts w:cs="Arial"/>
        </w:rPr>
      </w:pPr>
      <w:r w:rsidRPr="00B2016D">
        <w:rPr>
          <w:rFonts w:cs="Arial"/>
        </w:rPr>
        <w:t>Vzdělanostní úroveň se při sčítání lidu zjišťova</w:t>
      </w:r>
      <w:r>
        <w:rPr>
          <w:rFonts w:cs="Arial"/>
        </w:rPr>
        <w:t>la otázkou určenou</w:t>
      </w:r>
      <w:r w:rsidRPr="00B2016D">
        <w:rPr>
          <w:rFonts w:cs="Arial"/>
        </w:rPr>
        <w:t xml:space="preserve"> osob</w:t>
      </w:r>
      <w:r>
        <w:rPr>
          <w:rFonts w:cs="Arial"/>
        </w:rPr>
        <w:t>ám</w:t>
      </w:r>
      <w:r w:rsidRPr="00B2016D">
        <w:rPr>
          <w:rFonts w:cs="Arial"/>
        </w:rPr>
        <w:t xml:space="preserve"> starší</w:t>
      </w:r>
      <w:r>
        <w:rPr>
          <w:rFonts w:cs="Arial"/>
        </w:rPr>
        <w:t>m</w:t>
      </w:r>
      <w:r w:rsidRPr="00B2016D">
        <w:rPr>
          <w:rFonts w:cs="Arial"/>
        </w:rPr>
        <w:t xml:space="preserve"> 15 let na nejvyšší dosažený</w:t>
      </w:r>
      <w:r>
        <w:rPr>
          <w:rFonts w:cs="Arial"/>
        </w:rPr>
        <w:t xml:space="preserve"> </w:t>
      </w:r>
      <w:r w:rsidRPr="00B2016D">
        <w:rPr>
          <w:rFonts w:cs="Arial"/>
        </w:rPr>
        <w:t>stupeň školního vzdělání. Úroveň dosaženého vzdělání byla členěna do kategorií odpovídající</w:t>
      </w:r>
      <w:r>
        <w:rPr>
          <w:rFonts w:cs="Arial"/>
        </w:rPr>
        <w:t xml:space="preserve"> </w:t>
      </w:r>
      <w:r w:rsidRPr="00B2016D">
        <w:rPr>
          <w:rFonts w:cs="Arial"/>
        </w:rPr>
        <w:t>mezinárodní klasifikace ISCED-97 (International Classification of Education</w:t>
      </w:r>
      <w:r>
        <w:rPr>
          <w:rFonts w:cs="Arial"/>
        </w:rPr>
        <w:t>)</w:t>
      </w:r>
    </w:p>
    <w:p w:rsidR="007B30F8" w:rsidRDefault="007B30F8" w:rsidP="007B30F8">
      <w:pPr>
        <w:rPr>
          <w:rFonts w:cs="Arial"/>
        </w:rPr>
      </w:pPr>
      <w:r w:rsidRPr="00B2016D">
        <w:rPr>
          <w:rFonts w:cs="Arial"/>
        </w:rPr>
        <w:t>Složení obyvatelstva podle vzdělání je důležitou charakteristikou populace. Nejvyšší dosažené vzdělání je</w:t>
      </w:r>
      <w:r>
        <w:rPr>
          <w:rFonts w:cs="Arial"/>
        </w:rPr>
        <w:t xml:space="preserve"> </w:t>
      </w:r>
      <w:r w:rsidRPr="00B2016D">
        <w:rPr>
          <w:rFonts w:cs="Arial"/>
        </w:rPr>
        <w:t>z</w:t>
      </w:r>
      <w:r>
        <w:rPr>
          <w:rFonts w:cs="Arial"/>
        </w:rPr>
        <w:t xml:space="preserve"> </w:t>
      </w:r>
      <w:r w:rsidRPr="00B2016D">
        <w:rPr>
          <w:rFonts w:cs="Arial"/>
        </w:rPr>
        <w:t>ekonomického, sociálního i demografického hlediska jedním z hlavních diferenciačních faktorů.</w:t>
      </w:r>
      <w:r>
        <w:rPr>
          <w:rFonts w:cs="Arial"/>
        </w:rPr>
        <w:t xml:space="preserve"> </w:t>
      </w:r>
      <w:r w:rsidRPr="00B2016D">
        <w:rPr>
          <w:rFonts w:cs="Arial"/>
        </w:rPr>
        <w:t>Vzhledem ke zvyšujícímu se počtu studentů na vysokých školách a zvyšujícímu podílu absolventů</w:t>
      </w:r>
      <w:r>
        <w:rPr>
          <w:rFonts w:cs="Arial"/>
        </w:rPr>
        <w:t xml:space="preserve"> </w:t>
      </w:r>
      <w:r w:rsidRPr="00B2016D">
        <w:rPr>
          <w:rFonts w:cs="Arial"/>
        </w:rPr>
        <w:t xml:space="preserve">vysokých škol v populaci může pozvolna </w:t>
      </w:r>
      <w:r>
        <w:rPr>
          <w:rFonts w:cs="Arial"/>
        </w:rPr>
        <w:t>klesat</w:t>
      </w:r>
      <w:r w:rsidRPr="00B2016D">
        <w:rPr>
          <w:rFonts w:cs="Arial"/>
        </w:rPr>
        <w:t xml:space="preserve"> význam vysokoškolského vzdělání</w:t>
      </w:r>
      <w:r>
        <w:rPr>
          <w:rFonts w:cs="Arial"/>
        </w:rPr>
        <w:t xml:space="preserve"> a to tak nemusí nutně být </w:t>
      </w:r>
      <w:r w:rsidRPr="00B2016D">
        <w:rPr>
          <w:rFonts w:cs="Arial"/>
        </w:rPr>
        <w:t>hlavním faktorem určujícím socioekonomickou úroveň regionů či obyvatel.</w:t>
      </w:r>
    </w:p>
    <w:p w:rsidR="007B30F8" w:rsidRDefault="007B30F8" w:rsidP="007B30F8">
      <w:pPr>
        <w:rPr>
          <w:rFonts w:cs="Arial"/>
        </w:rPr>
      </w:pPr>
      <w:r w:rsidRPr="009F56FE">
        <w:rPr>
          <w:rFonts w:cs="Arial"/>
        </w:rPr>
        <w:t>Vzdělanostní úroveň obyvatelstva hlavního města byla oproti ostatním</w:t>
      </w:r>
      <w:r>
        <w:rPr>
          <w:rFonts w:cs="Arial"/>
        </w:rPr>
        <w:t xml:space="preserve"> </w:t>
      </w:r>
      <w:r w:rsidRPr="009F56FE">
        <w:rPr>
          <w:rFonts w:cs="Arial"/>
        </w:rPr>
        <w:t>regionům vyšší. Podle výsledků sčítání lidu byl v Praze ve srovnání</w:t>
      </w:r>
      <w:r>
        <w:rPr>
          <w:rFonts w:cs="Arial"/>
        </w:rPr>
        <w:t xml:space="preserve"> </w:t>
      </w:r>
      <w:r w:rsidRPr="009F56FE">
        <w:rPr>
          <w:rFonts w:cs="Arial"/>
        </w:rPr>
        <w:t>s celorepublikovým průměrem nižší podíl osob se základním vzděláním</w:t>
      </w:r>
      <w:r>
        <w:rPr>
          <w:rFonts w:cs="Arial"/>
        </w:rPr>
        <w:t xml:space="preserve"> </w:t>
      </w:r>
      <w:r w:rsidRPr="009F56FE">
        <w:rPr>
          <w:rFonts w:cs="Arial"/>
        </w:rPr>
        <w:t xml:space="preserve">(o </w:t>
      </w:r>
      <w:r>
        <w:rPr>
          <w:rFonts w:cs="Arial"/>
        </w:rPr>
        <w:t>5,0</w:t>
      </w:r>
      <w:r w:rsidRPr="009F56FE">
        <w:rPr>
          <w:rFonts w:cs="Arial"/>
        </w:rPr>
        <w:t xml:space="preserve"> procentních bodů) a podíl osob se středním vzděláním bez maturity</w:t>
      </w:r>
      <w:r>
        <w:rPr>
          <w:rFonts w:cs="Arial"/>
        </w:rPr>
        <w:t xml:space="preserve"> vč. učňovského (o 14</w:t>
      </w:r>
      <w:r w:rsidRPr="009F56FE">
        <w:rPr>
          <w:rFonts w:cs="Arial"/>
        </w:rPr>
        <w:t>,7 procentních bodů). Naopak</w:t>
      </w:r>
      <w:r>
        <w:rPr>
          <w:rFonts w:cs="Arial"/>
        </w:rPr>
        <w:t xml:space="preserve"> mírně</w:t>
      </w:r>
      <w:r w:rsidRPr="009F56FE">
        <w:rPr>
          <w:rFonts w:cs="Arial"/>
        </w:rPr>
        <w:t xml:space="preserve"> vyšší podíl v případě osob</w:t>
      </w:r>
      <w:r>
        <w:rPr>
          <w:rFonts w:cs="Arial"/>
        </w:rPr>
        <w:t xml:space="preserve"> s úplným středním vzděláním (o 2,1</w:t>
      </w:r>
      <w:r w:rsidRPr="009F56FE">
        <w:rPr>
          <w:rFonts w:cs="Arial"/>
        </w:rPr>
        <w:t xml:space="preserve"> procentních bodů) a </w:t>
      </w:r>
      <w:r>
        <w:rPr>
          <w:rFonts w:cs="Arial"/>
        </w:rPr>
        <w:t xml:space="preserve">výrazně vyšší podíl u osob s </w:t>
      </w:r>
      <w:r w:rsidRPr="009F56FE">
        <w:rPr>
          <w:rFonts w:cs="Arial"/>
        </w:rPr>
        <w:t>vysokoškolským vzděláním</w:t>
      </w:r>
      <w:r>
        <w:rPr>
          <w:rFonts w:cs="Arial"/>
        </w:rPr>
        <w:t xml:space="preserve"> (o 17</w:t>
      </w:r>
      <w:r w:rsidRPr="009F56FE">
        <w:rPr>
          <w:rFonts w:cs="Arial"/>
        </w:rPr>
        <w:t>,</w:t>
      </w:r>
      <w:r>
        <w:rPr>
          <w:rFonts w:cs="Arial"/>
        </w:rPr>
        <w:t>2</w:t>
      </w:r>
      <w:r w:rsidRPr="009F56FE">
        <w:rPr>
          <w:rFonts w:cs="Arial"/>
        </w:rPr>
        <w:t xml:space="preserve"> procentních bodů). </w:t>
      </w:r>
      <w:r>
        <w:rPr>
          <w:rFonts w:cs="Arial"/>
        </w:rPr>
        <w:t>Podílem vysokoškoláků v populaci Praha výrazně převyšovala i ostatní jednotlivé kraje ČR. Druhý nejvyšší podíl absolventů vysokých škol v populaci nad 15 let byl v Jihomoravském kraji a to 20,7 %, tedy o 13 p. b. nižší než v Praze. Nejnižší podíl vysokoškolsky vzdělaných osob v populaci nad 15 let byl v Karlovarském kraji, a to 9,6 %.</w:t>
      </w:r>
    </w:p>
    <w:p w:rsidR="007B30F8" w:rsidRDefault="007B30F8" w:rsidP="007B30F8">
      <w:pPr>
        <w:rPr>
          <w:rFonts w:cs="Arial"/>
        </w:rPr>
      </w:pPr>
    </w:p>
    <w:p w:rsidR="007B30F8" w:rsidRPr="00FF4061" w:rsidRDefault="007B30F8" w:rsidP="007B30F8">
      <w:pPr>
        <w:rPr>
          <w:rFonts w:cs="Arial"/>
          <w:b/>
        </w:rPr>
      </w:pPr>
      <w:r w:rsidRPr="00FF4061">
        <w:rPr>
          <w:rFonts w:cs="Arial"/>
          <w:b/>
        </w:rPr>
        <w:t xml:space="preserve">Tab. 3.8.1 Obyvatelstvo podle pohlaví, věku a nejvyššího dosaženého vzdělání </w:t>
      </w:r>
    </w:p>
    <w:p w:rsidR="007B30F8" w:rsidRDefault="007B30F8" w:rsidP="007B30F8">
      <w:pPr>
        <w:rPr>
          <w:rFonts w:cs="Arial"/>
        </w:rPr>
      </w:pPr>
      <w:r w:rsidRPr="00FF4061">
        <w:rPr>
          <w:rFonts w:cs="Arial"/>
          <w:noProof/>
        </w:rPr>
        <w:drawing>
          <wp:inline distT="0" distB="0" distL="0" distR="0" wp14:anchorId="19298505" wp14:editId="68E0D1DA">
            <wp:extent cx="5686425" cy="29527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  <w:r>
        <w:rPr>
          <w:rFonts w:cs="Arial"/>
        </w:rPr>
        <w:t>U</w:t>
      </w:r>
      <w:r w:rsidRPr="00AF5128">
        <w:rPr>
          <w:rFonts w:cs="Arial"/>
        </w:rPr>
        <w:t xml:space="preserve"> nejvyššího ukončeného vzdělání byly patrné rozdíly podle pohlaví.</w:t>
      </w:r>
      <w:r>
        <w:rPr>
          <w:rFonts w:cs="Arial"/>
        </w:rPr>
        <w:t xml:space="preserve"> </w:t>
      </w:r>
      <w:r w:rsidRPr="00AF5128">
        <w:rPr>
          <w:rFonts w:cs="Arial"/>
        </w:rPr>
        <w:t xml:space="preserve">Ženy </w:t>
      </w:r>
      <w:r>
        <w:rPr>
          <w:rFonts w:cs="Arial"/>
        </w:rPr>
        <w:t>v Praze výrazněji převažovaly v kategorii základního (vč. neukončeného) vzdělání (podíl 54,2</w:t>
      </w:r>
      <w:r w:rsidR="0021725D">
        <w:rPr>
          <w:rFonts w:cs="Arial"/>
        </w:rPr>
        <w:t xml:space="preserve"> </w:t>
      </w:r>
      <w:r>
        <w:rPr>
          <w:rFonts w:cs="Arial"/>
        </w:rPr>
        <w:t>%), naopak v menšině byly u vzdělání s</w:t>
      </w:r>
      <w:r w:rsidRPr="00A92823">
        <w:rPr>
          <w:rFonts w:cs="Arial"/>
        </w:rPr>
        <w:t>třední</w:t>
      </w:r>
      <w:r>
        <w:rPr>
          <w:rFonts w:cs="Arial"/>
        </w:rPr>
        <w:t>ho</w:t>
      </w:r>
      <w:r w:rsidRPr="00A92823">
        <w:rPr>
          <w:rFonts w:cs="Arial"/>
        </w:rPr>
        <w:t xml:space="preserve"> vč. vyučení</w:t>
      </w:r>
      <w:r>
        <w:rPr>
          <w:rFonts w:cs="Arial"/>
        </w:rPr>
        <w:t>,</w:t>
      </w:r>
      <w:r w:rsidRPr="00A92823">
        <w:rPr>
          <w:rFonts w:cs="Arial"/>
        </w:rPr>
        <w:t xml:space="preserve"> bez maturity</w:t>
      </w:r>
      <w:r>
        <w:rPr>
          <w:rFonts w:cs="Arial"/>
        </w:rPr>
        <w:t>, (podíl 45,5 %). Ve vyšších stupních vzdělání pak vždy převažovaly, a to jak u vzdělání středního s maturitou (podíl 55,6 %), u vyššího odborného s konzervatoří (61,2 %) a mírně i u vzdělání vysokoškolského (podíl 52,2 %). U ukončeného vzdělání vysokoškolského převažovali u bakalářského a magisterského stupně, naopak u ukončeného doktorského vzdělání výrazně převládali muži (podíl žen byl 37,7 %).</w:t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  <w:b/>
        </w:rPr>
      </w:pPr>
      <w:r w:rsidRPr="00E144FE">
        <w:rPr>
          <w:rFonts w:cs="Arial"/>
          <w:b/>
        </w:rPr>
        <w:t>Tab. 3.8.2 Obyvatelstvo podle n</w:t>
      </w:r>
      <w:r>
        <w:rPr>
          <w:rFonts w:cs="Arial"/>
          <w:b/>
        </w:rPr>
        <w:t>ejvyššího dosaženého vzdělání v Praze, Středočeském kraji a České republice</w:t>
      </w:r>
    </w:p>
    <w:p w:rsidR="007B30F8" w:rsidRDefault="007B30F8" w:rsidP="007B30F8">
      <w:pPr>
        <w:rPr>
          <w:rFonts w:cs="Arial"/>
        </w:rPr>
      </w:pPr>
      <w:r w:rsidRPr="00FF4061">
        <w:rPr>
          <w:rFonts w:cs="Arial"/>
          <w:noProof/>
        </w:rPr>
        <w:drawing>
          <wp:inline distT="0" distB="0" distL="0" distR="0" wp14:anchorId="13DF8B83" wp14:editId="01F7E8FA">
            <wp:extent cx="5191125" cy="19145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 xml:space="preserve">  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 xml:space="preserve">Jednotlivé vzdělanostní kategorie se lišily i podle podílu zastoupení různých věkových skupin. U vzdělání základního bylo největší zastoupení, kromě osob ve věku 15-19 let, mezi lidmi nad 70 let, a to 13,9 %. U vzdělání středního bylo poměrně nízké zastoupení u věkových skupin 20-29 let a 30-39 let, naopak u desetiletých skupin od 40 let výše se podíl v této vzdělanostní kategorii zvyšoval, největší byl právě ve skupině 40-49 let (20,5 %) a nad 70 let (25,3 %). U úplného středního vzdělání s maturitou byl podíl jednotlivých věkových skupin poměrně vyrovnaný. Naopak u lidí s ukončeným vysokoškolským vzděláním výrazně převažovali lidé ve věku 30-39 let, kteří tvořili 30,2 % této kategorie. Lidé ve věku 40-49 let tvořili 20,6 % a lidé ve věku 20-29 let 16,6 % osob s ukončeným vysokoškolským vzděláním, přičemž část z nich samozřejmě ještě vysokoškolské vzdělání mít ukončené nemohla. Podíly desetiletých věkových skupin  50-59 let, 60-69 let a nad 70 let se pohybovali kolem 10 %. Mezi lidmi s ukončeným doktorským vzděláním byla ovšem věková skupina nad 70 let zastoupena poměrně výrazně a tvořila 24,7 %.  Praha je tak město s převážně mladší vysokoškolsky vzdělanější populací a starší populací s větším zastoupení v nižších vzdělanostních kategoriích. Je to mimo jiné důsledek trendu dostupnějšího vysokoškolského vzdělání a rozšiřujícího se počtu studujících zaznamenaného v posledních více než deseti letech. </w:t>
      </w:r>
    </w:p>
    <w:p w:rsidR="007B30F8" w:rsidRDefault="007B30F8" w:rsidP="007B30F8">
      <w:pPr>
        <w:rPr>
          <w:rFonts w:cs="Arial"/>
        </w:rPr>
      </w:pPr>
    </w:p>
    <w:p w:rsidR="007B30F8" w:rsidRPr="009B4C86" w:rsidRDefault="007B30F8" w:rsidP="007B30F8">
      <w:pPr>
        <w:rPr>
          <w:rFonts w:cs="Arial"/>
          <w:b/>
        </w:rPr>
      </w:pPr>
      <w:r w:rsidRPr="009B4C86">
        <w:rPr>
          <w:rFonts w:cs="Arial"/>
          <w:b/>
        </w:rPr>
        <w:t xml:space="preserve">Graf </w:t>
      </w:r>
      <w:r>
        <w:rPr>
          <w:rFonts w:cs="Arial"/>
          <w:b/>
        </w:rPr>
        <w:t>3</w:t>
      </w:r>
      <w:r w:rsidRPr="009B4C86">
        <w:rPr>
          <w:rFonts w:cs="Arial"/>
          <w:b/>
        </w:rPr>
        <w:t>.</w:t>
      </w:r>
      <w:r>
        <w:rPr>
          <w:rFonts w:cs="Arial"/>
          <w:b/>
        </w:rPr>
        <w:t>7</w:t>
      </w:r>
      <w:r w:rsidRPr="009B4C86">
        <w:rPr>
          <w:rFonts w:cs="Arial"/>
          <w:b/>
        </w:rPr>
        <w:t xml:space="preserve"> Podíl</w:t>
      </w:r>
      <w:r>
        <w:rPr>
          <w:rFonts w:cs="Arial"/>
          <w:b/>
        </w:rPr>
        <w:t xml:space="preserve"> o</w:t>
      </w:r>
      <w:r w:rsidRPr="009B4C86">
        <w:rPr>
          <w:rFonts w:cs="Arial"/>
          <w:b/>
        </w:rPr>
        <w:t>byvatelstva s dosaženým vysokoškolským vzděláním podle pohlaví a věku v hl. m. Praze (ze zjištěných hodnot)</w:t>
      </w:r>
    </w:p>
    <w:p w:rsidR="007B30F8" w:rsidRDefault="007B30F8" w:rsidP="007B30F8">
      <w:pPr>
        <w:rPr>
          <w:rFonts w:cs="Arial"/>
        </w:rPr>
      </w:pPr>
      <w:r>
        <w:rPr>
          <w:noProof/>
        </w:rPr>
        <w:drawing>
          <wp:inline distT="0" distB="0" distL="0" distR="0" wp14:anchorId="1EB15DC5" wp14:editId="156702B9">
            <wp:extent cx="5760720" cy="24574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D9" w:rsidRDefault="007C4CD9" w:rsidP="007B30F8">
      <w:pPr>
        <w:rPr>
          <w:rFonts w:cs="Arial"/>
        </w:rPr>
      </w:pPr>
    </w:p>
    <w:p w:rsidR="007B30F8" w:rsidRPr="005F3682" w:rsidRDefault="007B30F8" w:rsidP="007B30F8">
      <w:pPr>
        <w:pStyle w:val="Nadpis2"/>
        <w:spacing w:after="120"/>
        <w:jc w:val="both"/>
        <w:rPr>
          <w:rFonts w:cs="Arial"/>
        </w:rPr>
      </w:pPr>
      <w:bookmarkStart w:id="8" w:name="_Toc145675413"/>
      <w:r w:rsidRPr="005F3682">
        <w:rPr>
          <w:rFonts w:cs="Arial"/>
        </w:rPr>
        <w:t>Způsob bydlení</w:t>
      </w:r>
      <w:bookmarkEnd w:id="8"/>
      <w:r w:rsidRPr="005F3682">
        <w:rPr>
          <w:rFonts w:cs="Arial"/>
        </w:rPr>
        <w:t xml:space="preserve"> 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Způsob bydlení byl pro potřeby této kapitoly v sekci Obyvatelstvo rozdělen do dvou kategorií a 3 podkategorií a to na osoby bydlící a osoby bez domova. Osoby bydlící byly dále rozděleny na ty bydlící v bytech, v zařízeních a mimo byty a zařízení. V rámci dělení podle těchto kategorií bydlí 97 % obyvatel Prahy v bytech. Dalších 1,8 % bydlelo v zařízeních a tuto skupinu tvořili z 57 % muži. Mimo byty a zařízení žilo 1,2</w:t>
      </w:r>
      <w:r w:rsidR="0021725D">
        <w:rPr>
          <w:rFonts w:cs="Arial"/>
        </w:rPr>
        <w:t xml:space="preserve"> </w:t>
      </w:r>
      <w:r>
        <w:rPr>
          <w:rFonts w:cs="Arial"/>
        </w:rPr>
        <w:t xml:space="preserve">% osob, a z toho 71,3 % tvořili muži, 6,8% této skupiny tvořili děti do 14 let a 85 % osob bylo v produktivním věku 15-64 let.  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Lidí bez domova se v Praze sečetlo celkem 611. Převážnou většinu, konkrétně 77,9 % této skupiny tvořili muži. Dětí do 14 let mezi nimi mnoho nebylo, jen 0,7 %, ve věku 15-64 let bylo 85,6 % a celých 13,7 % lidí bez domova tvořili osoby v důchodovém věku nad 65 let.</w:t>
      </w:r>
    </w:p>
    <w:p w:rsidR="007B30F8" w:rsidRDefault="007B30F8" w:rsidP="007B30F8">
      <w:pPr>
        <w:rPr>
          <w:rFonts w:cs="Arial"/>
        </w:rPr>
      </w:pPr>
      <w:r>
        <w:rPr>
          <w:rFonts w:cs="Arial"/>
        </w:rPr>
        <w:t>Je potřeba zdůraznit, že údaj o počtu bezdomovců více vypovídá o tom, kolik bezdomovců v Praze vyplnilo sčítací formulář, než to, kolik bezdomovců v Praze skutečně je. Podle posledního sčítání bezdomovců Výzkumného ústavu práce a sociálních věcí z roku 2019 je v Praze přibližně 2 tisíce osob bez domova (tzv. kategorie „bez střechy“, tj. osob venku a v noclehárnách). Z nich cca 80 % žije venku a 20 % v noclehárnách a jejich průměrný věk je 47,9 let</w:t>
      </w:r>
    </w:p>
    <w:p w:rsidR="007B30F8" w:rsidRDefault="007B30F8" w:rsidP="007B30F8">
      <w:pPr>
        <w:rPr>
          <w:rFonts w:cs="Arial"/>
        </w:rPr>
      </w:pPr>
    </w:p>
    <w:p w:rsidR="007B30F8" w:rsidRDefault="007B30F8" w:rsidP="007B30F8">
      <w:pPr>
        <w:rPr>
          <w:rFonts w:cs="Arial"/>
        </w:rPr>
      </w:pPr>
    </w:p>
    <w:p w:rsidR="007B30F8" w:rsidRPr="00E144FE" w:rsidRDefault="007B30F8" w:rsidP="007B30F8">
      <w:pPr>
        <w:rPr>
          <w:rFonts w:cs="Arial"/>
          <w:b/>
        </w:rPr>
      </w:pPr>
      <w:r w:rsidRPr="00E144FE">
        <w:rPr>
          <w:rFonts w:cs="Arial"/>
          <w:b/>
        </w:rPr>
        <w:t>Tab. 3.9.1 Obyvatelstvo podle způsobu bydlení</w:t>
      </w:r>
    </w:p>
    <w:p w:rsidR="007B30F8" w:rsidRPr="008D02F3" w:rsidRDefault="007B30F8" w:rsidP="007B30F8">
      <w:pPr>
        <w:rPr>
          <w:rFonts w:cs="Arial"/>
        </w:rPr>
      </w:pPr>
      <w:r w:rsidRPr="00E144FE">
        <w:rPr>
          <w:rFonts w:cs="Arial"/>
          <w:noProof/>
        </w:rPr>
        <w:drawing>
          <wp:inline distT="0" distB="0" distL="0" distR="0" wp14:anchorId="2BE02782" wp14:editId="515877D3">
            <wp:extent cx="5686425" cy="1476375"/>
            <wp:effectExtent l="0" t="0" r="952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F8" w:rsidRDefault="007B30F8" w:rsidP="005F3C01"/>
    <w:p w:rsidR="007B30F8" w:rsidRPr="000F5687" w:rsidRDefault="000F5687" w:rsidP="005F3C01">
      <w:pPr>
        <w:rPr>
          <w:b/>
        </w:rPr>
      </w:pPr>
      <w:r w:rsidRPr="000F5687">
        <w:rPr>
          <w:b/>
        </w:rPr>
        <w:t>Kartogram 3.5 Obyvatelstvo s vysokoškolským vzděláním v městských částech hl. m. Prahy</w:t>
      </w:r>
    </w:p>
    <w:p w:rsidR="007B30F8" w:rsidRDefault="007C4CD9" w:rsidP="005F3C01">
      <w:r w:rsidRPr="00BF1EA4">
        <w:rPr>
          <w:rFonts w:cs="Arial"/>
          <w:noProof/>
        </w:rPr>
        <w:drawing>
          <wp:inline distT="0" distB="0" distL="0" distR="0" wp14:anchorId="47409275" wp14:editId="133F6A3F">
            <wp:extent cx="5895975" cy="4295775"/>
            <wp:effectExtent l="0" t="0" r="9525" b="9525"/>
            <wp:docPr id="28" name="Obrázek 28" descr="C:\Users\vlc37431\Documents\SLDB 2022 publikace\Hlavní publikace\kartogramy\Podil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c37431\Documents\SLDB 2022 publikace\Hlavní publikace\kartogramy\Podil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"/>
                    <a:stretch/>
                  </pic:blipFill>
                  <pic:spPr bwMode="auto">
                    <a:xfrm>
                      <a:off x="0" y="0"/>
                      <a:ext cx="5910278" cy="43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0F8" w:rsidRDefault="007B30F8" w:rsidP="005F3C01"/>
    <w:p w:rsidR="007B30F8" w:rsidRDefault="007B30F8" w:rsidP="005F3C01"/>
    <w:p w:rsidR="007B30F8" w:rsidRDefault="007B30F8" w:rsidP="005F3C01"/>
    <w:p w:rsidR="007B30F8" w:rsidRDefault="007B30F8" w:rsidP="005F3C01">
      <w:bookmarkStart w:id="9" w:name="_GoBack"/>
      <w:bookmarkEnd w:id="9"/>
    </w:p>
    <w:sectPr w:rsidR="007B30F8" w:rsidSect="006F5416">
      <w:headerReference w:type="even" r:id="rId34"/>
      <w:headerReference w:type="default" r:id="rId35"/>
      <w:footerReference w:type="even" r:id="rId36"/>
      <w:footerReference w:type="default" r:id="rId37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01" w:rsidRDefault="00DE5801" w:rsidP="005F3C01">
      <w:r>
        <w:separator/>
      </w:r>
    </w:p>
    <w:p w:rsidR="00DE5801" w:rsidRDefault="00DE5801" w:rsidP="005F3C01"/>
  </w:endnote>
  <w:endnote w:type="continuationSeparator" w:id="0">
    <w:p w:rsidR="00DE5801" w:rsidRDefault="00DE5801" w:rsidP="005F3C01">
      <w:r>
        <w:continuationSeparator/>
      </w:r>
    </w:p>
    <w:p w:rsidR="00DE5801" w:rsidRDefault="00DE5801" w:rsidP="005F3C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7A4" w:rsidRDefault="005867A4" w:rsidP="00543343">
    <w:pPr>
      <w:pStyle w:val="Zpat"/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06506E">
      <w:rPr>
        <w:szCs w:val="16"/>
      </w:rPr>
      <w:t>18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szCs w:val="16"/>
      </w:rPr>
      <w:t>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7A4" w:rsidRDefault="005867A4" w:rsidP="00543343">
    <w:pPr>
      <w:pStyle w:val="Zpat"/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2021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DE5801">
      <w:rPr>
        <w:rStyle w:val="ZpatChar"/>
        <w:szCs w:val="16"/>
      </w:rPr>
      <w:t>1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01" w:rsidRDefault="00DE5801" w:rsidP="005F3C01">
      <w:r>
        <w:separator/>
      </w:r>
    </w:p>
    <w:p w:rsidR="00DE5801" w:rsidRDefault="00DE5801" w:rsidP="005F3C01"/>
  </w:footnote>
  <w:footnote w:type="continuationSeparator" w:id="0">
    <w:p w:rsidR="00DE5801" w:rsidRDefault="00DE5801" w:rsidP="005F3C01">
      <w:r>
        <w:continuationSeparator/>
      </w:r>
    </w:p>
    <w:p w:rsidR="00DE5801" w:rsidRDefault="00DE5801" w:rsidP="005F3C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7A4" w:rsidRPr="00817A7C" w:rsidRDefault="005867A4" w:rsidP="005F3C01">
    <w:pPr>
      <w:rPr>
        <w:sz w:val="16"/>
        <w:szCs w:val="16"/>
      </w:rPr>
    </w:pPr>
    <w:r w:rsidRPr="00817A7C">
      <w:rPr>
        <w:sz w:val="16"/>
        <w:szCs w:val="16"/>
      </w:rPr>
      <w:t xml:space="preserve">Sčítání lidu, domů a bytů </w:t>
    </w:r>
    <w:r w:rsidR="007B30F8">
      <w:rPr>
        <w:sz w:val="16"/>
        <w:szCs w:val="16"/>
      </w:rPr>
      <w:t xml:space="preserve"> - Hl. m. Praha</w:t>
    </w:r>
    <w:r w:rsidRPr="00817A7C">
      <w:rPr>
        <w:sz w:val="16"/>
        <w:szCs w:val="16"/>
      </w:rPr>
      <w:t xml:space="preserve"> - analýza výsledků - 2021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7A4" w:rsidRDefault="005867A4" w:rsidP="005867A4">
    <w:pPr>
      <w:pStyle w:val="Zhlav"/>
    </w:pPr>
    <w:r w:rsidRPr="00F3661B">
      <w:t xml:space="preserve">Sčítání lidu, domů a bytů </w:t>
    </w:r>
    <w:r w:rsidR="007B30F8">
      <w:t>–</w:t>
    </w:r>
    <w:r w:rsidRPr="00F3661B">
      <w:t xml:space="preserve"> </w:t>
    </w:r>
    <w:r w:rsidR="007B30F8" w:rsidRPr="007B30F8">
      <w:t>Hl. m. Praha</w:t>
    </w:r>
    <w:r w:rsidRPr="007B30F8">
      <w:t xml:space="preserve"> </w:t>
    </w:r>
    <w:r w:rsidRPr="00F3661B">
      <w:t>- analýza výsledků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F607B6"/>
    <w:multiLevelType w:val="multilevel"/>
    <w:tmpl w:val="005ADD3C"/>
    <w:lvl w:ilvl="0">
      <w:start w:val="3"/>
      <w:numFmt w:val="decimal"/>
      <w:pStyle w:val="Nadpis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184702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64EF6"/>
    <w:multiLevelType w:val="hybridMultilevel"/>
    <w:tmpl w:val="D42C4130"/>
    <w:lvl w:ilvl="0" w:tplc="9990CEB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05376"/>
    <w:multiLevelType w:val="hybridMultilevel"/>
    <w:tmpl w:val="3AE02706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7" w15:restartNumberingAfterBreak="0">
    <w:nsid w:val="67544463"/>
    <w:multiLevelType w:val="multilevel"/>
    <w:tmpl w:val="14B4B8B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suff w:val="space"/>
      <w:lvlText w:val="Tab. 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2"/>
  </w:num>
  <w:num w:numId="13">
    <w:abstractNumId w:val="15"/>
  </w:num>
  <w:num w:numId="14">
    <w:abstractNumId w:val="16"/>
  </w:num>
  <w:num w:numId="15">
    <w:abstractNumId w:val="13"/>
  </w:num>
  <w:num w:numId="16">
    <w:abstractNumId w:val="17"/>
  </w:num>
  <w:num w:numId="17">
    <w:abstractNumId w:val="17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6407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71"/>
    <w:rsid w:val="0000209D"/>
    <w:rsid w:val="00004D5A"/>
    <w:rsid w:val="000056D5"/>
    <w:rsid w:val="0000729D"/>
    <w:rsid w:val="0000767A"/>
    <w:rsid w:val="00010702"/>
    <w:rsid w:val="000154C6"/>
    <w:rsid w:val="00016992"/>
    <w:rsid w:val="000234D6"/>
    <w:rsid w:val="00023D29"/>
    <w:rsid w:val="00026389"/>
    <w:rsid w:val="00031AE0"/>
    <w:rsid w:val="000322EF"/>
    <w:rsid w:val="00033FCD"/>
    <w:rsid w:val="00041CEC"/>
    <w:rsid w:val="0004694F"/>
    <w:rsid w:val="000522E4"/>
    <w:rsid w:val="00057DD1"/>
    <w:rsid w:val="000610E1"/>
    <w:rsid w:val="00062EC5"/>
    <w:rsid w:val="00062F22"/>
    <w:rsid w:val="0006506E"/>
    <w:rsid w:val="000712B3"/>
    <w:rsid w:val="0008263E"/>
    <w:rsid w:val="00082C19"/>
    <w:rsid w:val="00085395"/>
    <w:rsid w:val="00087634"/>
    <w:rsid w:val="00087F2B"/>
    <w:rsid w:val="000974D1"/>
    <w:rsid w:val="0009799E"/>
    <w:rsid w:val="000A1183"/>
    <w:rsid w:val="000A256D"/>
    <w:rsid w:val="000A3A2C"/>
    <w:rsid w:val="000B30FA"/>
    <w:rsid w:val="000C3408"/>
    <w:rsid w:val="000C6AFD"/>
    <w:rsid w:val="000D5637"/>
    <w:rsid w:val="000E1E6A"/>
    <w:rsid w:val="000E6DB0"/>
    <w:rsid w:val="000E6FBD"/>
    <w:rsid w:val="000F5687"/>
    <w:rsid w:val="00100F5C"/>
    <w:rsid w:val="0010437D"/>
    <w:rsid w:val="00104C4C"/>
    <w:rsid w:val="00107DF9"/>
    <w:rsid w:val="00112147"/>
    <w:rsid w:val="0012192F"/>
    <w:rsid w:val="00125D69"/>
    <w:rsid w:val="001405FA"/>
    <w:rsid w:val="001425C3"/>
    <w:rsid w:val="001443AF"/>
    <w:rsid w:val="0016256B"/>
    <w:rsid w:val="00163793"/>
    <w:rsid w:val="00166171"/>
    <w:rsid w:val="001706D6"/>
    <w:rsid w:val="001714F2"/>
    <w:rsid w:val="00175AA4"/>
    <w:rsid w:val="0018232B"/>
    <w:rsid w:val="00184B08"/>
    <w:rsid w:val="00185010"/>
    <w:rsid w:val="001857F6"/>
    <w:rsid w:val="00185F52"/>
    <w:rsid w:val="001A1767"/>
    <w:rsid w:val="001A552F"/>
    <w:rsid w:val="001B2CA9"/>
    <w:rsid w:val="001B3110"/>
    <w:rsid w:val="001B4729"/>
    <w:rsid w:val="001B6C09"/>
    <w:rsid w:val="001B7D99"/>
    <w:rsid w:val="001C05CD"/>
    <w:rsid w:val="001D68B2"/>
    <w:rsid w:val="001F4597"/>
    <w:rsid w:val="002118B9"/>
    <w:rsid w:val="0021725D"/>
    <w:rsid w:val="00217C5B"/>
    <w:rsid w:val="0022139E"/>
    <w:rsid w:val="002252E0"/>
    <w:rsid w:val="002255F6"/>
    <w:rsid w:val="00227850"/>
    <w:rsid w:val="00227A53"/>
    <w:rsid w:val="00230C6E"/>
    <w:rsid w:val="00236443"/>
    <w:rsid w:val="002436BA"/>
    <w:rsid w:val="00244A15"/>
    <w:rsid w:val="00247319"/>
    <w:rsid w:val="0024799E"/>
    <w:rsid w:val="00253C0F"/>
    <w:rsid w:val="00264157"/>
    <w:rsid w:val="00271465"/>
    <w:rsid w:val="00285412"/>
    <w:rsid w:val="00287A83"/>
    <w:rsid w:val="0029209F"/>
    <w:rsid w:val="00296AF2"/>
    <w:rsid w:val="002A00BE"/>
    <w:rsid w:val="002A16D4"/>
    <w:rsid w:val="002A230C"/>
    <w:rsid w:val="002A5826"/>
    <w:rsid w:val="002A592A"/>
    <w:rsid w:val="002B6284"/>
    <w:rsid w:val="002C43BD"/>
    <w:rsid w:val="002D0E59"/>
    <w:rsid w:val="002D5D85"/>
    <w:rsid w:val="002E02A1"/>
    <w:rsid w:val="002E0A99"/>
    <w:rsid w:val="002E4E4C"/>
    <w:rsid w:val="00304771"/>
    <w:rsid w:val="003052D4"/>
    <w:rsid w:val="00306C5B"/>
    <w:rsid w:val="00306E71"/>
    <w:rsid w:val="00320148"/>
    <w:rsid w:val="003209D6"/>
    <w:rsid w:val="00321924"/>
    <w:rsid w:val="0032656E"/>
    <w:rsid w:val="0033123A"/>
    <w:rsid w:val="00332190"/>
    <w:rsid w:val="00344668"/>
    <w:rsid w:val="003462D9"/>
    <w:rsid w:val="00360C86"/>
    <w:rsid w:val="003657F3"/>
    <w:rsid w:val="00375817"/>
    <w:rsid w:val="003818DC"/>
    <w:rsid w:val="00383D12"/>
    <w:rsid w:val="00384327"/>
    <w:rsid w:val="00385D98"/>
    <w:rsid w:val="003A2B4D"/>
    <w:rsid w:val="003A478C"/>
    <w:rsid w:val="003A5525"/>
    <w:rsid w:val="003A6B38"/>
    <w:rsid w:val="003B337D"/>
    <w:rsid w:val="003B5A32"/>
    <w:rsid w:val="003C3490"/>
    <w:rsid w:val="003D1F8F"/>
    <w:rsid w:val="003D6920"/>
    <w:rsid w:val="003E4C91"/>
    <w:rsid w:val="003E7899"/>
    <w:rsid w:val="003F313C"/>
    <w:rsid w:val="003F4B2C"/>
    <w:rsid w:val="003F551C"/>
    <w:rsid w:val="003F7D23"/>
    <w:rsid w:val="00400D80"/>
    <w:rsid w:val="004071B7"/>
    <w:rsid w:val="00407C13"/>
    <w:rsid w:val="00410638"/>
    <w:rsid w:val="0042750A"/>
    <w:rsid w:val="00432A58"/>
    <w:rsid w:val="00433A93"/>
    <w:rsid w:val="00434617"/>
    <w:rsid w:val="00440900"/>
    <w:rsid w:val="004441A0"/>
    <w:rsid w:val="0045703B"/>
    <w:rsid w:val="00460FB3"/>
    <w:rsid w:val="00475B69"/>
    <w:rsid w:val="00476240"/>
    <w:rsid w:val="00476439"/>
    <w:rsid w:val="0047735C"/>
    <w:rsid w:val="004776BC"/>
    <w:rsid w:val="0048139F"/>
    <w:rsid w:val="00481E40"/>
    <w:rsid w:val="00484ECE"/>
    <w:rsid w:val="004900FF"/>
    <w:rsid w:val="004915CB"/>
    <w:rsid w:val="004924DC"/>
    <w:rsid w:val="004A01CA"/>
    <w:rsid w:val="004A14E4"/>
    <w:rsid w:val="004A3212"/>
    <w:rsid w:val="004A61C5"/>
    <w:rsid w:val="004A77DF"/>
    <w:rsid w:val="004B1417"/>
    <w:rsid w:val="004B55B7"/>
    <w:rsid w:val="004B6468"/>
    <w:rsid w:val="004C384C"/>
    <w:rsid w:val="004C3867"/>
    <w:rsid w:val="004C4CD0"/>
    <w:rsid w:val="004C70DC"/>
    <w:rsid w:val="004D0211"/>
    <w:rsid w:val="004D0794"/>
    <w:rsid w:val="004F06F5"/>
    <w:rsid w:val="004F33A0"/>
    <w:rsid w:val="00500A8A"/>
    <w:rsid w:val="005108C0"/>
    <w:rsid w:val="00511873"/>
    <w:rsid w:val="00512A2F"/>
    <w:rsid w:val="005138BF"/>
    <w:rsid w:val="00513B7E"/>
    <w:rsid w:val="00515C74"/>
    <w:rsid w:val="0052007E"/>
    <w:rsid w:val="0052337A"/>
    <w:rsid w:val="00525137"/>
    <w:rsid w:val="005251DD"/>
    <w:rsid w:val="005253C3"/>
    <w:rsid w:val="00532CE7"/>
    <w:rsid w:val="0053324C"/>
    <w:rsid w:val="00534A28"/>
    <w:rsid w:val="00541508"/>
    <w:rsid w:val="00543343"/>
    <w:rsid w:val="0055599F"/>
    <w:rsid w:val="00556D68"/>
    <w:rsid w:val="005647BF"/>
    <w:rsid w:val="0056613B"/>
    <w:rsid w:val="0057364B"/>
    <w:rsid w:val="00574773"/>
    <w:rsid w:val="005768B2"/>
    <w:rsid w:val="00583FFD"/>
    <w:rsid w:val="005867A4"/>
    <w:rsid w:val="005911BE"/>
    <w:rsid w:val="00593152"/>
    <w:rsid w:val="00597288"/>
    <w:rsid w:val="005A10F2"/>
    <w:rsid w:val="005A21E0"/>
    <w:rsid w:val="005A28FF"/>
    <w:rsid w:val="005A36A6"/>
    <w:rsid w:val="005A3DF8"/>
    <w:rsid w:val="005A5549"/>
    <w:rsid w:val="005B121D"/>
    <w:rsid w:val="005C06ED"/>
    <w:rsid w:val="005C6CA0"/>
    <w:rsid w:val="005D5802"/>
    <w:rsid w:val="005D7890"/>
    <w:rsid w:val="005E7C78"/>
    <w:rsid w:val="005F3C01"/>
    <w:rsid w:val="005F3EB1"/>
    <w:rsid w:val="005F5469"/>
    <w:rsid w:val="00604307"/>
    <w:rsid w:val="0060487F"/>
    <w:rsid w:val="00604EAD"/>
    <w:rsid w:val="006104FB"/>
    <w:rsid w:val="00612A2F"/>
    <w:rsid w:val="00616E05"/>
    <w:rsid w:val="0061795F"/>
    <w:rsid w:val="00624093"/>
    <w:rsid w:val="006404A7"/>
    <w:rsid w:val="006451E4"/>
    <w:rsid w:val="00645B33"/>
    <w:rsid w:val="006516CB"/>
    <w:rsid w:val="00657E87"/>
    <w:rsid w:val="00664803"/>
    <w:rsid w:val="00665BA4"/>
    <w:rsid w:val="00667AF2"/>
    <w:rsid w:val="006710C9"/>
    <w:rsid w:val="00674D89"/>
    <w:rsid w:val="00675E37"/>
    <w:rsid w:val="0068174E"/>
    <w:rsid w:val="00681DCE"/>
    <w:rsid w:val="0068260E"/>
    <w:rsid w:val="00695BEF"/>
    <w:rsid w:val="006977F6"/>
    <w:rsid w:val="00697A13"/>
    <w:rsid w:val="006A109C"/>
    <w:rsid w:val="006A3DB9"/>
    <w:rsid w:val="006A6F27"/>
    <w:rsid w:val="006B344A"/>
    <w:rsid w:val="006B5B42"/>
    <w:rsid w:val="006B749D"/>
    <w:rsid w:val="006B78D8"/>
    <w:rsid w:val="006C113F"/>
    <w:rsid w:val="006C123E"/>
    <w:rsid w:val="006C56D4"/>
    <w:rsid w:val="006C6924"/>
    <w:rsid w:val="006C7CA6"/>
    <w:rsid w:val="006D3E8A"/>
    <w:rsid w:val="006D5922"/>
    <w:rsid w:val="006D61F6"/>
    <w:rsid w:val="006E279A"/>
    <w:rsid w:val="006E313B"/>
    <w:rsid w:val="006F5416"/>
    <w:rsid w:val="006F7137"/>
    <w:rsid w:val="00706AD4"/>
    <w:rsid w:val="00710EB3"/>
    <w:rsid w:val="007140BE"/>
    <w:rsid w:val="007211F5"/>
    <w:rsid w:val="00725BB5"/>
    <w:rsid w:val="00730AE8"/>
    <w:rsid w:val="00741493"/>
    <w:rsid w:val="00752180"/>
    <w:rsid w:val="00755202"/>
    <w:rsid w:val="00755D3A"/>
    <w:rsid w:val="00756FDB"/>
    <w:rsid w:val="007578D3"/>
    <w:rsid w:val="007609C6"/>
    <w:rsid w:val="0076175D"/>
    <w:rsid w:val="00761AD2"/>
    <w:rsid w:val="0076521E"/>
    <w:rsid w:val="007661E9"/>
    <w:rsid w:val="00776169"/>
    <w:rsid w:val="00776527"/>
    <w:rsid w:val="00780EF1"/>
    <w:rsid w:val="00790764"/>
    <w:rsid w:val="0079453C"/>
    <w:rsid w:val="00794677"/>
    <w:rsid w:val="007B30F8"/>
    <w:rsid w:val="007B6689"/>
    <w:rsid w:val="007C4CD9"/>
    <w:rsid w:val="007D40DF"/>
    <w:rsid w:val="007D749B"/>
    <w:rsid w:val="007E51D4"/>
    <w:rsid w:val="007E7E61"/>
    <w:rsid w:val="007F0845"/>
    <w:rsid w:val="007F48B0"/>
    <w:rsid w:val="00807C82"/>
    <w:rsid w:val="00811C65"/>
    <w:rsid w:val="00816905"/>
    <w:rsid w:val="00817A7C"/>
    <w:rsid w:val="00821FF6"/>
    <w:rsid w:val="00825C4D"/>
    <w:rsid w:val="0083143E"/>
    <w:rsid w:val="00831CDE"/>
    <w:rsid w:val="00831EBA"/>
    <w:rsid w:val="00834304"/>
    <w:rsid w:val="00834FAA"/>
    <w:rsid w:val="00836086"/>
    <w:rsid w:val="00840C82"/>
    <w:rsid w:val="0084708F"/>
    <w:rsid w:val="008477C8"/>
    <w:rsid w:val="0085114D"/>
    <w:rsid w:val="00852217"/>
    <w:rsid w:val="00855408"/>
    <w:rsid w:val="00856D65"/>
    <w:rsid w:val="00861B41"/>
    <w:rsid w:val="00863434"/>
    <w:rsid w:val="00865E4C"/>
    <w:rsid w:val="00867CA3"/>
    <w:rsid w:val="008701E4"/>
    <w:rsid w:val="00875A32"/>
    <w:rsid w:val="00876086"/>
    <w:rsid w:val="008873D4"/>
    <w:rsid w:val="00893E85"/>
    <w:rsid w:val="00894031"/>
    <w:rsid w:val="008B7C02"/>
    <w:rsid w:val="008B7D2B"/>
    <w:rsid w:val="008B7DC5"/>
    <w:rsid w:val="008C0049"/>
    <w:rsid w:val="008C0E88"/>
    <w:rsid w:val="008C7591"/>
    <w:rsid w:val="008D1E6A"/>
    <w:rsid w:val="008D2A16"/>
    <w:rsid w:val="008D675B"/>
    <w:rsid w:val="008E2C57"/>
    <w:rsid w:val="008E31FF"/>
    <w:rsid w:val="008E3ACF"/>
    <w:rsid w:val="008E6F06"/>
    <w:rsid w:val="008F029B"/>
    <w:rsid w:val="008F3FC9"/>
    <w:rsid w:val="008F585B"/>
    <w:rsid w:val="009003A8"/>
    <w:rsid w:val="00902500"/>
    <w:rsid w:val="00902EFF"/>
    <w:rsid w:val="00905EBB"/>
    <w:rsid w:val="00906401"/>
    <w:rsid w:val="0091155E"/>
    <w:rsid w:val="00912A92"/>
    <w:rsid w:val="0091728D"/>
    <w:rsid w:val="0092180B"/>
    <w:rsid w:val="00921F14"/>
    <w:rsid w:val="00924AC8"/>
    <w:rsid w:val="0092597A"/>
    <w:rsid w:val="00932443"/>
    <w:rsid w:val="00937AE2"/>
    <w:rsid w:val="0094206C"/>
    <w:rsid w:val="0094427A"/>
    <w:rsid w:val="00965DB8"/>
    <w:rsid w:val="00974923"/>
    <w:rsid w:val="00980D3D"/>
    <w:rsid w:val="00987A30"/>
    <w:rsid w:val="00992CF3"/>
    <w:rsid w:val="009956BA"/>
    <w:rsid w:val="009968D6"/>
    <w:rsid w:val="009A1CAB"/>
    <w:rsid w:val="009A60D1"/>
    <w:rsid w:val="009A6592"/>
    <w:rsid w:val="009B6FD3"/>
    <w:rsid w:val="009C1750"/>
    <w:rsid w:val="009C2E29"/>
    <w:rsid w:val="009C554B"/>
    <w:rsid w:val="009C719E"/>
    <w:rsid w:val="009D3ACD"/>
    <w:rsid w:val="009E5273"/>
    <w:rsid w:val="009E5DDB"/>
    <w:rsid w:val="009F314E"/>
    <w:rsid w:val="009F3162"/>
    <w:rsid w:val="009F4CA7"/>
    <w:rsid w:val="009F682F"/>
    <w:rsid w:val="00A10D66"/>
    <w:rsid w:val="00A14114"/>
    <w:rsid w:val="00A16413"/>
    <w:rsid w:val="00A23E43"/>
    <w:rsid w:val="00A302FD"/>
    <w:rsid w:val="00A30F65"/>
    <w:rsid w:val="00A32A9C"/>
    <w:rsid w:val="00A418BC"/>
    <w:rsid w:val="00A428A4"/>
    <w:rsid w:val="00A46DE0"/>
    <w:rsid w:val="00A50D73"/>
    <w:rsid w:val="00A52CAD"/>
    <w:rsid w:val="00A53FC7"/>
    <w:rsid w:val="00A6133B"/>
    <w:rsid w:val="00A61C65"/>
    <w:rsid w:val="00A62CE1"/>
    <w:rsid w:val="00A6741E"/>
    <w:rsid w:val="00A75E40"/>
    <w:rsid w:val="00A77D1D"/>
    <w:rsid w:val="00A857C0"/>
    <w:rsid w:val="00A9292F"/>
    <w:rsid w:val="00AA2996"/>
    <w:rsid w:val="00AA52BF"/>
    <w:rsid w:val="00AA559A"/>
    <w:rsid w:val="00AB2AF1"/>
    <w:rsid w:val="00AC2A17"/>
    <w:rsid w:val="00AD306C"/>
    <w:rsid w:val="00AE09B3"/>
    <w:rsid w:val="00AE1A83"/>
    <w:rsid w:val="00AF5CD4"/>
    <w:rsid w:val="00B00913"/>
    <w:rsid w:val="00B01593"/>
    <w:rsid w:val="00B10A4D"/>
    <w:rsid w:val="00B17E71"/>
    <w:rsid w:val="00B17FDE"/>
    <w:rsid w:val="00B2379C"/>
    <w:rsid w:val="00B2541A"/>
    <w:rsid w:val="00B2687D"/>
    <w:rsid w:val="00B32DDB"/>
    <w:rsid w:val="00B34528"/>
    <w:rsid w:val="00B402FC"/>
    <w:rsid w:val="00B46604"/>
    <w:rsid w:val="00B51582"/>
    <w:rsid w:val="00B530CD"/>
    <w:rsid w:val="00B55F5E"/>
    <w:rsid w:val="00B5752E"/>
    <w:rsid w:val="00B63A11"/>
    <w:rsid w:val="00B64C24"/>
    <w:rsid w:val="00B6608F"/>
    <w:rsid w:val="00B679FB"/>
    <w:rsid w:val="00B76D1E"/>
    <w:rsid w:val="00B80EC6"/>
    <w:rsid w:val="00B92D1D"/>
    <w:rsid w:val="00B938C5"/>
    <w:rsid w:val="00B95940"/>
    <w:rsid w:val="00BB46F3"/>
    <w:rsid w:val="00BB4CB1"/>
    <w:rsid w:val="00BB4F98"/>
    <w:rsid w:val="00BC7154"/>
    <w:rsid w:val="00BD366B"/>
    <w:rsid w:val="00BD6D50"/>
    <w:rsid w:val="00BD6D57"/>
    <w:rsid w:val="00BE18B9"/>
    <w:rsid w:val="00BE2495"/>
    <w:rsid w:val="00BE42D9"/>
    <w:rsid w:val="00BF1578"/>
    <w:rsid w:val="00C21F94"/>
    <w:rsid w:val="00C2261F"/>
    <w:rsid w:val="00C2295E"/>
    <w:rsid w:val="00C27913"/>
    <w:rsid w:val="00C27ECC"/>
    <w:rsid w:val="00C33A90"/>
    <w:rsid w:val="00C33B68"/>
    <w:rsid w:val="00C36303"/>
    <w:rsid w:val="00C36A79"/>
    <w:rsid w:val="00C405D4"/>
    <w:rsid w:val="00C4513B"/>
    <w:rsid w:val="00C54697"/>
    <w:rsid w:val="00C550AC"/>
    <w:rsid w:val="00C73885"/>
    <w:rsid w:val="00C73C14"/>
    <w:rsid w:val="00C747B1"/>
    <w:rsid w:val="00C82191"/>
    <w:rsid w:val="00C86AB0"/>
    <w:rsid w:val="00C90CF4"/>
    <w:rsid w:val="00C92EB6"/>
    <w:rsid w:val="00C93389"/>
    <w:rsid w:val="00CB4930"/>
    <w:rsid w:val="00CB7C87"/>
    <w:rsid w:val="00CC2E7D"/>
    <w:rsid w:val="00CD10A5"/>
    <w:rsid w:val="00CD1EEB"/>
    <w:rsid w:val="00CD2076"/>
    <w:rsid w:val="00CD34A1"/>
    <w:rsid w:val="00CE670B"/>
    <w:rsid w:val="00CE6C75"/>
    <w:rsid w:val="00CF4B15"/>
    <w:rsid w:val="00CF51EC"/>
    <w:rsid w:val="00CF73AE"/>
    <w:rsid w:val="00D002C8"/>
    <w:rsid w:val="00D040DD"/>
    <w:rsid w:val="00D13986"/>
    <w:rsid w:val="00D235B7"/>
    <w:rsid w:val="00D25F28"/>
    <w:rsid w:val="00D27973"/>
    <w:rsid w:val="00D50F46"/>
    <w:rsid w:val="00D63BEF"/>
    <w:rsid w:val="00D64DBE"/>
    <w:rsid w:val="00D66223"/>
    <w:rsid w:val="00D72700"/>
    <w:rsid w:val="00D8084C"/>
    <w:rsid w:val="00D918DB"/>
    <w:rsid w:val="00D97626"/>
    <w:rsid w:val="00DA7C0C"/>
    <w:rsid w:val="00DB2EC8"/>
    <w:rsid w:val="00DC5B3B"/>
    <w:rsid w:val="00DD129F"/>
    <w:rsid w:val="00DD4E36"/>
    <w:rsid w:val="00DD5D72"/>
    <w:rsid w:val="00DE3C6A"/>
    <w:rsid w:val="00DE5801"/>
    <w:rsid w:val="00DF42FF"/>
    <w:rsid w:val="00E01C0E"/>
    <w:rsid w:val="00E03F9A"/>
    <w:rsid w:val="00E04694"/>
    <w:rsid w:val="00E06CD2"/>
    <w:rsid w:val="00E06F53"/>
    <w:rsid w:val="00E12B1E"/>
    <w:rsid w:val="00E1542E"/>
    <w:rsid w:val="00E17262"/>
    <w:rsid w:val="00E253A2"/>
    <w:rsid w:val="00E3309D"/>
    <w:rsid w:val="00E37706"/>
    <w:rsid w:val="00E50156"/>
    <w:rsid w:val="00E5331E"/>
    <w:rsid w:val="00E53470"/>
    <w:rsid w:val="00E539F6"/>
    <w:rsid w:val="00E6519D"/>
    <w:rsid w:val="00E67696"/>
    <w:rsid w:val="00E71A58"/>
    <w:rsid w:val="00E72A7A"/>
    <w:rsid w:val="00E75C94"/>
    <w:rsid w:val="00E849C8"/>
    <w:rsid w:val="00E877BE"/>
    <w:rsid w:val="00E93820"/>
    <w:rsid w:val="00EA0C68"/>
    <w:rsid w:val="00EA1787"/>
    <w:rsid w:val="00EA32BC"/>
    <w:rsid w:val="00EA7CD1"/>
    <w:rsid w:val="00EB4511"/>
    <w:rsid w:val="00EB4D61"/>
    <w:rsid w:val="00EC03D7"/>
    <w:rsid w:val="00ED62C6"/>
    <w:rsid w:val="00ED64C1"/>
    <w:rsid w:val="00EE3446"/>
    <w:rsid w:val="00EE3E78"/>
    <w:rsid w:val="00EE4B1B"/>
    <w:rsid w:val="00EF150D"/>
    <w:rsid w:val="00EF1F5A"/>
    <w:rsid w:val="00EF47BF"/>
    <w:rsid w:val="00F04811"/>
    <w:rsid w:val="00F0488C"/>
    <w:rsid w:val="00F05F5E"/>
    <w:rsid w:val="00F10F11"/>
    <w:rsid w:val="00F15AAA"/>
    <w:rsid w:val="00F15BEF"/>
    <w:rsid w:val="00F24407"/>
    <w:rsid w:val="00F24FAA"/>
    <w:rsid w:val="00F3364D"/>
    <w:rsid w:val="00F3661B"/>
    <w:rsid w:val="00F36C72"/>
    <w:rsid w:val="00F437CC"/>
    <w:rsid w:val="00F4636F"/>
    <w:rsid w:val="00F47067"/>
    <w:rsid w:val="00F525EB"/>
    <w:rsid w:val="00F5666E"/>
    <w:rsid w:val="00F63DDE"/>
    <w:rsid w:val="00F63FB7"/>
    <w:rsid w:val="00F649D2"/>
    <w:rsid w:val="00F6602B"/>
    <w:rsid w:val="00F7260E"/>
    <w:rsid w:val="00F73A0C"/>
    <w:rsid w:val="00F756DB"/>
    <w:rsid w:val="00F85066"/>
    <w:rsid w:val="00FA5D4D"/>
    <w:rsid w:val="00FB02F2"/>
    <w:rsid w:val="00FB0EE2"/>
    <w:rsid w:val="00FB542E"/>
    <w:rsid w:val="00FC0E5F"/>
    <w:rsid w:val="00FC1A95"/>
    <w:rsid w:val="00FC56DE"/>
    <w:rsid w:val="00FC684B"/>
    <w:rsid w:val="00FD3265"/>
    <w:rsid w:val="00FE2F78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17B786E7"/>
  <w15:docId w15:val="{ABB23CD1-7A59-40B7-9136-ACFFED53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3C01"/>
    <w:pPr>
      <w:spacing w:before="60" w:after="120" w:line="288" w:lineRule="auto"/>
      <w:jc w:val="both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numPr>
        <w:numId w:val="18"/>
      </w:numPr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numPr>
        <w:ilvl w:val="1"/>
        <w:numId w:val="18"/>
      </w:numPr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numPr>
        <w:ilvl w:val="2"/>
        <w:numId w:val="18"/>
      </w:numPr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numPr>
        <w:ilvl w:val="3"/>
        <w:numId w:val="18"/>
      </w:numPr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AC2A17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2A17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2A17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2A17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numPr>
        <w:ilvl w:val="8"/>
        <w:numId w:val="1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B02F2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next w:val="Normln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Nadpisobsahu">
    <w:name w:val="TOC Heading"/>
    <w:basedOn w:val="Nadpis1"/>
    <w:next w:val="Normln"/>
    <w:uiPriority w:val="39"/>
    <w:unhideWhenUsed/>
    <w:qFormat/>
    <w:rsid w:val="00EA1787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D64DB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4DB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4DBE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4DB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4DBE"/>
    <w:rPr>
      <w:rFonts w:ascii="Arial" w:eastAsia="Times New Roman" w:hAnsi="Arial"/>
      <w:b/>
      <w:bCs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2A17"/>
    <w:rPr>
      <w:rFonts w:asciiTheme="majorHAnsi" w:eastAsiaTheme="majorEastAsia" w:hAnsiTheme="majorHAnsi" w:cstheme="majorBidi"/>
      <w:color w:val="365F91" w:themeColor="accent1" w:themeShade="BF"/>
      <w:szCs w:val="24"/>
      <w:lang w:eastAsia="cs-CZ"/>
    </w:rPr>
  </w:style>
  <w:style w:type="paragraph" w:customStyle="1" w:styleId="Default">
    <w:name w:val="Default"/>
    <w:rsid w:val="00811C6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Muj-zakltext3">
    <w:name w:val="Muj-zakl.text3"/>
    <w:basedOn w:val="Normln"/>
    <w:rsid w:val="00811C65"/>
    <w:pPr>
      <w:keepNext/>
      <w:spacing w:after="0" w:line="240" w:lineRule="auto"/>
    </w:pPr>
    <w:rPr>
      <w:rFonts w:cs="Arial"/>
      <w:bC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2A17"/>
    <w:rPr>
      <w:rFonts w:asciiTheme="majorHAnsi" w:eastAsiaTheme="majorEastAsia" w:hAnsiTheme="majorHAnsi" w:cstheme="majorBidi"/>
      <w:color w:val="243F60" w:themeColor="accent1" w:themeShade="7F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2A1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2A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paragraph" w:styleId="Odstavecseseznamem">
    <w:name w:val="List Paragraph"/>
    <w:basedOn w:val="Normln"/>
    <w:uiPriority w:val="34"/>
    <w:rsid w:val="005F3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header" Target="header2.xml"/><Relationship Id="rId8" Type="http://schemas.openxmlformats.org/officeDocument/2006/relationships/image" Target="media/image2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B3EA2-401A-4646-8E1D-CCD569BC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4779</Words>
  <Characters>28201</Characters>
  <Application>Microsoft Office Word</Application>
  <DocSecurity>0</DocSecurity>
  <Lines>235</Lines>
  <Paragraphs>65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Manager/>
  <Company>CSU</Company>
  <LinksUpToDate>false</LinksUpToDate>
  <CharactersWithSpaces>32915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Varmužová Věra</dc:creator>
  <cp:keywords/>
  <dc:description/>
  <cp:lastModifiedBy>Podhorská Jana</cp:lastModifiedBy>
  <cp:revision>4</cp:revision>
  <cp:lastPrinted>2023-09-15T10:17:00Z</cp:lastPrinted>
  <dcterms:created xsi:type="dcterms:W3CDTF">2023-11-03T14:15:00Z</dcterms:created>
  <dcterms:modified xsi:type="dcterms:W3CDTF">2023-12-19T12:45:00Z</dcterms:modified>
  <cp:category/>
</cp:coreProperties>
</file>