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8115" w14:textId="4D5685CA" w:rsidR="00867569" w:rsidRPr="00E17DC9" w:rsidRDefault="00E330F7" w:rsidP="00E42E00">
      <w:pPr>
        <w:pStyle w:val="Datum"/>
      </w:pPr>
      <w:bookmarkStart w:id="0" w:name="_GoBack"/>
      <w:bookmarkEnd w:id="0"/>
      <w:r w:rsidRPr="00E17DC9">
        <w:t>2</w:t>
      </w:r>
      <w:r w:rsidR="003976E3" w:rsidRPr="00E17DC9">
        <w:t>0</w:t>
      </w:r>
      <w:r w:rsidR="00F03815" w:rsidRPr="00E17DC9">
        <w:t>. </w:t>
      </w:r>
      <w:r w:rsidR="003976E3" w:rsidRPr="00E17DC9">
        <w:t>října</w:t>
      </w:r>
      <w:r w:rsidR="007F6239" w:rsidRPr="00E17DC9">
        <w:t xml:space="preserve"> 202</w:t>
      </w:r>
      <w:r w:rsidR="008D3805" w:rsidRPr="00E17DC9">
        <w:t>3</w:t>
      </w:r>
    </w:p>
    <w:p w14:paraId="6D0ECC95" w14:textId="76E732D6" w:rsidR="00867569" w:rsidRPr="00E17DC9" w:rsidRDefault="000B7652" w:rsidP="00A56C80">
      <w:pPr>
        <w:pStyle w:val="Nzev"/>
      </w:pPr>
      <w:r w:rsidRPr="00E17DC9">
        <w:t>Analýza sektorových účtů</w:t>
      </w:r>
      <w:r w:rsidR="00FF04D9" w:rsidRPr="00E17DC9">
        <w:t> </w:t>
      </w:r>
      <w:r w:rsidR="00FB7E0F" w:rsidRPr="00E17DC9">
        <w:t>–</w:t>
      </w:r>
      <w:r w:rsidR="00FF04D9" w:rsidRPr="00E17DC9">
        <w:t xml:space="preserve"> </w:t>
      </w:r>
      <w:r w:rsidR="003976E3" w:rsidRPr="00E17DC9">
        <w:t>2</w:t>
      </w:r>
      <w:r w:rsidRPr="00E17DC9">
        <w:t>.</w:t>
      </w:r>
      <w:r w:rsidR="00F03815" w:rsidRPr="00E17DC9">
        <w:t> čtvrtlet</w:t>
      </w:r>
      <w:r w:rsidRPr="00E17DC9">
        <w:t>í 202</w:t>
      </w:r>
      <w:r w:rsidR="00A44567" w:rsidRPr="00E17DC9">
        <w:t>3</w:t>
      </w:r>
    </w:p>
    <w:p w14:paraId="6BCB54AE" w14:textId="3D5A80C1" w:rsidR="00B92E7A" w:rsidRDefault="008E0998" w:rsidP="000302A6">
      <w:pPr>
        <w:pStyle w:val="Perex"/>
        <w:spacing w:after="120"/>
        <w:rPr>
          <w:highlight w:val="yellow"/>
        </w:rPr>
      </w:pPr>
      <w:r>
        <w:t>Druhé čtvrtletí bylo, p</w:t>
      </w:r>
      <w:r w:rsidR="00582663" w:rsidRPr="00582663">
        <w:t>odobně jako začátek roku</w:t>
      </w:r>
      <w:r>
        <w:t xml:space="preserve">, </w:t>
      </w:r>
      <w:r w:rsidR="00582663" w:rsidRPr="00582663">
        <w:t xml:space="preserve">ovlivněno zejména nízkou domácí poptávkou, zatímco zahraniční poptávka sílila. </w:t>
      </w:r>
      <w:r w:rsidR="00EA1C8F">
        <w:t>Významný</w:t>
      </w:r>
      <w:r w:rsidR="004A192A">
        <w:t xml:space="preserve"> pokles spotřeby domácností </w:t>
      </w:r>
      <w:r w:rsidR="002B7E85">
        <w:t>pře</w:t>
      </w:r>
      <w:r w:rsidR="00FF55B1">
        <w:t>d</w:t>
      </w:r>
      <w:r w:rsidR="002B7E85">
        <w:t xml:space="preserve">chozích </w:t>
      </w:r>
      <w:r w:rsidR="002B7E85" w:rsidRPr="005B5B82">
        <w:t xml:space="preserve">čtvrtletí </w:t>
      </w:r>
      <w:r w:rsidR="004A192A" w:rsidRPr="005B5B82">
        <w:t xml:space="preserve">se </w:t>
      </w:r>
      <w:r w:rsidR="002B7E85" w:rsidRPr="005B5B82">
        <w:t xml:space="preserve">však již </w:t>
      </w:r>
      <w:r w:rsidR="004A192A" w:rsidRPr="005B5B82">
        <w:t xml:space="preserve">zastavil a </w:t>
      </w:r>
      <w:r w:rsidR="00233AAD" w:rsidRPr="005B5B82">
        <w:t xml:space="preserve">mírně se </w:t>
      </w:r>
      <w:r w:rsidR="004A192A" w:rsidRPr="005B5B82">
        <w:t>zlepš</w:t>
      </w:r>
      <w:r w:rsidR="002B7E85" w:rsidRPr="005B5B82">
        <w:t xml:space="preserve">ila </w:t>
      </w:r>
      <w:r w:rsidR="004A192A" w:rsidRPr="005B5B82">
        <w:t>i investiční aktivita</w:t>
      </w:r>
      <w:r w:rsidR="002B7E85" w:rsidRPr="005B5B82">
        <w:t xml:space="preserve"> podniků</w:t>
      </w:r>
      <w:r w:rsidR="00233AAD" w:rsidRPr="005B5B82">
        <w:t xml:space="preserve">. </w:t>
      </w:r>
      <w:r w:rsidR="00825477" w:rsidRPr="005B5B82">
        <w:t>Reálnému růstu hrubé přidané hodnoty nefinančních podniků p</w:t>
      </w:r>
      <w:r w:rsidR="00F01B59" w:rsidRPr="005B5B82">
        <w:t xml:space="preserve">omohla </w:t>
      </w:r>
      <w:r w:rsidR="00FF55B1">
        <w:t>zejména</w:t>
      </w:r>
      <w:r w:rsidR="00F01B59" w:rsidRPr="005B5B82">
        <w:t xml:space="preserve"> </w:t>
      </w:r>
      <w:r>
        <w:t xml:space="preserve">průmyslová odvětví napojená na </w:t>
      </w:r>
      <w:r w:rsidR="00F01B59" w:rsidRPr="005B5B82">
        <w:t>zahraniční poptávk</w:t>
      </w:r>
      <w:r>
        <w:t>u</w:t>
      </w:r>
      <w:r w:rsidR="00F01B59" w:rsidRPr="005B5B82">
        <w:t xml:space="preserve">. </w:t>
      </w:r>
      <w:r w:rsidR="007C57BF" w:rsidRPr="007C57BF">
        <w:t>Hospodaření sektoru vládních institucí skončilo v přebytku především zásluhou hospodaření místních vládních institucí.</w:t>
      </w:r>
    </w:p>
    <w:p w14:paraId="727C8E6B" w14:textId="77777777" w:rsidR="00066E38" w:rsidRPr="003976E3" w:rsidRDefault="008F35E4" w:rsidP="000302A6">
      <w:pPr>
        <w:pStyle w:val="Nadpis1"/>
        <w:spacing w:after="120"/>
      </w:pPr>
      <w:r w:rsidRPr="003976E3">
        <w:t>Nefinanční podniky</w:t>
      </w:r>
    </w:p>
    <w:p w14:paraId="5E2AB0C7" w14:textId="0FCEA4D6" w:rsidR="00D00BE7" w:rsidRPr="00421B88" w:rsidRDefault="00653D59" w:rsidP="009F7FD8">
      <w:pPr>
        <w:spacing w:after="120"/>
      </w:pPr>
      <w:r w:rsidRPr="00EC2BF3">
        <w:t>V</w:t>
      </w:r>
      <w:r w:rsidR="003976E3" w:rsidRPr="00EC2BF3">
        <w:t>e</w:t>
      </w:r>
      <w:r w:rsidRPr="00EC2BF3">
        <w:t> </w:t>
      </w:r>
      <w:r w:rsidR="003976E3" w:rsidRPr="00EC2BF3">
        <w:t>2</w:t>
      </w:r>
      <w:r w:rsidRPr="00EC2BF3">
        <w:t xml:space="preserve">. čtvrtletí 2023 českou ekonomiku </w:t>
      </w:r>
      <w:r w:rsidR="00EC2BF3" w:rsidRPr="00EC2BF3">
        <w:t xml:space="preserve">i nadále </w:t>
      </w:r>
      <w:r w:rsidR="00EC2BF3">
        <w:t xml:space="preserve">ovlivňovala slabší </w:t>
      </w:r>
      <w:r w:rsidR="003054F2">
        <w:t>spotřební</w:t>
      </w:r>
      <w:r w:rsidRPr="00EC2BF3">
        <w:t xml:space="preserve"> poptávk</w:t>
      </w:r>
      <w:r w:rsidR="00EC2BF3">
        <w:t>a</w:t>
      </w:r>
      <w:r w:rsidR="003054F2">
        <w:t xml:space="preserve"> domácností, zatímco investiční poptávka se pomalu zlepšovala. Pozitivní vliv na ekonomickou výkonnost měla zejména silná zahraniční poptávka. </w:t>
      </w:r>
      <w:r w:rsidR="00EC2BF3" w:rsidRPr="00EC2BF3">
        <w:t xml:space="preserve">Zpracovatelský průmysl, tažený zejména </w:t>
      </w:r>
      <w:r w:rsidR="001355FF" w:rsidRPr="00EC2BF3">
        <w:t>vývoz</w:t>
      </w:r>
      <w:r w:rsidR="00EC2BF3" w:rsidRPr="00EC2BF3">
        <w:t>em</w:t>
      </w:r>
      <w:r w:rsidR="001355FF" w:rsidRPr="00EC2BF3">
        <w:t xml:space="preserve"> motorových vozidel a přidružených oborů</w:t>
      </w:r>
      <w:r w:rsidR="00EC2BF3" w:rsidRPr="00EC2BF3">
        <w:t xml:space="preserve">, kompenzoval </w:t>
      </w:r>
      <w:r w:rsidR="00B56D61">
        <w:t xml:space="preserve">slabší </w:t>
      </w:r>
      <w:r w:rsidR="00EC2BF3" w:rsidRPr="00EC2BF3">
        <w:t xml:space="preserve">výkonnost v odvětvích stavebnictví a služeb. </w:t>
      </w:r>
      <w:r w:rsidR="001355FF" w:rsidRPr="00EC2BF3">
        <w:t>N</w:t>
      </w:r>
      <w:r w:rsidR="001355FF" w:rsidRPr="003976E3">
        <w:t xml:space="preserve">ominální meziroční přírůstek </w:t>
      </w:r>
      <w:r w:rsidR="001355FF" w:rsidRPr="00FB4639">
        <w:rPr>
          <w:b/>
        </w:rPr>
        <w:t>hrubé přidané hodnoty</w:t>
      </w:r>
      <w:r w:rsidR="001355FF" w:rsidRPr="003976E3">
        <w:t xml:space="preserve"> (HPH) nefinančních podniků (NP)</w:t>
      </w:r>
      <w:r w:rsidR="007D3C4D" w:rsidRPr="003976E3">
        <w:t xml:space="preserve"> v</w:t>
      </w:r>
      <w:r w:rsidR="003976E3" w:rsidRPr="003976E3">
        <w:t>e</w:t>
      </w:r>
      <w:r w:rsidR="007D3C4D" w:rsidRPr="003976E3">
        <w:t> </w:t>
      </w:r>
      <w:r w:rsidR="003976E3" w:rsidRPr="003976E3">
        <w:t>2</w:t>
      </w:r>
      <w:r w:rsidR="007D3C4D" w:rsidRPr="003976E3">
        <w:t xml:space="preserve">. čtvrtletí 2023 </w:t>
      </w:r>
      <w:r w:rsidR="006F2D0B" w:rsidRPr="003976E3">
        <w:t xml:space="preserve">dosáhl </w:t>
      </w:r>
      <w:r w:rsidR="007D3C4D" w:rsidRPr="003976E3">
        <w:t>1</w:t>
      </w:r>
      <w:r w:rsidR="003976E3" w:rsidRPr="003976E3">
        <w:t>29,5</w:t>
      </w:r>
      <w:r w:rsidR="007D3C4D" w:rsidRPr="003976E3">
        <w:t xml:space="preserve"> mld. </w:t>
      </w:r>
      <w:r w:rsidR="00E17DC9">
        <w:t>Kč</w:t>
      </w:r>
      <w:r w:rsidR="00FF55B1">
        <w:t xml:space="preserve"> (tj. o 13,3 %)</w:t>
      </w:r>
      <w:r w:rsidR="007D3C4D" w:rsidRPr="003976E3">
        <w:rPr>
          <w:rStyle w:val="Znakapoznpodarou"/>
        </w:rPr>
        <w:footnoteReference w:id="1"/>
      </w:r>
      <w:r w:rsidR="007D3C4D" w:rsidRPr="003976E3">
        <w:t>. To po očištění o vliv silného růstu cenové hladiny</w:t>
      </w:r>
      <w:r w:rsidR="007D3C4D" w:rsidRPr="003976E3">
        <w:rPr>
          <w:rStyle w:val="Znakapoznpodarou"/>
          <w:spacing w:val="-2"/>
        </w:rPr>
        <w:footnoteReference w:id="2"/>
      </w:r>
      <w:r w:rsidR="007D3C4D" w:rsidRPr="003976E3">
        <w:t xml:space="preserve"> představovalo reálné navýšení o </w:t>
      </w:r>
      <w:r w:rsidR="003976E3" w:rsidRPr="003976E3">
        <w:t>2,5</w:t>
      </w:r>
      <w:r w:rsidR="007D3C4D" w:rsidRPr="003976E3">
        <w:t> %</w:t>
      </w:r>
      <w:r w:rsidR="003976E3">
        <w:t xml:space="preserve">. V porovnání s předchozími čtvrtletími </w:t>
      </w:r>
      <w:r w:rsidR="00FF55B1">
        <w:t>ale</w:t>
      </w:r>
      <w:r w:rsidR="003976E3" w:rsidRPr="00421B88">
        <w:t xml:space="preserve"> došlo k</w:t>
      </w:r>
      <w:r w:rsidR="00421B88">
        <w:t>e</w:t>
      </w:r>
      <w:r w:rsidR="003976E3" w:rsidRPr="00421B88">
        <w:t xml:space="preserve">  zpomalení </w:t>
      </w:r>
      <w:r w:rsidR="00421B88">
        <w:t xml:space="preserve">meziročního </w:t>
      </w:r>
      <w:r w:rsidR="003976E3" w:rsidRPr="00421B88">
        <w:t xml:space="preserve">tempa růstu HPH. </w:t>
      </w:r>
      <w:r w:rsidR="00FF55B1">
        <w:t>Pokud jde o porovnání s 1. </w:t>
      </w:r>
      <w:r w:rsidR="00421B88" w:rsidRPr="00421B88">
        <w:t xml:space="preserve">čtvrtletím 2023, </w:t>
      </w:r>
      <w:r w:rsidR="003976E3" w:rsidRPr="00421B88">
        <w:t>vz</w:t>
      </w:r>
      <w:r w:rsidR="007D3C4D" w:rsidRPr="00421B88">
        <w:t>rostl</w:t>
      </w:r>
      <w:r w:rsidR="00CA09D4" w:rsidRPr="00421B88">
        <w:t>a</w:t>
      </w:r>
      <w:r w:rsidR="007D3C4D" w:rsidRPr="00421B88">
        <w:t xml:space="preserve"> </w:t>
      </w:r>
      <w:r w:rsidR="009B4EA8" w:rsidRPr="00421B88">
        <w:t>HPH</w:t>
      </w:r>
      <w:r w:rsidR="00C94419" w:rsidRPr="00421B88">
        <w:t xml:space="preserve"> </w:t>
      </w:r>
      <w:r w:rsidR="00CA09D4" w:rsidRPr="00421B88">
        <w:t xml:space="preserve">sektoru </w:t>
      </w:r>
      <w:r w:rsidR="00421B88" w:rsidRPr="00421B88">
        <w:t>nefinančních podniků</w:t>
      </w:r>
      <w:r w:rsidR="00421B88" w:rsidRPr="00421B88">
        <w:rPr>
          <w:rStyle w:val="Znakapoznpodarou"/>
        </w:rPr>
        <w:footnoteReference w:id="3"/>
      </w:r>
      <w:r w:rsidR="00421B88" w:rsidRPr="00421B88">
        <w:t xml:space="preserve"> </w:t>
      </w:r>
      <w:r w:rsidR="009B4EA8" w:rsidRPr="00421B88">
        <w:t>nominálně o</w:t>
      </w:r>
      <w:r w:rsidR="00CA09D4" w:rsidRPr="00421B88">
        <w:t> </w:t>
      </w:r>
      <w:r w:rsidR="00421B88" w:rsidRPr="00421B88">
        <w:t>23,9</w:t>
      </w:r>
      <w:r w:rsidR="00CA09D4" w:rsidRPr="00421B88">
        <w:t> </w:t>
      </w:r>
      <w:r w:rsidR="009B4EA8" w:rsidRPr="00421B88">
        <w:t xml:space="preserve">mld. </w:t>
      </w:r>
      <w:r w:rsidR="00E17DC9">
        <w:t>Kč</w:t>
      </w:r>
      <w:r w:rsidR="009B4EA8" w:rsidRPr="00421B88">
        <w:t xml:space="preserve">, což po očištění o cenové vlivy </w:t>
      </w:r>
      <w:r w:rsidR="007D3C4D" w:rsidRPr="00421B88">
        <w:t>znamenalo</w:t>
      </w:r>
      <w:r w:rsidR="009B4EA8" w:rsidRPr="00421B88">
        <w:t xml:space="preserve"> reálný nárůst o </w:t>
      </w:r>
      <w:r w:rsidR="00421B88" w:rsidRPr="00421B88">
        <w:t xml:space="preserve">1,6 </w:t>
      </w:r>
      <w:r w:rsidR="009B4EA8" w:rsidRPr="00421B88">
        <w:t>%.</w:t>
      </w:r>
    </w:p>
    <w:p w14:paraId="4F702B86" w14:textId="34C2BEAC" w:rsidR="00825477" w:rsidRPr="00F4754F" w:rsidRDefault="00825477" w:rsidP="00825477">
      <w:pPr>
        <w:pStyle w:val="TabulkaGraf"/>
        <w:jc w:val="both"/>
      </w:pPr>
      <w:r w:rsidRPr="00F4754F">
        <w:t xml:space="preserve">Graf 1: Meziroční nominální přírůstek HPH a náhrad zaměstnancům (v mld. </w:t>
      </w:r>
      <w:r w:rsidR="008E0E03">
        <w:t xml:space="preserve">Kč) </w:t>
      </w:r>
      <w:r w:rsidR="008E0E03">
        <w:br/>
        <w:t xml:space="preserve">a </w:t>
      </w:r>
      <w:r w:rsidRPr="00F4754F">
        <w:t>míra zisku (sezónně očištěno, v %)</w:t>
      </w:r>
    </w:p>
    <w:p w14:paraId="1D428774" w14:textId="43A19F77" w:rsidR="00825477" w:rsidRPr="00F4754F" w:rsidRDefault="00125CAF" w:rsidP="00F4754F">
      <w:pPr>
        <w:pStyle w:val="TabulkaGraf"/>
        <w:rPr>
          <w:b w:val="0"/>
          <w:bCs w:val="0"/>
        </w:rPr>
      </w:pPr>
      <w:r>
        <w:rPr>
          <w:noProof/>
          <w:lang w:val="en-US"/>
        </w:rPr>
        <w:drawing>
          <wp:inline distT="0" distB="0" distL="0" distR="0" wp14:anchorId="2A6F834E" wp14:editId="549BA217">
            <wp:extent cx="5099685" cy="2541269"/>
            <wp:effectExtent l="0" t="0" r="571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25477" w:rsidRPr="00F4754F">
        <w:rPr>
          <w:noProof/>
          <w:lang w:eastAsia="cs-CZ"/>
        </w:rPr>
        <w:t xml:space="preserve"> </w:t>
      </w:r>
    </w:p>
    <w:p w14:paraId="1C532377" w14:textId="77777777" w:rsidR="00825477" w:rsidRPr="00F4754F" w:rsidRDefault="00825477" w:rsidP="00825477">
      <w:r w:rsidRPr="00F4754F">
        <w:t>Zdroj: ČSÚ, národní účty</w:t>
      </w:r>
    </w:p>
    <w:p w14:paraId="393BB9ED" w14:textId="77777777" w:rsidR="00485ED6" w:rsidRDefault="00F01B59" w:rsidP="00983C27">
      <w:pPr>
        <w:spacing w:before="120" w:after="120"/>
      </w:pPr>
      <w:r w:rsidRPr="004D455B">
        <w:lastRenderedPageBreak/>
        <w:t>V</w:t>
      </w:r>
      <w:r w:rsidR="00983C27" w:rsidRPr="004D455B">
        <w:t>e</w:t>
      </w:r>
      <w:r w:rsidRPr="004D455B">
        <w:t> </w:t>
      </w:r>
      <w:r w:rsidR="00983C27" w:rsidRPr="004D455B">
        <w:t>2</w:t>
      </w:r>
      <w:r w:rsidRPr="004D455B">
        <w:t xml:space="preserve">. čtvrtletí </w:t>
      </w:r>
      <w:r w:rsidR="004D455B" w:rsidRPr="004D455B">
        <w:t>zpomalil</w:t>
      </w:r>
      <w:r w:rsidRPr="004D455B">
        <w:t xml:space="preserve"> meziroční růst </w:t>
      </w:r>
      <w:r w:rsidRPr="00FB4639">
        <w:rPr>
          <w:b/>
        </w:rPr>
        <w:t>celkové zaměstnanosti</w:t>
      </w:r>
      <w:r w:rsidR="00B67C7E">
        <w:rPr>
          <w:rStyle w:val="Znakapoznpodarou"/>
        </w:rPr>
        <w:footnoteReference w:id="4"/>
      </w:r>
      <w:r w:rsidRPr="004D455B">
        <w:t xml:space="preserve"> v sektoru NP na </w:t>
      </w:r>
      <w:r w:rsidR="004D455B" w:rsidRPr="004D455B">
        <w:t>1,8 </w:t>
      </w:r>
      <w:r w:rsidRPr="004D455B">
        <w:t xml:space="preserve">%. </w:t>
      </w:r>
      <w:r w:rsidR="00B67C7E">
        <w:t xml:space="preserve">I tak však </w:t>
      </w:r>
      <w:r w:rsidR="00B67C7E" w:rsidRPr="00E17DC9">
        <w:t>byla z</w:t>
      </w:r>
      <w:r w:rsidRPr="00E17DC9">
        <w:t xml:space="preserve">aměstnanost v sektoru NP </w:t>
      </w:r>
      <w:r w:rsidR="00B67C7E" w:rsidRPr="00E17DC9">
        <w:t xml:space="preserve">na nejvyšší úrovni za </w:t>
      </w:r>
      <w:r w:rsidRPr="00E17DC9">
        <w:t xml:space="preserve">stejné období všech předchozích let. </w:t>
      </w:r>
      <w:r w:rsidR="004A0059" w:rsidRPr="00E17DC9">
        <w:t>Nefinanční podniky vyplatily z</w:t>
      </w:r>
      <w:r w:rsidRPr="00E17DC9">
        <w:t xml:space="preserve">aměstnancům ve formě náhrad o </w:t>
      </w:r>
      <w:r w:rsidR="00E76B01" w:rsidRPr="00E17DC9">
        <w:t>41,6</w:t>
      </w:r>
      <w:r w:rsidRPr="00E17DC9">
        <w:t xml:space="preserve"> mld. </w:t>
      </w:r>
      <w:r w:rsidR="00E17DC9">
        <w:t>Kč</w:t>
      </w:r>
      <w:r w:rsidRPr="00E17DC9">
        <w:t xml:space="preserve"> (</w:t>
      </w:r>
      <w:r w:rsidR="00E76B01" w:rsidRPr="00E17DC9">
        <w:t>tj. o</w:t>
      </w:r>
      <w:r w:rsidR="008D5BB9" w:rsidRPr="00E17DC9">
        <w:t> </w:t>
      </w:r>
      <w:r w:rsidR="00E76B01" w:rsidRPr="00E17DC9">
        <w:t>7,</w:t>
      </w:r>
      <w:r w:rsidR="00BC26F7" w:rsidRPr="00E17DC9">
        <w:t>9</w:t>
      </w:r>
      <w:r w:rsidR="00E76B01" w:rsidRPr="00E17DC9">
        <w:t> </w:t>
      </w:r>
      <w:r w:rsidRPr="00E17DC9">
        <w:t xml:space="preserve">%) více. Z toho se </w:t>
      </w:r>
      <w:r w:rsidRPr="00FB4639">
        <w:rPr>
          <w:b/>
        </w:rPr>
        <w:t>mzdy a platy</w:t>
      </w:r>
      <w:r w:rsidRPr="00E17DC9">
        <w:t xml:space="preserve"> navýšily o </w:t>
      </w:r>
      <w:r w:rsidR="00BC26F7" w:rsidRPr="00E17DC9">
        <w:t>34,0</w:t>
      </w:r>
      <w:r w:rsidRPr="00E17DC9">
        <w:t xml:space="preserve"> mld. </w:t>
      </w:r>
      <w:r w:rsidR="00E17DC9">
        <w:t>Kč</w:t>
      </w:r>
      <w:r w:rsidRPr="00E17DC9">
        <w:t xml:space="preserve"> (</w:t>
      </w:r>
      <w:r w:rsidR="00BC26F7" w:rsidRPr="00E17DC9">
        <w:t>tj. o 8,4</w:t>
      </w:r>
      <w:r w:rsidRPr="00E17DC9">
        <w:t xml:space="preserve"> %). Podle sezónně očištěných údajů se náhrady zaměstnancům vyplacené NP mezičtvrtletně zvýšily o </w:t>
      </w:r>
      <w:r w:rsidR="008D5BB9" w:rsidRPr="00E17DC9">
        <w:t>8,4</w:t>
      </w:r>
      <w:r w:rsidRPr="00E17DC9">
        <w:t xml:space="preserve"> mld. </w:t>
      </w:r>
      <w:r w:rsidR="00E17DC9">
        <w:t>Kč</w:t>
      </w:r>
      <w:r w:rsidRPr="00E17DC9">
        <w:t xml:space="preserve"> (</w:t>
      </w:r>
      <w:r w:rsidR="008D5BB9" w:rsidRPr="00E17DC9">
        <w:t>tj. o 1,5 </w:t>
      </w:r>
      <w:r w:rsidRPr="00E17DC9">
        <w:t xml:space="preserve">%). </w:t>
      </w:r>
    </w:p>
    <w:p w14:paraId="7D457196" w14:textId="1030BFD3" w:rsidR="00F01B59" w:rsidRPr="003976E3" w:rsidRDefault="00F01B59" w:rsidP="00983C27">
      <w:pPr>
        <w:spacing w:before="120" w:after="120"/>
        <w:rPr>
          <w:highlight w:val="yellow"/>
        </w:rPr>
      </w:pPr>
      <w:r w:rsidRPr="00E17DC9">
        <w:t xml:space="preserve">Nefinančním podnikům bylo vyplaceno </w:t>
      </w:r>
      <w:r w:rsidR="001050A1" w:rsidRPr="00E17DC9">
        <w:t>15,2</w:t>
      </w:r>
      <w:r w:rsidRPr="00E17DC9">
        <w:t xml:space="preserve"> mld. </w:t>
      </w:r>
      <w:r w:rsidR="00E17DC9">
        <w:t>Kč</w:t>
      </w:r>
      <w:r w:rsidRPr="00E17DC9">
        <w:t xml:space="preserve"> ve formě </w:t>
      </w:r>
      <w:r w:rsidRPr="00FB4639">
        <w:rPr>
          <w:b/>
        </w:rPr>
        <w:t>dotací</w:t>
      </w:r>
      <w:r w:rsidRPr="00E17DC9">
        <w:t>, což bylo meziročně</w:t>
      </w:r>
      <w:r w:rsidRPr="001050A1">
        <w:t xml:space="preserve"> </w:t>
      </w:r>
      <w:r w:rsidR="001050A1" w:rsidRPr="001050A1">
        <w:t>o 0,6 </w:t>
      </w:r>
      <w:r w:rsidRPr="001050A1">
        <w:t xml:space="preserve">mld. </w:t>
      </w:r>
      <w:r w:rsidR="00E17DC9">
        <w:t>Kč</w:t>
      </w:r>
      <w:r w:rsidR="001050A1" w:rsidRPr="001050A1">
        <w:t xml:space="preserve"> </w:t>
      </w:r>
      <w:r w:rsidRPr="001050A1">
        <w:t xml:space="preserve">více. Na druhé straně byl patrný </w:t>
      </w:r>
      <w:r w:rsidR="001050A1" w:rsidRPr="001050A1">
        <w:t xml:space="preserve">pokračující </w:t>
      </w:r>
      <w:r w:rsidRPr="001050A1">
        <w:t xml:space="preserve">skokový nárůst zaplacených </w:t>
      </w:r>
      <w:r w:rsidRPr="00FB4639">
        <w:rPr>
          <w:b/>
        </w:rPr>
        <w:t>daní z výroby a dovozu</w:t>
      </w:r>
      <w:r w:rsidRPr="001050A1">
        <w:rPr>
          <w:rStyle w:val="Znakapoznpodarou"/>
        </w:rPr>
        <w:footnoteReference w:id="5"/>
      </w:r>
      <w:r w:rsidRPr="001050A1">
        <w:t xml:space="preserve"> (+</w:t>
      </w:r>
      <w:r w:rsidR="001050A1" w:rsidRPr="001050A1">
        <w:t>5,1</w:t>
      </w:r>
      <w:r w:rsidRPr="001050A1">
        <w:t xml:space="preserve"> mld. </w:t>
      </w:r>
      <w:r w:rsidR="00E17DC9">
        <w:t>Kč</w:t>
      </w:r>
      <w:r w:rsidRPr="001050A1">
        <w:t>).</w:t>
      </w:r>
    </w:p>
    <w:p w14:paraId="6C23775C" w14:textId="0D450F80" w:rsidR="00F01B59" w:rsidRPr="003976E3" w:rsidRDefault="00F01B59" w:rsidP="00F01B59">
      <w:pPr>
        <w:spacing w:after="120"/>
        <w:rPr>
          <w:highlight w:val="yellow"/>
        </w:rPr>
      </w:pPr>
      <w:r w:rsidRPr="00FB4639">
        <w:rPr>
          <w:b/>
        </w:rPr>
        <w:t>Hrubý provozní přebytek</w:t>
      </w:r>
      <w:r w:rsidRPr="002C4978">
        <w:t xml:space="preserve"> NP dosáhl v</w:t>
      </w:r>
      <w:r w:rsidR="001118E2" w:rsidRPr="002C4978">
        <w:t>e</w:t>
      </w:r>
      <w:r w:rsidRPr="002C4978">
        <w:t> </w:t>
      </w:r>
      <w:r w:rsidR="001118E2" w:rsidRPr="002C4978">
        <w:t>2</w:t>
      </w:r>
      <w:r w:rsidRPr="002C4978">
        <w:t>.</w:t>
      </w:r>
      <w:r w:rsidR="001118E2" w:rsidRPr="002C4978">
        <w:t> </w:t>
      </w:r>
      <w:r w:rsidRPr="002C4978">
        <w:t>čtvrtletí 5</w:t>
      </w:r>
      <w:r w:rsidR="001118E2" w:rsidRPr="002C4978">
        <w:t>39,0 </w:t>
      </w:r>
      <w:r w:rsidRPr="002C4978">
        <w:t>mld.</w:t>
      </w:r>
      <w:r w:rsidR="001118E2" w:rsidRPr="002C4978">
        <w:t> </w:t>
      </w:r>
      <w:r w:rsidR="00E17DC9">
        <w:t>Kč</w:t>
      </w:r>
      <w:r w:rsidRPr="002C4978">
        <w:t xml:space="preserve"> a meziročně se zvýšil o </w:t>
      </w:r>
      <w:r w:rsidR="002C4978" w:rsidRPr="002C4978">
        <w:t>83,3</w:t>
      </w:r>
      <w:r w:rsidRPr="002C4978">
        <w:t> mld.</w:t>
      </w:r>
      <w:r w:rsidR="00E17DC9">
        <w:t> Kč</w:t>
      </w:r>
      <w:r w:rsidR="007C46F1">
        <w:t xml:space="preserve"> (tj. o 18,3 %)</w:t>
      </w:r>
      <w:r w:rsidR="002C4978" w:rsidRPr="002C4978">
        <w:t>.</w:t>
      </w:r>
      <w:r w:rsidR="007C46F1">
        <w:t xml:space="preserve"> Relativně silný růst pokračoval nejen meziročně, ale i mezičtvrtletně</w:t>
      </w:r>
      <w:r w:rsidR="00B56394">
        <w:t xml:space="preserve"> (tj. o 15,9 mld. </w:t>
      </w:r>
      <w:r w:rsidR="00E17DC9">
        <w:t>Kč</w:t>
      </w:r>
      <w:r w:rsidR="00B56394">
        <w:rPr>
          <w:rStyle w:val="Znakapoznpodarou"/>
        </w:rPr>
        <w:footnoteReference w:id="6"/>
      </w:r>
      <w:r w:rsidR="00B56394">
        <w:t>, resp. o 3</w:t>
      </w:r>
      <w:r w:rsidR="00485ED6">
        <w:t>,0</w:t>
      </w:r>
      <w:r w:rsidR="00B56394">
        <w:t xml:space="preserve"> %)</w:t>
      </w:r>
      <w:r w:rsidR="007C46F1">
        <w:t xml:space="preserve">, byť byl nižší než v předchozích obdobích. </w:t>
      </w:r>
      <w:r w:rsidRPr="00FB4639">
        <w:rPr>
          <w:b/>
        </w:rPr>
        <w:t>Míra zisku</w:t>
      </w:r>
      <w:r w:rsidRPr="00F4399E">
        <w:t> NP</w:t>
      </w:r>
      <w:r w:rsidRPr="00F4399E">
        <w:rPr>
          <w:rStyle w:val="Znakapoznpodarou"/>
        </w:rPr>
        <w:footnoteReference w:id="7"/>
      </w:r>
      <w:r w:rsidRPr="00F4399E">
        <w:t xml:space="preserve"> </w:t>
      </w:r>
      <w:r w:rsidR="000A06FD" w:rsidRPr="00F4399E">
        <w:t xml:space="preserve">se </w:t>
      </w:r>
      <w:r w:rsidRPr="00F4399E">
        <w:t>v</w:t>
      </w:r>
      <w:r w:rsidR="000A06FD" w:rsidRPr="00F4399E">
        <w:t>e</w:t>
      </w:r>
      <w:r w:rsidRPr="00F4399E">
        <w:t xml:space="preserve"> </w:t>
      </w:r>
      <w:r w:rsidR="000A06FD" w:rsidRPr="00F4399E">
        <w:t>2</w:t>
      </w:r>
      <w:r w:rsidRPr="00F4399E">
        <w:t>. </w:t>
      </w:r>
      <w:r w:rsidR="000A06FD" w:rsidRPr="00F4399E">
        <w:t xml:space="preserve">čtvrtletí </w:t>
      </w:r>
      <w:r w:rsidR="00E041DD">
        <w:t xml:space="preserve">nadále </w:t>
      </w:r>
      <w:r w:rsidR="000A06FD" w:rsidRPr="00F4399E">
        <w:t>zvyš</w:t>
      </w:r>
      <w:r w:rsidR="00E041DD">
        <w:t>ovala</w:t>
      </w:r>
      <w:r w:rsidR="000A06FD" w:rsidRPr="00F4399E">
        <w:t xml:space="preserve"> (na 49</w:t>
      </w:r>
      <w:r w:rsidR="00E041DD">
        <w:t>,0</w:t>
      </w:r>
      <w:r w:rsidR="000A06FD" w:rsidRPr="00F4399E">
        <w:t xml:space="preserve"> %</w:t>
      </w:r>
      <w:r w:rsidR="00F4399E" w:rsidRPr="00F4399E">
        <w:t>, sezónně očištěno</w:t>
      </w:r>
      <w:r w:rsidR="000A06FD" w:rsidRPr="00F4399E">
        <w:t xml:space="preserve">) a </w:t>
      </w:r>
      <w:r w:rsidR="00E041DD">
        <w:t>byla</w:t>
      </w:r>
      <w:r w:rsidR="000A06FD" w:rsidRPr="00F4399E">
        <w:t xml:space="preserve"> nejvyšší od roku 2016</w:t>
      </w:r>
      <w:r w:rsidR="00F4399E" w:rsidRPr="00F4399E">
        <w:t>.</w:t>
      </w:r>
      <w:r w:rsidRPr="00F4399E">
        <w:t xml:space="preserve"> Meziročně byla míra zisku vyšší o</w:t>
      </w:r>
      <w:r w:rsidR="00F4399E" w:rsidRPr="00F4399E">
        <w:t xml:space="preserve"> 2</w:t>
      </w:r>
      <w:r w:rsidRPr="00F4399E">
        <w:t>,1 p. b. (sezónně neočištěno)</w:t>
      </w:r>
      <w:r w:rsidR="00F4399E" w:rsidRPr="00F4399E">
        <w:t xml:space="preserve">, mezičtvrtletně </w:t>
      </w:r>
      <w:r w:rsidR="00E041DD">
        <w:t xml:space="preserve">se zvýšila </w:t>
      </w:r>
      <w:r w:rsidR="00F4399E" w:rsidRPr="00F4399E">
        <w:t>o</w:t>
      </w:r>
      <w:r w:rsidR="00E041DD">
        <w:t> </w:t>
      </w:r>
      <w:r w:rsidR="00F4399E" w:rsidRPr="00F4399E">
        <w:t>0,4</w:t>
      </w:r>
      <w:r w:rsidR="00E041DD">
        <w:t> </w:t>
      </w:r>
      <w:r w:rsidR="00F4399E" w:rsidRPr="00F4399E">
        <w:t>p. b. (sezónně očištěno).</w:t>
      </w:r>
    </w:p>
    <w:p w14:paraId="041B8F79" w14:textId="145DEABA" w:rsidR="00F01B59" w:rsidRPr="008F49F5" w:rsidRDefault="00F01B59" w:rsidP="00F01B59">
      <w:pPr>
        <w:spacing w:after="120"/>
      </w:pPr>
      <w:r w:rsidRPr="00FB4639">
        <w:rPr>
          <w:b/>
        </w:rPr>
        <w:t>Saldo důchodů z vlastnictví</w:t>
      </w:r>
      <w:r w:rsidRPr="00381982">
        <w:t xml:space="preserve"> dosáhlo </w:t>
      </w:r>
      <w:r w:rsidR="00334CB8" w:rsidRPr="00381982">
        <w:t xml:space="preserve">v sektoru nefinančních podniků </w:t>
      </w:r>
      <w:r w:rsidRPr="00381982">
        <w:t>v</w:t>
      </w:r>
      <w:r w:rsidR="00334CB8" w:rsidRPr="00381982">
        <w:t>e</w:t>
      </w:r>
      <w:r w:rsidRPr="00381982">
        <w:t> </w:t>
      </w:r>
      <w:r w:rsidR="00334CB8" w:rsidRPr="00381982">
        <w:t>2</w:t>
      </w:r>
      <w:r w:rsidRPr="00381982">
        <w:t xml:space="preserve">. čtvrtletí </w:t>
      </w:r>
      <w:r w:rsidR="001B19D4" w:rsidRPr="00381982">
        <w:t xml:space="preserve">historicky nejhlubšího </w:t>
      </w:r>
      <w:r w:rsidRPr="00381982">
        <w:t xml:space="preserve">deficitu </w:t>
      </w:r>
      <w:r w:rsidR="001B19D4" w:rsidRPr="00381982">
        <w:t>200,9 </w:t>
      </w:r>
      <w:r w:rsidRPr="00381982">
        <w:t xml:space="preserve">mld. </w:t>
      </w:r>
      <w:r w:rsidR="00E17DC9">
        <w:t>Kč</w:t>
      </w:r>
      <w:r w:rsidRPr="00381982">
        <w:t xml:space="preserve">. </w:t>
      </w:r>
      <w:r w:rsidRPr="00C54AFE">
        <w:t xml:space="preserve">Schodek se meziročně prohloubil o </w:t>
      </w:r>
      <w:r w:rsidR="00C54AFE" w:rsidRPr="00C54AFE">
        <w:t>53,6</w:t>
      </w:r>
      <w:r w:rsidRPr="00C54AFE">
        <w:t xml:space="preserve"> mld. </w:t>
      </w:r>
      <w:r w:rsidR="00E17DC9">
        <w:t>Kč</w:t>
      </w:r>
      <w:r w:rsidR="00C54AFE" w:rsidRPr="00C54AFE">
        <w:t xml:space="preserve"> a to zejména z d</w:t>
      </w:r>
      <w:r w:rsidR="00C54AFE" w:rsidRPr="00C030A0">
        <w:t>ůvodu nárůstu vyplacených rozdělovaných důchodů společností</w:t>
      </w:r>
      <w:r w:rsidRPr="00C030A0">
        <w:t xml:space="preserve">. Přijaté důchody z vlastnictví NP byly meziročně o </w:t>
      </w:r>
      <w:r w:rsidR="00C030A0" w:rsidRPr="00C030A0">
        <w:t xml:space="preserve">3,1 mld. </w:t>
      </w:r>
      <w:r w:rsidR="00E17DC9">
        <w:t>Kč</w:t>
      </w:r>
      <w:r w:rsidR="00C030A0" w:rsidRPr="00C030A0">
        <w:t xml:space="preserve"> nižší,</w:t>
      </w:r>
      <w:r w:rsidRPr="00C030A0">
        <w:t xml:space="preserve"> zejména </w:t>
      </w:r>
      <w:r w:rsidR="00C030A0">
        <w:t>kvůli</w:t>
      </w:r>
      <w:r w:rsidRPr="00C030A0">
        <w:t xml:space="preserve"> přijatý</w:t>
      </w:r>
      <w:r w:rsidR="00C030A0">
        <w:t>m</w:t>
      </w:r>
      <w:r w:rsidRPr="00C030A0">
        <w:t xml:space="preserve"> úroků</w:t>
      </w:r>
      <w:r w:rsidR="00C030A0">
        <w:t>m</w:t>
      </w:r>
      <w:r w:rsidRPr="00C030A0">
        <w:t xml:space="preserve"> (</w:t>
      </w:r>
      <w:r w:rsidR="00C030A0">
        <w:t>o 4,1 mld. </w:t>
      </w:r>
      <w:r w:rsidR="00E17DC9">
        <w:t>Kč</w:t>
      </w:r>
      <w:r w:rsidR="00C030A0">
        <w:t xml:space="preserve"> nižších</w:t>
      </w:r>
      <w:r w:rsidRPr="00C030A0">
        <w:t>)</w:t>
      </w:r>
      <w:r w:rsidR="00FB4639">
        <w:t xml:space="preserve"> a </w:t>
      </w:r>
      <w:r w:rsidR="009504C2">
        <w:t xml:space="preserve">reinvestovaným ziskům (o 2,6 mld. </w:t>
      </w:r>
      <w:r w:rsidR="00E17DC9">
        <w:t>Kč</w:t>
      </w:r>
      <w:r w:rsidR="009504C2">
        <w:t xml:space="preserve"> </w:t>
      </w:r>
      <w:r w:rsidR="009504C2" w:rsidRPr="00D74BBA">
        <w:t>nižších)</w:t>
      </w:r>
      <w:r w:rsidRPr="00D74BBA">
        <w:t xml:space="preserve">. Naopak rozdělované důchody společností náležící NP byly meziročně </w:t>
      </w:r>
      <w:r w:rsidR="009504C2" w:rsidRPr="00D74BBA">
        <w:t>o 4,4 mld</w:t>
      </w:r>
      <w:r w:rsidRPr="00D74BBA">
        <w:t xml:space="preserve">. </w:t>
      </w:r>
      <w:r w:rsidR="00E17DC9">
        <w:t>Kč</w:t>
      </w:r>
      <w:r w:rsidR="008F49F5" w:rsidRPr="008F49F5">
        <w:t xml:space="preserve"> </w:t>
      </w:r>
      <w:r w:rsidR="008F49F5" w:rsidRPr="00D74BBA">
        <w:t>vyšší</w:t>
      </w:r>
      <w:r w:rsidRPr="00D74BBA">
        <w:t xml:space="preserve">. </w:t>
      </w:r>
      <w:r w:rsidRPr="008F49F5">
        <w:t xml:space="preserve">Nefinanční podniky </w:t>
      </w:r>
      <w:r w:rsidR="006F2D0B" w:rsidRPr="008F49F5">
        <w:t xml:space="preserve">ve formě důchodů z vlastnictví </w:t>
      </w:r>
      <w:r w:rsidRPr="008F49F5">
        <w:t>vyplatily meziročně o </w:t>
      </w:r>
      <w:r w:rsidR="008F49F5" w:rsidRPr="008F49F5">
        <w:t>50,5</w:t>
      </w:r>
      <w:r w:rsidRPr="008F49F5">
        <w:t xml:space="preserve"> mld. </w:t>
      </w:r>
      <w:r w:rsidR="00E17DC9">
        <w:t>Kč</w:t>
      </w:r>
      <w:r w:rsidRPr="008F49F5">
        <w:t xml:space="preserve"> více. Poměrně mírně rostly </w:t>
      </w:r>
      <w:r w:rsidR="008F49F5" w:rsidRPr="008F49F5">
        <w:t xml:space="preserve">reinvestované zisky </w:t>
      </w:r>
      <w:r w:rsidRPr="008F49F5">
        <w:t>(</w:t>
      </w:r>
      <w:r w:rsidR="00392E9F">
        <w:t xml:space="preserve">o </w:t>
      </w:r>
      <w:r w:rsidRPr="008F49F5">
        <w:t>3,</w:t>
      </w:r>
      <w:r w:rsidR="008F49F5" w:rsidRPr="008F49F5">
        <w:t>1</w:t>
      </w:r>
      <w:r w:rsidRPr="008F49F5">
        <w:t xml:space="preserve"> mld. </w:t>
      </w:r>
      <w:r w:rsidR="00E17DC9">
        <w:t>Kč</w:t>
      </w:r>
      <w:r w:rsidRPr="008F49F5">
        <w:t>)</w:t>
      </w:r>
      <w:r w:rsidR="008F49F5" w:rsidRPr="008F49F5">
        <w:t xml:space="preserve">, ale k velkému nárůstu došlo u </w:t>
      </w:r>
      <w:r w:rsidR="00392E9F">
        <w:t xml:space="preserve">vyplacených </w:t>
      </w:r>
      <w:r w:rsidRPr="008F49F5">
        <w:t>rozdělovaných důchodů společností (</w:t>
      </w:r>
      <w:r w:rsidR="00392E9F">
        <w:t xml:space="preserve">meziročně o </w:t>
      </w:r>
      <w:r w:rsidR="008F49F5" w:rsidRPr="008F49F5">
        <w:t>51,5</w:t>
      </w:r>
      <w:r w:rsidRPr="008F49F5">
        <w:t xml:space="preserve"> mld.</w:t>
      </w:r>
      <w:r w:rsidR="008F49F5" w:rsidRPr="008F49F5">
        <w:t xml:space="preserve"> </w:t>
      </w:r>
      <w:r w:rsidR="00E17DC9">
        <w:t>Kč</w:t>
      </w:r>
      <w:r w:rsidRPr="008F49F5">
        <w:t>)</w:t>
      </w:r>
      <w:r w:rsidR="00392E9F">
        <w:t xml:space="preserve"> a dostaly se tak na historicky nejvyšš</w:t>
      </w:r>
      <w:r w:rsidR="00E17DC9">
        <w:t>í čtvrtletní úroveň (208,1 mld. Kč</w:t>
      </w:r>
      <w:r w:rsidR="00392E9F">
        <w:t>)</w:t>
      </w:r>
      <w:r w:rsidRPr="008F49F5">
        <w:t xml:space="preserve">. </w:t>
      </w:r>
      <w:r w:rsidR="008F49F5" w:rsidRPr="008F49F5">
        <w:t xml:space="preserve">Vyplacené úroky </w:t>
      </w:r>
      <w:r w:rsidR="00392E9F">
        <w:t xml:space="preserve">naopak </w:t>
      </w:r>
      <w:r w:rsidRPr="008F49F5">
        <w:t xml:space="preserve">meziročně </w:t>
      </w:r>
      <w:r w:rsidR="008F49F5" w:rsidRPr="008F49F5">
        <w:t>poklesly o</w:t>
      </w:r>
      <w:r w:rsidR="00392E9F">
        <w:t> </w:t>
      </w:r>
      <w:r w:rsidR="008F49F5" w:rsidRPr="008F49F5">
        <w:t>3,4</w:t>
      </w:r>
      <w:r w:rsidR="00392E9F">
        <w:t> mld. </w:t>
      </w:r>
      <w:r w:rsidR="00E17DC9">
        <w:t>Kč</w:t>
      </w:r>
      <w:r w:rsidRPr="008F49F5">
        <w:t>.</w:t>
      </w:r>
    </w:p>
    <w:p w14:paraId="51D006DC" w14:textId="77777777" w:rsidR="003056AE" w:rsidRDefault="006A4968" w:rsidP="00D30F12">
      <w:pPr>
        <w:spacing w:after="120"/>
      </w:pPr>
      <w:r w:rsidRPr="004C6DFE">
        <w:t xml:space="preserve">Deficit </w:t>
      </w:r>
      <w:r w:rsidRPr="00FB4639">
        <w:rPr>
          <w:b/>
        </w:rPr>
        <w:t>salda druhotných důchodů</w:t>
      </w:r>
      <w:r w:rsidRPr="004C6DFE">
        <w:t xml:space="preserve"> se v</w:t>
      </w:r>
      <w:r w:rsidR="009968E7" w:rsidRPr="004C6DFE">
        <w:t>e</w:t>
      </w:r>
      <w:r w:rsidRPr="004C6DFE">
        <w:t> </w:t>
      </w:r>
      <w:r w:rsidR="009968E7" w:rsidRPr="004C6DFE">
        <w:t>2</w:t>
      </w:r>
      <w:r w:rsidRPr="004C6DFE">
        <w:t xml:space="preserve">. </w:t>
      </w:r>
      <w:r w:rsidR="009968E7" w:rsidRPr="004C6DFE">
        <w:t>čtvrtletí</w:t>
      </w:r>
      <w:r w:rsidRPr="004C6DFE">
        <w:t xml:space="preserve"> </w:t>
      </w:r>
      <w:r w:rsidR="004C6DFE" w:rsidRPr="004C6DFE">
        <w:t xml:space="preserve">dále </w:t>
      </w:r>
      <w:r w:rsidRPr="004C6DFE">
        <w:t xml:space="preserve">prohloubil </w:t>
      </w:r>
      <w:r w:rsidR="004C6DFE" w:rsidRPr="004C6DFE">
        <w:t>(</w:t>
      </w:r>
      <w:r w:rsidRPr="004C6DFE">
        <w:t>o 1</w:t>
      </w:r>
      <w:r w:rsidR="004C6DFE" w:rsidRPr="004C6DFE">
        <w:t>5,5</w:t>
      </w:r>
      <w:r w:rsidRPr="004C6DFE">
        <w:t xml:space="preserve"> mld. </w:t>
      </w:r>
      <w:r w:rsidR="00E17DC9">
        <w:t>Kč</w:t>
      </w:r>
      <w:r w:rsidR="004C6DFE" w:rsidRPr="004C6DFE">
        <w:t>)</w:t>
      </w:r>
      <w:r w:rsidRPr="004C6DFE">
        <w:t xml:space="preserve"> a </w:t>
      </w:r>
      <w:r w:rsidR="004C6DFE" w:rsidRPr="004C6DFE">
        <w:t>pokračoval tak trend předchozích čtvrtletí (</w:t>
      </w:r>
      <w:r w:rsidRPr="004C6DFE">
        <w:t xml:space="preserve">dosáhl </w:t>
      </w:r>
      <w:r w:rsidR="004C6DFE" w:rsidRPr="004C6DFE">
        <w:t>80,6</w:t>
      </w:r>
      <w:r w:rsidRPr="004C6DFE">
        <w:t xml:space="preserve"> m</w:t>
      </w:r>
      <w:r w:rsidRPr="00BC3CA1">
        <w:t xml:space="preserve">ld. </w:t>
      </w:r>
      <w:r w:rsidR="00E17DC9">
        <w:t>Kč</w:t>
      </w:r>
      <w:r w:rsidR="004C6DFE" w:rsidRPr="00BC3CA1">
        <w:t>)</w:t>
      </w:r>
      <w:r w:rsidRPr="00BC3CA1">
        <w:t>.</w:t>
      </w:r>
      <w:r w:rsidR="00D30F12" w:rsidRPr="00BC3CA1">
        <w:t xml:space="preserve"> Běžné d</w:t>
      </w:r>
      <w:r w:rsidR="006F2D0B" w:rsidRPr="00BC3CA1">
        <w:t>a</w:t>
      </w:r>
      <w:r w:rsidR="00D30F12" w:rsidRPr="00BC3CA1">
        <w:t>ně z důchodů a jmění zaplacené NP se meziročně zvýšily o 1</w:t>
      </w:r>
      <w:r w:rsidR="00BC3CA1" w:rsidRPr="00BC3CA1">
        <w:t>3,7</w:t>
      </w:r>
      <w:r w:rsidR="00D30F12" w:rsidRPr="00BC3CA1">
        <w:t xml:space="preserve"> mld. </w:t>
      </w:r>
      <w:r w:rsidR="00E17DC9">
        <w:t>Kč</w:t>
      </w:r>
      <w:r w:rsidR="00BC3CA1">
        <w:t xml:space="preserve"> (tj. o 23,3 %)</w:t>
      </w:r>
      <w:r w:rsidR="00D30F12" w:rsidRPr="00BC3CA1">
        <w:t>.</w:t>
      </w:r>
      <w:r w:rsidR="00D30F12" w:rsidRPr="00AA25A1">
        <w:t xml:space="preserve"> </w:t>
      </w:r>
    </w:p>
    <w:p w14:paraId="629A236D" w14:textId="625657F8" w:rsidR="000C43AA" w:rsidRPr="00F9474E" w:rsidRDefault="00871086" w:rsidP="00D30F12">
      <w:pPr>
        <w:spacing w:after="120"/>
      </w:pPr>
      <w:r w:rsidRPr="00FB4639">
        <w:rPr>
          <w:b/>
        </w:rPr>
        <w:t>H</w:t>
      </w:r>
      <w:r w:rsidR="00BA6BD0" w:rsidRPr="00FB4639">
        <w:rPr>
          <w:b/>
        </w:rPr>
        <w:t>rubé úspory</w:t>
      </w:r>
      <w:r w:rsidR="00E9181E" w:rsidRPr="00F9474E">
        <w:t> </w:t>
      </w:r>
      <w:r w:rsidR="00BA6BD0" w:rsidRPr="00F9474E">
        <w:t>NP</w:t>
      </w:r>
      <w:r w:rsidRPr="00F9474E">
        <w:t xml:space="preserve"> v</w:t>
      </w:r>
      <w:r w:rsidR="00AA25A1" w:rsidRPr="00F9474E">
        <w:t>e</w:t>
      </w:r>
      <w:r w:rsidR="005C37A2" w:rsidRPr="00F9474E">
        <w:t> </w:t>
      </w:r>
      <w:r w:rsidR="00AA25A1" w:rsidRPr="00F9474E">
        <w:t>2</w:t>
      </w:r>
      <w:r w:rsidRPr="00F9474E">
        <w:t>.</w:t>
      </w:r>
      <w:r w:rsidR="00E2791C" w:rsidRPr="00F9474E">
        <w:t> </w:t>
      </w:r>
      <w:r w:rsidRPr="00F9474E">
        <w:t xml:space="preserve">čtvrtletí dosáhly </w:t>
      </w:r>
      <w:r w:rsidR="00E2791C" w:rsidRPr="00F9474E">
        <w:t xml:space="preserve">úrovně </w:t>
      </w:r>
      <w:r w:rsidR="00AA25A1" w:rsidRPr="00F9474E">
        <w:t xml:space="preserve">257,5 </w:t>
      </w:r>
      <w:r w:rsidRPr="00F9474E">
        <w:t xml:space="preserve">mld. </w:t>
      </w:r>
      <w:r w:rsidR="00E17DC9">
        <w:t>Kč</w:t>
      </w:r>
      <w:r w:rsidRPr="00F9474E">
        <w:t xml:space="preserve"> a </w:t>
      </w:r>
      <w:r w:rsidR="00964190" w:rsidRPr="00F9474E">
        <w:t>meziročně</w:t>
      </w:r>
      <w:r w:rsidR="003056AE">
        <w:t xml:space="preserve"> byly vyšší o 14,3 mld. Kč </w:t>
      </w:r>
      <w:r w:rsidR="00AA25A1" w:rsidRPr="00F9474E">
        <w:t>(tj. o 5,9 %).</w:t>
      </w:r>
      <w:r w:rsidR="00AA37D2" w:rsidRPr="00F9474E">
        <w:t xml:space="preserve"> Oproti předchozím čtvrtletím tak došlo ke zpomalení růstu úspor. </w:t>
      </w:r>
      <w:r w:rsidR="009632CA" w:rsidRPr="00FB4639">
        <w:rPr>
          <w:b/>
        </w:rPr>
        <w:t>M</w:t>
      </w:r>
      <w:r w:rsidR="00E0186F" w:rsidRPr="00FB4639">
        <w:rPr>
          <w:b/>
        </w:rPr>
        <w:t>ír</w:t>
      </w:r>
      <w:r w:rsidR="009632CA" w:rsidRPr="00FB4639">
        <w:rPr>
          <w:b/>
        </w:rPr>
        <w:t>a</w:t>
      </w:r>
      <w:r w:rsidR="00E0186F" w:rsidRPr="00FB4639">
        <w:rPr>
          <w:b/>
        </w:rPr>
        <w:t xml:space="preserve"> úspor</w:t>
      </w:r>
      <w:r w:rsidR="00CF1E81" w:rsidRPr="00F9474E">
        <w:t> </w:t>
      </w:r>
      <w:r w:rsidR="00E0186F" w:rsidRPr="00F9474E">
        <w:t>NP</w:t>
      </w:r>
      <w:r w:rsidR="00E0186F" w:rsidRPr="00F9474E">
        <w:rPr>
          <w:rStyle w:val="Znakapoznpodarou"/>
        </w:rPr>
        <w:footnoteReference w:id="8"/>
      </w:r>
      <w:r w:rsidR="009632CA" w:rsidRPr="00F9474E">
        <w:t xml:space="preserve">, která dosáhla 23,3 %, meziročně poklesla poprvé od 3. čtvrtletí 2021, a to o 1,6 p. b. </w:t>
      </w:r>
    </w:p>
    <w:p w14:paraId="1E90DCB9" w14:textId="54EBDA56" w:rsidR="00820139" w:rsidRPr="003976E3" w:rsidRDefault="0013159D" w:rsidP="005D42E5">
      <w:pPr>
        <w:spacing w:after="120"/>
        <w:rPr>
          <w:highlight w:val="yellow"/>
        </w:rPr>
      </w:pPr>
      <w:r w:rsidRPr="003056AE">
        <w:rPr>
          <w:b/>
        </w:rPr>
        <w:t>Objem kapitálových transferů</w:t>
      </w:r>
      <w:r w:rsidRPr="000E46D2">
        <w:t xml:space="preserve"> přijatých v</w:t>
      </w:r>
      <w:r w:rsidR="000E46D2" w:rsidRPr="000E46D2">
        <w:t>e</w:t>
      </w:r>
      <w:r w:rsidRPr="000E46D2">
        <w:t> </w:t>
      </w:r>
      <w:r w:rsidR="000E46D2" w:rsidRPr="000E46D2">
        <w:t>2</w:t>
      </w:r>
      <w:r w:rsidRPr="000E46D2">
        <w:t xml:space="preserve">. čtvrtletí NP se meziročně </w:t>
      </w:r>
      <w:r w:rsidR="000E46D2" w:rsidRPr="000E46D2">
        <w:t xml:space="preserve">snížil </w:t>
      </w:r>
      <w:r w:rsidRPr="000E46D2">
        <w:t xml:space="preserve">o </w:t>
      </w:r>
      <w:r w:rsidR="000E46D2" w:rsidRPr="000E46D2">
        <w:t>1,5</w:t>
      </w:r>
      <w:r w:rsidRPr="000E46D2">
        <w:t xml:space="preserve"> mld. </w:t>
      </w:r>
      <w:r w:rsidR="00E17DC9">
        <w:t>Kč</w:t>
      </w:r>
      <w:r w:rsidR="000E46D2" w:rsidRPr="000E46D2">
        <w:t xml:space="preserve"> (tj. o 14,4 %), což byl první pokles od 1. čtvrtletí 2022. </w:t>
      </w:r>
      <w:r w:rsidR="000827CE" w:rsidRPr="009147A7">
        <w:t xml:space="preserve">Výdaje na </w:t>
      </w:r>
      <w:r w:rsidR="000827CE" w:rsidRPr="003056AE">
        <w:rPr>
          <w:b/>
        </w:rPr>
        <w:t>tvorbu hrubého fixního kapitálu</w:t>
      </w:r>
      <w:r w:rsidR="000827CE" w:rsidRPr="009147A7">
        <w:t xml:space="preserve"> </w:t>
      </w:r>
      <w:r w:rsidR="006274DE" w:rsidRPr="009147A7">
        <w:t>sektoru nefinančních podniků</w:t>
      </w:r>
      <w:r w:rsidR="00CB0423" w:rsidRPr="009147A7">
        <w:t xml:space="preserve"> </w:t>
      </w:r>
      <w:r w:rsidRPr="009147A7">
        <w:t>byly v</w:t>
      </w:r>
      <w:r w:rsidR="009076FF" w:rsidRPr="009147A7">
        <w:t>e</w:t>
      </w:r>
      <w:r w:rsidRPr="009147A7">
        <w:t> </w:t>
      </w:r>
      <w:r w:rsidR="009076FF" w:rsidRPr="009147A7">
        <w:t>2</w:t>
      </w:r>
      <w:r w:rsidRPr="009147A7">
        <w:t xml:space="preserve">. </w:t>
      </w:r>
      <w:r w:rsidR="00CB0423" w:rsidRPr="009147A7">
        <w:t>čtvrtletí</w:t>
      </w:r>
      <w:r w:rsidR="000827CE" w:rsidRPr="009147A7">
        <w:t xml:space="preserve"> meziročně </w:t>
      </w:r>
      <w:r w:rsidRPr="009147A7">
        <w:t xml:space="preserve">vyšší o </w:t>
      </w:r>
      <w:r w:rsidR="006274DE" w:rsidRPr="009147A7">
        <w:t>21,1</w:t>
      </w:r>
      <w:r w:rsidRPr="009147A7">
        <w:t xml:space="preserve"> mld. </w:t>
      </w:r>
      <w:r w:rsidR="00E17DC9">
        <w:t>Kč</w:t>
      </w:r>
      <w:r w:rsidRPr="009147A7">
        <w:t xml:space="preserve"> (</w:t>
      </w:r>
      <w:r w:rsidR="003056AE">
        <w:t>tj. </w:t>
      </w:r>
      <w:r w:rsidR="003056AE" w:rsidRPr="003056AE">
        <w:t>o</w:t>
      </w:r>
      <w:r w:rsidR="003056AE">
        <w:t> </w:t>
      </w:r>
      <w:r w:rsidRPr="003056AE">
        <w:t>7</w:t>
      </w:r>
      <w:r w:rsidRPr="009147A7">
        <w:t>,</w:t>
      </w:r>
      <w:r w:rsidR="003056AE">
        <w:t>3</w:t>
      </w:r>
      <w:r w:rsidR="006274DE" w:rsidRPr="009147A7">
        <w:t xml:space="preserve">%). </w:t>
      </w:r>
      <w:r w:rsidRPr="000445A5">
        <w:t>Nominální nárůst byl</w:t>
      </w:r>
      <w:r w:rsidR="007A3DFC" w:rsidRPr="000445A5">
        <w:t xml:space="preserve"> samozřejmě, stejně jako v předchozích čtvrtletích, </w:t>
      </w:r>
      <w:r w:rsidRPr="000445A5">
        <w:t>silně ovlivněn růstem cenové hladiny</w:t>
      </w:r>
      <w:r w:rsidRPr="00AA32AA">
        <w:rPr>
          <w:rStyle w:val="Znakapoznpodarou"/>
        </w:rPr>
        <w:footnoteReference w:id="9"/>
      </w:r>
      <w:r w:rsidRPr="00AA32AA">
        <w:t xml:space="preserve">. </w:t>
      </w:r>
      <w:r w:rsidR="00CB0423" w:rsidRPr="00AA32AA">
        <w:t>Mezičtvrtletn</w:t>
      </w:r>
      <w:r w:rsidRPr="00AA32AA">
        <w:t xml:space="preserve">í nominální přírůstek investic NP </w:t>
      </w:r>
      <w:r w:rsidR="00AA32AA" w:rsidRPr="00AA32AA">
        <w:t xml:space="preserve">činil 11,9 </w:t>
      </w:r>
      <w:r w:rsidRPr="00AA32AA">
        <w:t xml:space="preserve">mld. </w:t>
      </w:r>
      <w:r w:rsidR="00E17DC9">
        <w:t>Kč</w:t>
      </w:r>
      <w:r w:rsidR="00AA32AA" w:rsidRPr="00AA32AA">
        <w:t xml:space="preserve"> (tj.</w:t>
      </w:r>
      <w:r w:rsidR="003056AE">
        <w:t> </w:t>
      </w:r>
      <w:r w:rsidR="00AA32AA" w:rsidRPr="00AA32AA">
        <w:t>4,0 </w:t>
      </w:r>
      <w:r w:rsidRPr="00AA32AA">
        <w:t>%</w:t>
      </w:r>
      <w:r w:rsidR="00CB0423" w:rsidRPr="00AA32AA">
        <w:t xml:space="preserve">, </w:t>
      </w:r>
      <w:r w:rsidR="00CB0423" w:rsidRPr="00AA32AA">
        <w:lastRenderedPageBreak/>
        <w:t>sezónně očištěno).</w:t>
      </w:r>
      <w:r w:rsidR="003149E1" w:rsidRPr="00A60EFF">
        <w:t xml:space="preserve"> </w:t>
      </w:r>
      <w:r w:rsidR="00820139" w:rsidRPr="003056AE">
        <w:rPr>
          <w:b/>
        </w:rPr>
        <w:t>Míra investic</w:t>
      </w:r>
      <w:r w:rsidR="00820139" w:rsidRPr="00A60EFF">
        <w:t> </w:t>
      </w:r>
      <w:r w:rsidR="002C6B5F" w:rsidRPr="00A60EFF">
        <w:t>nefinančních podniků</w:t>
      </w:r>
      <w:r w:rsidRPr="00A60EFF">
        <w:rPr>
          <w:rStyle w:val="Znakapoznpodarou"/>
        </w:rPr>
        <w:footnoteReference w:id="10"/>
      </w:r>
      <w:r w:rsidR="002C6B5F" w:rsidRPr="00A60EFF">
        <w:t xml:space="preserve"> </w:t>
      </w:r>
      <w:r w:rsidR="003056AE">
        <w:t xml:space="preserve">nicméně naznačuje </w:t>
      </w:r>
      <w:r w:rsidR="009E745F">
        <w:t xml:space="preserve">stále </w:t>
      </w:r>
      <w:r w:rsidR="00DA0D2D" w:rsidRPr="00A60EFF">
        <w:t xml:space="preserve">spíše zdrženlivost podniků ohledně větší investiční aktivity. </w:t>
      </w:r>
      <w:r w:rsidR="00A60EFF" w:rsidRPr="00A60EFF">
        <w:t>M</w:t>
      </w:r>
      <w:r w:rsidR="009E745F">
        <w:t>eziročně byla míra investic NP ve </w:t>
      </w:r>
      <w:r w:rsidR="00A60EFF">
        <w:t>2.</w:t>
      </w:r>
      <w:r w:rsidR="009E745F">
        <w:t> </w:t>
      </w:r>
      <w:r w:rsidR="00A60EFF">
        <w:t xml:space="preserve">čtvrtletí 2023 </w:t>
      </w:r>
      <w:r w:rsidR="00A60EFF" w:rsidRPr="00A60EFF">
        <w:t xml:space="preserve">nižší o 1,5 p. b. </w:t>
      </w:r>
      <w:r w:rsidR="002B7E85">
        <w:t>Ovšem mezičtvrtletně se p</w:t>
      </w:r>
      <w:r w:rsidR="00DA0D2D" w:rsidRPr="00A60EFF">
        <w:t xml:space="preserve">odle sezónně očištěných údajů míra investic </w:t>
      </w:r>
      <w:r w:rsidR="002B7E85">
        <w:t xml:space="preserve">mírně zvýšila </w:t>
      </w:r>
      <w:r w:rsidR="00A60EFF" w:rsidRPr="00A60EFF">
        <w:t>o 0,5 p. b.</w:t>
      </w:r>
      <w:r w:rsidR="002B7E85">
        <w:t>,</w:t>
      </w:r>
      <w:r w:rsidR="00A60EFF" w:rsidRPr="00A60EFF">
        <w:t xml:space="preserve"> </w:t>
      </w:r>
      <w:r w:rsidR="00DA0D2D" w:rsidRPr="00A60EFF">
        <w:t>na 2</w:t>
      </w:r>
      <w:r w:rsidR="00A60EFF" w:rsidRPr="00A60EFF">
        <w:t>8,1 </w:t>
      </w:r>
      <w:r w:rsidR="00DA0D2D" w:rsidRPr="00A60EFF">
        <w:t>%</w:t>
      </w:r>
      <w:r w:rsidR="002C6B5F" w:rsidRPr="00A60EFF">
        <w:t xml:space="preserve">. </w:t>
      </w:r>
    </w:p>
    <w:p w14:paraId="367064F9" w14:textId="2529DD61" w:rsidR="0050641C" w:rsidRPr="008E0E03" w:rsidRDefault="009F7FD8" w:rsidP="000302A6">
      <w:pPr>
        <w:pStyle w:val="TabulkaGraf"/>
        <w:spacing w:after="120"/>
      </w:pPr>
      <w:r w:rsidRPr="008E0E03">
        <w:t>G</w:t>
      </w:r>
      <w:r w:rsidR="002E6F00" w:rsidRPr="008E0E03">
        <w:t>raf </w:t>
      </w:r>
      <w:r w:rsidR="0050641C" w:rsidRPr="008E0E03">
        <w:t>2: Meziroční nominální přírůstek tvorby hrubého fixního kapitálu (v</w:t>
      </w:r>
      <w:r w:rsidR="00840938" w:rsidRPr="008E0E03">
        <w:t> mld.</w:t>
      </w:r>
      <w:r w:rsidR="0050641C" w:rsidRPr="008E0E03">
        <w:t xml:space="preserve"> </w:t>
      </w:r>
      <w:r w:rsidR="008E0E03">
        <w:t>Kč</w:t>
      </w:r>
      <w:r w:rsidR="0050641C" w:rsidRPr="008E0E03">
        <w:t xml:space="preserve">) </w:t>
      </w:r>
      <w:r w:rsidR="008E0E03">
        <w:br/>
      </w:r>
      <w:r w:rsidR="00F03815" w:rsidRPr="008E0E03">
        <w:t>a </w:t>
      </w:r>
      <w:r w:rsidR="0050641C" w:rsidRPr="008E0E03">
        <w:t>míra investic (sezónně očištěno, v</w:t>
      </w:r>
      <w:r w:rsidR="00840938" w:rsidRPr="008E0E03">
        <w:t> %</w:t>
      </w:r>
      <w:r w:rsidR="0050641C" w:rsidRPr="008E0E03">
        <w:t>)</w:t>
      </w:r>
    </w:p>
    <w:p w14:paraId="1F6A58CB" w14:textId="3B768C59" w:rsidR="008E0E03" w:rsidRPr="008E0E03" w:rsidRDefault="00125CAF" w:rsidP="008E0E03">
      <w:r>
        <w:rPr>
          <w:noProof/>
          <w:lang w:val="en-US"/>
        </w:rPr>
        <w:drawing>
          <wp:inline distT="0" distB="0" distL="0" distR="0" wp14:anchorId="4DF315E9" wp14:editId="22603D78">
            <wp:extent cx="5124450" cy="2550795"/>
            <wp:effectExtent l="0" t="0" r="0" b="190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DE6E0A" w14:textId="23E2339B" w:rsidR="007B7E54" w:rsidRPr="008E0E03" w:rsidRDefault="00E16ACA" w:rsidP="009F7FD8">
      <w:pPr>
        <w:jc w:val="center"/>
      </w:pPr>
      <w:r w:rsidRPr="008E0E03">
        <w:rPr>
          <w:noProof/>
          <w:lang w:eastAsia="cs-CZ"/>
        </w:rPr>
        <w:t xml:space="preserve"> </w:t>
      </w:r>
    </w:p>
    <w:p w14:paraId="40303758" w14:textId="1BDEBC1C" w:rsidR="00962C91" w:rsidRPr="008E0E03" w:rsidRDefault="00941335" w:rsidP="00035558">
      <w:pPr>
        <w:spacing w:after="240"/>
        <w:rPr>
          <w:b/>
          <w:bCs/>
        </w:rPr>
      </w:pPr>
      <w:r w:rsidRPr="008E0E03">
        <w:t>Zdroj: ČSÚ, národní účty</w:t>
      </w:r>
    </w:p>
    <w:p w14:paraId="14C81046" w14:textId="77777777" w:rsidR="00F50CEF" w:rsidRPr="00515379" w:rsidRDefault="00F50CEF" w:rsidP="00210B17">
      <w:pPr>
        <w:spacing w:after="120"/>
        <w:rPr>
          <w:b/>
          <w:bCs/>
        </w:rPr>
      </w:pPr>
      <w:r w:rsidRPr="00515379">
        <w:rPr>
          <w:b/>
          <w:bCs/>
        </w:rPr>
        <w:t>Vládní instituce</w:t>
      </w:r>
    </w:p>
    <w:p w14:paraId="653B357C" w14:textId="58947DE3" w:rsidR="00515379" w:rsidRPr="0034420E" w:rsidRDefault="00515379" w:rsidP="00515379">
      <w:pPr>
        <w:spacing w:after="120"/>
      </w:pPr>
      <w:r w:rsidRPr="00515379">
        <w:rPr>
          <w:b/>
        </w:rPr>
        <w:t>Saldo hospodaření sektoru</w:t>
      </w:r>
      <w:r w:rsidRPr="0034420E">
        <w:t xml:space="preserve"> vládních institucí (VI) v</w:t>
      </w:r>
      <w:r>
        <w:t>e</w:t>
      </w:r>
      <w:r w:rsidRPr="0034420E">
        <w:t> </w:t>
      </w:r>
      <w:r>
        <w:t>2.</w:t>
      </w:r>
      <w:r w:rsidRPr="0034420E">
        <w:t xml:space="preserve"> čtvrtletí </w:t>
      </w:r>
      <w:r>
        <w:t xml:space="preserve">roku </w:t>
      </w:r>
      <w:r w:rsidRPr="0034420E">
        <w:t xml:space="preserve">2023 </w:t>
      </w:r>
      <w:r w:rsidRPr="00977DA4">
        <w:t xml:space="preserve">dosáhlo </w:t>
      </w:r>
      <w:r w:rsidR="00EC7DF7">
        <w:t xml:space="preserve">přebytku </w:t>
      </w:r>
      <w:r w:rsidR="00EC7DF7" w:rsidRPr="00EC7DF7">
        <w:t>ve</w:t>
      </w:r>
      <w:r w:rsidR="00EC7DF7">
        <w:t> </w:t>
      </w:r>
      <w:r w:rsidRPr="00EC7DF7">
        <w:t>výši</w:t>
      </w:r>
      <w:r w:rsidRPr="00977DA4">
        <w:t xml:space="preserve"> 26,9 mld. Kč, což představovalo meziroční zlepšení o 24,7 mld. Kč. Obdo</w:t>
      </w:r>
      <w:r>
        <w:t>bný výsledek byl naposledy zaznamenán před začátkem pandemie COVID ve</w:t>
      </w:r>
      <w:r w:rsidRPr="0034420E">
        <w:t xml:space="preserve"> </w:t>
      </w:r>
      <w:r>
        <w:t>2.</w:t>
      </w:r>
      <w:r w:rsidRPr="0034420E">
        <w:t xml:space="preserve"> čtvrtletí</w:t>
      </w:r>
      <w:r>
        <w:t xml:space="preserve"> roku 2019.</w:t>
      </w:r>
      <w:r w:rsidR="00EC7DF7">
        <w:t xml:space="preserve"> Za </w:t>
      </w:r>
      <w:r w:rsidRPr="0034420E">
        <w:t xml:space="preserve">výrazným meziročním </w:t>
      </w:r>
      <w:r>
        <w:t>zlepšen</w:t>
      </w:r>
      <w:r w:rsidRPr="0034420E">
        <w:t xml:space="preserve">ím salda stál především </w:t>
      </w:r>
      <w:r>
        <w:t xml:space="preserve">vyšší příjem z úroků a dividend a z daní z příjmu. </w:t>
      </w:r>
      <w:r w:rsidRPr="0034420E">
        <w:t xml:space="preserve">Podle sezónně očištěných údajů </w:t>
      </w:r>
      <w:r>
        <w:t>zůstal</w:t>
      </w:r>
      <w:r w:rsidR="00EC7DF7">
        <w:t xml:space="preserve">o hospodaření VI </w:t>
      </w:r>
      <w:r>
        <w:t>i nadále v deficitu 59,8 mld. Kč</w:t>
      </w:r>
      <w:r w:rsidRPr="0034420E">
        <w:t xml:space="preserve">. </w:t>
      </w:r>
    </w:p>
    <w:p w14:paraId="2B7FB2E2" w14:textId="0503E1F4" w:rsidR="00515379" w:rsidRPr="0034420E" w:rsidRDefault="00515379" w:rsidP="00515379">
      <w:pPr>
        <w:spacing w:after="120"/>
      </w:pPr>
      <w:r w:rsidRPr="00377444">
        <w:rPr>
          <w:b/>
        </w:rPr>
        <w:t>Příjmy sektoru VI</w:t>
      </w:r>
      <w:r w:rsidRPr="0034420E">
        <w:t xml:space="preserve"> se v </w:t>
      </w:r>
      <w:r>
        <w:t>2.</w:t>
      </w:r>
      <w:r w:rsidRPr="0034420E">
        <w:t xml:space="preserve"> </w:t>
      </w:r>
      <w:r w:rsidRPr="00977DA4">
        <w:t>čtvrtletí meziročně zvýšily o 98,6 mld. Kč (13,2 %)</w:t>
      </w:r>
      <w:r w:rsidRPr="0034420E">
        <w:t xml:space="preserve"> a dosáhly </w:t>
      </w:r>
      <w:r>
        <w:t>úrovně 846,3</w:t>
      </w:r>
      <w:r w:rsidRPr="0034420E">
        <w:t> mld.</w:t>
      </w:r>
      <w:r>
        <w:t xml:space="preserve"> Kč.</w:t>
      </w:r>
      <w:r w:rsidRPr="0034420E">
        <w:t xml:space="preserve"> Nejvíce k jejich růstu přispěly </w:t>
      </w:r>
      <w:r>
        <w:t>přijaté úroky a dividendy</w:t>
      </w:r>
      <w:r w:rsidR="00EC7DF7">
        <w:t xml:space="preserve"> (42,8 mld. Kč), daně </w:t>
      </w:r>
      <w:r w:rsidR="00EC7DF7" w:rsidRPr="00EC7DF7">
        <w:t>z</w:t>
      </w:r>
      <w:r w:rsidR="00EC7DF7">
        <w:t> </w:t>
      </w:r>
      <w:r w:rsidRPr="00EC7DF7">
        <w:t>příjmu</w:t>
      </w:r>
      <w:r w:rsidRPr="0034420E">
        <w:t xml:space="preserve"> (2</w:t>
      </w:r>
      <w:r>
        <w:t>2</w:t>
      </w:r>
      <w:r w:rsidRPr="0034420E">
        <w:t>,</w:t>
      </w:r>
      <w:r>
        <w:t>3</w:t>
      </w:r>
      <w:r w:rsidRPr="0034420E">
        <w:t xml:space="preserve"> mld. Kč) a přijaté čisté sociální příspěvky (</w:t>
      </w:r>
      <w:r>
        <w:t>17,8</w:t>
      </w:r>
      <w:r w:rsidRPr="0034420E">
        <w:t> mld.</w:t>
      </w:r>
      <w:r>
        <w:t xml:space="preserve"> Kč</w:t>
      </w:r>
      <w:r w:rsidRPr="0034420E">
        <w:t>). Nominální růst daní navázaných na spotřebu ale zaostával za inflací, na čemž se kromě slabší spotřebitelské poptávky projevovalo i dočasné snížení spotřební daně na naftu</w:t>
      </w:r>
      <w:r>
        <w:t xml:space="preserve">. </w:t>
      </w:r>
      <w:r w:rsidRPr="0034420E">
        <w:t xml:space="preserve">Hodnota tržní produkce pro vlastní užití a platby za ostatní netržní produkci byly meziročně o </w:t>
      </w:r>
      <w:r>
        <w:t>4,3</w:t>
      </w:r>
      <w:r w:rsidRPr="0034420E">
        <w:t xml:space="preserve"> mld. Kč vyšší. Jen mírně se zvýšily přijaté ostatní běžné transfery (+</w:t>
      </w:r>
      <w:r>
        <w:t>3</w:t>
      </w:r>
      <w:r w:rsidRPr="0034420E">
        <w:t>,0 mld. Kč) a přijaté kapitálové transfery (</w:t>
      </w:r>
      <w:r>
        <w:t>1,4</w:t>
      </w:r>
      <w:r w:rsidRPr="0034420E">
        <w:t xml:space="preserve"> mld.</w:t>
      </w:r>
      <w:r>
        <w:t xml:space="preserve"> Kč</w:t>
      </w:r>
      <w:r w:rsidRPr="0034420E">
        <w:t>).</w:t>
      </w:r>
    </w:p>
    <w:p w14:paraId="5CFE63F6" w14:textId="56706EFA" w:rsidR="00515379" w:rsidRPr="0034420E" w:rsidRDefault="00515379" w:rsidP="00515379">
      <w:pPr>
        <w:spacing w:after="120"/>
      </w:pPr>
      <w:r>
        <w:t xml:space="preserve">Také </w:t>
      </w:r>
      <w:r w:rsidRPr="00377444">
        <w:rPr>
          <w:b/>
        </w:rPr>
        <w:t xml:space="preserve">výdaje VI </w:t>
      </w:r>
      <w:r w:rsidRPr="00977DA4">
        <w:t>ve 2. čtvrtletí i nadále rostly. Jejich výše dosáhla celkem 819,4 mld. Kč</w:t>
      </w:r>
      <w:r w:rsidR="00EC7DF7">
        <w:t xml:space="preserve"> a </w:t>
      </w:r>
      <w:r w:rsidRPr="00977DA4">
        <w:t>meziročně se zvýšila o 73,9 mld. Kč (o 9,9 %). Největší podíl na zaznamenaném nárůstu připadá na vyplacené sociální dávky a naturální</w:t>
      </w:r>
      <w:r>
        <w:t xml:space="preserve"> sociální transfery (30,6</w:t>
      </w:r>
      <w:r w:rsidRPr="0034420E">
        <w:t xml:space="preserve"> mld. Kč), ve kterých se </w:t>
      </w:r>
      <w:r w:rsidRPr="0034420E">
        <w:lastRenderedPageBreak/>
        <w:t>projevoval</w:t>
      </w:r>
      <w:r>
        <w:t>a</w:t>
      </w:r>
      <w:r w:rsidRPr="0034420E">
        <w:t xml:space="preserve"> zejména valorizace starobních důchodů. </w:t>
      </w:r>
      <w:r>
        <w:t>Druhý největší meziroční nárůst byl zaznamenán u vyplacených mezd</w:t>
      </w:r>
      <w:r w:rsidRPr="0034420E">
        <w:t xml:space="preserve"> (</w:t>
      </w:r>
      <w:r>
        <w:t>13,6</w:t>
      </w:r>
      <w:r w:rsidRPr="0034420E">
        <w:t xml:space="preserve"> mld. Kč</w:t>
      </w:r>
      <w:r>
        <w:t>)</w:t>
      </w:r>
      <w:r w:rsidRPr="0034420E">
        <w:t xml:space="preserve">. </w:t>
      </w:r>
      <w:r>
        <w:t>Dále p</w:t>
      </w:r>
      <w:r w:rsidRPr="0034420E">
        <w:t>osílil také meziroční růst mezispotřeby (1</w:t>
      </w:r>
      <w:r>
        <w:t>0</w:t>
      </w:r>
      <w:r w:rsidRPr="0034420E">
        <w:t>,</w:t>
      </w:r>
      <w:r>
        <w:t>8</w:t>
      </w:r>
      <w:r w:rsidRPr="0034420E">
        <w:t xml:space="preserve"> mld. Kč</w:t>
      </w:r>
      <w:r>
        <w:t>)</w:t>
      </w:r>
      <w:r w:rsidRPr="0034420E">
        <w:t>. Vysoká úroveň úrokových sazeb dál ovlivňovala přírůstek placených důchodů z vlastnictví (</w:t>
      </w:r>
      <w:r>
        <w:t>6,6</w:t>
      </w:r>
      <w:r w:rsidRPr="0034420E">
        <w:t xml:space="preserve"> mld. Kč). </w:t>
      </w:r>
      <w:r>
        <w:t>P</w:t>
      </w:r>
      <w:r w:rsidRPr="0034420E">
        <w:t>lacené ostatní běžné transfery</w:t>
      </w:r>
      <w:r>
        <w:t xml:space="preserve"> se meziročně zvýšily jen nepatrně</w:t>
      </w:r>
      <w:r w:rsidRPr="0034420E">
        <w:t xml:space="preserve"> (</w:t>
      </w:r>
      <w:r>
        <w:t>2,3</w:t>
      </w:r>
      <w:r w:rsidRPr="0034420E">
        <w:t xml:space="preserve"> mld. Kč). </w:t>
      </w:r>
      <w:r>
        <w:t>Podobně též výdaje</w:t>
      </w:r>
      <w:r w:rsidRPr="0034420E">
        <w:t xml:space="preserve"> na tvorbu hrubého kapitálu a čistého pořízení nevyráběných </w:t>
      </w:r>
      <w:r>
        <w:t>aktiv (</w:t>
      </w:r>
      <w:r w:rsidRPr="0034420E">
        <w:t>4</w:t>
      </w:r>
      <w:r>
        <w:t xml:space="preserve">,1 </w:t>
      </w:r>
      <w:r w:rsidRPr="0034420E">
        <w:t>mld. Kč</w:t>
      </w:r>
      <w:r>
        <w:t>)</w:t>
      </w:r>
      <w:r w:rsidRPr="0034420E">
        <w:t xml:space="preserve">. </w:t>
      </w:r>
      <w:r>
        <w:t>Ve 2. čtvrtletí i nadále klesaly</w:t>
      </w:r>
      <w:r w:rsidRPr="0034420E">
        <w:t xml:space="preserve"> kapitálové transfery (</w:t>
      </w:r>
      <w:r>
        <w:t>2,3</w:t>
      </w:r>
      <w:r w:rsidRPr="0034420E">
        <w:t> mld.</w:t>
      </w:r>
      <w:r>
        <w:t> </w:t>
      </w:r>
      <w:r w:rsidRPr="0034420E">
        <w:t>Kč).</w:t>
      </w:r>
    </w:p>
    <w:p w14:paraId="264DC8BC" w14:textId="66A83376" w:rsidR="00515379" w:rsidRPr="0034420E" w:rsidRDefault="00515379" w:rsidP="00515379">
      <w:pPr>
        <w:spacing w:after="120"/>
      </w:pPr>
      <w:r w:rsidRPr="00377444">
        <w:rPr>
          <w:b/>
        </w:rPr>
        <w:t>Deficit hospodaření ústředních vládních institucí</w:t>
      </w:r>
      <w:r w:rsidRPr="0034420E">
        <w:t xml:space="preserve"> se v</w:t>
      </w:r>
      <w:r>
        <w:t>e</w:t>
      </w:r>
      <w:r w:rsidRPr="0034420E">
        <w:t> </w:t>
      </w:r>
      <w:r>
        <w:t>2.</w:t>
      </w:r>
      <w:r w:rsidRPr="0034420E">
        <w:t xml:space="preserve"> čtvrtletí meziročně </w:t>
      </w:r>
      <w:r w:rsidRPr="00977DA4">
        <w:t xml:space="preserve">vylepšil o 46,8 mld. Kč na 25,1 mld. Kč. Na subsektor </w:t>
      </w:r>
      <w:r w:rsidR="00AA6744">
        <w:t xml:space="preserve">ústředních vládních institucí </w:t>
      </w:r>
      <w:r w:rsidRPr="00977DA4">
        <w:t>připadla většina navýšených vý</w:t>
      </w:r>
      <w:r w:rsidRPr="0034420E">
        <w:t>dajů vládních institucí (</w:t>
      </w:r>
      <w:r>
        <w:t>34,4</w:t>
      </w:r>
      <w:r w:rsidRPr="0034420E">
        <w:t xml:space="preserve"> mld. Kč, </w:t>
      </w:r>
      <w:r>
        <w:t>5,9</w:t>
      </w:r>
      <w:r w:rsidRPr="0034420E">
        <w:t xml:space="preserve"> %). Příjmy ústředních vládních institucí přes </w:t>
      </w:r>
      <w:r>
        <w:t>poměrně</w:t>
      </w:r>
      <w:r w:rsidRPr="0034420E">
        <w:t xml:space="preserve"> silný </w:t>
      </w:r>
      <w:r>
        <w:t xml:space="preserve">meziroční </w:t>
      </w:r>
      <w:r w:rsidRPr="0034420E">
        <w:t>nárůst (</w:t>
      </w:r>
      <w:r>
        <w:t>81,3</w:t>
      </w:r>
      <w:r w:rsidRPr="0034420E">
        <w:t> mld. Kč, 1</w:t>
      </w:r>
      <w:r>
        <w:t>5,8</w:t>
      </w:r>
      <w:r w:rsidRPr="0034420E">
        <w:t xml:space="preserve"> %) nestačily výdajovou stránku kompenzovat. K meziročnímu navýšení výdajů ústředních VI</w:t>
      </w:r>
      <w:r>
        <w:t xml:space="preserve"> přispěly</w:t>
      </w:r>
      <w:r w:rsidRPr="0034420E">
        <w:t xml:space="preserve"> sociální dávky a naturální sociální transfery (</w:t>
      </w:r>
      <w:r>
        <w:t>25,9</w:t>
      </w:r>
      <w:r w:rsidRPr="0034420E">
        <w:t xml:space="preserve"> mld.</w:t>
      </w:r>
      <w:r>
        <w:t xml:space="preserve"> Kč), vyplacené úroky (6,4 mld. Kč) a </w:t>
      </w:r>
      <w:r w:rsidRPr="0034420E">
        <w:t>dotace (</w:t>
      </w:r>
      <w:r>
        <w:t>6,3</w:t>
      </w:r>
      <w:r w:rsidRPr="0034420E">
        <w:t xml:space="preserve"> mld.</w:t>
      </w:r>
      <w:r>
        <w:t xml:space="preserve"> Kč</w:t>
      </w:r>
      <w:r w:rsidRPr="0034420E">
        <w:t>)</w:t>
      </w:r>
      <w:r>
        <w:t xml:space="preserve">. </w:t>
      </w:r>
      <w:r w:rsidRPr="0034420E">
        <w:t xml:space="preserve">Příjmy ústředních VI rostly zejména prostřednictvím přijatých </w:t>
      </w:r>
      <w:r>
        <w:t>úroků a dividend</w:t>
      </w:r>
      <w:r w:rsidRPr="0034420E">
        <w:t xml:space="preserve"> (</w:t>
      </w:r>
      <w:r>
        <w:t>40,4</w:t>
      </w:r>
      <w:r w:rsidRPr="0034420E">
        <w:t xml:space="preserve"> mld. Kč), </w:t>
      </w:r>
      <w:r>
        <w:t xml:space="preserve">daní z příjmu (18,4 mld. Kč) a </w:t>
      </w:r>
      <w:r w:rsidRPr="0034420E">
        <w:t>přijatých čistých sociálních příspěvků (</w:t>
      </w:r>
      <w:r>
        <w:t>13,4</w:t>
      </w:r>
      <w:r w:rsidRPr="0034420E">
        <w:t xml:space="preserve"> mld.</w:t>
      </w:r>
      <w:r>
        <w:t xml:space="preserve"> Kč)</w:t>
      </w:r>
      <w:r w:rsidRPr="0034420E">
        <w:t xml:space="preserve">. </w:t>
      </w:r>
    </w:p>
    <w:p w14:paraId="111A8B26" w14:textId="77777777" w:rsidR="00515379" w:rsidRPr="0034420E" w:rsidRDefault="00515379" w:rsidP="00515379">
      <w:pPr>
        <w:pStyle w:val="TabulkaGraf"/>
      </w:pPr>
      <w:r w:rsidRPr="0034420E">
        <w:t>Graf 3: Saldo hospodaření vládních institucí (v mld. Kč)</w:t>
      </w:r>
    </w:p>
    <w:p w14:paraId="4258E2C8" w14:textId="3138B38C" w:rsidR="00515379" w:rsidRPr="0034420E" w:rsidRDefault="00C24735" w:rsidP="00515379">
      <w:pPr>
        <w:jc w:val="left"/>
        <w:rPr>
          <w:noProof/>
          <w:lang w:eastAsia="cs-CZ"/>
        </w:rPr>
      </w:pPr>
      <w:r>
        <w:rPr>
          <w:noProof/>
          <w:lang w:val="en-US"/>
        </w:rPr>
        <w:drawing>
          <wp:inline distT="0" distB="0" distL="0" distR="0" wp14:anchorId="674CC6B7" wp14:editId="07AB9FEB">
            <wp:extent cx="5400040" cy="3098800"/>
            <wp:effectExtent l="0" t="0" r="0" b="635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15379" w:rsidRPr="0034420E">
        <w:rPr>
          <w:noProof/>
          <w:lang w:eastAsia="cs-CZ"/>
        </w:rPr>
        <w:t xml:space="preserve"> </w:t>
      </w:r>
    </w:p>
    <w:p w14:paraId="6700F26A" w14:textId="77777777" w:rsidR="00515379" w:rsidRPr="0034420E" w:rsidRDefault="00515379" w:rsidP="00515379">
      <w:pPr>
        <w:spacing w:after="120"/>
        <w:jc w:val="left"/>
      </w:pPr>
      <w:r w:rsidRPr="0034420E">
        <w:t>Zdroj: ČSÚ, národní účty</w:t>
      </w:r>
    </w:p>
    <w:p w14:paraId="2A60AB98" w14:textId="77777777" w:rsidR="00515379" w:rsidRPr="0034420E" w:rsidRDefault="00515379" w:rsidP="00515379">
      <w:pPr>
        <w:spacing w:after="120"/>
      </w:pPr>
      <w:r w:rsidRPr="00377444">
        <w:rPr>
          <w:b/>
        </w:rPr>
        <w:t>Místní vládní instituce</w:t>
      </w:r>
      <w:r w:rsidRPr="0034420E">
        <w:t xml:space="preserve"> v</w:t>
      </w:r>
      <w:r>
        <w:t>e</w:t>
      </w:r>
      <w:r w:rsidRPr="0034420E">
        <w:t xml:space="preserve"> </w:t>
      </w:r>
      <w:r>
        <w:t>2.</w:t>
      </w:r>
      <w:r w:rsidRPr="0034420E">
        <w:t xml:space="preserve"> čtvrtletí </w:t>
      </w:r>
      <w:r w:rsidRPr="00977DA4">
        <w:t>hospodařily se značným přebytkem 50,7 mld. Kč. Ovšem kladné saldo bylo meziročně nižší o 16,0 mld. Kč. Meziroční růst výdajů subsektoru (22,3 mld. Kč, 10,7 %) překonal navýšení výdajů (6,2 mld. Kč, 2,3 %). Na</w:t>
      </w:r>
      <w:r w:rsidRPr="0034420E">
        <w:t xml:space="preserve"> straně příjmů v</w:t>
      </w:r>
      <w:r>
        <w:t>e</w:t>
      </w:r>
      <w:r w:rsidRPr="0034420E">
        <w:t xml:space="preserve"> </w:t>
      </w:r>
      <w:r>
        <w:t>2.</w:t>
      </w:r>
      <w:r w:rsidRPr="0034420E">
        <w:t xml:space="preserve"> čtvrtletí meziročně rostly přijaté běžné daně z </w:t>
      </w:r>
      <w:r>
        <w:t>příjmu</w:t>
      </w:r>
      <w:r w:rsidRPr="0034420E">
        <w:t xml:space="preserve"> (</w:t>
      </w:r>
      <w:r>
        <w:t>3,9</w:t>
      </w:r>
      <w:r w:rsidRPr="0034420E">
        <w:t xml:space="preserve"> mld.</w:t>
      </w:r>
      <w:r>
        <w:t xml:space="preserve"> Kč</w:t>
      </w:r>
      <w:r w:rsidRPr="0034420E">
        <w:t>)</w:t>
      </w:r>
      <w:r>
        <w:t>, h</w:t>
      </w:r>
      <w:r w:rsidRPr="00C0329D">
        <w:t>odnota tržní produkce pro vlastní užití a platby za ostatní netržní produkci</w:t>
      </w:r>
      <w:r w:rsidRPr="0034420E">
        <w:t xml:space="preserve"> </w:t>
      </w:r>
      <w:r>
        <w:t xml:space="preserve">(3,8 mld. Kč) </w:t>
      </w:r>
      <w:r w:rsidRPr="0034420E">
        <w:t xml:space="preserve">a </w:t>
      </w:r>
      <w:r>
        <w:t xml:space="preserve">přijaté úroky a dividendy </w:t>
      </w:r>
      <w:r w:rsidRPr="0034420E">
        <w:t>(</w:t>
      </w:r>
      <w:r>
        <w:t>2,3</w:t>
      </w:r>
      <w:r w:rsidRPr="0034420E">
        <w:t> mld.</w:t>
      </w:r>
      <w:r>
        <w:t xml:space="preserve"> Kč</w:t>
      </w:r>
      <w:r w:rsidRPr="0034420E">
        <w:t>).</w:t>
      </w:r>
      <w:r w:rsidRPr="00C0329D">
        <w:t xml:space="preserve"> </w:t>
      </w:r>
      <w:r w:rsidRPr="0034420E">
        <w:t>Na straně výdajů místních VI nejvíce meziročně rostl</w:t>
      </w:r>
      <w:r>
        <w:t>a</w:t>
      </w:r>
      <w:r w:rsidRPr="0034420E">
        <w:t xml:space="preserve"> tvorba hrubého kapitálu a čisté pořízení nevyráběných aktiv (</w:t>
      </w:r>
      <w:r>
        <w:t>9,2</w:t>
      </w:r>
      <w:r w:rsidRPr="0034420E">
        <w:t xml:space="preserve"> mld. Kč)</w:t>
      </w:r>
      <w:r>
        <w:t>, náhrady zaměstnancům (7,2</w:t>
      </w:r>
      <w:r w:rsidRPr="0034420E">
        <w:t xml:space="preserve"> mld. Kč)</w:t>
      </w:r>
      <w:r>
        <w:t xml:space="preserve"> a</w:t>
      </w:r>
      <w:r w:rsidRPr="0034420E">
        <w:t xml:space="preserve"> mezispotřeba (</w:t>
      </w:r>
      <w:r>
        <w:t>5,7 </w:t>
      </w:r>
      <w:r w:rsidRPr="0034420E">
        <w:t>mld.</w:t>
      </w:r>
      <w:r>
        <w:t> Kč</w:t>
      </w:r>
      <w:r w:rsidRPr="0034420E">
        <w:t>).</w:t>
      </w:r>
    </w:p>
    <w:p w14:paraId="59A3ACF3" w14:textId="77777777" w:rsidR="00515379" w:rsidRPr="0034420E" w:rsidRDefault="00515379" w:rsidP="00515379">
      <w:pPr>
        <w:spacing w:after="120"/>
      </w:pPr>
      <w:r w:rsidRPr="00C16185">
        <w:rPr>
          <w:b/>
        </w:rPr>
        <w:lastRenderedPageBreak/>
        <w:t>Fondy sociálního zabezpečení</w:t>
      </w:r>
      <w:r w:rsidRPr="0034420E">
        <w:t xml:space="preserve"> (zdravotní pojišťovny) v</w:t>
      </w:r>
      <w:r>
        <w:t>e</w:t>
      </w:r>
      <w:r w:rsidRPr="0034420E">
        <w:t xml:space="preserve"> </w:t>
      </w:r>
      <w:r>
        <w:t>2.</w:t>
      </w:r>
      <w:r w:rsidRPr="0034420E">
        <w:t xml:space="preserve"> </w:t>
      </w:r>
      <w:r w:rsidRPr="00977DA4">
        <w:t>čtvrtletí hospodařily s mírným přebytkem 1,3 mld. Kč. Kladné saldo bylo meziročně menší o 6,1 mld</w:t>
      </w:r>
      <w:r w:rsidRPr="0034420E">
        <w:t>. Kč. Výdaje zdravotních pojišťoven (</w:t>
      </w:r>
      <w:r>
        <w:t>10,7</w:t>
      </w:r>
      <w:r w:rsidRPr="0034420E">
        <w:t xml:space="preserve"> mld. Kč, </w:t>
      </w:r>
      <w:r>
        <w:t>10,3</w:t>
      </w:r>
      <w:r w:rsidRPr="0034420E">
        <w:t xml:space="preserve"> %) meziročně rost</w:t>
      </w:r>
      <w:r>
        <w:t>ly rychleji než jejich příjmy (4</w:t>
      </w:r>
      <w:r w:rsidRPr="0034420E">
        <w:t>,6 mld.</w:t>
      </w:r>
      <w:r>
        <w:t xml:space="preserve"> Kč</w:t>
      </w:r>
      <w:r w:rsidRPr="0034420E">
        <w:t xml:space="preserve">, </w:t>
      </w:r>
      <w:r>
        <w:t>4,1</w:t>
      </w:r>
      <w:r w:rsidRPr="0034420E">
        <w:t xml:space="preserve"> %). Na straně výdajů se hodnota ostatních běžných transferů zvýšila o </w:t>
      </w:r>
      <w:r>
        <w:t>6,4</w:t>
      </w:r>
      <w:r w:rsidRPr="0034420E">
        <w:t xml:space="preserve"> mld. Kč a </w:t>
      </w:r>
      <w:r>
        <w:t>objem</w:t>
      </w:r>
      <w:r w:rsidRPr="0034420E">
        <w:t xml:space="preserve"> naturálních sociálních transferů posílil na </w:t>
      </w:r>
      <w:r>
        <w:t>4,7</w:t>
      </w:r>
      <w:r w:rsidRPr="0034420E">
        <w:t xml:space="preserve"> mld.</w:t>
      </w:r>
      <w:r>
        <w:t xml:space="preserve"> Kč.</w:t>
      </w:r>
      <w:r w:rsidRPr="0034420E">
        <w:t xml:space="preserve"> Hlavní zdroj jejich příjmů, kterým jsou přijaté čisté sociální příspěvky, vzrostl o </w:t>
      </w:r>
      <w:r>
        <w:t>4,5</w:t>
      </w:r>
      <w:r w:rsidRPr="0034420E">
        <w:t xml:space="preserve"> mld. Kč.  </w:t>
      </w:r>
    </w:p>
    <w:p w14:paraId="772ED219" w14:textId="06576824" w:rsidR="00515379" w:rsidRPr="0034420E" w:rsidRDefault="00515379" w:rsidP="00515379">
      <w:pPr>
        <w:spacing w:after="120"/>
      </w:pPr>
      <w:r w:rsidRPr="005600D6">
        <w:rPr>
          <w:b/>
        </w:rPr>
        <w:t>Dluh sektoru vládních institucí</w:t>
      </w:r>
      <w:r w:rsidRPr="0034420E">
        <w:t xml:space="preserve"> v</w:t>
      </w:r>
      <w:r>
        <w:t>e</w:t>
      </w:r>
      <w:r w:rsidRPr="0034420E">
        <w:t xml:space="preserve"> </w:t>
      </w:r>
      <w:r>
        <w:t>2.</w:t>
      </w:r>
      <w:r w:rsidRPr="0034420E">
        <w:t xml:space="preserve"> čtvrtletí </w:t>
      </w:r>
      <w:r w:rsidRPr="00977DA4">
        <w:t>2023 dosáhl 3 150,7 mld. Kč</w:t>
      </w:r>
      <w:r w:rsidRPr="0034420E">
        <w:rPr>
          <w:rStyle w:val="Znakapoznpodarou"/>
        </w:rPr>
        <w:footnoteReference w:id="11"/>
      </w:r>
      <w:r w:rsidRPr="0034420E">
        <w:t xml:space="preserve"> a meziročně vzrostl o </w:t>
      </w:r>
      <w:r>
        <w:t>357,0</w:t>
      </w:r>
      <w:r w:rsidRPr="0034420E">
        <w:t xml:space="preserve"> mld.</w:t>
      </w:r>
      <w:r>
        <w:t xml:space="preserve"> Kč.</w:t>
      </w:r>
      <w:r w:rsidRPr="0034420E">
        <w:t xml:space="preserve"> </w:t>
      </w:r>
      <w:r w:rsidRPr="005600D6">
        <w:rPr>
          <w:b/>
        </w:rPr>
        <w:t xml:space="preserve">Míra zadlužení vládních institucí </w:t>
      </w:r>
      <w:r w:rsidR="00F87F25">
        <w:t>vzrostla</w:t>
      </w:r>
      <w:r w:rsidRPr="00977DA4">
        <w:t xml:space="preserve"> meziročně o 0,8 p. b. na</w:t>
      </w:r>
      <w:r w:rsidRPr="0034420E">
        <w:t xml:space="preserve"> 44,</w:t>
      </w:r>
      <w:r>
        <w:t>3</w:t>
      </w:r>
      <w:r w:rsidRPr="0034420E">
        <w:t xml:space="preserve"> % HDP. </w:t>
      </w:r>
      <w:r w:rsidR="00F87F25" w:rsidRPr="00F87F25">
        <w:t>Zvýšení nominálního dluhu by samo o sobě vedlo k růstu relativního zadlužení</w:t>
      </w:r>
      <w:r w:rsidR="00F87F25">
        <w:t xml:space="preserve"> (vůči HDP)</w:t>
      </w:r>
      <w:r w:rsidR="00F87F25" w:rsidRPr="00F87F25">
        <w:t xml:space="preserve"> o 5 p. b., nicméně v opačném směru působil</w:t>
      </w:r>
      <w:r w:rsidR="00EA1C8F">
        <w:t xml:space="preserve"> nominální</w:t>
      </w:r>
      <w:r w:rsidR="00F87F25" w:rsidRPr="00F87F25">
        <w:t xml:space="preserve"> růst HDP. Ten růst ukazatele relativního zadlužení přibrzdil o 4,2 p. b. na výsledný růst o 0,8 p. b.</w:t>
      </w:r>
      <w:r w:rsidR="00F87F25">
        <w:t xml:space="preserve"> </w:t>
      </w:r>
      <w:r w:rsidRPr="0034420E">
        <w:t xml:space="preserve">Dluh se meziročně zvyšoval především prostřednictvím nárůstu objemu dluhových cenných papírů o </w:t>
      </w:r>
      <w:r>
        <w:t xml:space="preserve">350,5 </w:t>
      </w:r>
      <w:r w:rsidRPr="0034420E">
        <w:t>mld. Kč. Z toho objem dlouhodobých dluhopisů vzrostl o </w:t>
      </w:r>
      <w:r>
        <w:t>292,6</w:t>
      </w:r>
      <w:r w:rsidRPr="0034420E">
        <w:t xml:space="preserve"> mld. Kč a u </w:t>
      </w:r>
      <w:r>
        <w:t>t</w:t>
      </w:r>
      <w:r w:rsidRPr="0034420E">
        <w:t>ěch krátkodobých o 5</w:t>
      </w:r>
      <w:r>
        <w:t>7,9</w:t>
      </w:r>
      <w:r w:rsidRPr="0034420E">
        <w:t xml:space="preserve"> mld.</w:t>
      </w:r>
      <w:r>
        <w:t xml:space="preserve"> Kč.</w:t>
      </w:r>
      <w:r w:rsidRPr="0034420E">
        <w:t xml:space="preserve"> Krátkodobé půjčky se meziročně </w:t>
      </w:r>
      <w:r>
        <w:t xml:space="preserve">snížily </w:t>
      </w:r>
      <w:r w:rsidRPr="0034420E">
        <w:t>o </w:t>
      </w:r>
      <w:r>
        <w:t>66,1</w:t>
      </w:r>
      <w:r w:rsidRPr="0034420E">
        <w:t xml:space="preserve"> mld. Kč a dlouhodobé </w:t>
      </w:r>
      <w:r>
        <w:t>se naopak zvýšily o </w:t>
      </w:r>
      <w:r w:rsidRPr="0034420E">
        <w:t>5</w:t>
      </w:r>
      <w:r>
        <w:t>7,1 </w:t>
      </w:r>
      <w:r w:rsidRPr="0034420E">
        <w:t>mld.</w:t>
      </w:r>
      <w:r>
        <w:t xml:space="preserve"> Kč.</w:t>
      </w:r>
      <w:r w:rsidRPr="0034420E">
        <w:t xml:space="preserve"> Objem oběživa a vkladů byl meziročně vyšší o 15,</w:t>
      </w:r>
      <w:r>
        <w:t>6</w:t>
      </w:r>
      <w:r w:rsidRPr="0034420E">
        <w:t xml:space="preserve"> mld. Kč. </w:t>
      </w:r>
    </w:p>
    <w:p w14:paraId="5A3EF188" w14:textId="39FA82AF" w:rsidR="00515379" w:rsidRPr="0034420E" w:rsidRDefault="00515379" w:rsidP="00515379">
      <w:pPr>
        <w:pStyle w:val="TabulkaGraf"/>
        <w:spacing w:after="120"/>
      </w:pPr>
      <w:r w:rsidRPr="0034420E">
        <w:t xml:space="preserve">Graf 4: </w:t>
      </w:r>
      <w:r w:rsidR="003E3415">
        <w:t>Meziroční změna d</w:t>
      </w:r>
      <w:r w:rsidRPr="0034420E">
        <w:t>luh</w:t>
      </w:r>
      <w:r w:rsidR="003E3415">
        <w:t>u</w:t>
      </w:r>
      <w:r w:rsidRPr="0034420E">
        <w:t xml:space="preserve"> sektoru vládních institucí a je</w:t>
      </w:r>
      <w:r w:rsidR="003E3415">
        <w:t>jí</w:t>
      </w:r>
      <w:r w:rsidRPr="0034420E">
        <w:t xml:space="preserve"> struktura (v mld. </w:t>
      </w:r>
      <w:r w:rsidR="003E3415">
        <w:t>Kč</w:t>
      </w:r>
      <w:r w:rsidRPr="0034420E">
        <w:t>)</w:t>
      </w:r>
    </w:p>
    <w:p w14:paraId="3BC4D057" w14:textId="29613FCF" w:rsidR="00515379" w:rsidRPr="0034420E" w:rsidRDefault="003E3415" w:rsidP="003E3415">
      <w:pPr>
        <w:spacing w:after="120"/>
        <w:jc w:val="left"/>
      </w:pPr>
      <w:r>
        <w:rPr>
          <w:noProof/>
          <w:lang w:val="en-US"/>
        </w:rPr>
        <w:drawing>
          <wp:inline distT="0" distB="0" distL="0" distR="0" wp14:anchorId="12D9AF02" wp14:editId="52CF4DD8">
            <wp:extent cx="5400040" cy="2880360"/>
            <wp:effectExtent l="0" t="0" r="0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795C98" w14:textId="77777777" w:rsidR="00515379" w:rsidRPr="0034420E" w:rsidRDefault="00515379" w:rsidP="00515379">
      <w:pPr>
        <w:spacing w:after="120"/>
        <w:jc w:val="left"/>
        <w:rPr>
          <w:rFonts w:eastAsia="Times New Roman"/>
          <w:b/>
          <w:bCs/>
          <w:szCs w:val="28"/>
        </w:rPr>
      </w:pPr>
      <w:r w:rsidRPr="0034420E">
        <w:t>Zdroj: ČSÚ, národní účty</w:t>
      </w:r>
    </w:p>
    <w:p w14:paraId="77335F9E" w14:textId="77777777" w:rsidR="00515379" w:rsidRDefault="00515379" w:rsidP="00515379">
      <w:pPr>
        <w:spacing w:after="120"/>
      </w:pPr>
    </w:p>
    <w:p w14:paraId="301CA078" w14:textId="175D73E2" w:rsidR="00F50CEF" w:rsidRPr="004A7107" w:rsidRDefault="00F50CEF" w:rsidP="000302A6">
      <w:pPr>
        <w:pStyle w:val="Nadpis1"/>
        <w:spacing w:after="120"/>
      </w:pPr>
      <w:r w:rsidRPr="004A7107">
        <w:lastRenderedPageBreak/>
        <w:t>Domácnosti</w:t>
      </w:r>
    </w:p>
    <w:p w14:paraId="482AC57E" w14:textId="58803371" w:rsidR="00E83134" w:rsidRPr="003976E3" w:rsidRDefault="007C3D04" w:rsidP="005D42E5">
      <w:pPr>
        <w:spacing w:after="120"/>
        <w:rPr>
          <w:highlight w:val="yellow"/>
        </w:rPr>
      </w:pPr>
      <w:r w:rsidRPr="00FE3328">
        <w:t xml:space="preserve">Příjmy domácností reprezentované </w:t>
      </w:r>
      <w:r w:rsidRPr="00AA1E9D">
        <w:rPr>
          <w:b/>
        </w:rPr>
        <w:t>hrubým disponibilním důchodem</w:t>
      </w:r>
      <w:r w:rsidRPr="00FE3328">
        <w:t xml:space="preserve"> (</w:t>
      </w:r>
      <w:r w:rsidR="00BC09C7" w:rsidRPr="00FE3328">
        <w:t>HDD) v</w:t>
      </w:r>
      <w:r w:rsidR="00FE3328" w:rsidRPr="00FE3328">
        <w:t>e</w:t>
      </w:r>
      <w:r w:rsidR="00BC09C7" w:rsidRPr="00FE3328">
        <w:t xml:space="preserve"> </w:t>
      </w:r>
      <w:r w:rsidR="00FE3328" w:rsidRPr="00FE3328">
        <w:t>2</w:t>
      </w:r>
      <w:r w:rsidR="00BC09C7" w:rsidRPr="00FE3328">
        <w:t>. čtvrtletí</w:t>
      </w:r>
      <w:r w:rsidRPr="00FE3328">
        <w:t xml:space="preserve"> 2023 </w:t>
      </w:r>
      <w:r w:rsidR="00FE3328" w:rsidRPr="00FE3328">
        <w:t xml:space="preserve">vzrostly </w:t>
      </w:r>
      <w:r w:rsidRPr="00FE3328">
        <w:t xml:space="preserve">meziročně o </w:t>
      </w:r>
      <w:r w:rsidR="00FE3328" w:rsidRPr="00FE3328">
        <w:t>81,2</w:t>
      </w:r>
      <w:r w:rsidRPr="00FE3328">
        <w:t xml:space="preserve"> mld.</w:t>
      </w:r>
      <w:r w:rsidR="00FE3328" w:rsidRPr="00FE3328">
        <w:t xml:space="preserve"> Kč</w:t>
      </w:r>
      <w:r w:rsidRPr="00FE3328">
        <w:t xml:space="preserve"> (</w:t>
      </w:r>
      <w:r w:rsidR="00FE3328" w:rsidRPr="00FE3328">
        <w:t xml:space="preserve">tj. </w:t>
      </w:r>
      <w:r w:rsidR="00FE3328" w:rsidRPr="001E05D9">
        <w:t xml:space="preserve">o </w:t>
      </w:r>
      <w:r w:rsidRPr="001E05D9">
        <w:t>9</w:t>
      </w:r>
      <w:r w:rsidR="00FE3328" w:rsidRPr="001E05D9">
        <w:t>,1 </w:t>
      </w:r>
      <w:r w:rsidRPr="001E05D9">
        <w:t xml:space="preserve">%). </w:t>
      </w:r>
      <w:r w:rsidR="004E69CE" w:rsidRPr="001E05D9">
        <w:t>Stejně jako ve všech předchozích čtvrtletích od 1</w:t>
      </w:r>
      <w:r w:rsidR="007268B5">
        <w:t xml:space="preserve">. čtvrtletí </w:t>
      </w:r>
      <w:r w:rsidR="004E69CE" w:rsidRPr="001E05D9">
        <w:t>2022 nestačil tento n</w:t>
      </w:r>
      <w:r w:rsidRPr="001E05D9">
        <w:t xml:space="preserve">ominální </w:t>
      </w:r>
      <w:r w:rsidR="004E69CE" w:rsidRPr="001E05D9">
        <w:t>růst na p</w:t>
      </w:r>
      <w:r w:rsidRPr="001E05D9">
        <w:t xml:space="preserve">okrytí růstu cenové hladiny, takže reálně HDD domácností klesl meziročně o </w:t>
      </w:r>
      <w:r w:rsidR="004E69CE" w:rsidRPr="001E05D9">
        <w:t>1,1 </w:t>
      </w:r>
      <w:r w:rsidRPr="001E05D9">
        <w:t>%</w:t>
      </w:r>
      <w:r w:rsidRPr="001E05D9">
        <w:rPr>
          <w:rStyle w:val="Znakapoznpodarou"/>
        </w:rPr>
        <w:footnoteReference w:id="12"/>
      </w:r>
      <w:r w:rsidRPr="001E05D9">
        <w:t>.</w:t>
      </w:r>
      <w:r w:rsidR="00A7484D" w:rsidRPr="001E05D9">
        <w:t xml:space="preserve"> Podle sezónně očištěných údajů se HDD domácností mezičtvrtletně </w:t>
      </w:r>
      <w:r w:rsidR="001E05D9" w:rsidRPr="001E05D9">
        <w:t xml:space="preserve">nominálně </w:t>
      </w:r>
      <w:r w:rsidR="00A7484D" w:rsidRPr="001E05D9">
        <w:t xml:space="preserve">zvýšil o </w:t>
      </w:r>
      <w:r w:rsidR="001E05D9" w:rsidRPr="001E05D9">
        <w:t>18,9</w:t>
      </w:r>
      <w:r w:rsidR="00A7484D" w:rsidRPr="001E05D9">
        <w:t xml:space="preserve"> mld. </w:t>
      </w:r>
      <w:r w:rsidR="00E17DC9">
        <w:t>Kč</w:t>
      </w:r>
      <w:r w:rsidR="00A7484D" w:rsidRPr="001E05D9">
        <w:t xml:space="preserve"> (</w:t>
      </w:r>
      <w:r w:rsidR="001E05D9" w:rsidRPr="001E05D9">
        <w:t>tj. o 1</w:t>
      </w:r>
      <w:r w:rsidR="00A7484D" w:rsidRPr="001E05D9">
        <w:t>,9</w:t>
      </w:r>
      <w:r w:rsidR="00E83134" w:rsidRPr="001E05D9">
        <w:t> </w:t>
      </w:r>
      <w:r w:rsidR="00A7484D" w:rsidRPr="001E05D9">
        <w:t>%)</w:t>
      </w:r>
      <w:r w:rsidR="001E05D9" w:rsidRPr="001E05D9">
        <w:t xml:space="preserve">, reálně vzrostl </w:t>
      </w:r>
      <w:r w:rsidR="007268B5">
        <w:t>o </w:t>
      </w:r>
      <w:r w:rsidR="00E83134" w:rsidRPr="001E05D9">
        <w:t>2</w:t>
      </w:r>
      <w:r w:rsidR="00A7484D" w:rsidRPr="001E05D9">
        <w:t>,</w:t>
      </w:r>
      <w:r w:rsidR="001E05D9" w:rsidRPr="001E05D9">
        <w:t>2</w:t>
      </w:r>
      <w:r w:rsidR="00A7484D" w:rsidRPr="001E05D9">
        <w:t xml:space="preserve"> %.</w:t>
      </w:r>
    </w:p>
    <w:p w14:paraId="6C6E8897" w14:textId="5FE93B3B" w:rsidR="003F18C0" w:rsidRPr="003A3056" w:rsidRDefault="00E83134" w:rsidP="005D42E5">
      <w:pPr>
        <w:spacing w:after="120"/>
      </w:pPr>
      <w:r w:rsidRPr="00874047">
        <w:t>Domácnostem v</w:t>
      </w:r>
      <w:r w:rsidR="00874047" w:rsidRPr="00874047">
        <w:t>e</w:t>
      </w:r>
      <w:r w:rsidRPr="00874047">
        <w:t> </w:t>
      </w:r>
      <w:r w:rsidR="00874047" w:rsidRPr="00874047">
        <w:t>2</w:t>
      </w:r>
      <w:r w:rsidRPr="00874047">
        <w:t xml:space="preserve">. čtvrtletí náleželo </w:t>
      </w:r>
      <w:r w:rsidR="00874047" w:rsidRPr="00874047">
        <w:t>622,2</w:t>
      </w:r>
      <w:r w:rsidRPr="00874047">
        <w:t xml:space="preserve"> mld. </w:t>
      </w:r>
      <w:r w:rsidR="00E17DC9">
        <w:t>Kč</w:t>
      </w:r>
      <w:r w:rsidRPr="00874047">
        <w:t xml:space="preserve"> ve formě </w:t>
      </w:r>
      <w:r w:rsidRPr="00AA1E9D">
        <w:rPr>
          <w:b/>
        </w:rPr>
        <w:t>m</w:t>
      </w:r>
      <w:r w:rsidR="002421E0" w:rsidRPr="00AA1E9D">
        <w:rPr>
          <w:b/>
        </w:rPr>
        <w:t>e</w:t>
      </w:r>
      <w:r w:rsidRPr="00AA1E9D">
        <w:rPr>
          <w:b/>
        </w:rPr>
        <w:t>zd a platů</w:t>
      </w:r>
      <w:r w:rsidRPr="00874047">
        <w:t>. Meziročně se mzdy a platy nominálně zvýšily o 5</w:t>
      </w:r>
      <w:r w:rsidR="00874047" w:rsidRPr="00874047">
        <w:t>0,7</w:t>
      </w:r>
      <w:r w:rsidRPr="00874047">
        <w:t xml:space="preserve"> mld. </w:t>
      </w:r>
      <w:r w:rsidR="00E17DC9">
        <w:t>Kč</w:t>
      </w:r>
      <w:r w:rsidRPr="00874047">
        <w:t xml:space="preserve"> (</w:t>
      </w:r>
      <w:r w:rsidR="00874047" w:rsidRPr="00874047">
        <w:t>tj. o 8,9</w:t>
      </w:r>
      <w:r w:rsidRPr="00874047">
        <w:t xml:space="preserve"> %).</w:t>
      </w:r>
      <w:r w:rsidR="0043466C" w:rsidRPr="00874047">
        <w:t xml:space="preserve"> Reálně </w:t>
      </w:r>
      <w:r w:rsidR="000B5C75">
        <w:t xml:space="preserve">ale </w:t>
      </w:r>
      <w:r w:rsidR="0043466C" w:rsidRPr="00874047">
        <w:t xml:space="preserve">došlo </w:t>
      </w:r>
      <w:r w:rsidR="000B5C75">
        <w:t xml:space="preserve">meziročně </w:t>
      </w:r>
      <w:r w:rsidR="0043466C" w:rsidRPr="00874047">
        <w:t xml:space="preserve">k jejich poklesu o </w:t>
      </w:r>
      <w:r w:rsidR="00874047" w:rsidRPr="00874047">
        <w:t>1,3</w:t>
      </w:r>
      <w:r w:rsidR="0043466C" w:rsidRPr="00874047">
        <w:t xml:space="preserve"> %</w:t>
      </w:r>
      <w:r w:rsidR="00874047" w:rsidRPr="00874047">
        <w:rPr>
          <w:rStyle w:val="Znakapoznpodarou"/>
        </w:rPr>
        <w:footnoteReference w:id="13"/>
      </w:r>
      <w:r w:rsidR="0043466C" w:rsidRPr="00874047">
        <w:t xml:space="preserve">. </w:t>
      </w:r>
      <w:r w:rsidR="000B5C75">
        <w:t xml:space="preserve">Velmi podobný obrázek o vývoji příjmů zaměstnanců ve 2. čtvrtletí nabízí i ukazatel náhrady zaměstnancům, meziročně nominálně vzrostly o 8,5 %, reálně poklesly o 1,6 %, </w:t>
      </w:r>
      <w:r w:rsidR="00C97261">
        <w:t xml:space="preserve">ale </w:t>
      </w:r>
      <w:r w:rsidR="000B5C75">
        <w:t xml:space="preserve">mezičtvrtletně byly o 1,9 % vyšší. </w:t>
      </w:r>
      <w:r w:rsidR="003D22F2" w:rsidRPr="00AA1E9D">
        <w:rPr>
          <w:b/>
        </w:rPr>
        <w:t>Hrubý smíšený důchod</w:t>
      </w:r>
      <w:r w:rsidR="003D22F2" w:rsidRPr="008605AF">
        <w:rPr>
          <w:rStyle w:val="Znakapoznpodarou"/>
        </w:rPr>
        <w:footnoteReference w:id="14"/>
      </w:r>
      <w:r w:rsidR="003D22F2" w:rsidRPr="008605AF">
        <w:t xml:space="preserve"> podnikatelů zařazených do sektoru domácností </w:t>
      </w:r>
      <w:r w:rsidR="0043466C" w:rsidRPr="008605AF">
        <w:t>dosáhl 1</w:t>
      </w:r>
      <w:r w:rsidR="008605AF" w:rsidRPr="008605AF">
        <w:t>45,6 </w:t>
      </w:r>
      <w:r w:rsidR="0043466C" w:rsidRPr="008605AF">
        <w:t xml:space="preserve">mld. </w:t>
      </w:r>
      <w:r w:rsidR="00E17DC9">
        <w:t>Kč</w:t>
      </w:r>
      <w:r w:rsidR="0043466C" w:rsidRPr="008605AF">
        <w:t xml:space="preserve"> a mez</w:t>
      </w:r>
      <w:r w:rsidR="005F3961" w:rsidRPr="008605AF">
        <w:t xml:space="preserve">iročně </w:t>
      </w:r>
      <w:r w:rsidR="00C97261">
        <w:t xml:space="preserve">nominálně </w:t>
      </w:r>
      <w:r w:rsidR="008605AF" w:rsidRPr="008605AF">
        <w:t>klesl o 3,7 </w:t>
      </w:r>
      <w:r w:rsidR="005F3961" w:rsidRPr="008605AF">
        <w:t>mld.</w:t>
      </w:r>
      <w:r w:rsidR="008605AF" w:rsidRPr="008605AF">
        <w:t xml:space="preserve"> Kč</w:t>
      </w:r>
      <w:r w:rsidR="00C97261">
        <w:t xml:space="preserve"> (tj. o </w:t>
      </w:r>
      <w:r w:rsidR="008605AF" w:rsidRPr="008605AF">
        <w:t>2,5 %).</w:t>
      </w:r>
      <w:r w:rsidR="00337EDB" w:rsidRPr="008605AF">
        <w:t xml:space="preserve"> </w:t>
      </w:r>
      <w:r w:rsidR="00780EC4">
        <w:t>Stejně jako v </w:t>
      </w:r>
      <w:r w:rsidR="008605AF" w:rsidRPr="008605AF">
        <w:t xml:space="preserve">předchozích čtvrtletích tempo růstu příjmu drobných podnikatelů </w:t>
      </w:r>
      <w:r w:rsidR="002421E0" w:rsidRPr="008605AF">
        <w:t>zaostával</w:t>
      </w:r>
      <w:r w:rsidR="008605AF" w:rsidRPr="008605AF">
        <w:t>o</w:t>
      </w:r>
      <w:r w:rsidR="002421E0" w:rsidRPr="008605AF">
        <w:t xml:space="preserve"> za dynamikou příjmů zaměstnanců.</w:t>
      </w:r>
      <w:r w:rsidR="008605AF" w:rsidRPr="008605AF">
        <w:t xml:space="preserve"> V tomto čtvrtletí se nůžky rozevřely ještě </w:t>
      </w:r>
      <w:r w:rsidR="008605AF" w:rsidRPr="00C97261">
        <w:t>více.</w:t>
      </w:r>
      <w:r w:rsidR="002421E0" w:rsidRPr="00C97261">
        <w:t xml:space="preserve"> </w:t>
      </w:r>
      <w:r w:rsidR="00337EDB" w:rsidRPr="00C97261">
        <w:t xml:space="preserve">Mezičtvrtletně </w:t>
      </w:r>
      <w:r w:rsidR="007C1631" w:rsidRPr="00C97261">
        <w:t xml:space="preserve">poklesl </w:t>
      </w:r>
      <w:r w:rsidR="009A5C79" w:rsidRPr="00C97261">
        <w:t>hrubý smíšený důchod</w:t>
      </w:r>
      <w:r w:rsidR="002421E0" w:rsidRPr="00C97261">
        <w:t xml:space="preserve"> </w:t>
      </w:r>
      <w:r w:rsidR="00C97261" w:rsidRPr="00C97261">
        <w:t xml:space="preserve">nominálně o 0,4 % </w:t>
      </w:r>
      <w:r w:rsidR="009A5C79" w:rsidRPr="00C97261">
        <w:t>(sezónně očištěno)</w:t>
      </w:r>
      <w:r w:rsidR="00337EDB" w:rsidRPr="00C97261">
        <w:t xml:space="preserve">. </w:t>
      </w:r>
      <w:r w:rsidR="00434936" w:rsidRPr="003A3056">
        <w:t>Hrubý provozní přebytek</w:t>
      </w:r>
      <w:r w:rsidR="00F12768" w:rsidRPr="003A3056">
        <w:rPr>
          <w:rStyle w:val="Znakapoznpodarou"/>
        </w:rPr>
        <w:footnoteReference w:id="15"/>
      </w:r>
      <w:r w:rsidR="00434936" w:rsidRPr="003A3056">
        <w:t xml:space="preserve"> </w:t>
      </w:r>
      <w:r w:rsidR="007C1631">
        <w:t xml:space="preserve">dosáhl hodnoty 95,1 mld. Kč a </w:t>
      </w:r>
      <w:r w:rsidR="002421E0" w:rsidRPr="003A3056">
        <w:t>m</w:t>
      </w:r>
      <w:r w:rsidR="008F4513" w:rsidRPr="003A3056">
        <w:t>eziročn</w:t>
      </w:r>
      <w:r w:rsidR="002421E0" w:rsidRPr="003A3056">
        <w:t>ě</w:t>
      </w:r>
      <w:r w:rsidR="00337EDB" w:rsidRPr="003A3056">
        <w:t xml:space="preserve"> </w:t>
      </w:r>
      <w:r w:rsidR="00DD75FB" w:rsidRPr="003A3056">
        <w:t xml:space="preserve">vzrostl </w:t>
      </w:r>
      <w:r w:rsidR="002421E0" w:rsidRPr="003A3056">
        <w:t>o</w:t>
      </w:r>
      <w:r w:rsidR="00075EAF" w:rsidRPr="003A3056">
        <w:t> </w:t>
      </w:r>
      <w:r w:rsidR="00DD75FB" w:rsidRPr="003A3056">
        <w:t>5,2 mld. Kč, tj. o 2,2 %</w:t>
      </w:r>
      <w:r w:rsidR="008F4513" w:rsidRPr="003A3056">
        <w:t>.</w:t>
      </w:r>
      <w:r w:rsidR="002D3536" w:rsidRPr="003A3056">
        <w:t xml:space="preserve"> Mezičtvrtletně (sezónně očištěný) hrubý provozní přebytek </w:t>
      </w:r>
      <w:r w:rsidR="00337EDB" w:rsidRPr="003A3056">
        <w:t>vzrostl</w:t>
      </w:r>
      <w:r w:rsidR="00797632" w:rsidRPr="003A3056">
        <w:t xml:space="preserve"> </w:t>
      </w:r>
      <w:r w:rsidR="003A3056" w:rsidRPr="003A3056">
        <w:t>nominálně o 0,8 %.</w:t>
      </w:r>
    </w:p>
    <w:p w14:paraId="59F64BA5" w14:textId="022C40E5" w:rsidR="00075EAF" w:rsidRPr="007D4EE2" w:rsidRDefault="003F18C0" w:rsidP="005D42E5">
      <w:pPr>
        <w:spacing w:after="120"/>
      </w:pPr>
      <w:r w:rsidRPr="002B6ECF">
        <w:t xml:space="preserve">Přebytek </w:t>
      </w:r>
      <w:r w:rsidRPr="00677F32">
        <w:rPr>
          <w:b/>
        </w:rPr>
        <w:t>salda důchodů z vlastnictví</w:t>
      </w:r>
      <w:r w:rsidRPr="002B6ECF">
        <w:t xml:space="preserve"> domácností se v</w:t>
      </w:r>
      <w:r w:rsidR="002B6ECF" w:rsidRPr="002B6ECF">
        <w:t>e</w:t>
      </w:r>
      <w:r w:rsidRPr="002B6ECF">
        <w:t> </w:t>
      </w:r>
      <w:r w:rsidR="002B6ECF" w:rsidRPr="002B6ECF">
        <w:t>2</w:t>
      </w:r>
      <w:r w:rsidR="00677F32">
        <w:t>. čtvrtletí meziročně zvýšil o </w:t>
      </w:r>
      <w:r w:rsidR="002B6ECF" w:rsidRPr="002B6ECF">
        <w:t>14,2</w:t>
      </w:r>
      <w:r w:rsidR="00677F32">
        <w:t> </w:t>
      </w:r>
      <w:r w:rsidR="00E17DC9">
        <w:t>mld. Kč</w:t>
      </w:r>
      <w:r w:rsidRPr="002B6ECF">
        <w:t xml:space="preserve"> na </w:t>
      </w:r>
      <w:r w:rsidR="002B6ECF" w:rsidRPr="002B6ECF">
        <w:t>56,8</w:t>
      </w:r>
      <w:r w:rsidRPr="002B6ECF">
        <w:t xml:space="preserve"> mld.</w:t>
      </w:r>
      <w:r w:rsidR="002B6ECF" w:rsidRPr="002B6ECF">
        <w:t xml:space="preserve"> Kč.</w:t>
      </w:r>
      <w:r w:rsidR="002B6ECF">
        <w:t xml:space="preserve"> Pokračoval </w:t>
      </w:r>
      <w:r w:rsidR="00C820EB">
        <w:t>výrazný meziroční růst důchodů domácností ve formě úroků (o 12,6 mld. více), stejně jako rozdělovaných důchod</w:t>
      </w:r>
      <w:r w:rsidR="00677F32">
        <w:t>ů společností (o 3,6 mld. Kč) a </w:t>
      </w:r>
      <w:r w:rsidR="00C820EB">
        <w:t xml:space="preserve">ostatních důchodů z investic </w:t>
      </w:r>
      <w:r w:rsidR="00C820EB" w:rsidRPr="00C820EB">
        <w:t xml:space="preserve">(o 4,7 mld. Kč). </w:t>
      </w:r>
      <w:r w:rsidR="0077424B" w:rsidRPr="00C820EB">
        <w:t>D</w:t>
      </w:r>
      <w:r w:rsidR="00E11DD0" w:rsidRPr="00C820EB">
        <w:t xml:space="preserve">omácnosti </w:t>
      </w:r>
      <w:r w:rsidR="0077424B" w:rsidRPr="00C820EB">
        <w:t>ve formě úroků vyplatily</w:t>
      </w:r>
      <w:r w:rsidR="00476098" w:rsidRPr="00C820EB">
        <w:t xml:space="preserve"> v</w:t>
      </w:r>
      <w:r w:rsidR="00C820EB" w:rsidRPr="00C820EB">
        <w:t>e</w:t>
      </w:r>
      <w:r w:rsidR="00476098" w:rsidRPr="00C820EB">
        <w:t> </w:t>
      </w:r>
      <w:r w:rsidR="00C820EB" w:rsidRPr="00C820EB">
        <w:t>2</w:t>
      </w:r>
      <w:r w:rsidR="00476098" w:rsidRPr="00C820EB">
        <w:t>. čtvrtletí</w:t>
      </w:r>
      <w:r w:rsidR="0077424B" w:rsidRPr="00C820EB">
        <w:t xml:space="preserve"> </w:t>
      </w:r>
      <w:r w:rsidR="00476098" w:rsidRPr="00C820EB">
        <w:t xml:space="preserve">meziročně </w:t>
      </w:r>
      <w:r w:rsidR="0077424B" w:rsidRPr="00C820EB">
        <w:t xml:space="preserve">o </w:t>
      </w:r>
      <w:r w:rsidR="00C820EB" w:rsidRPr="00C820EB">
        <w:t>7,5</w:t>
      </w:r>
      <w:r w:rsidR="0077424B" w:rsidRPr="00C820EB">
        <w:t xml:space="preserve"> mld. </w:t>
      </w:r>
      <w:r w:rsidR="00C820EB" w:rsidRPr="00C820EB">
        <w:t xml:space="preserve">Kč </w:t>
      </w:r>
      <w:r w:rsidR="0077424B" w:rsidRPr="00C820EB">
        <w:t>více.</w:t>
      </w:r>
    </w:p>
    <w:p w14:paraId="73BC44BF" w14:textId="16098E04" w:rsidR="007D3F60" w:rsidRPr="00C968FC" w:rsidRDefault="007D4EE2" w:rsidP="005D42E5">
      <w:pPr>
        <w:spacing w:after="120"/>
      </w:pPr>
      <w:r w:rsidRPr="007D4EE2">
        <w:t>Podobně jako v předchozích čtvrtletích došlo i ve</w:t>
      </w:r>
      <w:r w:rsidR="00470306" w:rsidRPr="007D4EE2">
        <w:t> </w:t>
      </w:r>
      <w:r w:rsidRPr="007D4EE2">
        <w:t>2</w:t>
      </w:r>
      <w:r w:rsidR="00470306" w:rsidRPr="007D4EE2">
        <w:t xml:space="preserve">. čtvrtletí </w:t>
      </w:r>
      <w:r w:rsidRPr="007D4EE2">
        <w:t>2023</w:t>
      </w:r>
      <w:r w:rsidR="00470306" w:rsidRPr="007D4EE2">
        <w:t xml:space="preserve"> k dalšímu výraznému posílení přebytku </w:t>
      </w:r>
      <w:r w:rsidR="00470306" w:rsidRPr="00677F32">
        <w:rPr>
          <w:b/>
        </w:rPr>
        <w:t>salda sociálních důchodů</w:t>
      </w:r>
      <w:r w:rsidR="00470306" w:rsidRPr="005E2A42">
        <w:t xml:space="preserve">. Ten se meziročně zvýšil o </w:t>
      </w:r>
      <w:r w:rsidRPr="005E2A42">
        <w:t>26,2</w:t>
      </w:r>
      <w:r w:rsidR="00470306" w:rsidRPr="005E2A42">
        <w:t xml:space="preserve"> mld. </w:t>
      </w:r>
      <w:r w:rsidR="00EC2BF3">
        <w:t>Kč</w:t>
      </w:r>
      <w:r w:rsidR="00470306" w:rsidRPr="005E2A42">
        <w:t xml:space="preserve"> na </w:t>
      </w:r>
      <w:r w:rsidRPr="005E2A42">
        <w:t>147,3</w:t>
      </w:r>
      <w:r w:rsidR="00470306" w:rsidRPr="005E2A42">
        <w:t xml:space="preserve"> mld.</w:t>
      </w:r>
      <w:r w:rsidRPr="005E2A42">
        <w:t> Kč.</w:t>
      </w:r>
      <w:r w:rsidR="00470306" w:rsidRPr="005E2A42">
        <w:t xml:space="preserve"> Sociální dávky a příspěvky, které domácnostem v</w:t>
      </w:r>
      <w:r w:rsidR="00BF46B6" w:rsidRPr="005E2A42">
        <w:t>e</w:t>
      </w:r>
      <w:r w:rsidR="00470306" w:rsidRPr="005E2A42">
        <w:t> </w:t>
      </w:r>
      <w:r w:rsidR="00BF46B6" w:rsidRPr="005E2A42">
        <w:t>2</w:t>
      </w:r>
      <w:r w:rsidR="00470306" w:rsidRPr="005E2A42">
        <w:t>. čtvrtletí n</w:t>
      </w:r>
      <w:r w:rsidR="00BF46B6" w:rsidRPr="005E2A42">
        <w:t>áležely, byly meziročně vyšší o 43,9</w:t>
      </w:r>
      <w:r w:rsidR="00470306" w:rsidRPr="005E2A42">
        <w:t xml:space="preserve"> mld. </w:t>
      </w:r>
      <w:r w:rsidR="00EC2BF3">
        <w:t>Kč</w:t>
      </w:r>
      <w:r w:rsidR="00A6428E" w:rsidRPr="00114AEC">
        <w:t>. Na druhé straně objem sociálních příspěvků, které domácnosti odvedly, vzrostl meziročně o 1</w:t>
      </w:r>
      <w:r w:rsidR="005E2A42" w:rsidRPr="00114AEC">
        <w:t>7,7</w:t>
      </w:r>
      <w:r w:rsidR="00A6428E" w:rsidRPr="00114AEC">
        <w:t xml:space="preserve"> mld. </w:t>
      </w:r>
      <w:r w:rsidR="00EC2BF3">
        <w:t>Kč</w:t>
      </w:r>
      <w:r w:rsidR="00A6428E" w:rsidRPr="00114AEC">
        <w:t xml:space="preserve"> na </w:t>
      </w:r>
      <w:r w:rsidR="005E2A42" w:rsidRPr="00114AEC">
        <w:t>141,5</w:t>
      </w:r>
      <w:r w:rsidR="00A6428E" w:rsidRPr="00114AEC">
        <w:t xml:space="preserve"> mld.</w:t>
      </w:r>
      <w:r w:rsidR="005E2A42" w:rsidRPr="00114AEC">
        <w:t xml:space="preserve"> Kč.</w:t>
      </w:r>
      <w:r w:rsidR="00A6428E" w:rsidRPr="00114AEC">
        <w:t xml:space="preserve"> </w:t>
      </w:r>
      <w:r w:rsidR="00EA344F" w:rsidRPr="00677F32">
        <w:rPr>
          <w:b/>
        </w:rPr>
        <w:t>B</w:t>
      </w:r>
      <w:r w:rsidR="003538FB" w:rsidRPr="00677F32">
        <w:rPr>
          <w:b/>
        </w:rPr>
        <w:t>ěžné daně z důchodů a jmění</w:t>
      </w:r>
      <w:r w:rsidR="003538FB" w:rsidRPr="00114AEC">
        <w:t xml:space="preserve">, </w:t>
      </w:r>
      <w:r w:rsidR="00720D9F" w:rsidRPr="00114AEC">
        <w:t>které domácnosti odvedly, byly m</w:t>
      </w:r>
      <w:r w:rsidR="003538FB" w:rsidRPr="00114AEC">
        <w:t>eziročně</w:t>
      </w:r>
      <w:r w:rsidR="00720D9F" w:rsidRPr="00114AEC">
        <w:t xml:space="preserve"> vyšší o</w:t>
      </w:r>
      <w:r w:rsidR="00EA344F" w:rsidRPr="00114AEC">
        <w:t> </w:t>
      </w:r>
      <w:r w:rsidR="00114AEC" w:rsidRPr="00114AEC">
        <w:t>13,1</w:t>
      </w:r>
      <w:r w:rsidR="00EA344F" w:rsidRPr="00114AEC">
        <w:t> </w:t>
      </w:r>
      <w:r w:rsidR="003538FB" w:rsidRPr="00114AEC">
        <w:t>mld.</w:t>
      </w:r>
      <w:r w:rsidR="00797632" w:rsidRPr="00114AEC">
        <w:t xml:space="preserve"> </w:t>
      </w:r>
      <w:r w:rsidR="00EC2BF3">
        <w:t>Kč</w:t>
      </w:r>
      <w:r w:rsidR="00720D9F" w:rsidRPr="00114AEC">
        <w:t xml:space="preserve"> a dosáhly </w:t>
      </w:r>
      <w:r w:rsidR="00114AEC" w:rsidRPr="00114AEC">
        <w:t>92,2</w:t>
      </w:r>
      <w:r w:rsidR="00720D9F" w:rsidRPr="00114AEC">
        <w:t xml:space="preserve"> mld.</w:t>
      </w:r>
      <w:r w:rsidR="00114AEC" w:rsidRPr="00114AEC">
        <w:t xml:space="preserve"> Kč.</w:t>
      </w:r>
      <w:r w:rsidR="003538FB" w:rsidRPr="00114AEC">
        <w:t xml:space="preserve"> </w:t>
      </w:r>
      <w:r w:rsidR="00677F32">
        <w:t>Hodnota</w:t>
      </w:r>
      <w:r w:rsidR="00C72A55" w:rsidRPr="00114AEC">
        <w:t xml:space="preserve"> odvedených daní </w:t>
      </w:r>
      <w:r w:rsidR="00114AEC" w:rsidRPr="00114AEC">
        <w:t xml:space="preserve">se oproti 1. čtvrtletí </w:t>
      </w:r>
      <w:r w:rsidR="00114AEC" w:rsidRPr="00C968FC">
        <w:t xml:space="preserve">2023 relativně zvýšila a vrátila se na úroveň srovnatelnou s obdobím před rokem 2021. </w:t>
      </w:r>
    </w:p>
    <w:p w14:paraId="5BA978E7" w14:textId="13A47F5E" w:rsidR="00A23F1D" w:rsidRPr="00AC4FDD" w:rsidRDefault="007D3F60" w:rsidP="005D42E5">
      <w:pPr>
        <w:spacing w:after="120"/>
      </w:pPr>
      <w:r w:rsidRPr="00227E3A">
        <w:rPr>
          <w:b/>
        </w:rPr>
        <w:t>Výdaje na konečnou spotřebu domácností</w:t>
      </w:r>
      <w:r w:rsidRPr="00C968FC">
        <w:t xml:space="preserve"> v</w:t>
      </w:r>
      <w:r w:rsidR="00C968FC" w:rsidRPr="00C968FC">
        <w:t>e</w:t>
      </w:r>
      <w:r w:rsidRPr="00C968FC">
        <w:t> </w:t>
      </w:r>
      <w:r w:rsidR="00C968FC" w:rsidRPr="00C968FC">
        <w:t>2</w:t>
      </w:r>
      <w:r w:rsidRPr="00C968FC">
        <w:t xml:space="preserve">. čtvrtletí dosáhly </w:t>
      </w:r>
      <w:r w:rsidR="00C968FC" w:rsidRPr="00C968FC">
        <w:t>823,7</w:t>
      </w:r>
      <w:r w:rsidRPr="00C968FC">
        <w:t xml:space="preserve"> mld. </w:t>
      </w:r>
      <w:r w:rsidR="00EC2BF3">
        <w:t>Kč</w:t>
      </w:r>
      <w:r w:rsidRPr="00C968FC">
        <w:t xml:space="preserve"> a meziročně se</w:t>
      </w:r>
      <w:r w:rsidR="001C3D20" w:rsidRPr="00C968FC">
        <w:t xml:space="preserve"> </w:t>
      </w:r>
      <w:r w:rsidR="00C968FC" w:rsidRPr="00C968FC">
        <w:t xml:space="preserve">nominálně </w:t>
      </w:r>
      <w:r w:rsidRPr="00C968FC">
        <w:t xml:space="preserve">zvýšily o </w:t>
      </w:r>
      <w:r w:rsidR="00C968FC" w:rsidRPr="00C968FC">
        <w:t>39</w:t>
      </w:r>
      <w:r w:rsidRPr="00C968FC">
        <w:t>,0 mld. (</w:t>
      </w:r>
      <w:r w:rsidR="00C968FC" w:rsidRPr="00C968FC">
        <w:t>tj. o 5</w:t>
      </w:r>
      <w:r w:rsidRPr="00C968FC">
        <w:t xml:space="preserve">,0 %). </w:t>
      </w:r>
      <w:r w:rsidR="00C968FC" w:rsidRPr="00C968FC">
        <w:t>Stejně jako v předchozím čtvrtletí n</w:t>
      </w:r>
      <w:r w:rsidRPr="00C968FC">
        <w:t>ominální přírůstek opět oslabil a v kombinaci s trvajícím silným růstem cenové hladiny tak došlo k dalšímu reálné</w:t>
      </w:r>
      <w:r w:rsidR="00C968FC" w:rsidRPr="00C968FC">
        <w:t>mu</w:t>
      </w:r>
      <w:r w:rsidRPr="00C968FC">
        <w:t xml:space="preserve"> p</w:t>
      </w:r>
      <w:r w:rsidR="00C968FC" w:rsidRPr="00C968FC">
        <w:t xml:space="preserve">oklesu </w:t>
      </w:r>
      <w:r w:rsidRPr="00C968FC">
        <w:t xml:space="preserve">spotřeby </w:t>
      </w:r>
      <w:r w:rsidR="00C968FC" w:rsidRPr="00C968FC">
        <w:t>(o 4,8 %). Nicméně mezičtvrtletní vývoj již naznačuje možné zastavení propadu. Spotřeba domácností byla reálně o 0,2 % vyšší než v předchozím čtvrtletí (sezónně očišt</w:t>
      </w:r>
      <w:r w:rsidR="00C968FC" w:rsidRPr="00AC4FDD">
        <w:t xml:space="preserve">ěno). </w:t>
      </w:r>
    </w:p>
    <w:p w14:paraId="24A5C443" w14:textId="3EECF11D" w:rsidR="00FF2AEF" w:rsidRPr="004404C8" w:rsidRDefault="00A23F1D" w:rsidP="005D42E5">
      <w:pPr>
        <w:spacing w:after="120"/>
      </w:pPr>
      <w:r w:rsidRPr="00227E3A">
        <w:rPr>
          <w:b/>
        </w:rPr>
        <w:lastRenderedPageBreak/>
        <w:t>Hrubé úspory</w:t>
      </w:r>
      <w:r w:rsidRPr="00AC4FDD">
        <w:rPr>
          <w:rStyle w:val="Znakapoznpodarou"/>
        </w:rPr>
        <w:footnoteReference w:id="16"/>
      </w:r>
      <w:r w:rsidRPr="00AC4FDD">
        <w:t xml:space="preserve"> domácností v</w:t>
      </w:r>
      <w:r w:rsidR="00624D07" w:rsidRPr="00AC4FDD">
        <w:t>e</w:t>
      </w:r>
      <w:r w:rsidRPr="00AC4FDD">
        <w:t> </w:t>
      </w:r>
      <w:r w:rsidR="00624D07" w:rsidRPr="00AC4FDD">
        <w:t>2</w:t>
      </w:r>
      <w:r w:rsidRPr="00AC4FDD">
        <w:t xml:space="preserve">. čtvrtletí dosáhly </w:t>
      </w:r>
      <w:r w:rsidR="00AC4FDD" w:rsidRPr="00AC4FDD">
        <w:t>1</w:t>
      </w:r>
      <w:r w:rsidR="00AC4FDD">
        <w:t>5</w:t>
      </w:r>
      <w:r w:rsidR="00AC4FDD" w:rsidRPr="00AC4FDD">
        <w:t>8</w:t>
      </w:r>
      <w:r w:rsidRPr="00AC4FDD">
        <w:t>,</w:t>
      </w:r>
      <w:r w:rsidR="00AC4FDD">
        <w:t>6</w:t>
      </w:r>
      <w:r w:rsidRPr="00AC4FDD">
        <w:t xml:space="preserve"> mld. </w:t>
      </w:r>
      <w:r w:rsidR="00EC2BF3">
        <w:t>Kč</w:t>
      </w:r>
      <w:r w:rsidRPr="00AC4FDD">
        <w:t xml:space="preserve"> a meziročně tak byly vyšší o</w:t>
      </w:r>
      <w:r w:rsidR="00F01B59" w:rsidRPr="00AC4FDD">
        <w:t> </w:t>
      </w:r>
      <w:r w:rsidR="00AC4FDD">
        <w:t>39,2</w:t>
      </w:r>
      <w:r w:rsidRPr="00AC4FDD">
        <w:t xml:space="preserve"> mld.</w:t>
      </w:r>
      <w:r w:rsidR="00AC4FDD" w:rsidRPr="00AC4FDD">
        <w:t xml:space="preserve"> Kč</w:t>
      </w:r>
      <w:r w:rsidR="00AC4FDD">
        <w:t xml:space="preserve"> (tj. o 32,8 %)</w:t>
      </w:r>
      <w:r w:rsidR="00AC4FDD" w:rsidRPr="00AC4FDD">
        <w:t>.</w:t>
      </w:r>
      <w:r w:rsidRPr="00AC4FDD">
        <w:t xml:space="preserve"> </w:t>
      </w:r>
      <w:r w:rsidR="005F455B" w:rsidRPr="00AC4FDD">
        <w:t>S</w:t>
      </w:r>
      <w:r w:rsidRPr="00AC4FDD">
        <w:t xml:space="preserve">ezónně očištěné hrubé úspory se oproti </w:t>
      </w:r>
      <w:r w:rsidR="00AC4FDD" w:rsidRPr="00AC4FDD">
        <w:t xml:space="preserve">předchozímu čtvrtletí </w:t>
      </w:r>
      <w:r w:rsidR="00AC4FDD">
        <w:t>zvýšily</w:t>
      </w:r>
      <w:r w:rsidR="00AC4FDD" w:rsidRPr="00AC4FDD">
        <w:t xml:space="preserve"> o 2</w:t>
      </w:r>
      <w:r w:rsidRPr="00AC4FDD">
        <w:t>1,</w:t>
      </w:r>
      <w:r w:rsidR="00AC4FDD" w:rsidRPr="00AC4FDD">
        <w:t>5 </w:t>
      </w:r>
      <w:r w:rsidRPr="00AC4FDD">
        <w:t>mld.</w:t>
      </w:r>
      <w:r w:rsidR="00AC4FDD" w:rsidRPr="00AC4FDD">
        <w:t> Kč</w:t>
      </w:r>
      <w:r w:rsidR="00AC4FDD">
        <w:t xml:space="preserve"> (tj. o 12,8 %)</w:t>
      </w:r>
      <w:r w:rsidRPr="00AC4FDD">
        <w:t>.</w:t>
      </w:r>
      <w:r w:rsidR="00AC4FDD">
        <w:t xml:space="preserve"> Mírný mezičtvrtletní reálný růst spotřeby tak nebránil dalšímu růstu úspor domácností</w:t>
      </w:r>
      <w:r w:rsidR="00AC4FDD" w:rsidRPr="004404C8">
        <w:t>.</w:t>
      </w:r>
      <w:r w:rsidR="005F455B" w:rsidRPr="004404C8">
        <w:t xml:space="preserve"> </w:t>
      </w:r>
      <w:r w:rsidR="00A46B64" w:rsidRPr="004404C8">
        <w:t>M</w:t>
      </w:r>
      <w:r w:rsidR="00E26E5D" w:rsidRPr="004404C8">
        <w:t>íra úspor</w:t>
      </w:r>
      <w:r w:rsidR="00E26E5D" w:rsidRPr="004404C8">
        <w:rPr>
          <w:rStyle w:val="Znakapoznpodarou"/>
        </w:rPr>
        <w:footnoteReference w:id="17"/>
      </w:r>
      <w:r w:rsidR="005F455B" w:rsidRPr="004404C8">
        <w:t xml:space="preserve"> </w:t>
      </w:r>
      <w:r w:rsidR="00502031" w:rsidRPr="004404C8">
        <w:t>v</w:t>
      </w:r>
      <w:r w:rsidR="004404C8" w:rsidRPr="004404C8">
        <w:t>e</w:t>
      </w:r>
      <w:r w:rsidR="00502031" w:rsidRPr="004404C8">
        <w:t xml:space="preserve"> </w:t>
      </w:r>
      <w:r w:rsidR="004404C8" w:rsidRPr="004404C8">
        <w:t>2</w:t>
      </w:r>
      <w:r w:rsidR="00502031" w:rsidRPr="004404C8">
        <w:t xml:space="preserve">. čtvrtletí </w:t>
      </w:r>
      <w:r w:rsidR="00E26E5D" w:rsidRPr="004404C8">
        <w:t xml:space="preserve">mezičtvrtletně </w:t>
      </w:r>
      <w:r w:rsidR="004404C8" w:rsidRPr="004404C8">
        <w:t xml:space="preserve">vzrostla </w:t>
      </w:r>
      <w:r w:rsidR="005F455B" w:rsidRPr="004404C8">
        <w:t xml:space="preserve">o </w:t>
      </w:r>
      <w:r w:rsidR="004404C8" w:rsidRPr="004404C8">
        <w:t>3,2</w:t>
      </w:r>
      <w:r w:rsidR="005F455B" w:rsidRPr="004404C8">
        <w:t xml:space="preserve"> </w:t>
      </w:r>
      <w:r w:rsidR="00864880" w:rsidRPr="004404C8">
        <w:t xml:space="preserve">p. b. </w:t>
      </w:r>
      <w:r w:rsidR="00E26E5D" w:rsidRPr="004404C8">
        <w:t xml:space="preserve">na </w:t>
      </w:r>
      <w:r w:rsidR="005F455B" w:rsidRPr="004404C8">
        <w:t>1</w:t>
      </w:r>
      <w:r w:rsidR="004404C8" w:rsidRPr="004404C8">
        <w:t>8,8</w:t>
      </w:r>
      <w:r w:rsidR="005F455B" w:rsidRPr="004404C8">
        <w:t xml:space="preserve"> </w:t>
      </w:r>
      <w:r w:rsidR="00E26E5D" w:rsidRPr="004404C8">
        <w:t xml:space="preserve">% (sezónně očištěno). Meziročně byla míra úspor </w:t>
      </w:r>
      <w:r w:rsidR="00864880" w:rsidRPr="004404C8">
        <w:t xml:space="preserve">vyšší o </w:t>
      </w:r>
      <w:r w:rsidR="004404C8" w:rsidRPr="004404C8">
        <w:t>2,9</w:t>
      </w:r>
      <w:r w:rsidR="00864880" w:rsidRPr="004404C8">
        <w:t xml:space="preserve"> </w:t>
      </w:r>
      <w:r w:rsidR="00E26E5D" w:rsidRPr="004404C8">
        <w:t>p. b. (sezónně neočištěno).</w:t>
      </w:r>
      <w:r w:rsidR="00502031" w:rsidRPr="004404C8">
        <w:t xml:space="preserve"> </w:t>
      </w:r>
    </w:p>
    <w:p w14:paraId="5F769C25" w14:textId="41AB19BF" w:rsidR="005B5B82" w:rsidRDefault="00502031" w:rsidP="005D42E5">
      <w:pPr>
        <w:spacing w:after="120"/>
      </w:pPr>
      <w:r w:rsidRPr="00060A9C">
        <w:t xml:space="preserve">Výdaje domácností na </w:t>
      </w:r>
      <w:r w:rsidRPr="00D53D70">
        <w:rPr>
          <w:b/>
        </w:rPr>
        <w:t>tvorbu hrubého fixního kapitálu</w:t>
      </w:r>
      <w:r w:rsidRPr="00060A9C">
        <w:t xml:space="preserve"> v</w:t>
      </w:r>
      <w:r w:rsidR="00060A9C" w:rsidRPr="00060A9C">
        <w:t>e</w:t>
      </w:r>
      <w:r w:rsidRPr="00060A9C">
        <w:t xml:space="preserve"> </w:t>
      </w:r>
      <w:r w:rsidR="00060A9C" w:rsidRPr="00060A9C">
        <w:t>2</w:t>
      </w:r>
      <w:r w:rsidRPr="00060A9C">
        <w:t>. č</w:t>
      </w:r>
      <w:r w:rsidRPr="00853C01">
        <w:t xml:space="preserve">tvrtletí meziročně </w:t>
      </w:r>
      <w:r w:rsidR="00060A9C" w:rsidRPr="00853C01">
        <w:t>nominálně klesly o 3,0 </w:t>
      </w:r>
      <w:r w:rsidR="008656A8" w:rsidRPr="00853C01">
        <w:t>mld.</w:t>
      </w:r>
      <w:r w:rsidR="00060A9C" w:rsidRPr="00853C01">
        <w:t> Kč</w:t>
      </w:r>
      <w:r w:rsidR="008656A8" w:rsidRPr="00853C01">
        <w:t xml:space="preserve"> (</w:t>
      </w:r>
      <w:r w:rsidR="00060A9C" w:rsidRPr="00853C01">
        <w:t>tj. o 4,1</w:t>
      </w:r>
      <w:r w:rsidR="008656A8" w:rsidRPr="00853C01">
        <w:t xml:space="preserve"> %) na </w:t>
      </w:r>
      <w:r w:rsidR="00060A9C" w:rsidRPr="00853C01">
        <w:t>71,8</w:t>
      </w:r>
      <w:r w:rsidR="008656A8" w:rsidRPr="00853C01">
        <w:t xml:space="preserve"> </w:t>
      </w:r>
      <w:r w:rsidRPr="00853C01">
        <w:t>mld.</w:t>
      </w:r>
      <w:r w:rsidR="00060A9C" w:rsidRPr="00853C01">
        <w:t xml:space="preserve"> Kč. </w:t>
      </w:r>
      <w:r w:rsidRPr="00853C01">
        <w:t xml:space="preserve">Mezičtvrtletně investice domácností </w:t>
      </w:r>
      <w:r w:rsidR="008656A8" w:rsidRPr="00853C01">
        <w:t xml:space="preserve">klesly </w:t>
      </w:r>
      <w:r w:rsidR="00853C01" w:rsidRPr="00853C01">
        <w:t>popáté</w:t>
      </w:r>
      <w:r w:rsidR="008656A8" w:rsidRPr="00853C01">
        <w:t xml:space="preserve"> v řadě, a to o </w:t>
      </w:r>
      <w:r w:rsidR="00853C01" w:rsidRPr="00853C01">
        <w:t xml:space="preserve">0,6 mld. Kč, tj. o 0,8 % (sezónně očištěno). </w:t>
      </w:r>
      <w:r w:rsidRPr="00853C01">
        <w:t xml:space="preserve">Výsledná </w:t>
      </w:r>
      <w:r w:rsidRPr="00D53D70">
        <w:rPr>
          <w:b/>
        </w:rPr>
        <w:t>míra investic</w:t>
      </w:r>
      <w:r w:rsidRPr="00853C01">
        <w:rPr>
          <w:rStyle w:val="Znakapoznpodarou"/>
        </w:rPr>
        <w:footnoteReference w:id="18"/>
      </w:r>
      <w:r w:rsidR="008656A8" w:rsidRPr="00853C01">
        <w:t xml:space="preserve"> (sezónně očištěná) se snížila </w:t>
      </w:r>
      <w:r w:rsidR="00853C01" w:rsidRPr="00853C01">
        <w:t xml:space="preserve">mezičtvrtletně </w:t>
      </w:r>
      <w:r w:rsidR="008656A8" w:rsidRPr="00853C01">
        <w:t>o 0,</w:t>
      </w:r>
      <w:r w:rsidR="00853C01" w:rsidRPr="00853C01">
        <w:t>2</w:t>
      </w:r>
      <w:r w:rsidR="008656A8" w:rsidRPr="00853C01">
        <w:t xml:space="preserve"> p. b.</w:t>
      </w:r>
      <w:r w:rsidR="00974A25">
        <w:t>,</w:t>
      </w:r>
      <w:r w:rsidR="008656A8" w:rsidRPr="00853C01">
        <w:t xml:space="preserve"> na 7,</w:t>
      </w:r>
      <w:r w:rsidR="00853C01" w:rsidRPr="00853C01">
        <w:t>2</w:t>
      </w:r>
      <w:r w:rsidR="008656A8" w:rsidRPr="00853C01">
        <w:t xml:space="preserve"> %, což byla nejnižší zaznamenaná úroveň v celé dostupné časové řadě. </w:t>
      </w:r>
      <w:r w:rsidRPr="00853C01">
        <w:t>Meziročně se (</w:t>
      </w:r>
      <w:r w:rsidR="00853C01" w:rsidRPr="00853C01">
        <w:t xml:space="preserve">sezónně </w:t>
      </w:r>
      <w:r w:rsidRPr="00853C01">
        <w:t>neoč</w:t>
      </w:r>
      <w:r w:rsidR="00D53D70">
        <w:t>ištěná) míra investic snížila o </w:t>
      </w:r>
      <w:r w:rsidR="008656A8" w:rsidRPr="00853C01">
        <w:t>1</w:t>
      </w:r>
      <w:r w:rsidRPr="00853C01">
        <w:t>,</w:t>
      </w:r>
      <w:r w:rsidR="00853C01" w:rsidRPr="00853C01">
        <w:t>0</w:t>
      </w:r>
      <w:r w:rsidRPr="00853C01">
        <w:t xml:space="preserve"> p. b. </w:t>
      </w:r>
    </w:p>
    <w:p w14:paraId="470EF023" w14:textId="05659BAD" w:rsidR="00502031" w:rsidRPr="00853C01" w:rsidRDefault="00F37313" w:rsidP="005D42E5">
      <w:pPr>
        <w:spacing w:after="120"/>
        <w:rPr>
          <w:rFonts w:eastAsia="Times New Roman"/>
          <w:b/>
          <w:bCs/>
          <w:szCs w:val="28"/>
        </w:rPr>
      </w:pPr>
      <w:r>
        <w:t xml:space="preserve">Pokud jde o celkovou finanční situaci, stále přetrvává obezřetné chování domácností, které vede ke zvýšené akumulaci finančních prostředků. Ukazatel čistých půjček, vypovídající o schopnosti domácností poskytovat finanční prostředky jiným sektorům, </w:t>
      </w:r>
      <w:r w:rsidR="00D12438">
        <w:t>se udržuje na stále vysoké úrovni</w:t>
      </w:r>
      <w:r w:rsidR="00117460">
        <w:t xml:space="preserve"> (94,1 mld. Kč)</w:t>
      </w:r>
      <w:r w:rsidR="00D12438">
        <w:t>.</w:t>
      </w:r>
      <w:r>
        <w:t xml:space="preserve">  </w:t>
      </w:r>
    </w:p>
    <w:p w14:paraId="231F42C9" w14:textId="26747A8B" w:rsidR="00455E2F" w:rsidRPr="007570E3" w:rsidRDefault="00455E2F" w:rsidP="007570E3">
      <w:pPr>
        <w:pStyle w:val="TabulkaGraf"/>
        <w:keepNext/>
      </w:pPr>
      <w:r w:rsidRPr="007570E3">
        <w:t xml:space="preserve">Graf 5: Meziroční změna výdajů na tvorbu hrubého fixního kapitálu (mld. </w:t>
      </w:r>
      <w:r w:rsidR="00EC2BF3">
        <w:t>Kč</w:t>
      </w:r>
      <w:r w:rsidRPr="007570E3">
        <w:t xml:space="preserve">) </w:t>
      </w:r>
      <w:r w:rsidR="00125CAF">
        <w:br/>
      </w:r>
      <w:r w:rsidRPr="007570E3">
        <w:t>a míra úspor a míra investic sektoru domácností (v %, sezónně očištěno)</w:t>
      </w:r>
    </w:p>
    <w:p w14:paraId="0151EB38" w14:textId="7FF13E33" w:rsidR="00455E2F" w:rsidRPr="007570E3" w:rsidRDefault="00125CAF" w:rsidP="007570E3">
      <w:pPr>
        <w:pStyle w:val="TabulkaGraf"/>
        <w:rPr>
          <w:b w:val="0"/>
          <w:bCs w:val="0"/>
        </w:rPr>
      </w:pPr>
      <w:r>
        <w:rPr>
          <w:noProof/>
          <w:lang w:val="en-US"/>
        </w:rPr>
        <w:drawing>
          <wp:inline distT="0" distB="0" distL="0" distR="0" wp14:anchorId="64EC3871" wp14:editId="10395562">
            <wp:extent cx="5101590" cy="2571750"/>
            <wp:effectExtent l="0" t="0" r="381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B980C9" w14:textId="77777777" w:rsidR="00455E2F" w:rsidRPr="007570E3" w:rsidRDefault="00455E2F" w:rsidP="000C72DE">
      <w:pPr>
        <w:spacing w:after="240"/>
      </w:pPr>
      <w:r w:rsidRPr="007570E3">
        <w:t>Zdroj: ČSÚ, národní účty</w:t>
      </w:r>
    </w:p>
    <w:p w14:paraId="6D8E76C2" w14:textId="5ADA5D27" w:rsidR="00F50CEF" w:rsidRPr="004D3B67" w:rsidRDefault="00F50CEF" w:rsidP="000302A6">
      <w:pPr>
        <w:pStyle w:val="Nadpis1"/>
        <w:spacing w:after="120"/>
      </w:pPr>
      <w:r w:rsidRPr="004D3B67">
        <w:t xml:space="preserve">Finanční vztahy </w:t>
      </w:r>
      <w:r w:rsidR="00A56836">
        <w:t xml:space="preserve">české ekonomiky </w:t>
      </w:r>
      <w:r w:rsidRPr="004D3B67">
        <w:t>s</w:t>
      </w:r>
      <w:r w:rsidR="000D19F9" w:rsidRPr="004D3B67">
        <w:t> </w:t>
      </w:r>
      <w:r w:rsidRPr="004D3B67">
        <w:t>nerezidenty</w:t>
      </w:r>
    </w:p>
    <w:p w14:paraId="352B00FB" w14:textId="0ECB555B" w:rsidR="00EA4C0E" w:rsidRPr="003976E3" w:rsidRDefault="00EA4C0E" w:rsidP="00060DD8">
      <w:pPr>
        <w:spacing w:after="120"/>
        <w:rPr>
          <w:highlight w:val="yellow"/>
        </w:rPr>
      </w:pPr>
      <w:r w:rsidRPr="00D53D70">
        <w:t>V</w:t>
      </w:r>
      <w:r w:rsidR="00900F13" w:rsidRPr="00D53D70">
        <w:t>ývoz zboží a služeb</w:t>
      </w:r>
      <w:r w:rsidR="00900F13" w:rsidRPr="00245C31">
        <w:t xml:space="preserve"> </w:t>
      </w:r>
      <w:r w:rsidRPr="00245C31">
        <w:t>v</w:t>
      </w:r>
      <w:r w:rsidR="00474D75" w:rsidRPr="00245C31">
        <w:t>e</w:t>
      </w:r>
      <w:r w:rsidRPr="00245C31">
        <w:t> </w:t>
      </w:r>
      <w:r w:rsidR="00474D75" w:rsidRPr="00245C31">
        <w:t>2</w:t>
      </w:r>
      <w:r w:rsidRPr="00245C31">
        <w:t xml:space="preserve">. čtvrtletí 2023 </w:t>
      </w:r>
      <w:r w:rsidR="00900F13" w:rsidRPr="00245C31">
        <w:t>meziročně</w:t>
      </w:r>
      <w:r w:rsidRPr="00245C31">
        <w:t xml:space="preserve"> vzrostl o </w:t>
      </w:r>
      <w:r w:rsidR="00474D75" w:rsidRPr="00245C31">
        <w:t>11,3</w:t>
      </w:r>
      <w:r w:rsidRPr="00245C31">
        <w:t xml:space="preserve"> mld. </w:t>
      </w:r>
      <w:r w:rsidR="00EC2BF3">
        <w:t>Kč</w:t>
      </w:r>
      <w:r w:rsidRPr="00245C31">
        <w:t xml:space="preserve"> na 1</w:t>
      </w:r>
      <w:r w:rsidR="00474D75" w:rsidRPr="00245C31">
        <w:t> </w:t>
      </w:r>
      <w:r w:rsidRPr="00245C31">
        <w:t>3</w:t>
      </w:r>
      <w:r w:rsidR="00474D75" w:rsidRPr="00245C31">
        <w:t>23,7</w:t>
      </w:r>
      <w:r w:rsidRPr="00245C31">
        <w:t xml:space="preserve"> mld.</w:t>
      </w:r>
      <w:r w:rsidR="00474D75" w:rsidRPr="00245C31">
        <w:t> Kč.</w:t>
      </w:r>
      <w:r w:rsidRPr="00245C31">
        <w:t xml:space="preserve"> </w:t>
      </w:r>
      <w:r w:rsidR="00551675" w:rsidRPr="00245C31">
        <w:t>Hodnota dovozu na</w:t>
      </w:r>
      <w:r w:rsidR="00551675" w:rsidRPr="009C2865">
        <w:t xml:space="preserve">proti tomu </w:t>
      </w:r>
      <w:r w:rsidR="00245C31" w:rsidRPr="009C2865">
        <w:t>klesla o 92,8</w:t>
      </w:r>
      <w:r w:rsidR="00551675" w:rsidRPr="009C2865">
        <w:t xml:space="preserve"> mld. </w:t>
      </w:r>
      <w:r w:rsidR="00EC2BF3">
        <w:t>Kč</w:t>
      </w:r>
      <w:r w:rsidR="00551675" w:rsidRPr="009C2865">
        <w:t xml:space="preserve"> na </w:t>
      </w:r>
      <w:r w:rsidR="00245C31" w:rsidRPr="009C2865">
        <w:t>1 212,8</w:t>
      </w:r>
      <w:r w:rsidR="00551675" w:rsidRPr="009C2865">
        <w:t xml:space="preserve"> mld.</w:t>
      </w:r>
      <w:r w:rsidR="00245C31" w:rsidRPr="009C2865">
        <w:t> Kč.</w:t>
      </w:r>
      <w:r w:rsidR="00551675" w:rsidRPr="009C2865">
        <w:t xml:space="preserve"> Celkové </w:t>
      </w:r>
      <w:r w:rsidR="00551675" w:rsidRPr="00D53D70">
        <w:rPr>
          <w:b/>
        </w:rPr>
        <w:t xml:space="preserve">saldo </w:t>
      </w:r>
      <w:r w:rsidR="00551675" w:rsidRPr="00D53D70">
        <w:rPr>
          <w:b/>
        </w:rPr>
        <w:lastRenderedPageBreak/>
        <w:t>zahraničního obchodu</w:t>
      </w:r>
      <w:r w:rsidR="00551675" w:rsidRPr="009C2865">
        <w:t xml:space="preserve"> tak </w:t>
      </w:r>
      <w:r w:rsidR="00245C31" w:rsidRPr="009C2865">
        <w:t xml:space="preserve">bylo, podobně jako v předchozím čtvrtletí ve </w:t>
      </w:r>
      <w:r w:rsidR="00D26044" w:rsidRPr="009C2865">
        <w:t>výrazné</w:t>
      </w:r>
      <w:r w:rsidR="00245C31" w:rsidRPr="009C2865">
        <w:t>m</w:t>
      </w:r>
      <w:r w:rsidR="00D26044" w:rsidRPr="009C2865">
        <w:t xml:space="preserve"> přebytku 1</w:t>
      </w:r>
      <w:r w:rsidR="00245C31" w:rsidRPr="009C2865">
        <w:t>10</w:t>
      </w:r>
      <w:r w:rsidR="00D26044" w:rsidRPr="009C2865">
        <w:t>,9</w:t>
      </w:r>
      <w:r w:rsidR="00245C31" w:rsidRPr="009C2865">
        <w:t> </w:t>
      </w:r>
      <w:r w:rsidR="00D26044" w:rsidRPr="009C2865">
        <w:t>mld.</w:t>
      </w:r>
      <w:r w:rsidR="00245C31" w:rsidRPr="009C2865">
        <w:t> Kč.</w:t>
      </w:r>
      <w:r w:rsidR="00D26044" w:rsidRPr="009C2865">
        <w:t xml:space="preserve"> Přebytek se meziročně </w:t>
      </w:r>
      <w:r w:rsidR="001C3D20" w:rsidRPr="009C2865">
        <w:t>zvýšil</w:t>
      </w:r>
      <w:r w:rsidR="00D26044" w:rsidRPr="009C2865">
        <w:t xml:space="preserve"> o </w:t>
      </w:r>
      <w:r w:rsidR="009C2865" w:rsidRPr="009C2865">
        <w:t>104,0</w:t>
      </w:r>
      <w:r w:rsidR="00D26044" w:rsidRPr="009C2865">
        <w:t xml:space="preserve"> mld. </w:t>
      </w:r>
      <w:r w:rsidR="00EC2BF3">
        <w:t>Kč</w:t>
      </w:r>
      <w:r w:rsidR="00D26044" w:rsidRPr="009C2865">
        <w:t>.</w:t>
      </w:r>
      <w:r w:rsidR="009C2865" w:rsidRPr="009C2865">
        <w:t xml:space="preserve"> Pokračoval tak vývoj z 1. čtvrtletí, kdy za </w:t>
      </w:r>
      <w:r w:rsidR="00D26044" w:rsidRPr="009C2865">
        <w:t>zlepšení</w:t>
      </w:r>
      <w:r w:rsidR="005C69CF" w:rsidRPr="009C2865">
        <w:t>m</w:t>
      </w:r>
      <w:r w:rsidR="00D26044" w:rsidRPr="009C2865">
        <w:t xml:space="preserve"> bilance stály </w:t>
      </w:r>
      <w:r w:rsidR="009C2865" w:rsidRPr="009C2865">
        <w:t xml:space="preserve">lepší exportní </w:t>
      </w:r>
      <w:r w:rsidR="00D26044" w:rsidRPr="009C2865">
        <w:t xml:space="preserve">výsledky domácích </w:t>
      </w:r>
      <w:r w:rsidR="009C2865" w:rsidRPr="009C2865">
        <w:t>výrobců</w:t>
      </w:r>
      <w:r w:rsidR="00D26044" w:rsidRPr="009C2865">
        <w:t xml:space="preserve"> a současné snížení cen dovážených surovin – především ropy a zemního plynu</w:t>
      </w:r>
      <w:r w:rsidR="009C2865" w:rsidRPr="009C2865">
        <w:t>,</w:t>
      </w:r>
      <w:r w:rsidR="00D26044" w:rsidRPr="009C2865">
        <w:t xml:space="preserve"> ale i dalších </w:t>
      </w:r>
      <w:r w:rsidR="009C2865" w:rsidRPr="009C2865">
        <w:t xml:space="preserve">vstupních </w:t>
      </w:r>
      <w:r w:rsidR="00D26044" w:rsidRPr="009C2865">
        <w:t>materiálů</w:t>
      </w:r>
      <w:r w:rsidR="009C2865" w:rsidRPr="009C2865">
        <w:t xml:space="preserve"> do výroby</w:t>
      </w:r>
      <w:r w:rsidR="00D26044" w:rsidRPr="009C2865">
        <w:t>.</w:t>
      </w:r>
      <w:r w:rsidR="00D26044" w:rsidRPr="003976E3">
        <w:rPr>
          <w:highlight w:val="yellow"/>
        </w:rPr>
        <w:t xml:space="preserve"> </w:t>
      </w:r>
    </w:p>
    <w:p w14:paraId="741414F4" w14:textId="7D635814" w:rsidR="00F476A2" w:rsidRPr="00A0318C" w:rsidRDefault="003F5414" w:rsidP="00751EBB">
      <w:pPr>
        <w:spacing w:after="120"/>
      </w:pPr>
      <w:r w:rsidRPr="00751EBB">
        <w:t xml:space="preserve">Ve formě </w:t>
      </w:r>
      <w:r w:rsidRPr="00D53D70">
        <w:rPr>
          <w:b/>
        </w:rPr>
        <w:t>důchodů z vlastnictví nerezidentům</w:t>
      </w:r>
      <w:r w:rsidRPr="00FB07FA">
        <w:rPr>
          <w:rStyle w:val="Znakapoznpodarou"/>
        </w:rPr>
        <w:footnoteReference w:id="19"/>
      </w:r>
      <w:r w:rsidRPr="00FB07FA">
        <w:t xml:space="preserve"> náleželo v</w:t>
      </w:r>
      <w:r w:rsidR="00751EBB" w:rsidRPr="00FB07FA">
        <w:t>e</w:t>
      </w:r>
      <w:r w:rsidRPr="00FB07FA">
        <w:t xml:space="preserve"> </w:t>
      </w:r>
      <w:r w:rsidR="00751EBB" w:rsidRPr="00FB07FA">
        <w:t>2</w:t>
      </w:r>
      <w:r w:rsidRPr="00FB07FA">
        <w:t xml:space="preserve">. čtvrtletí </w:t>
      </w:r>
      <w:r w:rsidR="00751EBB" w:rsidRPr="00FB07FA">
        <w:t>158,5</w:t>
      </w:r>
      <w:r w:rsidRPr="00FB07FA">
        <w:t xml:space="preserve"> mld. </w:t>
      </w:r>
      <w:r w:rsidR="00EC2BF3">
        <w:t>Kč</w:t>
      </w:r>
      <w:r w:rsidRPr="00FB07FA">
        <w:t xml:space="preserve">, což bylo meziročně o </w:t>
      </w:r>
      <w:r w:rsidR="00751EBB" w:rsidRPr="00FB07FA">
        <w:t>7,6</w:t>
      </w:r>
      <w:r w:rsidRPr="00FB07FA">
        <w:t xml:space="preserve"> mld</w:t>
      </w:r>
      <w:r w:rsidR="000F1825" w:rsidRPr="00FB07FA">
        <w:t xml:space="preserve">. </w:t>
      </w:r>
      <w:r w:rsidR="00751EBB" w:rsidRPr="00FB07FA">
        <w:t xml:space="preserve">Kč </w:t>
      </w:r>
      <w:r w:rsidR="000F1825" w:rsidRPr="00FB07FA">
        <w:t>více</w:t>
      </w:r>
      <w:r w:rsidRPr="00FB07FA">
        <w:t xml:space="preserve">. </w:t>
      </w:r>
      <w:r w:rsidR="007E0B69" w:rsidRPr="00FB07FA">
        <w:t xml:space="preserve">Výrazně </w:t>
      </w:r>
      <w:r w:rsidR="00B0375A" w:rsidRPr="00FB07FA">
        <w:t>vz</w:t>
      </w:r>
      <w:r w:rsidR="007E0B69" w:rsidRPr="00FB07FA">
        <w:t xml:space="preserve">rostly </w:t>
      </w:r>
      <w:r w:rsidR="00B0375A" w:rsidRPr="00FB07FA">
        <w:t xml:space="preserve">rozdělované důchody společností přijaté nerezidenty (o 47,7 mld. Kč), ale v podobné míře klesly meziročně </w:t>
      </w:r>
      <w:r w:rsidR="007E0B69" w:rsidRPr="00FB07FA">
        <w:t>reinvestované zisky z přímých zahraničních investic (</w:t>
      </w:r>
      <w:r w:rsidR="00B0375A" w:rsidRPr="00FB07FA">
        <w:t xml:space="preserve">o 47,7 </w:t>
      </w:r>
      <w:r w:rsidR="007E0B69" w:rsidRPr="00FB07FA">
        <w:t xml:space="preserve">mld. </w:t>
      </w:r>
      <w:r w:rsidR="00B0375A" w:rsidRPr="00FB07FA">
        <w:t>Kč</w:t>
      </w:r>
      <w:r w:rsidR="007E0B69" w:rsidRPr="00FB07FA">
        <w:t>)</w:t>
      </w:r>
      <w:r w:rsidR="00B0375A" w:rsidRPr="00FB07FA">
        <w:t>.</w:t>
      </w:r>
      <w:r w:rsidR="007E0B69" w:rsidRPr="00FB07FA">
        <w:t xml:space="preserve"> </w:t>
      </w:r>
      <w:r w:rsidR="00B0375A" w:rsidRPr="00FB07FA">
        <w:t xml:space="preserve">Podobně jako v předchozím </w:t>
      </w:r>
      <w:r w:rsidR="00B0375A" w:rsidRPr="00312B36">
        <w:t>čtvrtletí vzrostly úroky</w:t>
      </w:r>
      <w:r w:rsidR="007E0B69" w:rsidRPr="00312B36">
        <w:t xml:space="preserve"> </w:t>
      </w:r>
      <w:r w:rsidR="00B0375A" w:rsidRPr="00312B36">
        <w:t xml:space="preserve">náležející nerezidentům </w:t>
      </w:r>
      <w:r w:rsidR="007E0B69" w:rsidRPr="00312B36">
        <w:t>(</w:t>
      </w:r>
      <w:r w:rsidR="00B0375A" w:rsidRPr="00312B36">
        <w:t xml:space="preserve">o </w:t>
      </w:r>
      <w:r w:rsidR="00FB07FA" w:rsidRPr="00312B36">
        <w:t>7,5</w:t>
      </w:r>
      <w:r w:rsidR="007E0B69" w:rsidRPr="00312B36">
        <w:t xml:space="preserve"> mld.</w:t>
      </w:r>
      <w:r w:rsidR="00FB07FA" w:rsidRPr="00312B36">
        <w:t xml:space="preserve"> Kč</w:t>
      </w:r>
      <w:r w:rsidR="007E0B69" w:rsidRPr="00312B36">
        <w:t xml:space="preserve">). </w:t>
      </w:r>
      <w:r w:rsidRPr="00312B36">
        <w:t>Pro domácí investory v zahraničí se důchody z vlastnictví v</w:t>
      </w:r>
      <w:r w:rsidR="00312B36" w:rsidRPr="00312B36">
        <w:t>e</w:t>
      </w:r>
      <w:r w:rsidRPr="00312B36">
        <w:t xml:space="preserve"> </w:t>
      </w:r>
      <w:r w:rsidR="00312B36" w:rsidRPr="00312B36">
        <w:t>2</w:t>
      </w:r>
      <w:r w:rsidR="004812BA">
        <w:t>. </w:t>
      </w:r>
      <w:r w:rsidRPr="00312B36">
        <w:t>čtvrtletí meziro</w:t>
      </w:r>
      <w:r w:rsidRPr="00AC1E77">
        <w:t xml:space="preserve">čně zvýšily o </w:t>
      </w:r>
      <w:r w:rsidR="007E0B69" w:rsidRPr="00AC1E77">
        <w:t>1</w:t>
      </w:r>
      <w:r w:rsidR="00312B36" w:rsidRPr="00AC1E77">
        <w:t>7</w:t>
      </w:r>
      <w:r w:rsidR="007E0B69" w:rsidRPr="00AC1E77">
        <w:t>,1</w:t>
      </w:r>
      <w:r w:rsidRPr="00AC1E77">
        <w:t xml:space="preserve"> mld. </w:t>
      </w:r>
      <w:r w:rsidR="004812BA" w:rsidRPr="00AC1E77">
        <w:t>Kč</w:t>
      </w:r>
      <w:r w:rsidRPr="00AC1E77">
        <w:t xml:space="preserve"> na </w:t>
      </w:r>
      <w:r w:rsidR="00312B36" w:rsidRPr="00AC1E77">
        <w:t xml:space="preserve">77,8 </w:t>
      </w:r>
      <w:r w:rsidRPr="00AC1E77">
        <w:t>mld.</w:t>
      </w:r>
      <w:r w:rsidR="00312B36" w:rsidRPr="00AC1E77">
        <w:t xml:space="preserve"> Kč.</w:t>
      </w:r>
      <w:r w:rsidRPr="00AC1E77">
        <w:t xml:space="preserve"> </w:t>
      </w:r>
      <w:r w:rsidR="004812BA" w:rsidRPr="00AC1E77">
        <w:t>Podobně jako v předchozím čtvrtletí došlo k nárůstu zejména</w:t>
      </w:r>
      <w:r w:rsidRPr="00AC1E77">
        <w:t xml:space="preserve"> </w:t>
      </w:r>
      <w:r w:rsidR="004812BA" w:rsidRPr="00AC1E77">
        <w:t xml:space="preserve">díky růstu </w:t>
      </w:r>
      <w:r w:rsidRPr="00AC1E77">
        <w:t xml:space="preserve">úroků </w:t>
      </w:r>
      <w:r w:rsidR="004812BA" w:rsidRPr="00AC1E77">
        <w:t xml:space="preserve">přijatých rezidenty ze zahraničí </w:t>
      </w:r>
      <w:r w:rsidRPr="00AC1E77">
        <w:t>(</w:t>
      </w:r>
      <w:r w:rsidR="004812BA" w:rsidRPr="00AC1E77">
        <w:t xml:space="preserve">meziročně o 14,7 </w:t>
      </w:r>
      <w:r w:rsidRPr="00AC1E77">
        <w:t xml:space="preserve">mld. </w:t>
      </w:r>
      <w:r w:rsidR="004812BA" w:rsidRPr="00AC1E77">
        <w:t>Kč více</w:t>
      </w:r>
      <w:r w:rsidRPr="00AC1E77">
        <w:t>)</w:t>
      </w:r>
      <w:r w:rsidR="006D5F4C" w:rsidRPr="00AC1E77">
        <w:t>.</w:t>
      </w:r>
      <w:r w:rsidR="006E1BFB" w:rsidRPr="00AC1E77">
        <w:t xml:space="preserve"> </w:t>
      </w:r>
      <w:r w:rsidR="002A2E87" w:rsidRPr="00117460">
        <w:t xml:space="preserve">Čistý odliv </w:t>
      </w:r>
      <w:r w:rsidR="007640A3" w:rsidRPr="00117460">
        <w:t xml:space="preserve">důchodů z vlastnictví </w:t>
      </w:r>
      <w:r w:rsidR="007640A3" w:rsidRPr="00AC1E77">
        <w:t>do zahraničí v</w:t>
      </w:r>
      <w:r w:rsidR="00AC1E77" w:rsidRPr="00AC1E77">
        <w:t>e</w:t>
      </w:r>
      <w:r w:rsidR="00131E21" w:rsidRPr="00AC1E77">
        <w:t xml:space="preserve"> </w:t>
      </w:r>
      <w:r w:rsidR="00AC1E77" w:rsidRPr="00AC1E77">
        <w:t>2</w:t>
      </w:r>
      <w:r w:rsidR="007640A3" w:rsidRPr="00AC1E77">
        <w:t>.</w:t>
      </w:r>
      <w:r w:rsidR="00B13907" w:rsidRPr="00AC1E77">
        <w:t> čtvrtlet</w:t>
      </w:r>
      <w:r w:rsidR="007640A3" w:rsidRPr="00AC1E77">
        <w:t>í</w:t>
      </w:r>
      <w:r w:rsidR="006D5F4C" w:rsidRPr="00AC1E77">
        <w:t xml:space="preserve"> </w:t>
      </w:r>
      <w:r w:rsidR="008518E7" w:rsidRPr="00AC1E77">
        <w:t xml:space="preserve">dosáhl </w:t>
      </w:r>
      <w:r w:rsidR="00AC1E77" w:rsidRPr="00A0318C">
        <w:t>80,7 </w:t>
      </w:r>
      <w:r w:rsidR="008518E7" w:rsidRPr="00A0318C">
        <w:t>mld.</w:t>
      </w:r>
      <w:r w:rsidR="00AC1E77" w:rsidRPr="00A0318C">
        <w:t> Kč</w:t>
      </w:r>
      <w:r w:rsidR="006D5F4C" w:rsidRPr="00A0318C">
        <w:t xml:space="preserve">, což bylo </w:t>
      </w:r>
      <w:r w:rsidR="001050DD" w:rsidRPr="00A0318C">
        <w:t>meziročně</w:t>
      </w:r>
      <w:r w:rsidR="006D5F4C" w:rsidRPr="00A0318C">
        <w:t xml:space="preserve"> o </w:t>
      </w:r>
      <w:r w:rsidR="00AC1E77" w:rsidRPr="00A0318C">
        <w:t>9,5</w:t>
      </w:r>
      <w:r w:rsidR="006D5F4C" w:rsidRPr="00A0318C">
        <w:t xml:space="preserve"> mld. </w:t>
      </w:r>
      <w:r w:rsidR="00AC1E77" w:rsidRPr="00A0318C">
        <w:t xml:space="preserve">Kč </w:t>
      </w:r>
      <w:r w:rsidR="006D5F4C" w:rsidRPr="00A0318C">
        <w:t xml:space="preserve">více. </w:t>
      </w:r>
    </w:p>
    <w:p w14:paraId="35C3B915" w14:textId="2E92F3CE" w:rsidR="00837A3C" w:rsidRPr="00A0318C" w:rsidRDefault="006D5F4C" w:rsidP="007909AA">
      <w:pPr>
        <w:spacing w:after="120"/>
      </w:pPr>
      <w:r w:rsidRPr="00A0318C">
        <w:t>V</w:t>
      </w:r>
      <w:r w:rsidR="005F28DD" w:rsidRPr="00A0318C">
        <w:t>e</w:t>
      </w:r>
      <w:r w:rsidRPr="00A0318C">
        <w:t> </w:t>
      </w:r>
      <w:r w:rsidR="005F28DD" w:rsidRPr="00A0318C">
        <w:t>2</w:t>
      </w:r>
      <w:r w:rsidRPr="00A0318C">
        <w:t xml:space="preserve">. </w:t>
      </w:r>
      <w:r w:rsidR="002869E0" w:rsidRPr="00A0318C">
        <w:t>čtvrtletí 202</w:t>
      </w:r>
      <w:r w:rsidR="005F28DD" w:rsidRPr="00A0318C">
        <w:t>3</w:t>
      </w:r>
      <w:r w:rsidR="002869E0" w:rsidRPr="00A0318C">
        <w:t xml:space="preserve"> </w:t>
      </w:r>
      <w:r w:rsidRPr="00A0318C">
        <w:t xml:space="preserve">nerezidenti </w:t>
      </w:r>
      <w:r w:rsidR="002869E0" w:rsidRPr="00D53D70">
        <w:rPr>
          <w:b/>
        </w:rPr>
        <w:t>zaměstnancům</w:t>
      </w:r>
      <w:r w:rsidR="002869E0" w:rsidRPr="00A0318C">
        <w:t xml:space="preserve"> v domácí ekonomice </w:t>
      </w:r>
      <w:r w:rsidRPr="00A0318C">
        <w:t>vyplatili</w:t>
      </w:r>
      <w:r w:rsidR="002869E0" w:rsidRPr="00A0318C">
        <w:t xml:space="preserve"> </w:t>
      </w:r>
      <w:r w:rsidR="002869E0" w:rsidRPr="00D53D70">
        <w:rPr>
          <w:b/>
        </w:rPr>
        <w:t>náhrady</w:t>
      </w:r>
      <w:r w:rsidR="002869E0" w:rsidRPr="00A0318C">
        <w:t xml:space="preserve"> ve výš</w:t>
      </w:r>
      <w:r w:rsidR="001C3D20" w:rsidRPr="00A0318C">
        <w:t>i</w:t>
      </w:r>
      <w:r w:rsidR="002869E0" w:rsidRPr="00A0318C">
        <w:t xml:space="preserve"> </w:t>
      </w:r>
      <w:r w:rsidRPr="00A0318C">
        <w:t>1</w:t>
      </w:r>
      <w:r w:rsidR="005F28DD" w:rsidRPr="00A0318C">
        <w:t>9,6</w:t>
      </w:r>
      <w:r w:rsidR="00F01B59" w:rsidRPr="00A0318C">
        <w:t> </w:t>
      </w:r>
      <w:r w:rsidRPr="00A0318C">
        <w:t>mld</w:t>
      </w:r>
      <w:r w:rsidR="002869E0" w:rsidRPr="00A0318C">
        <w:t xml:space="preserve">. </w:t>
      </w:r>
      <w:r w:rsidR="005F28DD" w:rsidRPr="00A0318C">
        <w:t>Kč</w:t>
      </w:r>
      <w:r w:rsidR="002869E0" w:rsidRPr="00A0318C">
        <w:t>, což byl</w:t>
      </w:r>
      <w:r w:rsidRPr="00A0318C">
        <w:t xml:space="preserve">o meziročně o </w:t>
      </w:r>
      <w:r w:rsidR="005F28DD" w:rsidRPr="00A0318C">
        <w:t>0,6</w:t>
      </w:r>
      <w:r w:rsidRPr="00A0318C">
        <w:t xml:space="preserve"> mld. </w:t>
      </w:r>
      <w:r w:rsidR="005F28DD" w:rsidRPr="00A0318C">
        <w:t>Kč více</w:t>
      </w:r>
      <w:r w:rsidRPr="00A0318C">
        <w:t>. N</w:t>
      </w:r>
      <w:r w:rsidR="002869E0" w:rsidRPr="00A0318C">
        <w:t>áhrady do zahraničí</w:t>
      </w:r>
      <w:r w:rsidRPr="00A0318C">
        <w:t xml:space="preserve"> </w:t>
      </w:r>
      <w:r w:rsidR="005F28DD" w:rsidRPr="00A0318C">
        <w:t xml:space="preserve">naopak </w:t>
      </w:r>
      <w:r w:rsidR="002869E0" w:rsidRPr="00A0318C">
        <w:t xml:space="preserve">meziročně </w:t>
      </w:r>
      <w:r w:rsidR="005F28DD" w:rsidRPr="00A0318C">
        <w:t xml:space="preserve">výrazně </w:t>
      </w:r>
      <w:r w:rsidRPr="00A0318C">
        <w:t>klesly (</w:t>
      </w:r>
      <w:r w:rsidR="005F28DD" w:rsidRPr="00A0318C">
        <w:t>o 4,3</w:t>
      </w:r>
      <w:r w:rsidRPr="00A0318C">
        <w:t xml:space="preserve"> mld. </w:t>
      </w:r>
      <w:r w:rsidR="005F28DD" w:rsidRPr="00A0318C">
        <w:t>Kč</w:t>
      </w:r>
      <w:r w:rsidRPr="00A0318C">
        <w:t>) a dosáhly 15</w:t>
      </w:r>
      <w:r w:rsidR="005F28DD" w:rsidRPr="00A0318C">
        <w:t>,3</w:t>
      </w:r>
      <w:r w:rsidRPr="00A0318C">
        <w:t xml:space="preserve"> mld.</w:t>
      </w:r>
      <w:r w:rsidR="005F28DD" w:rsidRPr="00A0318C">
        <w:t xml:space="preserve"> Kč.</w:t>
      </w:r>
      <w:r w:rsidRPr="00A0318C">
        <w:t xml:space="preserve"> </w:t>
      </w:r>
      <w:r w:rsidR="008519C6" w:rsidRPr="00A0318C">
        <w:t xml:space="preserve">Saldo náhrad </w:t>
      </w:r>
      <w:r w:rsidRPr="00A0318C">
        <w:t xml:space="preserve">dosáhlo </w:t>
      </w:r>
      <w:r w:rsidR="005F28DD" w:rsidRPr="00A0318C">
        <w:t>přebytkem pro domácí ekonomiku (4,3</w:t>
      </w:r>
      <w:r w:rsidRPr="00A0318C">
        <w:t xml:space="preserve"> mld. </w:t>
      </w:r>
      <w:r w:rsidR="005F28DD" w:rsidRPr="00A0318C">
        <w:t>Kč)</w:t>
      </w:r>
      <w:r w:rsidRPr="00A0318C">
        <w:t xml:space="preserve"> a</w:t>
      </w:r>
      <w:r w:rsidR="00F01B59" w:rsidRPr="00A0318C">
        <w:t> </w:t>
      </w:r>
      <w:r w:rsidRPr="00A0318C">
        <w:t xml:space="preserve">meziročně se zvýšilo o </w:t>
      </w:r>
      <w:r w:rsidR="005F28DD" w:rsidRPr="00A0318C">
        <w:t xml:space="preserve">4,8 </w:t>
      </w:r>
      <w:r w:rsidRPr="00A0318C">
        <w:t>mld.</w:t>
      </w:r>
      <w:r w:rsidR="005F28DD" w:rsidRPr="00A0318C">
        <w:t xml:space="preserve"> Kč.</w:t>
      </w:r>
      <w:r w:rsidRPr="00A0318C">
        <w:t xml:space="preserve"> </w:t>
      </w:r>
      <w:r w:rsidR="00105107" w:rsidRPr="00A0318C">
        <w:t>S</w:t>
      </w:r>
      <w:r w:rsidR="00F77F8B" w:rsidRPr="00A0318C">
        <w:t>ald</w:t>
      </w:r>
      <w:r w:rsidR="00105107" w:rsidRPr="00A0318C">
        <w:t>o</w:t>
      </w:r>
      <w:r w:rsidR="00F77F8B" w:rsidRPr="00A0318C">
        <w:t xml:space="preserve"> prvotních důchodů</w:t>
      </w:r>
      <w:r w:rsidR="00C17B2C" w:rsidRPr="00A0318C">
        <w:t xml:space="preserve"> </w:t>
      </w:r>
      <w:r w:rsidR="00A0318C" w:rsidRPr="00A0318C">
        <w:t xml:space="preserve">domácí ekonomiky dosáhlo </w:t>
      </w:r>
      <w:r w:rsidR="00105107" w:rsidRPr="00A0318C">
        <w:t>v</w:t>
      </w:r>
      <w:r w:rsidR="00A0318C" w:rsidRPr="00A0318C">
        <w:t>e</w:t>
      </w:r>
      <w:r w:rsidR="00105107" w:rsidRPr="00A0318C">
        <w:t xml:space="preserve"> </w:t>
      </w:r>
      <w:r w:rsidR="00A0318C" w:rsidRPr="00A0318C">
        <w:t>2</w:t>
      </w:r>
      <w:r w:rsidR="00105107" w:rsidRPr="00A0318C">
        <w:t xml:space="preserve">. čtvrtletí deficitu </w:t>
      </w:r>
      <w:r w:rsidR="00A0318C" w:rsidRPr="00A0318C">
        <w:t xml:space="preserve">74,6 </w:t>
      </w:r>
      <w:r w:rsidR="00105107" w:rsidRPr="00A0318C">
        <w:t xml:space="preserve">mld. </w:t>
      </w:r>
      <w:r w:rsidR="00A0318C" w:rsidRPr="00A0318C">
        <w:t>Kč</w:t>
      </w:r>
      <w:r w:rsidR="00105107" w:rsidRPr="00A0318C">
        <w:t xml:space="preserve"> a</w:t>
      </w:r>
      <w:r w:rsidR="00F01B59" w:rsidRPr="00A0318C">
        <w:t> </w:t>
      </w:r>
      <w:r w:rsidR="00A0318C" w:rsidRPr="00A0318C">
        <w:t>zlepšilo se meziročně o </w:t>
      </w:r>
      <w:r w:rsidR="00E23F4A" w:rsidRPr="00A0318C">
        <w:t>1</w:t>
      </w:r>
      <w:r w:rsidR="00A0318C" w:rsidRPr="00A0318C">
        <w:t>4,6 </w:t>
      </w:r>
      <w:r w:rsidR="00105107" w:rsidRPr="00A0318C">
        <w:t>mld.</w:t>
      </w:r>
      <w:r w:rsidR="00A0318C" w:rsidRPr="00A0318C">
        <w:t> Kč.</w:t>
      </w:r>
    </w:p>
    <w:p w14:paraId="0BF28874" w14:textId="4D00CC38" w:rsidR="003E2A20" w:rsidRPr="00F36CF7" w:rsidRDefault="00837A3C" w:rsidP="007909AA">
      <w:pPr>
        <w:spacing w:after="120"/>
      </w:pPr>
      <w:r w:rsidRPr="00D53D70">
        <w:rPr>
          <w:b/>
        </w:rPr>
        <w:t>Saldo druhotného rozdělení</w:t>
      </w:r>
      <w:r w:rsidRPr="007C638A">
        <w:t xml:space="preserve"> v </w:t>
      </w:r>
      <w:r w:rsidR="007C638A" w:rsidRPr="007C638A">
        <w:t>2</w:t>
      </w:r>
      <w:r w:rsidRPr="007C638A">
        <w:t xml:space="preserve">. </w:t>
      </w:r>
      <w:r w:rsidR="007C638A" w:rsidRPr="007C638A">
        <w:t xml:space="preserve">čtvrtletí </w:t>
      </w:r>
      <w:r w:rsidRPr="007C638A">
        <w:t xml:space="preserve">2023 skončilo v tradičním deficitu. Ten se </w:t>
      </w:r>
      <w:r w:rsidR="007C638A" w:rsidRPr="007C638A">
        <w:t xml:space="preserve">však meziročně snížil </w:t>
      </w:r>
      <w:r w:rsidRPr="007C638A">
        <w:t xml:space="preserve">o </w:t>
      </w:r>
      <w:r w:rsidR="007C638A" w:rsidRPr="007C638A">
        <w:t>4,6</w:t>
      </w:r>
      <w:r w:rsidRPr="007C638A">
        <w:t xml:space="preserve"> mld. </w:t>
      </w:r>
      <w:r w:rsidR="007C638A" w:rsidRPr="007C638A">
        <w:t>Kč</w:t>
      </w:r>
      <w:r w:rsidRPr="007C638A">
        <w:t xml:space="preserve"> na</w:t>
      </w:r>
      <w:r w:rsidR="007C638A" w:rsidRPr="007C638A">
        <w:t xml:space="preserve"> 1</w:t>
      </w:r>
      <w:r w:rsidRPr="007C638A">
        <w:t>2,</w:t>
      </w:r>
      <w:r w:rsidR="007C638A" w:rsidRPr="007C638A">
        <w:t>9</w:t>
      </w:r>
      <w:r w:rsidRPr="007C638A">
        <w:t xml:space="preserve"> mld.</w:t>
      </w:r>
      <w:r w:rsidR="007C638A" w:rsidRPr="007C638A">
        <w:t xml:space="preserve"> Kč.</w:t>
      </w:r>
      <w:r w:rsidRPr="007C638A">
        <w:t xml:space="preserve"> </w:t>
      </w:r>
      <w:r w:rsidR="00D326BD" w:rsidRPr="007C638A">
        <w:t>S</w:t>
      </w:r>
      <w:r w:rsidR="00920317" w:rsidRPr="007C638A">
        <w:t>aldo běžných transakcí domácí ekonomiky se zahraničím</w:t>
      </w:r>
      <w:r w:rsidR="00934EFE" w:rsidRPr="007C638A">
        <w:t xml:space="preserve"> dosáhlo v</w:t>
      </w:r>
      <w:r w:rsidR="007C638A" w:rsidRPr="007C638A">
        <w:t>e 2</w:t>
      </w:r>
      <w:r w:rsidR="00934EFE" w:rsidRPr="007C638A">
        <w:t xml:space="preserve">. čtvrtletí přebytku </w:t>
      </w:r>
      <w:r w:rsidR="007C638A" w:rsidRPr="007C638A">
        <w:t>2</w:t>
      </w:r>
      <w:r w:rsidR="00934EFE" w:rsidRPr="007C638A">
        <w:t>3,</w:t>
      </w:r>
      <w:r w:rsidR="007C638A" w:rsidRPr="007C638A">
        <w:t>3</w:t>
      </w:r>
      <w:r w:rsidR="00934EFE" w:rsidRPr="007C638A">
        <w:t xml:space="preserve"> mld. </w:t>
      </w:r>
      <w:r w:rsidR="007C638A" w:rsidRPr="007C638A">
        <w:t>Kč</w:t>
      </w:r>
      <w:r w:rsidR="006041E0" w:rsidRPr="007C638A">
        <w:t xml:space="preserve"> a meziročn</w:t>
      </w:r>
      <w:r w:rsidR="006041E0" w:rsidRPr="00F36CF7">
        <w:t>ě se tak zlepšilo o</w:t>
      </w:r>
      <w:r w:rsidR="007C638A" w:rsidRPr="00F36CF7">
        <w:t> 123,1 </w:t>
      </w:r>
      <w:r w:rsidR="006041E0" w:rsidRPr="00F36CF7">
        <w:t>mld.</w:t>
      </w:r>
      <w:r w:rsidR="007C638A" w:rsidRPr="00F36CF7">
        <w:t xml:space="preserve"> Kč. </w:t>
      </w:r>
      <w:r w:rsidR="006041E0" w:rsidRPr="00F36CF7">
        <w:t xml:space="preserve">Ke zlepšení přispěl </w:t>
      </w:r>
      <w:r w:rsidR="007C638A" w:rsidRPr="00F36CF7">
        <w:t xml:space="preserve">zejména </w:t>
      </w:r>
      <w:r w:rsidR="006041E0" w:rsidRPr="00F36CF7">
        <w:t xml:space="preserve">pozitivní vývoj bilance </w:t>
      </w:r>
      <w:r w:rsidR="00D326BD" w:rsidRPr="00F36CF7">
        <w:t>zahraničního obchodu</w:t>
      </w:r>
      <w:r w:rsidR="006041E0" w:rsidRPr="00F36CF7">
        <w:t>.</w:t>
      </w:r>
    </w:p>
    <w:p w14:paraId="316F7B03" w14:textId="10A2D752" w:rsidR="00C87D5A" w:rsidRPr="00F36CF7" w:rsidRDefault="003E2A20" w:rsidP="00F915C2">
      <w:pPr>
        <w:spacing w:after="120"/>
      </w:pPr>
      <w:r w:rsidRPr="00F36CF7">
        <w:t xml:space="preserve">Domácí ekonomice náležely </w:t>
      </w:r>
      <w:r w:rsidRPr="00D53D70">
        <w:rPr>
          <w:b/>
        </w:rPr>
        <w:t>kapitálové transfery</w:t>
      </w:r>
      <w:r w:rsidRPr="00F36CF7">
        <w:t xml:space="preserve"> ze zahraničí ve výši </w:t>
      </w:r>
      <w:r w:rsidR="00C0309F" w:rsidRPr="00F36CF7">
        <w:t xml:space="preserve">27,6 </w:t>
      </w:r>
      <w:r w:rsidRPr="00F36CF7">
        <w:t xml:space="preserve">mld. </w:t>
      </w:r>
      <w:r w:rsidR="00C0309F" w:rsidRPr="00F36CF7">
        <w:t xml:space="preserve">Kč. </w:t>
      </w:r>
      <w:r w:rsidRPr="00F36CF7">
        <w:t xml:space="preserve">To je meziročně o </w:t>
      </w:r>
      <w:r w:rsidR="00C0309F" w:rsidRPr="00F36CF7">
        <w:t>6,4</w:t>
      </w:r>
      <w:r w:rsidRPr="00F36CF7">
        <w:t xml:space="preserve"> mld.</w:t>
      </w:r>
      <w:r w:rsidR="00C0309F" w:rsidRPr="00F36CF7">
        <w:t xml:space="preserve"> Kč</w:t>
      </w:r>
      <w:r w:rsidRPr="00F36CF7">
        <w:t xml:space="preserve"> více a z většiny za nárůstem stály investiční dotace. </w:t>
      </w:r>
      <w:r w:rsidR="00F36CF7" w:rsidRPr="00F36CF7">
        <w:t>Do zahraničí byla</w:t>
      </w:r>
      <w:r w:rsidR="00A61BE0" w:rsidRPr="00F36CF7">
        <w:t xml:space="preserve"> </w:t>
      </w:r>
      <w:r w:rsidRPr="00F36CF7">
        <w:t xml:space="preserve">naopak </w:t>
      </w:r>
      <w:r w:rsidR="00A61BE0" w:rsidRPr="00F36CF7">
        <w:t>takto vyplacen</w:t>
      </w:r>
      <w:r w:rsidR="00F36CF7" w:rsidRPr="00F36CF7">
        <w:t>a</w:t>
      </w:r>
      <w:r w:rsidR="00A61BE0" w:rsidRPr="00F36CF7">
        <w:t xml:space="preserve"> </w:t>
      </w:r>
      <w:r w:rsidRPr="00F36CF7">
        <w:t>1,0</w:t>
      </w:r>
      <w:r w:rsidR="00A61BE0" w:rsidRPr="00F36CF7">
        <w:t xml:space="preserve"> ml</w:t>
      </w:r>
      <w:r w:rsidR="00F915C2" w:rsidRPr="00F36CF7">
        <w:t xml:space="preserve">d. </w:t>
      </w:r>
      <w:r w:rsidR="00F36CF7" w:rsidRPr="00F36CF7">
        <w:t>Kč</w:t>
      </w:r>
      <w:r w:rsidR="00A61BE0" w:rsidRPr="00F36CF7">
        <w:t xml:space="preserve"> (</w:t>
      </w:r>
      <w:r w:rsidR="00F36CF7" w:rsidRPr="00F36CF7">
        <w:t>což bylo o necelých 0,3 mld. Kč méně</w:t>
      </w:r>
      <w:r w:rsidR="00A61BE0" w:rsidRPr="00F36CF7">
        <w:t>)</w:t>
      </w:r>
      <w:r w:rsidR="00F915C2" w:rsidRPr="00F36CF7">
        <w:t xml:space="preserve">. </w:t>
      </w:r>
    </w:p>
    <w:p w14:paraId="7ACEDEB1" w14:textId="0245EB46" w:rsidR="00C43DB8" w:rsidRPr="006A5E04" w:rsidRDefault="00FD6D15" w:rsidP="00F915C2">
      <w:pPr>
        <w:spacing w:after="120"/>
      </w:pPr>
      <w:r w:rsidRPr="006A5E04">
        <w:t xml:space="preserve">Domácí ekonomika </w:t>
      </w:r>
      <w:r w:rsidR="00C87B18" w:rsidRPr="006A5E04">
        <w:t>v</w:t>
      </w:r>
      <w:r w:rsidR="00365DCF" w:rsidRPr="006A5E04">
        <w:t>e</w:t>
      </w:r>
      <w:r w:rsidR="00C87B18" w:rsidRPr="006A5E04">
        <w:t xml:space="preserve"> </w:t>
      </w:r>
      <w:r w:rsidR="00365DCF" w:rsidRPr="006A5E04">
        <w:t>2</w:t>
      </w:r>
      <w:r w:rsidR="00C87B18" w:rsidRPr="006A5E04">
        <w:t xml:space="preserve">. čtvrtletí </w:t>
      </w:r>
      <w:r w:rsidR="003E2A20" w:rsidRPr="006A5E04">
        <w:t>skončila v č</w:t>
      </w:r>
      <w:r w:rsidRPr="006A5E04">
        <w:t>ist</w:t>
      </w:r>
      <w:r w:rsidR="003E2A20" w:rsidRPr="006A5E04">
        <w:t>é</w:t>
      </w:r>
      <w:r w:rsidRPr="006A5E04">
        <w:t xml:space="preserve"> </w:t>
      </w:r>
      <w:r w:rsidR="003E2A20" w:rsidRPr="006A5E04">
        <w:t>kladné</w:t>
      </w:r>
      <w:r w:rsidR="00613EF0" w:rsidRPr="006A5E04">
        <w:t xml:space="preserve"> </w:t>
      </w:r>
      <w:r w:rsidRPr="00D53D70">
        <w:rPr>
          <w:b/>
        </w:rPr>
        <w:t>pozic</w:t>
      </w:r>
      <w:r w:rsidR="00484F22" w:rsidRPr="00D53D70">
        <w:rPr>
          <w:b/>
        </w:rPr>
        <w:t>i</w:t>
      </w:r>
      <w:r w:rsidRPr="00D53D70">
        <w:rPr>
          <w:b/>
        </w:rPr>
        <w:t xml:space="preserve"> </w:t>
      </w:r>
      <w:r w:rsidR="00C87B18" w:rsidRPr="00D53D70">
        <w:rPr>
          <w:b/>
        </w:rPr>
        <w:t>vůči zahraničí</w:t>
      </w:r>
      <w:r w:rsidR="00F64C3F" w:rsidRPr="006A5E04">
        <w:t>.</w:t>
      </w:r>
      <w:r w:rsidR="00C87B18" w:rsidRPr="006A5E04">
        <w:t xml:space="preserve"> </w:t>
      </w:r>
      <w:r w:rsidR="003E2A20" w:rsidRPr="006A5E04">
        <w:t>Č</w:t>
      </w:r>
      <w:r w:rsidR="00B70ECD" w:rsidRPr="006A5E04">
        <w:t xml:space="preserve">isté půjčky </w:t>
      </w:r>
      <w:r w:rsidR="00C87B18" w:rsidRPr="006A5E04">
        <w:t xml:space="preserve">činily </w:t>
      </w:r>
      <w:r w:rsidR="00365DCF" w:rsidRPr="006A5E04">
        <w:t>56,1</w:t>
      </w:r>
      <w:r w:rsidR="008C00A5" w:rsidRPr="006A5E04">
        <w:t> mld.</w:t>
      </w:r>
      <w:r w:rsidRPr="006A5E04">
        <w:t xml:space="preserve"> </w:t>
      </w:r>
      <w:r w:rsidR="00365DCF" w:rsidRPr="006A5E04">
        <w:t>Kč</w:t>
      </w:r>
      <w:r w:rsidRPr="006A5E04">
        <w:t xml:space="preserve"> (meziročně </w:t>
      </w:r>
      <w:r w:rsidR="008C00A5" w:rsidRPr="006A5E04">
        <w:t>o </w:t>
      </w:r>
      <w:r w:rsidR="00365DCF" w:rsidRPr="006A5E04">
        <w:t>136,9</w:t>
      </w:r>
      <w:r w:rsidR="00CD547F" w:rsidRPr="006A5E04">
        <w:t> </w:t>
      </w:r>
      <w:r w:rsidRPr="006A5E04">
        <w:t xml:space="preserve">mld. </w:t>
      </w:r>
      <w:r w:rsidR="00365DCF" w:rsidRPr="006A5E04">
        <w:t xml:space="preserve">Kč </w:t>
      </w:r>
      <w:r w:rsidR="00F64C3F" w:rsidRPr="006A5E04">
        <w:t>lepší</w:t>
      </w:r>
      <w:r w:rsidRPr="006A5E04">
        <w:t xml:space="preserve"> výsledek).</w:t>
      </w:r>
      <w:r w:rsidR="00E71ED8" w:rsidRPr="006A5E04">
        <w:t xml:space="preserve"> </w:t>
      </w:r>
    </w:p>
    <w:p w14:paraId="6D42393D" w14:textId="77777777" w:rsidR="00834CC5" w:rsidRPr="003976E3" w:rsidRDefault="00834CC5">
      <w:pPr>
        <w:spacing w:line="240" w:lineRule="auto"/>
        <w:jc w:val="left"/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</w:pPr>
      <w:r w:rsidRPr="003976E3"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br w:type="page"/>
      </w:r>
    </w:p>
    <w:p w14:paraId="449668E5" w14:textId="4B671DCE" w:rsidR="00A54D7B" w:rsidRPr="005E2725" w:rsidRDefault="00BD57B8" w:rsidP="00B76199">
      <w:pPr>
        <w:jc w:val="left"/>
        <w:rPr>
          <w:rFonts w:ascii="Calibri" w:hAnsi="Calibri"/>
          <w:szCs w:val="20"/>
          <w:lang w:eastAsia="cs-CZ"/>
        </w:rPr>
      </w:pPr>
      <w:r w:rsidRPr="005E2725">
        <w:rPr>
          <w:rFonts w:eastAsia="Times New Roman" w:cs="Arial"/>
          <w:b/>
          <w:bCs/>
          <w:color w:val="000000"/>
          <w:szCs w:val="20"/>
          <w:lang w:eastAsia="cs-CZ"/>
        </w:rPr>
        <w:lastRenderedPageBreak/>
        <w:t>Tabulka 1: Vybrané hlavní ukazatele vývoje ekonomiky</w:t>
      </w:r>
    </w:p>
    <w:p w14:paraId="6DA8EC84" w14:textId="47A2B2EB" w:rsidR="00834CC5" w:rsidRPr="005E2725" w:rsidRDefault="005E2725" w:rsidP="005E2725">
      <w:pPr>
        <w:jc w:val="left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5E2725">
        <w:rPr>
          <w:noProof/>
          <w:lang w:val="en-US"/>
        </w:rPr>
        <w:drawing>
          <wp:inline distT="0" distB="0" distL="0" distR="0" wp14:anchorId="25883F13" wp14:editId="29F56EA7">
            <wp:extent cx="5135880" cy="5664200"/>
            <wp:effectExtent l="0" t="0" r="762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6E5B" w14:textId="77777777" w:rsidR="00834CC5" w:rsidRPr="003976E3" w:rsidRDefault="00834CC5" w:rsidP="00C43DB8">
      <w:pPr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</w:pPr>
    </w:p>
    <w:p w14:paraId="344449D7" w14:textId="77777777" w:rsidR="007E0FB5" w:rsidRPr="003976E3" w:rsidRDefault="00E976D2" w:rsidP="007E0FB5">
      <w:pPr>
        <w:jc w:val="center"/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</w:pPr>
      <w:r w:rsidRPr="003976E3">
        <w:rPr>
          <w:noProof/>
          <w:highlight w:val="yellow"/>
          <w:lang w:eastAsia="cs-CZ"/>
        </w:rPr>
        <w:t xml:space="preserve"> </w:t>
      </w:r>
    </w:p>
    <w:p w14:paraId="3AD17A19" w14:textId="46BBF3C7" w:rsidR="007B1333" w:rsidRPr="008032C6" w:rsidRDefault="007B1333" w:rsidP="00E42E00">
      <w:pPr>
        <w:rPr>
          <w:b/>
        </w:rPr>
      </w:pPr>
      <w:r w:rsidRPr="008032C6">
        <w:rPr>
          <w:b/>
        </w:rPr>
        <w:t>Kontakt</w:t>
      </w:r>
    </w:p>
    <w:p w14:paraId="77DAB36D" w14:textId="77777777" w:rsidR="008032C6" w:rsidRPr="008032C6" w:rsidRDefault="008032C6" w:rsidP="00E42E00">
      <w:r w:rsidRPr="008032C6">
        <w:t>Ing. Petr Musil, Ph.D.</w:t>
      </w:r>
    </w:p>
    <w:p w14:paraId="417D7AFA" w14:textId="70B200EF" w:rsidR="007B1333" w:rsidRPr="008032C6" w:rsidRDefault="008032C6" w:rsidP="00E42E00">
      <w:r w:rsidRPr="008032C6">
        <w:t>Ředitel sekce makroekonomických statistik</w:t>
      </w:r>
    </w:p>
    <w:p w14:paraId="08880335" w14:textId="28CE0B12" w:rsidR="004920AD" w:rsidRPr="00BD40CD" w:rsidRDefault="007B1333" w:rsidP="00E42E00">
      <w:r w:rsidRPr="008032C6">
        <w:t>E-mail:</w:t>
      </w:r>
      <w:r w:rsidR="00346D76" w:rsidRPr="008032C6">
        <w:t xml:space="preserve"> </w:t>
      </w:r>
      <w:r w:rsidR="008032C6" w:rsidRPr="008032C6">
        <w:t>petr.musil</w:t>
      </w:r>
      <w:r w:rsidR="00346D76" w:rsidRPr="008032C6">
        <w:t>@czso.cz</w:t>
      </w:r>
    </w:p>
    <w:sectPr w:rsidR="004920AD" w:rsidRPr="00BD40CD" w:rsidSect="00247E8D">
      <w:headerReference w:type="default" r:id="rId16"/>
      <w:footerReference w:type="default" r:id="rId17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226C" w14:textId="77777777" w:rsidR="00712975" w:rsidRDefault="00712975" w:rsidP="00BA6370">
      <w:r>
        <w:separator/>
      </w:r>
    </w:p>
  </w:endnote>
  <w:endnote w:type="continuationSeparator" w:id="0">
    <w:p w14:paraId="3D0C5D2D" w14:textId="77777777" w:rsidR="00712975" w:rsidRDefault="007129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3D094395" w14:textId="70A860FE" w:rsidR="00EB4F8B" w:rsidRDefault="00EB4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F9">
          <w:rPr>
            <w:noProof/>
          </w:rPr>
          <w:t>3</w:t>
        </w:r>
        <w:r>
          <w:fldChar w:fldCharType="end"/>
        </w:r>
      </w:p>
    </w:sdtContent>
  </w:sdt>
  <w:p w14:paraId="277276BC" w14:textId="77777777" w:rsidR="00EB4F8B" w:rsidRDefault="00EB4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EFAA4" w14:textId="77777777" w:rsidR="00712975" w:rsidRDefault="00712975" w:rsidP="00BA6370">
      <w:r>
        <w:separator/>
      </w:r>
    </w:p>
  </w:footnote>
  <w:footnote w:type="continuationSeparator" w:id="0">
    <w:p w14:paraId="30722F77" w14:textId="77777777" w:rsidR="00712975" w:rsidRDefault="00712975" w:rsidP="00BA6370">
      <w:r>
        <w:continuationSeparator/>
      </w:r>
    </w:p>
  </w:footnote>
  <w:footnote w:id="1">
    <w:p w14:paraId="51657F70" w14:textId="77777777" w:rsidR="007D3C4D" w:rsidRPr="00F5750C" w:rsidRDefault="007D3C4D" w:rsidP="007D3C4D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14:paraId="0103BA9F" w14:textId="12EFB017" w:rsidR="007D3C4D" w:rsidRPr="0006237B" w:rsidRDefault="007D3C4D" w:rsidP="007D3C4D">
      <w:pPr>
        <w:pStyle w:val="Textpoznpodarou"/>
        <w:rPr>
          <w:sz w:val="16"/>
          <w:szCs w:val="16"/>
        </w:rPr>
      </w:pPr>
      <w:r w:rsidRPr="00585E61">
        <w:rPr>
          <w:rStyle w:val="Znakapoznpodarou"/>
          <w:sz w:val="16"/>
          <w:szCs w:val="16"/>
        </w:rPr>
        <w:footnoteRef/>
      </w:r>
      <w:r w:rsidRPr="00585E61">
        <w:rPr>
          <w:sz w:val="16"/>
          <w:szCs w:val="16"/>
        </w:rPr>
        <w:t xml:space="preserve"> Do reálného vyjádření převedeno s pomocí celkového deflátoru HPH. V</w:t>
      </w:r>
      <w:r w:rsidR="00585E61" w:rsidRPr="00585E61">
        <w:rPr>
          <w:sz w:val="16"/>
          <w:szCs w:val="16"/>
        </w:rPr>
        <w:t>e</w:t>
      </w:r>
      <w:r w:rsidRPr="00585E61">
        <w:rPr>
          <w:sz w:val="16"/>
          <w:szCs w:val="16"/>
        </w:rPr>
        <w:t xml:space="preserve"> </w:t>
      </w:r>
      <w:r w:rsidR="00585E61" w:rsidRPr="00585E61">
        <w:rPr>
          <w:sz w:val="16"/>
          <w:szCs w:val="16"/>
        </w:rPr>
        <w:t>2</w:t>
      </w:r>
      <w:r w:rsidRPr="00585E61">
        <w:rPr>
          <w:sz w:val="16"/>
          <w:szCs w:val="16"/>
        </w:rPr>
        <w:t>. čtvrtletí 2023 dosahoval meziroční deflátor HPH 1</w:t>
      </w:r>
      <w:r w:rsidR="00585E61" w:rsidRPr="00585E61">
        <w:rPr>
          <w:sz w:val="16"/>
          <w:szCs w:val="16"/>
        </w:rPr>
        <w:t>0,5</w:t>
      </w:r>
      <w:r w:rsidRPr="00585E61">
        <w:rPr>
          <w:sz w:val="16"/>
          <w:szCs w:val="16"/>
        </w:rPr>
        <w:t xml:space="preserve"> %, mezičtvrtletně cenová hladina stoupla o </w:t>
      </w:r>
      <w:r w:rsidR="00585E61" w:rsidRPr="00585E61">
        <w:rPr>
          <w:sz w:val="16"/>
          <w:szCs w:val="16"/>
        </w:rPr>
        <w:t>0,6</w:t>
      </w:r>
      <w:r w:rsidRPr="00585E61">
        <w:rPr>
          <w:sz w:val="16"/>
          <w:szCs w:val="16"/>
        </w:rPr>
        <w:t xml:space="preserve"> %.</w:t>
      </w:r>
    </w:p>
  </w:footnote>
  <w:footnote w:id="3">
    <w:p w14:paraId="4182CBC3" w14:textId="5E13CF1E" w:rsidR="00421B88" w:rsidRPr="00421B88" w:rsidRDefault="00421B88">
      <w:pPr>
        <w:pStyle w:val="Textpoznpodarou"/>
        <w:rPr>
          <w:sz w:val="16"/>
          <w:szCs w:val="16"/>
        </w:rPr>
      </w:pPr>
      <w:r w:rsidRPr="00421B88">
        <w:rPr>
          <w:rStyle w:val="Znakapoznpodarou"/>
          <w:sz w:val="16"/>
          <w:szCs w:val="16"/>
        </w:rPr>
        <w:footnoteRef/>
      </w:r>
      <w:r w:rsidRPr="00421B88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421B88">
        <w:rPr>
          <w:sz w:val="16"/>
          <w:szCs w:val="16"/>
        </w:rPr>
        <w:t>odle sezónně očištěných dat</w:t>
      </w:r>
    </w:p>
  </w:footnote>
  <w:footnote w:id="4">
    <w:p w14:paraId="58B5827E" w14:textId="7053577F" w:rsidR="00B67C7E" w:rsidRPr="00B67C7E" w:rsidRDefault="00B67C7E">
      <w:pPr>
        <w:pStyle w:val="Textpoznpodarou"/>
        <w:rPr>
          <w:sz w:val="16"/>
          <w:szCs w:val="16"/>
        </w:rPr>
      </w:pPr>
      <w:r w:rsidRPr="00B67C7E">
        <w:rPr>
          <w:rStyle w:val="Znakapoznpodarou"/>
          <w:sz w:val="16"/>
          <w:szCs w:val="16"/>
        </w:rPr>
        <w:footnoteRef/>
      </w:r>
      <w:r w:rsidRPr="00B67C7E">
        <w:rPr>
          <w:sz w:val="16"/>
          <w:szCs w:val="16"/>
        </w:rPr>
        <w:t xml:space="preserve"> V přepočtu na plnou pracovní dobu</w:t>
      </w:r>
    </w:p>
  </w:footnote>
  <w:footnote w:id="5">
    <w:p w14:paraId="27A6FC89" w14:textId="44C9D75C" w:rsidR="00F01B59" w:rsidRPr="00107C2A" w:rsidRDefault="00F01B59" w:rsidP="00F01B59">
      <w:pPr>
        <w:pStyle w:val="Textpoznpodarou"/>
        <w:rPr>
          <w:sz w:val="16"/>
          <w:szCs w:val="16"/>
        </w:rPr>
      </w:pPr>
      <w:r w:rsidRPr="00107C2A">
        <w:rPr>
          <w:rStyle w:val="Znakapoznpodarou"/>
          <w:sz w:val="16"/>
          <w:szCs w:val="16"/>
        </w:rPr>
        <w:footnoteRef/>
      </w:r>
      <w:r w:rsidRPr="00107C2A">
        <w:rPr>
          <w:sz w:val="16"/>
          <w:szCs w:val="16"/>
        </w:rPr>
        <w:t xml:space="preserve"> Zejména dopad </w:t>
      </w:r>
      <w:r w:rsidR="007A211D">
        <w:rPr>
          <w:sz w:val="16"/>
          <w:szCs w:val="16"/>
        </w:rPr>
        <w:t>odvodu</w:t>
      </w:r>
      <w:r w:rsidRPr="00107C2A">
        <w:rPr>
          <w:sz w:val="16"/>
          <w:szCs w:val="16"/>
        </w:rPr>
        <w:t xml:space="preserve"> z nadměrných </w:t>
      </w:r>
      <w:r w:rsidR="007A211D">
        <w:rPr>
          <w:sz w:val="16"/>
          <w:szCs w:val="16"/>
        </w:rPr>
        <w:t>příjmů výrobců elektřiny</w:t>
      </w:r>
      <w:r w:rsidR="001050A1">
        <w:rPr>
          <w:sz w:val="16"/>
          <w:szCs w:val="16"/>
        </w:rPr>
        <w:t>, podobně jako v 1. čtvrtletí 2023.</w:t>
      </w:r>
    </w:p>
  </w:footnote>
  <w:footnote w:id="6">
    <w:p w14:paraId="1A3AFFDF" w14:textId="77777777" w:rsidR="00B56394" w:rsidRPr="007C46F1" w:rsidRDefault="00B56394" w:rsidP="00B56394">
      <w:pPr>
        <w:pStyle w:val="Textpoznpodarou"/>
        <w:rPr>
          <w:sz w:val="16"/>
          <w:szCs w:val="16"/>
        </w:rPr>
      </w:pPr>
      <w:r w:rsidRPr="007C46F1">
        <w:rPr>
          <w:rStyle w:val="Znakapoznpodarou"/>
          <w:sz w:val="16"/>
          <w:szCs w:val="16"/>
        </w:rPr>
        <w:footnoteRef/>
      </w:r>
      <w:r w:rsidRPr="007C46F1">
        <w:rPr>
          <w:sz w:val="16"/>
          <w:szCs w:val="16"/>
        </w:rPr>
        <w:t xml:space="preserve"> Podle sezónně očištěných dat</w:t>
      </w:r>
    </w:p>
  </w:footnote>
  <w:footnote w:id="7">
    <w:p w14:paraId="4C32CDD7" w14:textId="77777777" w:rsidR="00F01B59" w:rsidRPr="0006237B" w:rsidRDefault="00F01B59" w:rsidP="00F01B59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8">
    <w:p w14:paraId="52ED59C9" w14:textId="77777777" w:rsidR="00EB4F8B" w:rsidRPr="00984434" w:rsidRDefault="00EB4F8B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9">
    <w:p w14:paraId="0ADCD0FA" w14:textId="401B48E7" w:rsidR="0013159D" w:rsidRPr="003056AE" w:rsidRDefault="0013159D" w:rsidP="0013159D">
      <w:pPr>
        <w:pStyle w:val="Textpoznpodarou"/>
        <w:rPr>
          <w:sz w:val="16"/>
          <w:szCs w:val="16"/>
        </w:rPr>
      </w:pPr>
      <w:r w:rsidRPr="00446302">
        <w:rPr>
          <w:rStyle w:val="Znakapoznpodarou"/>
          <w:sz w:val="16"/>
          <w:szCs w:val="16"/>
        </w:rPr>
        <w:footnoteRef/>
      </w:r>
      <w:r w:rsidRPr="00446302">
        <w:rPr>
          <w:sz w:val="16"/>
          <w:szCs w:val="16"/>
        </w:rPr>
        <w:t xml:space="preserve"> </w:t>
      </w:r>
      <w:r w:rsidR="00046D45">
        <w:rPr>
          <w:sz w:val="16"/>
          <w:szCs w:val="16"/>
        </w:rPr>
        <w:t xml:space="preserve">V rámci </w:t>
      </w:r>
      <w:r w:rsidRPr="00446302">
        <w:rPr>
          <w:sz w:val="16"/>
          <w:szCs w:val="16"/>
        </w:rPr>
        <w:t xml:space="preserve">deflátoru </w:t>
      </w:r>
      <w:r>
        <w:rPr>
          <w:sz w:val="16"/>
          <w:szCs w:val="16"/>
        </w:rPr>
        <w:t xml:space="preserve">HDP </w:t>
      </w:r>
      <w:r w:rsidRPr="00446302">
        <w:rPr>
          <w:sz w:val="16"/>
          <w:szCs w:val="16"/>
        </w:rPr>
        <w:t>se ceny hrubého fixního kapitálu zvýšily</w:t>
      </w:r>
      <w:r>
        <w:rPr>
          <w:sz w:val="16"/>
          <w:szCs w:val="16"/>
        </w:rPr>
        <w:t xml:space="preserve"> v</w:t>
      </w:r>
      <w:r w:rsidR="00046D45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 w:rsidR="00046D45">
        <w:rPr>
          <w:sz w:val="16"/>
          <w:szCs w:val="16"/>
        </w:rPr>
        <w:t>2</w:t>
      </w:r>
      <w:r>
        <w:rPr>
          <w:sz w:val="16"/>
          <w:szCs w:val="16"/>
        </w:rPr>
        <w:t>. čtvrtletí</w:t>
      </w:r>
      <w:r w:rsidRPr="00446302">
        <w:rPr>
          <w:sz w:val="16"/>
          <w:szCs w:val="16"/>
        </w:rPr>
        <w:t xml:space="preserve"> meziročně o </w:t>
      </w:r>
      <w:r w:rsidR="00046D45">
        <w:rPr>
          <w:sz w:val="16"/>
          <w:szCs w:val="16"/>
        </w:rPr>
        <w:t>5,1</w:t>
      </w:r>
      <w:r>
        <w:rPr>
          <w:sz w:val="16"/>
          <w:szCs w:val="16"/>
        </w:rPr>
        <w:t xml:space="preserve"> </w:t>
      </w:r>
      <w:r w:rsidRPr="00446302">
        <w:rPr>
          <w:sz w:val="16"/>
          <w:szCs w:val="16"/>
        </w:rPr>
        <w:t>%</w:t>
      </w:r>
      <w:r>
        <w:rPr>
          <w:sz w:val="16"/>
          <w:szCs w:val="16"/>
        </w:rPr>
        <w:t xml:space="preserve"> </w:t>
      </w:r>
      <w:r w:rsidR="003056AE">
        <w:rPr>
          <w:sz w:val="16"/>
          <w:szCs w:val="16"/>
        </w:rPr>
        <w:t xml:space="preserve">(neočištěné údaje </w:t>
      </w:r>
      <w:r w:rsidR="003056AE" w:rsidRPr="003056AE">
        <w:rPr>
          <w:sz w:val="16"/>
          <w:szCs w:val="16"/>
        </w:rPr>
        <w:t>o </w:t>
      </w:r>
      <w:r w:rsidR="00C72D7A" w:rsidRPr="003056AE">
        <w:rPr>
          <w:sz w:val="16"/>
          <w:szCs w:val="16"/>
        </w:rPr>
        <w:t xml:space="preserve">kalendářní vlivy) </w:t>
      </w:r>
      <w:r w:rsidRPr="003056AE">
        <w:rPr>
          <w:sz w:val="16"/>
          <w:szCs w:val="16"/>
        </w:rPr>
        <w:t>a mezičtvrtletně vzrostly o 2,</w:t>
      </w:r>
      <w:r w:rsidR="00046D45" w:rsidRPr="003056AE">
        <w:rPr>
          <w:sz w:val="16"/>
          <w:szCs w:val="16"/>
        </w:rPr>
        <w:t>0</w:t>
      </w:r>
      <w:r w:rsidRPr="003056AE">
        <w:rPr>
          <w:sz w:val="16"/>
          <w:szCs w:val="16"/>
        </w:rPr>
        <w:t xml:space="preserve"> %</w:t>
      </w:r>
      <w:r w:rsidR="00C72D7A" w:rsidRPr="003056AE">
        <w:rPr>
          <w:sz w:val="16"/>
          <w:szCs w:val="16"/>
        </w:rPr>
        <w:t xml:space="preserve"> (sezónně očištěné údaje)</w:t>
      </w:r>
      <w:r w:rsidRPr="003056AE">
        <w:rPr>
          <w:sz w:val="16"/>
          <w:szCs w:val="16"/>
        </w:rPr>
        <w:t xml:space="preserve">. </w:t>
      </w:r>
    </w:p>
  </w:footnote>
  <w:footnote w:id="10">
    <w:p w14:paraId="4F47E9EC" w14:textId="77777777" w:rsidR="0013159D" w:rsidRPr="00AB3D8D" w:rsidRDefault="0013159D" w:rsidP="0013159D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11">
    <w:p w14:paraId="0E39D73C" w14:textId="77777777" w:rsidR="00515379" w:rsidRPr="00337C71" w:rsidRDefault="00515379" w:rsidP="00515379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https://doi.org/10.18267/j.polek.1290</w:t>
      </w:r>
      <w:r>
        <w:rPr>
          <w:sz w:val="16"/>
          <w:szCs w:val="16"/>
        </w:rPr>
        <w:t>.</w:t>
      </w:r>
    </w:p>
  </w:footnote>
  <w:footnote w:id="12">
    <w:p w14:paraId="0105CF49" w14:textId="1D2D66F0" w:rsidR="007C3D04" w:rsidRPr="009E0C2A" w:rsidRDefault="007C3D04" w:rsidP="007C3D04">
      <w:pPr>
        <w:pStyle w:val="Textpoznpodarou"/>
        <w:rPr>
          <w:sz w:val="16"/>
          <w:szCs w:val="16"/>
        </w:rPr>
      </w:pPr>
      <w:r w:rsidRPr="004E69CE">
        <w:rPr>
          <w:rStyle w:val="Znakapoznpodarou"/>
          <w:sz w:val="16"/>
          <w:szCs w:val="16"/>
        </w:rPr>
        <w:footnoteRef/>
      </w:r>
      <w:r w:rsidRPr="004E69CE">
        <w:rPr>
          <w:sz w:val="16"/>
          <w:szCs w:val="16"/>
        </w:rPr>
        <w:t xml:space="preserve"> Pro očištění o vliv cen byl použit deflátor výdajů na konečnou spotřebu domácností</w:t>
      </w:r>
      <w:r w:rsidR="004E69CE">
        <w:rPr>
          <w:sz w:val="16"/>
          <w:szCs w:val="16"/>
        </w:rPr>
        <w:t>: v</w:t>
      </w:r>
      <w:r w:rsidR="004E69CE" w:rsidRPr="004E69CE">
        <w:rPr>
          <w:sz w:val="16"/>
          <w:szCs w:val="16"/>
        </w:rPr>
        <w:t>e</w:t>
      </w:r>
      <w:r w:rsidRPr="004E69CE">
        <w:rPr>
          <w:sz w:val="16"/>
          <w:szCs w:val="16"/>
        </w:rPr>
        <w:t xml:space="preserve"> </w:t>
      </w:r>
      <w:r w:rsidR="004E69CE" w:rsidRPr="004E69CE">
        <w:rPr>
          <w:sz w:val="16"/>
          <w:szCs w:val="16"/>
        </w:rPr>
        <w:t>2</w:t>
      </w:r>
      <w:r w:rsidRPr="004E69CE">
        <w:rPr>
          <w:sz w:val="16"/>
          <w:szCs w:val="16"/>
        </w:rPr>
        <w:t xml:space="preserve">. čtvrtletí 2023 činil meziroční cenový nárůst </w:t>
      </w:r>
      <w:r w:rsidR="004E69CE" w:rsidRPr="004E69CE">
        <w:rPr>
          <w:sz w:val="16"/>
          <w:szCs w:val="16"/>
        </w:rPr>
        <w:t>10,3</w:t>
      </w:r>
      <w:r w:rsidRPr="004E69CE">
        <w:rPr>
          <w:sz w:val="16"/>
          <w:szCs w:val="16"/>
        </w:rPr>
        <w:t> % a mezičtvrtletně došlo</w:t>
      </w:r>
      <w:r w:rsidR="004E69CE" w:rsidRPr="004E69CE">
        <w:rPr>
          <w:sz w:val="16"/>
          <w:szCs w:val="16"/>
        </w:rPr>
        <w:t xml:space="preserve"> </w:t>
      </w:r>
      <w:r w:rsidR="004E69CE">
        <w:rPr>
          <w:sz w:val="16"/>
          <w:szCs w:val="16"/>
        </w:rPr>
        <w:t xml:space="preserve">dokonce </w:t>
      </w:r>
      <w:r w:rsidR="004E69CE" w:rsidRPr="004E69CE">
        <w:rPr>
          <w:sz w:val="16"/>
          <w:szCs w:val="16"/>
        </w:rPr>
        <w:t>k</w:t>
      </w:r>
      <w:r w:rsidRPr="004E69CE">
        <w:rPr>
          <w:sz w:val="16"/>
          <w:szCs w:val="16"/>
        </w:rPr>
        <w:t xml:space="preserve"> </w:t>
      </w:r>
      <w:r w:rsidR="004E69CE" w:rsidRPr="004E69CE">
        <w:rPr>
          <w:sz w:val="16"/>
          <w:szCs w:val="16"/>
        </w:rPr>
        <w:t xml:space="preserve">poklesu cenové hladiny </w:t>
      </w:r>
      <w:r w:rsidRPr="004E69CE">
        <w:rPr>
          <w:sz w:val="16"/>
          <w:szCs w:val="16"/>
        </w:rPr>
        <w:t xml:space="preserve">o </w:t>
      </w:r>
      <w:r w:rsidR="004E69CE" w:rsidRPr="004E69CE">
        <w:rPr>
          <w:sz w:val="16"/>
          <w:szCs w:val="16"/>
        </w:rPr>
        <w:t>0,2</w:t>
      </w:r>
      <w:r w:rsidRPr="004E69CE">
        <w:rPr>
          <w:sz w:val="16"/>
          <w:szCs w:val="16"/>
        </w:rPr>
        <w:t xml:space="preserve"> %</w:t>
      </w:r>
      <w:r w:rsidR="004E69CE" w:rsidRPr="004E69CE">
        <w:rPr>
          <w:sz w:val="16"/>
          <w:szCs w:val="16"/>
        </w:rPr>
        <w:t xml:space="preserve"> (což bylo poprvé od konce roku 2020)</w:t>
      </w:r>
      <w:r w:rsidRPr="004E69CE">
        <w:rPr>
          <w:sz w:val="16"/>
          <w:szCs w:val="16"/>
        </w:rPr>
        <w:t>.</w:t>
      </w:r>
    </w:p>
  </w:footnote>
  <w:footnote w:id="13">
    <w:p w14:paraId="31ED14E6" w14:textId="7D6B18CC" w:rsidR="00874047" w:rsidRPr="00874047" w:rsidRDefault="00874047">
      <w:pPr>
        <w:pStyle w:val="Textpoznpodarou"/>
        <w:rPr>
          <w:sz w:val="16"/>
          <w:szCs w:val="16"/>
        </w:rPr>
      </w:pPr>
      <w:r w:rsidRPr="00874047">
        <w:rPr>
          <w:rStyle w:val="Znakapoznpodarou"/>
          <w:sz w:val="16"/>
          <w:szCs w:val="16"/>
        </w:rPr>
        <w:footnoteRef/>
      </w:r>
      <w:r w:rsidRPr="00874047">
        <w:rPr>
          <w:sz w:val="16"/>
          <w:szCs w:val="16"/>
        </w:rPr>
        <w:t xml:space="preserve"> Pro očištění o vliv cen byl použit deflátor výdajů na konečnou spotřebu domácností.</w:t>
      </w:r>
    </w:p>
  </w:footnote>
  <w:footnote w:id="14">
    <w:p w14:paraId="26780487" w14:textId="77777777" w:rsidR="00EB4F8B" w:rsidRPr="00EB5544" w:rsidRDefault="00EB4F8B" w:rsidP="003D22F2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5">
    <w:p w14:paraId="6552631E" w14:textId="77777777" w:rsidR="00EB4F8B" w:rsidRPr="00EB5544" w:rsidRDefault="00EB4F8B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6">
    <w:p w14:paraId="3D2A9E1A" w14:textId="77777777" w:rsidR="00A23F1D" w:rsidRPr="00797632" w:rsidRDefault="00A23F1D" w:rsidP="00A23F1D">
      <w:pPr>
        <w:pStyle w:val="Textpoznpodarou"/>
        <w:rPr>
          <w:sz w:val="16"/>
          <w:szCs w:val="16"/>
        </w:rPr>
      </w:pPr>
      <w:r w:rsidRPr="00797632">
        <w:rPr>
          <w:rStyle w:val="Znakapoznpodarou"/>
          <w:sz w:val="16"/>
          <w:szCs w:val="16"/>
        </w:rPr>
        <w:footnoteRef/>
      </w:r>
      <w:r w:rsidRPr="00797632">
        <w:rPr>
          <w:sz w:val="16"/>
          <w:szCs w:val="16"/>
        </w:rPr>
        <w:t xml:space="preserve"> </w:t>
      </w:r>
      <w:r w:rsidRPr="00797632">
        <w:rPr>
          <w:rFonts w:cs="Arial"/>
          <w:iCs/>
          <w:sz w:val="16"/>
          <w:szCs w:val="16"/>
        </w:rPr>
        <w:t>Hrubé úspory představují část hrubého disponibilního důchodu, která nebyla spotřebována ve formě výdajů na konečnou spotřebu.</w:t>
      </w:r>
    </w:p>
  </w:footnote>
  <w:footnote w:id="17">
    <w:p w14:paraId="42AE676D" w14:textId="7544947D" w:rsidR="00EB4F8B" w:rsidRPr="00E9501D" w:rsidRDefault="00EB4F8B" w:rsidP="00E26E5D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 xml:space="preserve">D.8)). </w:t>
      </w:r>
    </w:p>
  </w:footnote>
  <w:footnote w:id="18">
    <w:p w14:paraId="37C291D2" w14:textId="77777777" w:rsidR="00502031" w:rsidRPr="00D20875" w:rsidRDefault="00502031" w:rsidP="00502031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</w:p>
  </w:footnote>
  <w:footnote w:id="19">
    <w:p w14:paraId="3E60FB3B" w14:textId="77777777" w:rsidR="003F5414" w:rsidRPr="00B342F4" w:rsidRDefault="003F5414" w:rsidP="003F5414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E062" w14:textId="77777777" w:rsidR="00EB4F8B" w:rsidRDefault="00EB4F8B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100DFE" wp14:editId="57F5AC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7C569E7D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fEy3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rlyvt8BuutK4/gAKxDIbts6U2bWC/xJU26IZs9oYdWOcz7Xym/d2cabDQ&#10;4pn2/en2Vtyfiy7YEO6Z9qebu6cfj3cPT59rNh52WElhjW0Wawxmg6yxflMa17DBf452o5hvZivC&#10;GbpRi+7tjXJzBQxv3t/Dxfo/L8DRuLn4eNHBj5MlK/AGBhN/BpsOF+8uxk4dgRkIe8EMtNmNDi6w&#10;M4PtdnVcOKdnoM3h4OCCqZH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08F"/>
    <w:rsid w:val="00002857"/>
    <w:rsid w:val="00002DDA"/>
    <w:rsid w:val="00002E07"/>
    <w:rsid w:val="0000403F"/>
    <w:rsid w:val="00006A93"/>
    <w:rsid w:val="000070E8"/>
    <w:rsid w:val="00011945"/>
    <w:rsid w:val="00012BC2"/>
    <w:rsid w:val="00013757"/>
    <w:rsid w:val="00014904"/>
    <w:rsid w:val="000151DF"/>
    <w:rsid w:val="0001683E"/>
    <w:rsid w:val="00016AA5"/>
    <w:rsid w:val="00016F9F"/>
    <w:rsid w:val="000171C5"/>
    <w:rsid w:val="000171CD"/>
    <w:rsid w:val="000207B9"/>
    <w:rsid w:val="00020D9A"/>
    <w:rsid w:val="0002212C"/>
    <w:rsid w:val="00025278"/>
    <w:rsid w:val="00026950"/>
    <w:rsid w:val="00026DC4"/>
    <w:rsid w:val="000302A6"/>
    <w:rsid w:val="00031A2E"/>
    <w:rsid w:val="00032C87"/>
    <w:rsid w:val="00032E76"/>
    <w:rsid w:val="00035558"/>
    <w:rsid w:val="00035A2B"/>
    <w:rsid w:val="00036709"/>
    <w:rsid w:val="000370D3"/>
    <w:rsid w:val="00037808"/>
    <w:rsid w:val="000408A4"/>
    <w:rsid w:val="00040CEA"/>
    <w:rsid w:val="00041D8C"/>
    <w:rsid w:val="00042640"/>
    <w:rsid w:val="00043656"/>
    <w:rsid w:val="00043BF4"/>
    <w:rsid w:val="00043E0C"/>
    <w:rsid w:val="000445A5"/>
    <w:rsid w:val="00045A7A"/>
    <w:rsid w:val="00045F4E"/>
    <w:rsid w:val="00046AB2"/>
    <w:rsid w:val="00046D45"/>
    <w:rsid w:val="00047A6C"/>
    <w:rsid w:val="000507CF"/>
    <w:rsid w:val="00055D8F"/>
    <w:rsid w:val="00055EBE"/>
    <w:rsid w:val="0005699E"/>
    <w:rsid w:val="0006007D"/>
    <w:rsid w:val="00060A9C"/>
    <w:rsid w:val="00060C03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3B8E"/>
    <w:rsid w:val="00074BF6"/>
    <w:rsid w:val="00075EAF"/>
    <w:rsid w:val="00076404"/>
    <w:rsid w:val="0007692E"/>
    <w:rsid w:val="000771E3"/>
    <w:rsid w:val="00082045"/>
    <w:rsid w:val="00082547"/>
    <w:rsid w:val="00082749"/>
    <w:rsid w:val="000827CE"/>
    <w:rsid w:val="00082B42"/>
    <w:rsid w:val="000843A5"/>
    <w:rsid w:val="0008507E"/>
    <w:rsid w:val="0008521C"/>
    <w:rsid w:val="00087487"/>
    <w:rsid w:val="00087A80"/>
    <w:rsid w:val="00090013"/>
    <w:rsid w:val="00090B9E"/>
    <w:rsid w:val="00092C15"/>
    <w:rsid w:val="00092CCF"/>
    <w:rsid w:val="0009303F"/>
    <w:rsid w:val="00093BCB"/>
    <w:rsid w:val="00096BC2"/>
    <w:rsid w:val="000A06FD"/>
    <w:rsid w:val="000A09BC"/>
    <w:rsid w:val="000A0B3A"/>
    <w:rsid w:val="000A3200"/>
    <w:rsid w:val="000A5AAC"/>
    <w:rsid w:val="000B090E"/>
    <w:rsid w:val="000B1F66"/>
    <w:rsid w:val="000B3B92"/>
    <w:rsid w:val="000B3CB8"/>
    <w:rsid w:val="000B470E"/>
    <w:rsid w:val="000B4AB2"/>
    <w:rsid w:val="000B5125"/>
    <w:rsid w:val="000B544B"/>
    <w:rsid w:val="000B5C75"/>
    <w:rsid w:val="000B5EAC"/>
    <w:rsid w:val="000B6F63"/>
    <w:rsid w:val="000B7488"/>
    <w:rsid w:val="000B7652"/>
    <w:rsid w:val="000C07E9"/>
    <w:rsid w:val="000C1D29"/>
    <w:rsid w:val="000C2CA9"/>
    <w:rsid w:val="000C43AA"/>
    <w:rsid w:val="000C6700"/>
    <w:rsid w:val="000C72DE"/>
    <w:rsid w:val="000C7427"/>
    <w:rsid w:val="000D19F9"/>
    <w:rsid w:val="000D267F"/>
    <w:rsid w:val="000D26CD"/>
    <w:rsid w:val="000D3E4F"/>
    <w:rsid w:val="000E03CC"/>
    <w:rsid w:val="000E0DCE"/>
    <w:rsid w:val="000E1C19"/>
    <w:rsid w:val="000E46D2"/>
    <w:rsid w:val="000F11C8"/>
    <w:rsid w:val="000F1825"/>
    <w:rsid w:val="000F53DF"/>
    <w:rsid w:val="000F5B28"/>
    <w:rsid w:val="000F6917"/>
    <w:rsid w:val="000F6E26"/>
    <w:rsid w:val="000F6F36"/>
    <w:rsid w:val="000F7753"/>
    <w:rsid w:val="000F7F50"/>
    <w:rsid w:val="00100C3E"/>
    <w:rsid w:val="00101622"/>
    <w:rsid w:val="00101C34"/>
    <w:rsid w:val="00102B7E"/>
    <w:rsid w:val="00102BFF"/>
    <w:rsid w:val="00102EAC"/>
    <w:rsid w:val="00104388"/>
    <w:rsid w:val="001050A1"/>
    <w:rsid w:val="001050DD"/>
    <w:rsid w:val="00105107"/>
    <w:rsid w:val="00106C6F"/>
    <w:rsid w:val="00107529"/>
    <w:rsid w:val="0010766F"/>
    <w:rsid w:val="001078B8"/>
    <w:rsid w:val="0010796E"/>
    <w:rsid w:val="00107C2A"/>
    <w:rsid w:val="00107E15"/>
    <w:rsid w:val="001118E2"/>
    <w:rsid w:val="00114AEC"/>
    <w:rsid w:val="001171CC"/>
    <w:rsid w:val="00117460"/>
    <w:rsid w:val="00117525"/>
    <w:rsid w:val="00117984"/>
    <w:rsid w:val="00120DF6"/>
    <w:rsid w:val="00121123"/>
    <w:rsid w:val="00121D14"/>
    <w:rsid w:val="0012377A"/>
    <w:rsid w:val="00123848"/>
    <w:rsid w:val="0012384F"/>
    <w:rsid w:val="00123E91"/>
    <w:rsid w:val="001258A6"/>
    <w:rsid w:val="00125CAF"/>
    <w:rsid w:val="00125D2F"/>
    <w:rsid w:val="00127216"/>
    <w:rsid w:val="0012777D"/>
    <w:rsid w:val="00130931"/>
    <w:rsid w:val="0013159D"/>
    <w:rsid w:val="00131E21"/>
    <w:rsid w:val="00133417"/>
    <w:rsid w:val="001355FF"/>
    <w:rsid w:val="00135967"/>
    <w:rsid w:val="00137535"/>
    <w:rsid w:val="001404AB"/>
    <w:rsid w:val="00142A45"/>
    <w:rsid w:val="0014432B"/>
    <w:rsid w:val="001453D8"/>
    <w:rsid w:val="00145FEE"/>
    <w:rsid w:val="00146931"/>
    <w:rsid w:val="001521A2"/>
    <w:rsid w:val="001526E3"/>
    <w:rsid w:val="00155FA8"/>
    <w:rsid w:val="00156B60"/>
    <w:rsid w:val="001578BA"/>
    <w:rsid w:val="00160DE1"/>
    <w:rsid w:val="00161FAB"/>
    <w:rsid w:val="00165362"/>
    <w:rsid w:val="001658A9"/>
    <w:rsid w:val="0016606A"/>
    <w:rsid w:val="00170900"/>
    <w:rsid w:val="00170938"/>
    <w:rsid w:val="00170C0F"/>
    <w:rsid w:val="00171121"/>
    <w:rsid w:val="0017143B"/>
    <w:rsid w:val="0017145A"/>
    <w:rsid w:val="0017231D"/>
    <w:rsid w:val="0017281B"/>
    <w:rsid w:val="00174391"/>
    <w:rsid w:val="00174EEE"/>
    <w:rsid w:val="00175ABA"/>
    <w:rsid w:val="00176CFE"/>
    <w:rsid w:val="0017753D"/>
    <w:rsid w:val="0017763E"/>
    <w:rsid w:val="001810DC"/>
    <w:rsid w:val="00182418"/>
    <w:rsid w:val="00183219"/>
    <w:rsid w:val="00183259"/>
    <w:rsid w:val="00185D0B"/>
    <w:rsid w:val="001869C8"/>
    <w:rsid w:val="00186D8E"/>
    <w:rsid w:val="001876AB"/>
    <w:rsid w:val="001903B8"/>
    <w:rsid w:val="00191EB3"/>
    <w:rsid w:val="00197A07"/>
    <w:rsid w:val="001A1D78"/>
    <w:rsid w:val="001A1D88"/>
    <w:rsid w:val="001A352A"/>
    <w:rsid w:val="001A3851"/>
    <w:rsid w:val="001A5270"/>
    <w:rsid w:val="001A532E"/>
    <w:rsid w:val="001A5571"/>
    <w:rsid w:val="001A5758"/>
    <w:rsid w:val="001A59BF"/>
    <w:rsid w:val="001A6821"/>
    <w:rsid w:val="001B19D4"/>
    <w:rsid w:val="001B1CC6"/>
    <w:rsid w:val="001B33C3"/>
    <w:rsid w:val="001B471F"/>
    <w:rsid w:val="001B5506"/>
    <w:rsid w:val="001B579F"/>
    <w:rsid w:val="001B5820"/>
    <w:rsid w:val="001B5D69"/>
    <w:rsid w:val="001B607F"/>
    <w:rsid w:val="001B62ED"/>
    <w:rsid w:val="001B6452"/>
    <w:rsid w:val="001C0063"/>
    <w:rsid w:val="001C1F2F"/>
    <w:rsid w:val="001C21F4"/>
    <w:rsid w:val="001C3B2C"/>
    <w:rsid w:val="001C3D20"/>
    <w:rsid w:val="001C4AB9"/>
    <w:rsid w:val="001C5644"/>
    <w:rsid w:val="001C6AAC"/>
    <w:rsid w:val="001C7758"/>
    <w:rsid w:val="001C7BBB"/>
    <w:rsid w:val="001C7FEF"/>
    <w:rsid w:val="001D02CC"/>
    <w:rsid w:val="001D11FD"/>
    <w:rsid w:val="001D1530"/>
    <w:rsid w:val="001D1DD7"/>
    <w:rsid w:val="001D2496"/>
    <w:rsid w:val="001D369A"/>
    <w:rsid w:val="001D5F9E"/>
    <w:rsid w:val="001D5FDB"/>
    <w:rsid w:val="001D67BC"/>
    <w:rsid w:val="001D708D"/>
    <w:rsid w:val="001D7172"/>
    <w:rsid w:val="001D7686"/>
    <w:rsid w:val="001E05D9"/>
    <w:rsid w:val="001E11DD"/>
    <w:rsid w:val="001E249C"/>
    <w:rsid w:val="001E4EFB"/>
    <w:rsid w:val="001F01BB"/>
    <w:rsid w:val="001F1D88"/>
    <w:rsid w:val="001F691A"/>
    <w:rsid w:val="001F6C45"/>
    <w:rsid w:val="001F7B11"/>
    <w:rsid w:val="002002A3"/>
    <w:rsid w:val="002022D4"/>
    <w:rsid w:val="00203B05"/>
    <w:rsid w:val="00203B48"/>
    <w:rsid w:val="00203B5E"/>
    <w:rsid w:val="002070FB"/>
    <w:rsid w:val="00207F7B"/>
    <w:rsid w:val="00210B17"/>
    <w:rsid w:val="00210E73"/>
    <w:rsid w:val="0021146C"/>
    <w:rsid w:val="00212AE2"/>
    <w:rsid w:val="00213729"/>
    <w:rsid w:val="00213ECF"/>
    <w:rsid w:val="00214968"/>
    <w:rsid w:val="002161B2"/>
    <w:rsid w:val="00216AF2"/>
    <w:rsid w:val="00220B84"/>
    <w:rsid w:val="002214D9"/>
    <w:rsid w:val="00222071"/>
    <w:rsid w:val="0022219E"/>
    <w:rsid w:val="00222B76"/>
    <w:rsid w:val="00223B39"/>
    <w:rsid w:val="00225A5C"/>
    <w:rsid w:val="0022766F"/>
    <w:rsid w:val="00227AD7"/>
    <w:rsid w:val="00227E3A"/>
    <w:rsid w:val="00230086"/>
    <w:rsid w:val="0023054D"/>
    <w:rsid w:val="00233086"/>
    <w:rsid w:val="0023363B"/>
    <w:rsid w:val="002338CE"/>
    <w:rsid w:val="00233AAD"/>
    <w:rsid w:val="00234585"/>
    <w:rsid w:val="00236EE0"/>
    <w:rsid w:val="002371F1"/>
    <w:rsid w:val="002406FA"/>
    <w:rsid w:val="002421E0"/>
    <w:rsid w:val="002442F7"/>
    <w:rsid w:val="00245C31"/>
    <w:rsid w:val="00245D70"/>
    <w:rsid w:val="002461C3"/>
    <w:rsid w:val="002464F8"/>
    <w:rsid w:val="00246793"/>
    <w:rsid w:val="00246917"/>
    <w:rsid w:val="002472F5"/>
    <w:rsid w:val="00247354"/>
    <w:rsid w:val="00247E8D"/>
    <w:rsid w:val="00250BF4"/>
    <w:rsid w:val="00251388"/>
    <w:rsid w:val="00254D66"/>
    <w:rsid w:val="00255F50"/>
    <w:rsid w:val="002562CE"/>
    <w:rsid w:val="0026186F"/>
    <w:rsid w:val="002618A1"/>
    <w:rsid w:val="002630D4"/>
    <w:rsid w:val="00263486"/>
    <w:rsid w:val="002636CE"/>
    <w:rsid w:val="00265A44"/>
    <w:rsid w:val="00270064"/>
    <w:rsid w:val="00270CE3"/>
    <w:rsid w:val="002726C7"/>
    <w:rsid w:val="00273216"/>
    <w:rsid w:val="002733A3"/>
    <w:rsid w:val="002735F1"/>
    <w:rsid w:val="00273EA6"/>
    <w:rsid w:val="00274A90"/>
    <w:rsid w:val="002777B6"/>
    <w:rsid w:val="00280276"/>
    <w:rsid w:val="002805A9"/>
    <w:rsid w:val="0028179A"/>
    <w:rsid w:val="00285689"/>
    <w:rsid w:val="002869E0"/>
    <w:rsid w:val="0028701D"/>
    <w:rsid w:val="0029071A"/>
    <w:rsid w:val="00291F91"/>
    <w:rsid w:val="0029200A"/>
    <w:rsid w:val="00293514"/>
    <w:rsid w:val="002956A8"/>
    <w:rsid w:val="002968EB"/>
    <w:rsid w:val="0029746B"/>
    <w:rsid w:val="002977FE"/>
    <w:rsid w:val="002A27D9"/>
    <w:rsid w:val="002A2E87"/>
    <w:rsid w:val="002A3A03"/>
    <w:rsid w:val="002A54F5"/>
    <w:rsid w:val="002A6710"/>
    <w:rsid w:val="002A6BB7"/>
    <w:rsid w:val="002B14E8"/>
    <w:rsid w:val="002B2425"/>
    <w:rsid w:val="002B2E47"/>
    <w:rsid w:val="002B56A8"/>
    <w:rsid w:val="002B5926"/>
    <w:rsid w:val="002B5CC3"/>
    <w:rsid w:val="002B6288"/>
    <w:rsid w:val="002B67E8"/>
    <w:rsid w:val="002B6ECF"/>
    <w:rsid w:val="002B7E85"/>
    <w:rsid w:val="002C2BAC"/>
    <w:rsid w:val="002C3203"/>
    <w:rsid w:val="002C363D"/>
    <w:rsid w:val="002C38CA"/>
    <w:rsid w:val="002C4978"/>
    <w:rsid w:val="002C4EAA"/>
    <w:rsid w:val="002C666C"/>
    <w:rsid w:val="002C6B5F"/>
    <w:rsid w:val="002C757B"/>
    <w:rsid w:val="002C76B2"/>
    <w:rsid w:val="002D2FAA"/>
    <w:rsid w:val="002D3536"/>
    <w:rsid w:val="002D4DB4"/>
    <w:rsid w:val="002D5909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21EC"/>
    <w:rsid w:val="002F3F54"/>
    <w:rsid w:val="002F510A"/>
    <w:rsid w:val="003047BF"/>
    <w:rsid w:val="003054E7"/>
    <w:rsid w:val="003054F2"/>
    <w:rsid w:val="003056AE"/>
    <w:rsid w:val="003057B2"/>
    <w:rsid w:val="00306DD9"/>
    <w:rsid w:val="003071C4"/>
    <w:rsid w:val="00311A7C"/>
    <w:rsid w:val="00312162"/>
    <w:rsid w:val="00312165"/>
    <w:rsid w:val="00312B36"/>
    <w:rsid w:val="003149E1"/>
    <w:rsid w:val="00314A1E"/>
    <w:rsid w:val="00315B58"/>
    <w:rsid w:val="00317048"/>
    <w:rsid w:val="003175B7"/>
    <w:rsid w:val="0032007F"/>
    <w:rsid w:val="00321E61"/>
    <w:rsid w:val="00322BAD"/>
    <w:rsid w:val="0032347E"/>
    <w:rsid w:val="003248C3"/>
    <w:rsid w:val="0032577C"/>
    <w:rsid w:val="0032589E"/>
    <w:rsid w:val="00327644"/>
    <w:rsid w:val="003276BE"/>
    <w:rsid w:val="003301A3"/>
    <w:rsid w:val="0033298E"/>
    <w:rsid w:val="00333784"/>
    <w:rsid w:val="00334CB8"/>
    <w:rsid w:val="00335604"/>
    <w:rsid w:val="00336825"/>
    <w:rsid w:val="00337C71"/>
    <w:rsid w:val="00337EDB"/>
    <w:rsid w:val="00340993"/>
    <w:rsid w:val="00340A26"/>
    <w:rsid w:val="00341577"/>
    <w:rsid w:val="00342EF6"/>
    <w:rsid w:val="00342F7F"/>
    <w:rsid w:val="003460CB"/>
    <w:rsid w:val="00346D76"/>
    <w:rsid w:val="00351213"/>
    <w:rsid w:val="00352168"/>
    <w:rsid w:val="0035298C"/>
    <w:rsid w:val="003538FB"/>
    <w:rsid w:val="00354A44"/>
    <w:rsid w:val="0035520E"/>
    <w:rsid w:val="00355C29"/>
    <w:rsid w:val="00357702"/>
    <w:rsid w:val="003609A7"/>
    <w:rsid w:val="00361733"/>
    <w:rsid w:val="0036199B"/>
    <w:rsid w:val="00361B5E"/>
    <w:rsid w:val="003634AF"/>
    <w:rsid w:val="0036370A"/>
    <w:rsid w:val="00364D0D"/>
    <w:rsid w:val="00365DCF"/>
    <w:rsid w:val="00366A08"/>
    <w:rsid w:val="00366D80"/>
    <w:rsid w:val="0036777B"/>
    <w:rsid w:val="00371845"/>
    <w:rsid w:val="0037363B"/>
    <w:rsid w:val="00373ED1"/>
    <w:rsid w:val="0037421A"/>
    <w:rsid w:val="0037459C"/>
    <w:rsid w:val="00374EF6"/>
    <w:rsid w:val="003757F0"/>
    <w:rsid w:val="00375A0D"/>
    <w:rsid w:val="00376CF4"/>
    <w:rsid w:val="00377ED2"/>
    <w:rsid w:val="0038007D"/>
    <w:rsid w:val="00380823"/>
    <w:rsid w:val="00380AAD"/>
    <w:rsid w:val="00381982"/>
    <w:rsid w:val="0038282A"/>
    <w:rsid w:val="00385470"/>
    <w:rsid w:val="00385C2B"/>
    <w:rsid w:val="00390134"/>
    <w:rsid w:val="00391917"/>
    <w:rsid w:val="003919D3"/>
    <w:rsid w:val="00391D8D"/>
    <w:rsid w:val="00391E86"/>
    <w:rsid w:val="00392E9F"/>
    <w:rsid w:val="00393900"/>
    <w:rsid w:val="00393979"/>
    <w:rsid w:val="003955AF"/>
    <w:rsid w:val="003957D1"/>
    <w:rsid w:val="00395DCC"/>
    <w:rsid w:val="00397580"/>
    <w:rsid w:val="003976E3"/>
    <w:rsid w:val="003A1794"/>
    <w:rsid w:val="003A3056"/>
    <w:rsid w:val="003A34B3"/>
    <w:rsid w:val="003A3C37"/>
    <w:rsid w:val="003A44AD"/>
    <w:rsid w:val="003A45C8"/>
    <w:rsid w:val="003A55A7"/>
    <w:rsid w:val="003A5771"/>
    <w:rsid w:val="003A580D"/>
    <w:rsid w:val="003A5965"/>
    <w:rsid w:val="003A5DC7"/>
    <w:rsid w:val="003B01DC"/>
    <w:rsid w:val="003B05D1"/>
    <w:rsid w:val="003B1584"/>
    <w:rsid w:val="003B2089"/>
    <w:rsid w:val="003B3198"/>
    <w:rsid w:val="003B3260"/>
    <w:rsid w:val="003B3765"/>
    <w:rsid w:val="003B4791"/>
    <w:rsid w:val="003B7187"/>
    <w:rsid w:val="003C092E"/>
    <w:rsid w:val="003C094F"/>
    <w:rsid w:val="003C1B23"/>
    <w:rsid w:val="003C2DCF"/>
    <w:rsid w:val="003C3817"/>
    <w:rsid w:val="003C526C"/>
    <w:rsid w:val="003C7494"/>
    <w:rsid w:val="003C7FE7"/>
    <w:rsid w:val="003D0499"/>
    <w:rsid w:val="003D1524"/>
    <w:rsid w:val="003D21DB"/>
    <w:rsid w:val="003D22F2"/>
    <w:rsid w:val="003D388F"/>
    <w:rsid w:val="003D3D9F"/>
    <w:rsid w:val="003D5B03"/>
    <w:rsid w:val="003D6494"/>
    <w:rsid w:val="003D7C0D"/>
    <w:rsid w:val="003E183B"/>
    <w:rsid w:val="003E2A20"/>
    <w:rsid w:val="003E2AD7"/>
    <w:rsid w:val="003E3415"/>
    <w:rsid w:val="003E3B40"/>
    <w:rsid w:val="003E47F3"/>
    <w:rsid w:val="003E5F84"/>
    <w:rsid w:val="003E63CD"/>
    <w:rsid w:val="003E7D31"/>
    <w:rsid w:val="003F06AA"/>
    <w:rsid w:val="003F18C0"/>
    <w:rsid w:val="003F2A47"/>
    <w:rsid w:val="003F2E32"/>
    <w:rsid w:val="003F432E"/>
    <w:rsid w:val="003F43E5"/>
    <w:rsid w:val="003F4BDE"/>
    <w:rsid w:val="003F526A"/>
    <w:rsid w:val="003F5414"/>
    <w:rsid w:val="003F5C51"/>
    <w:rsid w:val="003F5CC1"/>
    <w:rsid w:val="003F5D15"/>
    <w:rsid w:val="00401D42"/>
    <w:rsid w:val="00402910"/>
    <w:rsid w:val="00402B0A"/>
    <w:rsid w:val="00403019"/>
    <w:rsid w:val="00403033"/>
    <w:rsid w:val="00403938"/>
    <w:rsid w:val="00405244"/>
    <w:rsid w:val="004065C6"/>
    <w:rsid w:val="004124F0"/>
    <w:rsid w:val="0041257F"/>
    <w:rsid w:val="00412FFB"/>
    <w:rsid w:val="00413AF7"/>
    <w:rsid w:val="004153B8"/>
    <w:rsid w:val="00415ADE"/>
    <w:rsid w:val="004161E2"/>
    <w:rsid w:val="004166A6"/>
    <w:rsid w:val="00416817"/>
    <w:rsid w:val="00417433"/>
    <w:rsid w:val="00417D45"/>
    <w:rsid w:val="00421B88"/>
    <w:rsid w:val="004222A3"/>
    <w:rsid w:val="0042259B"/>
    <w:rsid w:val="00426019"/>
    <w:rsid w:val="00426645"/>
    <w:rsid w:val="0042770B"/>
    <w:rsid w:val="00427DBB"/>
    <w:rsid w:val="00431468"/>
    <w:rsid w:val="004323BD"/>
    <w:rsid w:val="00433C60"/>
    <w:rsid w:val="0043466C"/>
    <w:rsid w:val="00434936"/>
    <w:rsid w:val="0043790B"/>
    <w:rsid w:val="00437B90"/>
    <w:rsid w:val="004403B3"/>
    <w:rsid w:val="004404C8"/>
    <w:rsid w:val="004409C1"/>
    <w:rsid w:val="00441887"/>
    <w:rsid w:val="00441FA9"/>
    <w:rsid w:val="004436EE"/>
    <w:rsid w:val="00446302"/>
    <w:rsid w:val="0045547F"/>
    <w:rsid w:val="00455DC5"/>
    <w:rsid w:val="00455E2F"/>
    <w:rsid w:val="00456CCF"/>
    <w:rsid w:val="00457776"/>
    <w:rsid w:val="0045777C"/>
    <w:rsid w:val="00461AA0"/>
    <w:rsid w:val="00462BD9"/>
    <w:rsid w:val="00463075"/>
    <w:rsid w:val="00465ED9"/>
    <w:rsid w:val="00470306"/>
    <w:rsid w:val="00471810"/>
    <w:rsid w:val="00474248"/>
    <w:rsid w:val="00474D75"/>
    <w:rsid w:val="00476098"/>
    <w:rsid w:val="00477B3A"/>
    <w:rsid w:val="00480F8F"/>
    <w:rsid w:val="004812BA"/>
    <w:rsid w:val="004847D1"/>
    <w:rsid w:val="00484F22"/>
    <w:rsid w:val="0048551D"/>
    <w:rsid w:val="00485A84"/>
    <w:rsid w:val="00485ED6"/>
    <w:rsid w:val="00486ABD"/>
    <w:rsid w:val="00487978"/>
    <w:rsid w:val="00487F69"/>
    <w:rsid w:val="0049020E"/>
    <w:rsid w:val="00490592"/>
    <w:rsid w:val="00491234"/>
    <w:rsid w:val="00491236"/>
    <w:rsid w:val="0049203F"/>
    <w:rsid w:val="004920AD"/>
    <w:rsid w:val="0049268D"/>
    <w:rsid w:val="004942F4"/>
    <w:rsid w:val="004943E1"/>
    <w:rsid w:val="004950F0"/>
    <w:rsid w:val="00495108"/>
    <w:rsid w:val="004951F3"/>
    <w:rsid w:val="00495989"/>
    <w:rsid w:val="00497031"/>
    <w:rsid w:val="004A0059"/>
    <w:rsid w:val="004A192A"/>
    <w:rsid w:val="004A1FAE"/>
    <w:rsid w:val="004A2C67"/>
    <w:rsid w:val="004A492E"/>
    <w:rsid w:val="004A7107"/>
    <w:rsid w:val="004B0F65"/>
    <w:rsid w:val="004B13D2"/>
    <w:rsid w:val="004B14E7"/>
    <w:rsid w:val="004B4671"/>
    <w:rsid w:val="004B631A"/>
    <w:rsid w:val="004B6B61"/>
    <w:rsid w:val="004C0099"/>
    <w:rsid w:val="004C26A0"/>
    <w:rsid w:val="004C3F2E"/>
    <w:rsid w:val="004C5122"/>
    <w:rsid w:val="004C52C6"/>
    <w:rsid w:val="004C63CF"/>
    <w:rsid w:val="004C6DFE"/>
    <w:rsid w:val="004C7829"/>
    <w:rsid w:val="004D05B3"/>
    <w:rsid w:val="004D21CF"/>
    <w:rsid w:val="004D3B67"/>
    <w:rsid w:val="004D4265"/>
    <w:rsid w:val="004D455B"/>
    <w:rsid w:val="004D5280"/>
    <w:rsid w:val="004D5B03"/>
    <w:rsid w:val="004D6743"/>
    <w:rsid w:val="004D73E9"/>
    <w:rsid w:val="004E1F70"/>
    <w:rsid w:val="004E479E"/>
    <w:rsid w:val="004E69CE"/>
    <w:rsid w:val="004E6B0B"/>
    <w:rsid w:val="004E759A"/>
    <w:rsid w:val="004E75C9"/>
    <w:rsid w:val="004E7E1E"/>
    <w:rsid w:val="004F071E"/>
    <w:rsid w:val="004F3483"/>
    <w:rsid w:val="004F78E6"/>
    <w:rsid w:val="00500130"/>
    <w:rsid w:val="00500CB1"/>
    <w:rsid w:val="00501004"/>
    <w:rsid w:val="00501608"/>
    <w:rsid w:val="005017E0"/>
    <w:rsid w:val="005019A7"/>
    <w:rsid w:val="00501AC9"/>
    <w:rsid w:val="00501B16"/>
    <w:rsid w:val="00502031"/>
    <w:rsid w:val="005024A7"/>
    <w:rsid w:val="005041DE"/>
    <w:rsid w:val="0050484A"/>
    <w:rsid w:val="0050641C"/>
    <w:rsid w:val="0050756B"/>
    <w:rsid w:val="00511C14"/>
    <w:rsid w:val="00512D99"/>
    <w:rsid w:val="0051469C"/>
    <w:rsid w:val="00514883"/>
    <w:rsid w:val="00514960"/>
    <w:rsid w:val="00515379"/>
    <w:rsid w:val="00515E8A"/>
    <w:rsid w:val="00521DD5"/>
    <w:rsid w:val="005237CD"/>
    <w:rsid w:val="0053146A"/>
    <w:rsid w:val="00531DBB"/>
    <w:rsid w:val="005320B3"/>
    <w:rsid w:val="0053225A"/>
    <w:rsid w:val="00532C1D"/>
    <w:rsid w:val="005334AB"/>
    <w:rsid w:val="0053545A"/>
    <w:rsid w:val="005357DB"/>
    <w:rsid w:val="005374DA"/>
    <w:rsid w:val="00541343"/>
    <w:rsid w:val="005416EE"/>
    <w:rsid w:val="005427FC"/>
    <w:rsid w:val="00542C59"/>
    <w:rsid w:val="00543277"/>
    <w:rsid w:val="00544B6D"/>
    <w:rsid w:val="005455AF"/>
    <w:rsid w:val="00545C39"/>
    <w:rsid w:val="00550D6E"/>
    <w:rsid w:val="00551085"/>
    <w:rsid w:val="00551675"/>
    <w:rsid w:val="005521D0"/>
    <w:rsid w:val="005523EC"/>
    <w:rsid w:val="00552BD8"/>
    <w:rsid w:val="005531E2"/>
    <w:rsid w:val="00553DAA"/>
    <w:rsid w:val="00554D35"/>
    <w:rsid w:val="00555F01"/>
    <w:rsid w:val="005566EC"/>
    <w:rsid w:val="00557B94"/>
    <w:rsid w:val="00560026"/>
    <w:rsid w:val="00563D64"/>
    <w:rsid w:val="005646B3"/>
    <w:rsid w:val="005646FC"/>
    <w:rsid w:val="00564916"/>
    <w:rsid w:val="005655D7"/>
    <w:rsid w:val="005665C5"/>
    <w:rsid w:val="005670BE"/>
    <w:rsid w:val="00570ABA"/>
    <w:rsid w:val="0057104A"/>
    <w:rsid w:val="00572072"/>
    <w:rsid w:val="00572A70"/>
    <w:rsid w:val="00573D5F"/>
    <w:rsid w:val="0057433C"/>
    <w:rsid w:val="00574630"/>
    <w:rsid w:val="00574740"/>
    <w:rsid w:val="00575E4D"/>
    <w:rsid w:val="00576430"/>
    <w:rsid w:val="00576E3A"/>
    <w:rsid w:val="00582663"/>
    <w:rsid w:val="005859A8"/>
    <w:rsid w:val="00585E61"/>
    <w:rsid w:val="00586CF2"/>
    <w:rsid w:val="005878E1"/>
    <w:rsid w:val="005900E3"/>
    <w:rsid w:val="00590723"/>
    <w:rsid w:val="00590FA3"/>
    <w:rsid w:val="00592257"/>
    <w:rsid w:val="00593318"/>
    <w:rsid w:val="00596EEF"/>
    <w:rsid w:val="005975A7"/>
    <w:rsid w:val="00597BEA"/>
    <w:rsid w:val="005A0668"/>
    <w:rsid w:val="005A0817"/>
    <w:rsid w:val="005A220F"/>
    <w:rsid w:val="005A26D1"/>
    <w:rsid w:val="005A37E0"/>
    <w:rsid w:val="005A443A"/>
    <w:rsid w:val="005A65C5"/>
    <w:rsid w:val="005A719E"/>
    <w:rsid w:val="005A7879"/>
    <w:rsid w:val="005A7AC3"/>
    <w:rsid w:val="005B0A5A"/>
    <w:rsid w:val="005B4F27"/>
    <w:rsid w:val="005B59A3"/>
    <w:rsid w:val="005B5B82"/>
    <w:rsid w:val="005B6F95"/>
    <w:rsid w:val="005B72C7"/>
    <w:rsid w:val="005C149A"/>
    <w:rsid w:val="005C1BB9"/>
    <w:rsid w:val="005C2AA4"/>
    <w:rsid w:val="005C37A2"/>
    <w:rsid w:val="005C3CF8"/>
    <w:rsid w:val="005C4003"/>
    <w:rsid w:val="005C4014"/>
    <w:rsid w:val="005C46F4"/>
    <w:rsid w:val="005C51E8"/>
    <w:rsid w:val="005C5354"/>
    <w:rsid w:val="005C5729"/>
    <w:rsid w:val="005C676E"/>
    <w:rsid w:val="005C69CF"/>
    <w:rsid w:val="005C69D6"/>
    <w:rsid w:val="005C7FBE"/>
    <w:rsid w:val="005D0714"/>
    <w:rsid w:val="005D0716"/>
    <w:rsid w:val="005D0B33"/>
    <w:rsid w:val="005D21E7"/>
    <w:rsid w:val="005D2C9A"/>
    <w:rsid w:val="005D35F2"/>
    <w:rsid w:val="005D36C7"/>
    <w:rsid w:val="005D42E5"/>
    <w:rsid w:val="005D7869"/>
    <w:rsid w:val="005E09C8"/>
    <w:rsid w:val="005E2616"/>
    <w:rsid w:val="005E2725"/>
    <w:rsid w:val="005E2A42"/>
    <w:rsid w:val="005E3E64"/>
    <w:rsid w:val="005E3EC9"/>
    <w:rsid w:val="005E519B"/>
    <w:rsid w:val="005F1821"/>
    <w:rsid w:val="005F1E2F"/>
    <w:rsid w:val="005F2451"/>
    <w:rsid w:val="005F28DD"/>
    <w:rsid w:val="005F3961"/>
    <w:rsid w:val="005F3DE2"/>
    <w:rsid w:val="005F455B"/>
    <w:rsid w:val="005F4667"/>
    <w:rsid w:val="005F49EC"/>
    <w:rsid w:val="005F603D"/>
    <w:rsid w:val="005F6782"/>
    <w:rsid w:val="005F699D"/>
    <w:rsid w:val="005F7379"/>
    <w:rsid w:val="005F79FB"/>
    <w:rsid w:val="00600E0E"/>
    <w:rsid w:val="006012B3"/>
    <w:rsid w:val="006041E0"/>
    <w:rsid w:val="00604406"/>
    <w:rsid w:val="006047C1"/>
    <w:rsid w:val="006052D8"/>
    <w:rsid w:val="00605F4A"/>
    <w:rsid w:val="00606826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71F"/>
    <w:rsid w:val="00614A9F"/>
    <w:rsid w:val="00615EB2"/>
    <w:rsid w:val="006171E2"/>
    <w:rsid w:val="006177EB"/>
    <w:rsid w:val="006207D9"/>
    <w:rsid w:val="006220ED"/>
    <w:rsid w:val="00622B80"/>
    <w:rsid w:val="00624989"/>
    <w:rsid w:val="00624D07"/>
    <w:rsid w:val="006257C0"/>
    <w:rsid w:val="00625B26"/>
    <w:rsid w:val="006274DE"/>
    <w:rsid w:val="006276AF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3D59"/>
    <w:rsid w:val="00656651"/>
    <w:rsid w:val="00656A12"/>
    <w:rsid w:val="00656CF8"/>
    <w:rsid w:val="0066101B"/>
    <w:rsid w:val="006616AC"/>
    <w:rsid w:val="00661C54"/>
    <w:rsid w:val="0066266D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77233"/>
    <w:rsid w:val="00677F32"/>
    <w:rsid w:val="006814AC"/>
    <w:rsid w:val="0068240C"/>
    <w:rsid w:val="00682B34"/>
    <w:rsid w:val="00683DD3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350"/>
    <w:rsid w:val="006929F3"/>
    <w:rsid w:val="00696C16"/>
    <w:rsid w:val="006A05E8"/>
    <w:rsid w:val="006A2479"/>
    <w:rsid w:val="006A3330"/>
    <w:rsid w:val="006A3430"/>
    <w:rsid w:val="006A4091"/>
    <w:rsid w:val="006A4968"/>
    <w:rsid w:val="006A50B6"/>
    <w:rsid w:val="006A5E04"/>
    <w:rsid w:val="006A766A"/>
    <w:rsid w:val="006A79D4"/>
    <w:rsid w:val="006B1345"/>
    <w:rsid w:val="006B1FB1"/>
    <w:rsid w:val="006B3399"/>
    <w:rsid w:val="006B5A01"/>
    <w:rsid w:val="006B610C"/>
    <w:rsid w:val="006B6B22"/>
    <w:rsid w:val="006B72E4"/>
    <w:rsid w:val="006C09DD"/>
    <w:rsid w:val="006C2E9D"/>
    <w:rsid w:val="006C30C6"/>
    <w:rsid w:val="006C5C07"/>
    <w:rsid w:val="006C75E5"/>
    <w:rsid w:val="006C7A42"/>
    <w:rsid w:val="006D08B9"/>
    <w:rsid w:val="006D5F4C"/>
    <w:rsid w:val="006D6521"/>
    <w:rsid w:val="006D7932"/>
    <w:rsid w:val="006E024F"/>
    <w:rsid w:val="006E0314"/>
    <w:rsid w:val="006E0595"/>
    <w:rsid w:val="006E1BFB"/>
    <w:rsid w:val="006E3457"/>
    <w:rsid w:val="006E381E"/>
    <w:rsid w:val="006E4E81"/>
    <w:rsid w:val="006E5112"/>
    <w:rsid w:val="006F05E3"/>
    <w:rsid w:val="006F1B5E"/>
    <w:rsid w:val="006F2D0B"/>
    <w:rsid w:val="006F419E"/>
    <w:rsid w:val="006F4339"/>
    <w:rsid w:val="006F43C5"/>
    <w:rsid w:val="006F7CA8"/>
    <w:rsid w:val="007012C8"/>
    <w:rsid w:val="00701DA6"/>
    <w:rsid w:val="00702D2D"/>
    <w:rsid w:val="0070619B"/>
    <w:rsid w:val="00707951"/>
    <w:rsid w:val="00707F7D"/>
    <w:rsid w:val="00710434"/>
    <w:rsid w:val="00711F11"/>
    <w:rsid w:val="00712975"/>
    <w:rsid w:val="00714068"/>
    <w:rsid w:val="007146C8"/>
    <w:rsid w:val="007152CF"/>
    <w:rsid w:val="0071669A"/>
    <w:rsid w:val="00717614"/>
    <w:rsid w:val="00717EC5"/>
    <w:rsid w:val="00720964"/>
    <w:rsid w:val="00720A25"/>
    <w:rsid w:val="00720D9F"/>
    <w:rsid w:val="00722FE7"/>
    <w:rsid w:val="0072356C"/>
    <w:rsid w:val="007243C8"/>
    <w:rsid w:val="007268B5"/>
    <w:rsid w:val="00726E4F"/>
    <w:rsid w:val="00727E9A"/>
    <w:rsid w:val="00731693"/>
    <w:rsid w:val="007318A9"/>
    <w:rsid w:val="007326B5"/>
    <w:rsid w:val="00732745"/>
    <w:rsid w:val="007338EE"/>
    <w:rsid w:val="00733AC3"/>
    <w:rsid w:val="0073435F"/>
    <w:rsid w:val="00735B9D"/>
    <w:rsid w:val="00737B80"/>
    <w:rsid w:val="007404F6"/>
    <w:rsid w:val="00741D13"/>
    <w:rsid w:val="00742725"/>
    <w:rsid w:val="00743982"/>
    <w:rsid w:val="00745672"/>
    <w:rsid w:val="007460F1"/>
    <w:rsid w:val="00746BD9"/>
    <w:rsid w:val="00750C6C"/>
    <w:rsid w:val="00751C83"/>
    <w:rsid w:val="00751EBB"/>
    <w:rsid w:val="00752583"/>
    <w:rsid w:val="00752C5F"/>
    <w:rsid w:val="007537C7"/>
    <w:rsid w:val="00753FD1"/>
    <w:rsid w:val="0075439D"/>
    <w:rsid w:val="00754742"/>
    <w:rsid w:val="0075481D"/>
    <w:rsid w:val="00756FB7"/>
    <w:rsid w:val="007570E3"/>
    <w:rsid w:val="0076005F"/>
    <w:rsid w:val="007608AF"/>
    <w:rsid w:val="00762B6E"/>
    <w:rsid w:val="00763254"/>
    <w:rsid w:val="007640A3"/>
    <w:rsid w:val="007651A6"/>
    <w:rsid w:val="00765AF1"/>
    <w:rsid w:val="00766670"/>
    <w:rsid w:val="00766AD8"/>
    <w:rsid w:val="0076719B"/>
    <w:rsid w:val="00771497"/>
    <w:rsid w:val="0077424B"/>
    <w:rsid w:val="00775238"/>
    <w:rsid w:val="00776326"/>
    <w:rsid w:val="007764C0"/>
    <w:rsid w:val="00776506"/>
    <w:rsid w:val="00777139"/>
    <w:rsid w:val="00777576"/>
    <w:rsid w:val="00780EC4"/>
    <w:rsid w:val="0078195F"/>
    <w:rsid w:val="007820D8"/>
    <w:rsid w:val="007829FD"/>
    <w:rsid w:val="00783F7F"/>
    <w:rsid w:val="0078586F"/>
    <w:rsid w:val="0079023C"/>
    <w:rsid w:val="007909AA"/>
    <w:rsid w:val="00792107"/>
    <w:rsid w:val="0079299A"/>
    <w:rsid w:val="00793148"/>
    <w:rsid w:val="00793D06"/>
    <w:rsid w:val="00794B22"/>
    <w:rsid w:val="00797632"/>
    <w:rsid w:val="007A15DA"/>
    <w:rsid w:val="007A211D"/>
    <w:rsid w:val="007A28FC"/>
    <w:rsid w:val="007A3DFC"/>
    <w:rsid w:val="007A57F2"/>
    <w:rsid w:val="007B1333"/>
    <w:rsid w:val="007B24C8"/>
    <w:rsid w:val="007B45C5"/>
    <w:rsid w:val="007B7E54"/>
    <w:rsid w:val="007C044D"/>
    <w:rsid w:val="007C1631"/>
    <w:rsid w:val="007C1691"/>
    <w:rsid w:val="007C234D"/>
    <w:rsid w:val="007C36A2"/>
    <w:rsid w:val="007C3BA7"/>
    <w:rsid w:val="007C3D04"/>
    <w:rsid w:val="007C407D"/>
    <w:rsid w:val="007C46F1"/>
    <w:rsid w:val="007C4CFC"/>
    <w:rsid w:val="007C55AD"/>
    <w:rsid w:val="007C57BF"/>
    <w:rsid w:val="007C638A"/>
    <w:rsid w:val="007C63E2"/>
    <w:rsid w:val="007C67C9"/>
    <w:rsid w:val="007D0ACE"/>
    <w:rsid w:val="007D29CC"/>
    <w:rsid w:val="007D3631"/>
    <w:rsid w:val="007D3C4D"/>
    <w:rsid w:val="007D3F60"/>
    <w:rsid w:val="007D4EE2"/>
    <w:rsid w:val="007D5951"/>
    <w:rsid w:val="007D6250"/>
    <w:rsid w:val="007D7EC1"/>
    <w:rsid w:val="007E0412"/>
    <w:rsid w:val="007E0B69"/>
    <w:rsid w:val="007E0FB5"/>
    <w:rsid w:val="007E23A3"/>
    <w:rsid w:val="007E257D"/>
    <w:rsid w:val="007E2A6B"/>
    <w:rsid w:val="007E2D9F"/>
    <w:rsid w:val="007E39B1"/>
    <w:rsid w:val="007E3E1C"/>
    <w:rsid w:val="007E6EC4"/>
    <w:rsid w:val="007F1A39"/>
    <w:rsid w:val="007F1FEE"/>
    <w:rsid w:val="007F264F"/>
    <w:rsid w:val="007F4A89"/>
    <w:rsid w:val="007F4AEB"/>
    <w:rsid w:val="007F5E11"/>
    <w:rsid w:val="007F6239"/>
    <w:rsid w:val="007F75B2"/>
    <w:rsid w:val="007F7F00"/>
    <w:rsid w:val="00801791"/>
    <w:rsid w:val="008032C6"/>
    <w:rsid w:val="00803372"/>
    <w:rsid w:val="008043C4"/>
    <w:rsid w:val="00804CD3"/>
    <w:rsid w:val="0080514F"/>
    <w:rsid w:val="00807E1E"/>
    <w:rsid w:val="00807EB8"/>
    <w:rsid w:val="0081082C"/>
    <w:rsid w:val="00811629"/>
    <w:rsid w:val="008124B8"/>
    <w:rsid w:val="00813226"/>
    <w:rsid w:val="00813976"/>
    <w:rsid w:val="00813DFB"/>
    <w:rsid w:val="00815588"/>
    <w:rsid w:val="008157C0"/>
    <w:rsid w:val="00820139"/>
    <w:rsid w:val="00820E8E"/>
    <w:rsid w:val="008221FB"/>
    <w:rsid w:val="008242CC"/>
    <w:rsid w:val="00825070"/>
    <w:rsid w:val="00825477"/>
    <w:rsid w:val="00826BD9"/>
    <w:rsid w:val="00827A91"/>
    <w:rsid w:val="00830309"/>
    <w:rsid w:val="00831B1B"/>
    <w:rsid w:val="00834CC5"/>
    <w:rsid w:val="008354B4"/>
    <w:rsid w:val="008358E0"/>
    <w:rsid w:val="00835F3F"/>
    <w:rsid w:val="00837A3C"/>
    <w:rsid w:val="00840938"/>
    <w:rsid w:val="00840F99"/>
    <w:rsid w:val="00841D76"/>
    <w:rsid w:val="00842032"/>
    <w:rsid w:val="00842A98"/>
    <w:rsid w:val="008434E7"/>
    <w:rsid w:val="00846BC4"/>
    <w:rsid w:val="00847A8C"/>
    <w:rsid w:val="00850AAD"/>
    <w:rsid w:val="008514B8"/>
    <w:rsid w:val="00851858"/>
    <w:rsid w:val="008518E7"/>
    <w:rsid w:val="0085193E"/>
    <w:rsid w:val="008519C6"/>
    <w:rsid w:val="00852098"/>
    <w:rsid w:val="0085235F"/>
    <w:rsid w:val="00852368"/>
    <w:rsid w:val="008538A7"/>
    <w:rsid w:val="00853C01"/>
    <w:rsid w:val="00854404"/>
    <w:rsid w:val="00856098"/>
    <w:rsid w:val="008605AF"/>
    <w:rsid w:val="00861D0E"/>
    <w:rsid w:val="00861F45"/>
    <w:rsid w:val="00862854"/>
    <w:rsid w:val="0086334D"/>
    <w:rsid w:val="00863D68"/>
    <w:rsid w:val="00864880"/>
    <w:rsid w:val="008656A8"/>
    <w:rsid w:val="00865FA6"/>
    <w:rsid w:val="00866BA8"/>
    <w:rsid w:val="00867569"/>
    <w:rsid w:val="00867807"/>
    <w:rsid w:val="0087060D"/>
    <w:rsid w:val="00870CF3"/>
    <w:rsid w:val="00871086"/>
    <w:rsid w:val="008710C7"/>
    <w:rsid w:val="00872214"/>
    <w:rsid w:val="008727FA"/>
    <w:rsid w:val="00872B8E"/>
    <w:rsid w:val="00874047"/>
    <w:rsid w:val="00874A90"/>
    <w:rsid w:val="00875F5C"/>
    <w:rsid w:val="008804D0"/>
    <w:rsid w:val="0088129D"/>
    <w:rsid w:val="00884029"/>
    <w:rsid w:val="00884BD5"/>
    <w:rsid w:val="00887972"/>
    <w:rsid w:val="008914B7"/>
    <w:rsid w:val="008917B3"/>
    <w:rsid w:val="00891C37"/>
    <w:rsid w:val="00891D95"/>
    <w:rsid w:val="008945F2"/>
    <w:rsid w:val="00897527"/>
    <w:rsid w:val="008A0E8F"/>
    <w:rsid w:val="008A1027"/>
    <w:rsid w:val="008A18A9"/>
    <w:rsid w:val="008A287F"/>
    <w:rsid w:val="008A6342"/>
    <w:rsid w:val="008A6A3B"/>
    <w:rsid w:val="008A750A"/>
    <w:rsid w:val="008B225C"/>
    <w:rsid w:val="008B334E"/>
    <w:rsid w:val="008B4550"/>
    <w:rsid w:val="008B7891"/>
    <w:rsid w:val="008C00A5"/>
    <w:rsid w:val="008C0108"/>
    <w:rsid w:val="008C27B1"/>
    <w:rsid w:val="008C384C"/>
    <w:rsid w:val="008C45BF"/>
    <w:rsid w:val="008C502E"/>
    <w:rsid w:val="008C5E9A"/>
    <w:rsid w:val="008D0F11"/>
    <w:rsid w:val="008D136D"/>
    <w:rsid w:val="008D2561"/>
    <w:rsid w:val="008D3805"/>
    <w:rsid w:val="008D5298"/>
    <w:rsid w:val="008D5BB9"/>
    <w:rsid w:val="008D6ECA"/>
    <w:rsid w:val="008D6F55"/>
    <w:rsid w:val="008E0998"/>
    <w:rsid w:val="008E0E03"/>
    <w:rsid w:val="008E15B5"/>
    <w:rsid w:val="008E29EF"/>
    <w:rsid w:val="008E68EB"/>
    <w:rsid w:val="008E7E4F"/>
    <w:rsid w:val="008F0222"/>
    <w:rsid w:val="008F20C6"/>
    <w:rsid w:val="008F35E4"/>
    <w:rsid w:val="008F4513"/>
    <w:rsid w:val="008F492F"/>
    <w:rsid w:val="008F49F5"/>
    <w:rsid w:val="008F5309"/>
    <w:rsid w:val="008F73B4"/>
    <w:rsid w:val="008F7E5F"/>
    <w:rsid w:val="00900EDB"/>
    <w:rsid w:val="00900F13"/>
    <w:rsid w:val="009015C7"/>
    <w:rsid w:val="0090404E"/>
    <w:rsid w:val="009049FB"/>
    <w:rsid w:val="009061A5"/>
    <w:rsid w:val="00906ECF"/>
    <w:rsid w:val="0090741A"/>
    <w:rsid w:val="009076B5"/>
    <w:rsid w:val="009076FF"/>
    <w:rsid w:val="00907ADB"/>
    <w:rsid w:val="009112BA"/>
    <w:rsid w:val="00911AC8"/>
    <w:rsid w:val="009147A7"/>
    <w:rsid w:val="00916073"/>
    <w:rsid w:val="009168C2"/>
    <w:rsid w:val="00917CA6"/>
    <w:rsid w:val="00920317"/>
    <w:rsid w:val="0092081A"/>
    <w:rsid w:val="00920AD4"/>
    <w:rsid w:val="00920D32"/>
    <w:rsid w:val="00922570"/>
    <w:rsid w:val="0092310A"/>
    <w:rsid w:val="00927ADE"/>
    <w:rsid w:val="00927DD9"/>
    <w:rsid w:val="00930B3C"/>
    <w:rsid w:val="00931A52"/>
    <w:rsid w:val="00931B1D"/>
    <w:rsid w:val="00933027"/>
    <w:rsid w:val="00933883"/>
    <w:rsid w:val="00934EFE"/>
    <w:rsid w:val="009357BD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46FC5"/>
    <w:rsid w:val="00947FAB"/>
    <w:rsid w:val="009504C2"/>
    <w:rsid w:val="0095227E"/>
    <w:rsid w:val="0095430A"/>
    <w:rsid w:val="009544CC"/>
    <w:rsid w:val="00956495"/>
    <w:rsid w:val="00957441"/>
    <w:rsid w:val="00960186"/>
    <w:rsid w:val="00960BF2"/>
    <w:rsid w:val="00961ECD"/>
    <w:rsid w:val="00962BC7"/>
    <w:rsid w:val="00962C91"/>
    <w:rsid w:val="0096328A"/>
    <w:rsid w:val="009632CA"/>
    <w:rsid w:val="00963E6F"/>
    <w:rsid w:val="00964190"/>
    <w:rsid w:val="009678FC"/>
    <w:rsid w:val="009701AB"/>
    <w:rsid w:val="00971D38"/>
    <w:rsid w:val="009729CD"/>
    <w:rsid w:val="00973287"/>
    <w:rsid w:val="00973301"/>
    <w:rsid w:val="009740BF"/>
    <w:rsid w:val="00974A25"/>
    <w:rsid w:val="00976B5B"/>
    <w:rsid w:val="00976D97"/>
    <w:rsid w:val="00977DA4"/>
    <w:rsid w:val="00981238"/>
    <w:rsid w:val="0098149A"/>
    <w:rsid w:val="00982C53"/>
    <w:rsid w:val="00983A9B"/>
    <w:rsid w:val="00983C27"/>
    <w:rsid w:val="00984434"/>
    <w:rsid w:val="00984499"/>
    <w:rsid w:val="009844EB"/>
    <w:rsid w:val="00985EE5"/>
    <w:rsid w:val="00986D8D"/>
    <w:rsid w:val="009873F0"/>
    <w:rsid w:val="00987FFE"/>
    <w:rsid w:val="0099050D"/>
    <w:rsid w:val="00991E8D"/>
    <w:rsid w:val="00992601"/>
    <w:rsid w:val="0099409F"/>
    <w:rsid w:val="009950AF"/>
    <w:rsid w:val="009958A1"/>
    <w:rsid w:val="00995DA7"/>
    <w:rsid w:val="009968E7"/>
    <w:rsid w:val="009A1871"/>
    <w:rsid w:val="009A218F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4EA8"/>
    <w:rsid w:val="009B55B1"/>
    <w:rsid w:val="009B68A7"/>
    <w:rsid w:val="009C0D4F"/>
    <w:rsid w:val="009C15DC"/>
    <w:rsid w:val="009C2865"/>
    <w:rsid w:val="009C4150"/>
    <w:rsid w:val="009C60B7"/>
    <w:rsid w:val="009C6103"/>
    <w:rsid w:val="009C7AA7"/>
    <w:rsid w:val="009C7BF5"/>
    <w:rsid w:val="009D055A"/>
    <w:rsid w:val="009D0BD5"/>
    <w:rsid w:val="009D4881"/>
    <w:rsid w:val="009D5E52"/>
    <w:rsid w:val="009D6C0C"/>
    <w:rsid w:val="009E0621"/>
    <w:rsid w:val="009E1BCE"/>
    <w:rsid w:val="009E2AB5"/>
    <w:rsid w:val="009E31D4"/>
    <w:rsid w:val="009E52CF"/>
    <w:rsid w:val="009E617C"/>
    <w:rsid w:val="009E745F"/>
    <w:rsid w:val="009F0332"/>
    <w:rsid w:val="009F0A39"/>
    <w:rsid w:val="009F0F8D"/>
    <w:rsid w:val="009F116F"/>
    <w:rsid w:val="009F276D"/>
    <w:rsid w:val="009F2D91"/>
    <w:rsid w:val="009F491A"/>
    <w:rsid w:val="009F5F23"/>
    <w:rsid w:val="009F70EB"/>
    <w:rsid w:val="009F7FD8"/>
    <w:rsid w:val="00A001F0"/>
    <w:rsid w:val="00A01EEF"/>
    <w:rsid w:val="00A0276F"/>
    <w:rsid w:val="00A02E15"/>
    <w:rsid w:val="00A0318C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171FC"/>
    <w:rsid w:val="00A2003A"/>
    <w:rsid w:val="00A20BED"/>
    <w:rsid w:val="00A2262B"/>
    <w:rsid w:val="00A23096"/>
    <w:rsid w:val="00A230B3"/>
    <w:rsid w:val="00A233AA"/>
    <w:rsid w:val="00A23F1D"/>
    <w:rsid w:val="00A26507"/>
    <w:rsid w:val="00A27991"/>
    <w:rsid w:val="00A30C2D"/>
    <w:rsid w:val="00A312F2"/>
    <w:rsid w:val="00A32891"/>
    <w:rsid w:val="00A33E60"/>
    <w:rsid w:val="00A35CDB"/>
    <w:rsid w:val="00A35F83"/>
    <w:rsid w:val="00A362DC"/>
    <w:rsid w:val="00A37A32"/>
    <w:rsid w:val="00A404D4"/>
    <w:rsid w:val="00A40856"/>
    <w:rsid w:val="00A4248F"/>
    <w:rsid w:val="00A431FA"/>
    <w:rsid w:val="00A4343D"/>
    <w:rsid w:val="00A438DA"/>
    <w:rsid w:val="00A44567"/>
    <w:rsid w:val="00A448C7"/>
    <w:rsid w:val="00A45C7B"/>
    <w:rsid w:val="00A46B64"/>
    <w:rsid w:val="00A46E13"/>
    <w:rsid w:val="00A502F1"/>
    <w:rsid w:val="00A525AF"/>
    <w:rsid w:val="00A53140"/>
    <w:rsid w:val="00A54D7B"/>
    <w:rsid w:val="00A55679"/>
    <w:rsid w:val="00A55C4E"/>
    <w:rsid w:val="00A56836"/>
    <w:rsid w:val="00A56C80"/>
    <w:rsid w:val="00A60E41"/>
    <w:rsid w:val="00A60EFF"/>
    <w:rsid w:val="00A61BE0"/>
    <w:rsid w:val="00A63DD4"/>
    <w:rsid w:val="00A6428E"/>
    <w:rsid w:val="00A65A70"/>
    <w:rsid w:val="00A662D0"/>
    <w:rsid w:val="00A70A83"/>
    <w:rsid w:val="00A73918"/>
    <w:rsid w:val="00A74120"/>
    <w:rsid w:val="00A7484D"/>
    <w:rsid w:val="00A75F37"/>
    <w:rsid w:val="00A761CF"/>
    <w:rsid w:val="00A7683E"/>
    <w:rsid w:val="00A774B2"/>
    <w:rsid w:val="00A7774A"/>
    <w:rsid w:val="00A80351"/>
    <w:rsid w:val="00A81EB3"/>
    <w:rsid w:val="00A824CF"/>
    <w:rsid w:val="00A826E6"/>
    <w:rsid w:val="00A8291E"/>
    <w:rsid w:val="00A84430"/>
    <w:rsid w:val="00A84C1D"/>
    <w:rsid w:val="00A860F4"/>
    <w:rsid w:val="00A86219"/>
    <w:rsid w:val="00A873BA"/>
    <w:rsid w:val="00A904D9"/>
    <w:rsid w:val="00A90ECE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1E9D"/>
    <w:rsid w:val="00AA25A1"/>
    <w:rsid w:val="00AA32AA"/>
    <w:rsid w:val="00AA3711"/>
    <w:rsid w:val="00AA37D2"/>
    <w:rsid w:val="00AA435D"/>
    <w:rsid w:val="00AA439D"/>
    <w:rsid w:val="00AA4ECF"/>
    <w:rsid w:val="00AA6744"/>
    <w:rsid w:val="00AA6E75"/>
    <w:rsid w:val="00AA73A5"/>
    <w:rsid w:val="00AA7E61"/>
    <w:rsid w:val="00AB09D3"/>
    <w:rsid w:val="00AB208F"/>
    <w:rsid w:val="00AB22E1"/>
    <w:rsid w:val="00AB2399"/>
    <w:rsid w:val="00AB410C"/>
    <w:rsid w:val="00AB594C"/>
    <w:rsid w:val="00AB5CFD"/>
    <w:rsid w:val="00AB5D19"/>
    <w:rsid w:val="00AB73C1"/>
    <w:rsid w:val="00AB7ADF"/>
    <w:rsid w:val="00AC1E77"/>
    <w:rsid w:val="00AC4564"/>
    <w:rsid w:val="00AC4FDD"/>
    <w:rsid w:val="00AC5BE0"/>
    <w:rsid w:val="00AC60CC"/>
    <w:rsid w:val="00AC6570"/>
    <w:rsid w:val="00AC6A14"/>
    <w:rsid w:val="00AC72CC"/>
    <w:rsid w:val="00AC72E1"/>
    <w:rsid w:val="00AD09C9"/>
    <w:rsid w:val="00AD4691"/>
    <w:rsid w:val="00AD5C35"/>
    <w:rsid w:val="00AD6519"/>
    <w:rsid w:val="00AD6CA9"/>
    <w:rsid w:val="00AD6D62"/>
    <w:rsid w:val="00AE04A7"/>
    <w:rsid w:val="00AE3964"/>
    <w:rsid w:val="00AE59AB"/>
    <w:rsid w:val="00AE5C88"/>
    <w:rsid w:val="00AE63EF"/>
    <w:rsid w:val="00AE6A84"/>
    <w:rsid w:val="00AF2358"/>
    <w:rsid w:val="00AF2CB6"/>
    <w:rsid w:val="00AF40A6"/>
    <w:rsid w:val="00AF63B0"/>
    <w:rsid w:val="00AF66FA"/>
    <w:rsid w:val="00AF77D3"/>
    <w:rsid w:val="00AF78C1"/>
    <w:rsid w:val="00AF7C8B"/>
    <w:rsid w:val="00B00C1D"/>
    <w:rsid w:val="00B01408"/>
    <w:rsid w:val="00B0375A"/>
    <w:rsid w:val="00B043D9"/>
    <w:rsid w:val="00B06174"/>
    <w:rsid w:val="00B07CA2"/>
    <w:rsid w:val="00B10B53"/>
    <w:rsid w:val="00B1299C"/>
    <w:rsid w:val="00B13907"/>
    <w:rsid w:val="00B144F0"/>
    <w:rsid w:val="00B15E58"/>
    <w:rsid w:val="00B16115"/>
    <w:rsid w:val="00B16369"/>
    <w:rsid w:val="00B1677F"/>
    <w:rsid w:val="00B16FC6"/>
    <w:rsid w:val="00B179C6"/>
    <w:rsid w:val="00B20108"/>
    <w:rsid w:val="00B20DE0"/>
    <w:rsid w:val="00B20F58"/>
    <w:rsid w:val="00B21CE7"/>
    <w:rsid w:val="00B2435B"/>
    <w:rsid w:val="00B24A8E"/>
    <w:rsid w:val="00B24C95"/>
    <w:rsid w:val="00B26AFC"/>
    <w:rsid w:val="00B26BED"/>
    <w:rsid w:val="00B26C4E"/>
    <w:rsid w:val="00B31464"/>
    <w:rsid w:val="00B328D3"/>
    <w:rsid w:val="00B33194"/>
    <w:rsid w:val="00B3323F"/>
    <w:rsid w:val="00B33880"/>
    <w:rsid w:val="00B33F33"/>
    <w:rsid w:val="00B342F4"/>
    <w:rsid w:val="00B34EDA"/>
    <w:rsid w:val="00B351F5"/>
    <w:rsid w:val="00B365F7"/>
    <w:rsid w:val="00B403FC"/>
    <w:rsid w:val="00B40D47"/>
    <w:rsid w:val="00B42F9B"/>
    <w:rsid w:val="00B435ED"/>
    <w:rsid w:val="00B44ECB"/>
    <w:rsid w:val="00B468DA"/>
    <w:rsid w:val="00B4790F"/>
    <w:rsid w:val="00B47E07"/>
    <w:rsid w:val="00B50A70"/>
    <w:rsid w:val="00B52F87"/>
    <w:rsid w:val="00B53BDE"/>
    <w:rsid w:val="00B54330"/>
    <w:rsid w:val="00B54C52"/>
    <w:rsid w:val="00B55193"/>
    <w:rsid w:val="00B56394"/>
    <w:rsid w:val="00B56D61"/>
    <w:rsid w:val="00B57649"/>
    <w:rsid w:val="00B60120"/>
    <w:rsid w:val="00B60BBA"/>
    <w:rsid w:val="00B61E39"/>
    <w:rsid w:val="00B62E04"/>
    <w:rsid w:val="00B66166"/>
    <w:rsid w:val="00B67C7E"/>
    <w:rsid w:val="00B70ECD"/>
    <w:rsid w:val="00B70FF6"/>
    <w:rsid w:val="00B7235B"/>
    <w:rsid w:val="00B72D2F"/>
    <w:rsid w:val="00B72F7F"/>
    <w:rsid w:val="00B75E48"/>
    <w:rsid w:val="00B76199"/>
    <w:rsid w:val="00B8043F"/>
    <w:rsid w:val="00B80695"/>
    <w:rsid w:val="00B817AE"/>
    <w:rsid w:val="00B822BB"/>
    <w:rsid w:val="00B824E2"/>
    <w:rsid w:val="00B83EC6"/>
    <w:rsid w:val="00B868B8"/>
    <w:rsid w:val="00B920DD"/>
    <w:rsid w:val="00B92E7A"/>
    <w:rsid w:val="00BA0F08"/>
    <w:rsid w:val="00BA439F"/>
    <w:rsid w:val="00BA44EC"/>
    <w:rsid w:val="00BA5834"/>
    <w:rsid w:val="00BA6370"/>
    <w:rsid w:val="00BA6BD0"/>
    <w:rsid w:val="00BA77F0"/>
    <w:rsid w:val="00BB06CA"/>
    <w:rsid w:val="00BB1FE2"/>
    <w:rsid w:val="00BB5AF9"/>
    <w:rsid w:val="00BB6268"/>
    <w:rsid w:val="00BC09C7"/>
    <w:rsid w:val="00BC1564"/>
    <w:rsid w:val="00BC26F7"/>
    <w:rsid w:val="00BC3CA1"/>
    <w:rsid w:val="00BC6747"/>
    <w:rsid w:val="00BC6921"/>
    <w:rsid w:val="00BC692F"/>
    <w:rsid w:val="00BC748B"/>
    <w:rsid w:val="00BD1AEF"/>
    <w:rsid w:val="00BD40CD"/>
    <w:rsid w:val="00BD57B8"/>
    <w:rsid w:val="00BD6F1C"/>
    <w:rsid w:val="00BD71CC"/>
    <w:rsid w:val="00BE0028"/>
    <w:rsid w:val="00BE1CA4"/>
    <w:rsid w:val="00BE1D3B"/>
    <w:rsid w:val="00BE206D"/>
    <w:rsid w:val="00BE210B"/>
    <w:rsid w:val="00BE2A53"/>
    <w:rsid w:val="00BE3302"/>
    <w:rsid w:val="00BE3335"/>
    <w:rsid w:val="00BE550F"/>
    <w:rsid w:val="00BE560B"/>
    <w:rsid w:val="00BE5C4A"/>
    <w:rsid w:val="00BE69B6"/>
    <w:rsid w:val="00BE6D51"/>
    <w:rsid w:val="00BE7C44"/>
    <w:rsid w:val="00BF029D"/>
    <w:rsid w:val="00BF1519"/>
    <w:rsid w:val="00BF2A5A"/>
    <w:rsid w:val="00BF34CC"/>
    <w:rsid w:val="00BF37CC"/>
    <w:rsid w:val="00BF46B6"/>
    <w:rsid w:val="00BF62F1"/>
    <w:rsid w:val="00C00155"/>
    <w:rsid w:val="00C007B6"/>
    <w:rsid w:val="00C0255B"/>
    <w:rsid w:val="00C0309F"/>
    <w:rsid w:val="00C030A0"/>
    <w:rsid w:val="00C04111"/>
    <w:rsid w:val="00C04EC7"/>
    <w:rsid w:val="00C0500E"/>
    <w:rsid w:val="00C051D5"/>
    <w:rsid w:val="00C054BF"/>
    <w:rsid w:val="00C05AE7"/>
    <w:rsid w:val="00C060B9"/>
    <w:rsid w:val="00C0711F"/>
    <w:rsid w:val="00C10B92"/>
    <w:rsid w:val="00C13B2D"/>
    <w:rsid w:val="00C14FA3"/>
    <w:rsid w:val="00C155D7"/>
    <w:rsid w:val="00C159FA"/>
    <w:rsid w:val="00C17B2C"/>
    <w:rsid w:val="00C2080D"/>
    <w:rsid w:val="00C22415"/>
    <w:rsid w:val="00C2278C"/>
    <w:rsid w:val="00C232B3"/>
    <w:rsid w:val="00C2354F"/>
    <w:rsid w:val="00C24735"/>
    <w:rsid w:val="00C24B18"/>
    <w:rsid w:val="00C26525"/>
    <w:rsid w:val="00C269D4"/>
    <w:rsid w:val="00C26D85"/>
    <w:rsid w:val="00C30A81"/>
    <w:rsid w:val="00C3197B"/>
    <w:rsid w:val="00C35652"/>
    <w:rsid w:val="00C35B84"/>
    <w:rsid w:val="00C36722"/>
    <w:rsid w:val="00C36AD6"/>
    <w:rsid w:val="00C40636"/>
    <w:rsid w:val="00C4160D"/>
    <w:rsid w:val="00C42390"/>
    <w:rsid w:val="00C42CB8"/>
    <w:rsid w:val="00C4301F"/>
    <w:rsid w:val="00C439CF"/>
    <w:rsid w:val="00C43DB8"/>
    <w:rsid w:val="00C45A80"/>
    <w:rsid w:val="00C45B06"/>
    <w:rsid w:val="00C473BF"/>
    <w:rsid w:val="00C47D6A"/>
    <w:rsid w:val="00C50339"/>
    <w:rsid w:val="00C50BEB"/>
    <w:rsid w:val="00C510FD"/>
    <w:rsid w:val="00C5191D"/>
    <w:rsid w:val="00C51B65"/>
    <w:rsid w:val="00C52C3F"/>
    <w:rsid w:val="00C54720"/>
    <w:rsid w:val="00C54AFE"/>
    <w:rsid w:val="00C54EDD"/>
    <w:rsid w:val="00C55504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315"/>
    <w:rsid w:val="00C658B8"/>
    <w:rsid w:val="00C65FAA"/>
    <w:rsid w:val="00C6637E"/>
    <w:rsid w:val="00C67D2D"/>
    <w:rsid w:val="00C72A55"/>
    <w:rsid w:val="00C72D7A"/>
    <w:rsid w:val="00C74370"/>
    <w:rsid w:val="00C743A0"/>
    <w:rsid w:val="00C74A84"/>
    <w:rsid w:val="00C7537C"/>
    <w:rsid w:val="00C7577F"/>
    <w:rsid w:val="00C7585A"/>
    <w:rsid w:val="00C820EB"/>
    <w:rsid w:val="00C84000"/>
    <w:rsid w:val="00C8406E"/>
    <w:rsid w:val="00C863B6"/>
    <w:rsid w:val="00C864A9"/>
    <w:rsid w:val="00C86BDB"/>
    <w:rsid w:val="00C874BC"/>
    <w:rsid w:val="00C87B18"/>
    <w:rsid w:val="00C87D5A"/>
    <w:rsid w:val="00C91009"/>
    <w:rsid w:val="00C91BB8"/>
    <w:rsid w:val="00C92874"/>
    <w:rsid w:val="00C94419"/>
    <w:rsid w:val="00C947EC"/>
    <w:rsid w:val="00C950A2"/>
    <w:rsid w:val="00C9586C"/>
    <w:rsid w:val="00C95A4D"/>
    <w:rsid w:val="00C95E57"/>
    <w:rsid w:val="00C96169"/>
    <w:rsid w:val="00C96221"/>
    <w:rsid w:val="00C968FC"/>
    <w:rsid w:val="00C969E1"/>
    <w:rsid w:val="00C97062"/>
    <w:rsid w:val="00C97261"/>
    <w:rsid w:val="00CA09D4"/>
    <w:rsid w:val="00CA1B47"/>
    <w:rsid w:val="00CA2A0A"/>
    <w:rsid w:val="00CA2CFD"/>
    <w:rsid w:val="00CA4B6F"/>
    <w:rsid w:val="00CA7469"/>
    <w:rsid w:val="00CB0423"/>
    <w:rsid w:val="00CB088B"/>
    <w:rsid w:val="00CB19EA"/>
    <w:rsid w:val="00CB1D8D"/>
    <w:rsid w:val="00CB2709"/>
    <w:rsid w:val="00CB356D"/>
    <w:rsid w:val="00CB5EA3"/>
    <w:rsid w:val="00CB6F89"/>
    <w:rsid w:val="00CC098E"/>
    <w:rsid w:val="00CC1B27"/>
    <w:rsid w:val="00CC2897"/>
    <w:rsid w:val="00CC410E"/>
    <w:rsid w:val="00CC51F4"/>
    <w:rsid w:val="00CC53D5"/>
    <w:rsid w:val="00CD07B7"/>
    <w:rsid w:val="00CD0981"/>
    <w:rsid w:val="00CD448E"/>
    <w:rsid w:val="00CD547F"/>
    <w:rsid w:val="00CD64C4"/>
    <w:rsid w:val="00CD7418"/>
    <w:rsid w:val="00CD7E6C"/>
    <w:rsid w:val="00CE0364"/>
    <w:rsid w:val="00CE04EA"/>
    <w:rsid w:val="00CE07E7"/>
    <w:rsid w:val="00CE1C49"/>
    <w:rsid w:val="00CE1CC5"/>
    <w:rsid w:val="00CE1E87"/>
    <w:rsid w:val="00CE228C"/>
    <w:rsid w:val="00CE3027"/>
    <w:rsid w:val="00CE3410"/>
    <w:rsid w:val="00CE3CED"/>
    <w:rsid w:val="00CE5DBC"/>
    <w:rsid w:val="00CE615B"/>
    <w:rsid w:val="00CE6C12"/>
    <w:rsid w:val="00CE75DD"/>
    <w:rsid w:val="00CF1CFF"/>
    <w:rsid w:val="00CF1E81"/>
    <w:rsid w:val="00CF22AA"/>
    <w:rsid w:val="00CF2653"/>
    <w:rsid w:val="00CF27B5"/>
    <w:rsid w:val="00CF2886"/>
    <w:rsid w:val="00CF344C"/>
    <w:rsid w:val="00CF37D7"/>
    <w:rsid w:val="00CF3C2E"/>
    <w:rsid w:val="00CF4669"/>
    <w:rsid w:val="00CF507F"/>
    <w:rsid w:val="00CF545B"/>
    <w:rsid w:val="00CF5795"/>
    <w:rsid w:val="00CF707A"/>
    <w:rsid w:val="00D00BE7"/>
    <w:rsid w:val="00D03A5E"/>
    <w:rsid w:val="00D03F01"/>
    <w:rsid w:val="00D0656D"/>
    <w:rsid w:val="00D113B5"/>
    <w:rsid w:val="00D11FF5"/>
    <w:rsid w:val="00D12438"/>
    <w:rsid w:val="00D13375"/>
    <w:rsid w:val="00D166AC"/>
    <w:rsid w:val="00D16B34"/>
    <w:rsid w:val="00D16D94"/>
    <w:rsid w:val="00D175AA"/>
    <w:rsid w:val="00D17D3F"/>
    <w:rsid w:val="00D17E82"/>
    <w:rsid w:val="00D20BA5"/>
    <w:rsid w:val="00D20BD0"/>
    <w:rsid w:val="00D21345"/>
    <w:rsid w:val="00D22D06"/>
    <w:rsid w:val="00D25B5F"/>
    <w:rsid w:val="00D26044"/>
    <w:rsid w:val="00D26769"/>
    <w:rsid w:val="00D27B3D"/>
    <w:rsid w:val="00D27D69"/>
    <w:rsid w:val="00D27E60"/>
    <w:rsid w:val="00D308E8"/>
    <w:rsid w:val="00D30F12"/>
    <w:rsid w:val="00D326BD"/>
    <w:rsid w:val="00D33100"/>
    <w:rsid w:val="00D33DFC"/>
    <w:rsid w:val="00D34949"/>
    <w:rsid w:val="00D34CA3"/>
    <w:rsid w:val="00D432E3"/>
    <w:rsid w:val="00D43488"/>
    <w:rsid w:val="00D44452"/>
    <w:rsid w:val="00D4470F"/>
    <w:rsid w:val="00D448C2"/>
    <w:rsid w:val="00D468F7"/>
    <w:rsid w:val="00D502CF"/>
    <w:rsid w:val="00D50B0A"/>
    <w:rsid w:val="00D53D70"/>
    <w:rsid w:val="00D545E7"/>
    <w:rsid w:val="00D573FE"/>
    <w:rsid w:val="00D60BAF"/>
    <w:rsid w:val="00D62931"/>
    <w:rsid w:val="00D657AC"/>
    <w:rsid w:val="00D666C3"/>
    <w:rsid w:val="00D718B9"/>
    <w:rsid w:val="00D71C1C"/>
    <w:rsid w:val="00D72769"/>
    <w:rsid w:val="00D74BBA"/>
    <w:rsid w:val="00D74DBA"/>
    <w:rsid w:val="00D806A3"/>
    <w:rsid w:val="00D80EFF"/>
    <w:rsid w:val="00D80F3C"/>
    <w:rsid w:val="00D819D0"/>
    <w:rsid w:val="00D81EDC"/>
    <w:rsid w:val="00D83BC6"/>
    <w:rsid w:val="00D83EE9"/>
    <w:rsid w:val="00D84C29"/>
    <w:rsid w:val="00D852D4"/>
    <w:rsid w:val="00D85B40"/>
    <w:rsid w:val="00D86734"/>
    <w:rsid w:val="00D87206"/>
    <w:rsid w:val="00D875B2"/>
    <w:rsid w:val="00D9137B"/>
    <w:rsid w:val="00D93B67"/>
    <w:rsid w:val="00D9542B"/>
    <w:rsid w:val="00D959E2"/>
    <w:rsid w:val="00D95EA7"/>
    <w:rsid w:val="00D97040"/>
    <w:rsid w:val="00DA0096"/>
    <w:rsid w:val="00DA05BA"/>
    <w:rsid w:val="00DA0D2D"/>
    <w:rsid w:val="00DA10C1"/>
    <w:rsid w:val="00DA1298"/>
    <w:rsid w:val="00DA2F85"/>
    <w:rsid w:val="00DA36CC"/>
    <w:rsid w:val="00DA3AE5"/>
    <w:rsid w:val="00DA3ED4"/>
    <w:rsid w:val="00DA56DA"/>
    <w:rsid w:val="00DA6116"/>
    <w:rsid w:val="00DA6EE0"/>
    <w:rsid w:val="00DA7747"/>
    <w:rsid w:val="00DA7A94"/>
    <w:rsid w:val="00DB0771"/>
    <w:rsid w:val="00DB0CC6"/>
    <w:rsid w:val="00DB15C4"/>
    <w:rsid w:val="00DB2214"/>
    <w:rsid w:val="00DB3CBA"/>
    <w:rsid w:val="00DB4709"/>
    <w:rsid w:val="00DB4E76"/>
    <w:rsid w:val="00DB60A2"/>
    <w:rsid w:val="00DB7976"/>
    <w:rsid w:val="00DB7C60"/>
    <w:rsid w:val="00DC2BF6"/>
    <w:rsid w:val="00DC4BEF"/>
    <w:rsid w:val="00DC4D30"/>
    <w:rsid w:val="00DC4DBF"/>
    <w:rsid w:val="00DC533E"/>
    <w:rsid w:val="00DC5E7F"/>
    <w:rsid w:val="00DC6E28"/>
    <w:rsid w:val="00DD0AD6"/>
    <w:rsid w:val="00DD0BA9"/>
    <w:rsid w:val="00DD1DC3"/>
    <w:rsid w:val="00DD1EAE"/>
    <w:rsid w:val="00DD1F1F"/>
    <w:rsid w:val="00DD1F40"/>
    <w:rsid w:val="00DD2662"/>
    <w:rsid w:val="00DD4CB4"/>
    <w:rsid w:val="00DD5872"/>
    <w:rsid w:val="00DD6C3A"/>
    <w:rsid w:val="00DD75FB"/>
    <w:rsid w:val="00DE0702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DF6A83"/>
    <w:rsid w:val="00E00CD4"/>
    <w:rsid w:val="00E014D6"/>
    <w:rsid w:val="00E017FD"/>
    <w:rsid w:val="00E0186F"/>
    <w:rsid w:val="00E041DD"/>
    <w:rsid w:val="00E1074D"/>
    <w:rsid w:val="00E1126E"/>
    <w:rsid w:val="00E11D10"/>
    <w:rsid w:val="00E11DD0"/>
    <w:rsid w:val="00E12C71"/>
    <w:rsid w:val="00E13EE8"/>
    <w:rsid w:val="00E1614A"/>
    <w:rsid w:val="00E165D2"/>
    <w:rsid w:val="00E16ACA"/>
    <w:rsid w:val="00E17DC9"/>
    <w:rsid w:val="00E20705"/>
    <w:rsid w:val="00E21F33"/>
    <w:rsid w:val="00E2204B"/>
    <w:rsid w:val="00E23803"/>
    <w:rsid w:val="00E23F4A"/>
    <w:rsid w:val="00E2448E"/>
    <w:rsid w:val="00E26081"/>
    <w:rsid w:val="00E260AC"/>
    <w:rsid w:val="00E26704"/>
    <w:rsid w:val="00E2689A"/>
    <w:rsid w:val="00E26A5C"/>
    <w:rsid w:val="00E26E5D"/>
    <w:rsid w:val="00E26E70"/>
    <w:rsid w:val="00E2757D"/>
    <w:rsid w:val="00E2791C"/>
    <w:rsid w:val="00E309BB"/>
    <w:rsid w:val="00E316C8"/>
    <w:rsid w:val="00E3189B"/>
    <w:rsid w:val="00E31980"/>
    <w:rsid w:val="00E330C2"/>
    <w:rsid w:val="00E330F7"/>
    <w:rsid w:val="00E369AB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2E01"/>
    <w:rsid w:val="00E554D7"/>
    <w:rsid w:val="00E564C0"/>
    <w:rsid w:val="00E571BD"/>
    <w:rsid w:val="00E57C4B"/>
    <w:rsid w:val="00E620E4"/>
    <w:rsid w:val="00E63873"/>
    <w:rsid w:val="00E638E3"/>
    <w:rsid w:val="00E63E1E"/>
    <w:rsid w:val="00E6423C"/>
    <w:rsid w:val="00E64284"/>
    <w:rsid w:val="00E64DE8"/>
    <w:rsid w:val="00E700E6"/>
    <w:rsid w:val="00E70818"/>
    <w:rsid w:val="00E71ED8"/>
    <w:rsid w:val="00E72B57"/>
    <w:rsid w:val="00E7483E"/>
    <w:rsid w:val="00E754BF"/>
    <w:rsid w:val="00E76B01"/>
    <w:rsid w:val="00E77C6D"/>
    <w:rsid w:val="00E77C90"/>
    <w:rsid w:val="00E8075D"/>
    <w:rsid w:val="00E82FD0"/>
    <w:rsid w:val="00E83134"/>
    <w:rsid w:val="00E83BCC"/>
    <w:rsid w:val="00E83FAB"/>
    <w:rsid w:val="00E8434E"/>
    <w:rsid w:val="00E843B7"/>
    <w:rsid w:val="00E86DC9"/>
    <w:rsid w:val="00E910B6"/>
    <w:rsid w:val="00E9181E"/>
    <w:rsid w:val="00E92F26"/>
    <w:rsid w:val="00E9349A"/>
    <w:rsid w:val="00E93830"/>
    <w:rsid w:val="00E9388E"/>
    <w:rsid w:val="00E93E0E"/>
    <w:rsid w:val="00E94B66"/>
    <w:rsid w:val="00E95136"/>
    <w:rsid w:val="00E95DC1"/>
    <w:rsid w:val="00E976D2"/>
    <w:rsid w:val="00EA0A2C"/>
    <w:rsid w:val="00EA1C8F"/>
    <w:rsid w:val="00EA1DBD"/>
    <w:rsid w:val="00EA344F"/>
    <w:rsid w:val="00EA3AFD"/>
    <w:rsid w:val="00EA42D5"/>
    <w:rsid w:val="00EA48C2"/>
    <w:rsid w:val="00EA4C0E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4F8B"/>
    <w:rsid w:val="00EB630F"/>
    <w:rsid w:val="00EB6F45"/>
    <w:rsid w:val="00EC12DA"/>
    <w:rsid w:val="00EC2BF3"/>
    <w:rsid w:val="00EC2D51"/>
    <w:rsid w:val="00EC659E"/>
    <w:rsid w:val="00EC6791"/>
    <w:rsid w:val="00EC6D60"/>
    <w:rsid w:val="00EC701E"/>
    <w:rsid w:val="00EC7AEF"/>
    <w:rsid w:val="00EC7DF7"/>
    <w:rsid w:val="00ED01DB"/>
    <w:rsid w:val="00ED055F"/>
    <w:rsid w:val="00ED3B49"/>
    <w:rsid w:val="00ED6FE8"/>
    <w:rsid w:val="00ED7B69"/>
    <w:rsid w:val="00EE227D"/>
    <w:rsid w:val="00EE3CBD"/>
    <w:rsid w:val="00EE3D9D"/>
    <w:rsid w:val="00EE4713"/>
    <w:rsid w:val="00EE484C"/>
    <w:rsid w:val="00EE4F33"/>
    <w:rsid w:val="00EE5B06"/>
    <w:rsid w:val="00EE5BCA"/>
    <w:rsid w:val="00EE701D"/>
    <w:rsid w:val="00EF0152"/>
    <w:rsid w:val="00EF05BD"/>
    <w:rsid w:val="00EF38F4"/>
    <w:rsid w:val="00EF3A5B"/>
    <w:rsid w:val="00EF3B9E"/>
    <w:rsid w:val="00EF625A"/>
    <w:rsid w:val="00EF788F"/>
    <w:rsid w:val="00F0005E"/>
    <w:rsid w:val="00F00922"/>
    <w:rsid w:val="00F00AEE"/>
    <w:rsid w:val="00F01B59"/>
    <w:rsid w:val="00F03815"/>
    <w:rsid w:val="00F0500E"/>
    <w:rsid w:val="00F068AE"/>
    <w:rsid w:val="00F1049C"/>
    <w:rsid w:val="00F12768"/>
    <w:rsid w:val="00F12A9A"/>
    <w:rsid w:val="00F13385"/>
    <w:rsid w:val="00F13564"/>
    <w:rsid w:val="00F1369F"/>
    <w:rsid w:val="00F13F05"/>
    <w:rsid w:val="00F169B0"/>
    <w:rsid w:val="00F174C2"/>
    <w:rsid w:val="00F179FE"/>
    <w:rsid w:val="00F21DB3"/>
    <w:rsid w:val="00F220C4"/>
    <w:rsid w:val="00F23E34"/>
    <w:rsid w:val="00F26395"/>
    <w:rsid w:val="00F271A0"/>
    <w:rsid w:val="00F2773E"/>
    <w:rsid w:val="00F2781C"/>
    <w:rsid w:val="00F27EFE"/>
    <w:rsid w:val="00F30003"/>
    <w:rsid w:val="00F32DA4"/>
    <w:rsid w:val="00F35441"/>
    <w:rsid w:val="00F3675B"/>
    <w:rsid w:val="00F36CF7"/>
    <w:rsid w:val="00F37313"/>
    <w:rsid w:val="00F40602"/>
    <w:rsid w:val="00F40D9B"/>
    <w:rsid w:val="00F414CB"/>
    <w:rsid w:val="00F41E59"/>
    <w:rsid w:val="00F42BCA"/>
    <w:rsid w:val="00F4347E"/>
    <w:rsid w:val="00F4399E"/>
    <w:rsid w:val="00F45237"/>
    <w:rsid w:val="00F455DC"/>
    <w:rsid w:val="00F46655"/>
    <w:rsid w:val="00F47127"/>
    <w:rsid w:val="00F4754F"/>
    <w:rsid w:val="00F476A2"/>
    <w:rsid w:val="00F50BF2"/>
    <w:rsid w:val="00F50C5B"/>
    <w:rsid w:val="00F50CEF"/>
    <w:rsid w:val="00F515A6"/>
    <w:rsid w:val="00F51BBA"/>
    <w:rsid w:val="00F5305C"/>
    <w:rsid w:val="00F5445D"/>
    <w:rsid w:val="00F55946"/>
    <w:rsid w:val="00F56895"/>
    <w:rsid w:val="00F56F25"/>
    <w:rsid w:val="00F578B6"/>
    <w:rsid w:val="00F61A0A"/>
    <w:rsid w:val="00F61E35"/>
    <w:rsid w:val="00F62444"/>
    <w:rsid w:val="00F62E57"/>
    <w:rsid w:val="00F6357F"/>
    <w:rsid w:val="00F64042"/>
    <w:rsid w:val="00F6479D"/>
    <w:rsid w:val="00F64C3F"/>
    <w:rsid w:val="00F6760A"/>
    <w:rsid w:val="00F70CF6"/>
    <w:rsid w:val="00F71633"/>
    <w:rsid w:val="00F72354"/>
    <w:rsid w:val="00F7297B"/>
    <w:rsid w:val="00F72F36"/>
    <w:rsid w:val="00F73581"/>
    <w:rsid w:val="00F73A45"/>
    <w:rsid w:val="00F74BE5"/>
    <w:rsid w:val="00F74C26"/>
    <w:rsid w:val="00F77F8B"/>
    <w:rsid w:val="00F81280"/>
    <w:rsid w:val="00F81F79"/>
    <w:rsid w:val="00F82B3B"/>
    <w:rsid w:val="00F84060"/>
    <w:rsid w:val="00F86F7A"/>
    <w:rsid w:val="00F87F25"/>
    <w:rsid w:val="00F907FA"/>
    <w:rsid w:val="00F90C0B"/>
    <w:rsid w:val="00F91278"/>
    <w:rsid w:val="00F915C2"/>
    <w:rsid w:val="00F91A68"/>
    <w:rsid w:val="00F91C80"/>
    <w:rsid w:val="00F91E77"/>
    <w:rsid w:val="00F92017"/>
    <w:rsid w:val="00F92950"/>
    <w:rsid w:val="00F92F9A"/>
    <w:rsid w:val="00F93F26"/>
    <w:rsid w:val="00F9474E"/>
    <w:rsid w:val="00F95B02"/>
    <w:rsid w:val="00F96F6C"/>
    <w:rsid w:val="00F97CCA"/>
    <w:rsid w:val="00FA051F"/>
    <w:rsid w:val="00FA2E2F"/>
    <w:rsid w:val="00FA3ABC"/>
    <w:rsid w:val="00FA3D9D"/>
    <w:rsid w:val="00FB0388"/>
    <w:rsid w:val="00FB07FA"/>
    <w:rsid w:val="00FB109A"/>
    <w:rsid w:val="00FB11E5"/>
    <w:rsid w:val="00FB1415"/>
    <w:rsid w:val="00FB3E4B"/>
    <w:rsid w:val="00FB4639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1EB"/>
    <w:rsid w:val="00FD5B15"/>
    <w:rsid w:val="00FD5E47"/>
    <w:rsid w:val="00FD63F3"/>
    <w:rsid w:val="00FD6B25"/>
    <w:rsid w:val="00FD6D15"/>
    <w:rsid w:val="00FD6DEA"/>
    <w:rsid w:val="00FE0B91"/>
    <w:rsid w:val="00FE0C2F"/>
    <w:rsid w:val="00FE14B7"/>
    <w:rsid w:val="00FE1513"/>
    <w:rsid w:val="00FE3328"/>
    <w:rsid w:val="00FE355C"/>
    <w:rsid w:val="00FE4662"/>
    <w:rsid w:val="00FE5AAD"/>
    <w:rsid w:val="00FE606F"/>
    <w:rsid w:val="00FF04D9"/>
    <w:rsid w:val="00FF2AEF"/>
    <w:rsid w:val="00FF2D6A"/>
    <w:rsid w:val="00FF301C"/>
    <w:rsid w:val="00FF3DA2"/>
    <w:rsid w:val="00FF465A"/>
    <w:rsid w:val="00FF55B1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6B5CCA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QU\QSA\Analyza\02_Data\An_050124_QSA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QU\QSA\Analyza\02_Data\An_050124_QSA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QU\QSA\Analyza\02_Data\An_050124_QSA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QU\QSA\Analyza\02_Data\An_050124_QSA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QU\QSA\Analyza\02_Data\An_050124_QSA_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3840698712092"/>
          <c:y val="3.9316672295395698E-2"/>
          <c:w val="0.79904972620751191"/>
          <c:h val="0.73056371922726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S11_HPH!$C$7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S11_HPH!$A$20:$B$45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S11_HPH!$C$20:$C$45</c:f>
              <c:numCache>
                <c:formatCode>0.0</c:formatCode>
                <c:ptCount val="26"/>
                <c:pt idx="0">
                  <c:v>30.613</c:v>
                </c:pt>
                <c:pt idx="1">
                  <c:v>40.911000000000001</c:v>
                </c:pt>
                <c:pt idx="2">
                  <c:v>61.198999999999998</c:v>
                </c:pt>
                <c:pt idx="3">
                  <c:v>49.415999999999997</c:v>
                </c:pt>
                <c:pt idx="4">
                  <c:v>37.255000000000003</c:v>
                </c:pt>
                <c:pt idx="5">
                  <c:v>30.933</c:v>
                </c:pt>
                <c:pt idx="6">
                  <c:v>28.498999999999999</c:v>
                </c:pt>
                <c:pt idx="7">
                  <c:v>36.008000000000003</c:v>
                </c:pt>
                <c:pt idx="8">
                  <c:v>45.710999999999999</c:v>
                </c:pt>
                <c:pt idx="9">
                  <c:v>56.304000000000002</c:v>
                </c:pt>
                <c:pt idx="10">
                  <c:v>69.814999999999998</c:v>
                </c:pt>
                <c:pt idx="11">
                  <c:v>64.856999999999999</c:v>
                </c:pt>
                <c:pt idx="12">
                  <c:v>26.132000000000001</c:v>
                </c:pt>
                <c:pt idx="13">
                  <c:v>-79.585999999999999</c:v>
                </c:pt>
                <c:pt idx="14">
                  <c:v>-22.152999999999999</c:v>
                </c:pt>
                <c:pt idx="15">
                  <c:v>-10.071</c:v>
                </c:pt>
                <c:pt idx="16">
                  <c:v>12.1</c:v>
                </c:pt>
                <c:pt idx="17">
                  <c:v>126.651</c:v>
                </c:pt>
                <c:pt idx="18">
                  <c:v>70.298000000000002</c:v>
                </c:pt>
                <c:pt idx="19">
                  <c:v>48.523000000000003</c:v>
                </c:pt>
                <c:pt idx="20">
                  <c:v>94.037000000000006</c:v>
                </c:pt>
                <c:pt idx="21">
                  <c:v>104.107</c:v>
                </c:pt>
                <c:pt idx="22">
                  <c:v>134.62299999999999</c:v>
                </c:pt>
                <c:pt idx="23">
                  <c:v>147.40600000000001</c:v>
                </c:pt>
                <c:pt idx="24">
                  <c:v>162.29900000000001</c:v>
                </c:pt>
                <c:pt idx="25">
                  <c:v>129.46299999999999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26-4A48-B55D-83CC0EA923BC}"/>
            </c:ext>
          </c:extLst>
        </c:ser>
        <c:ser>
          <c:idx val="1"/>
          <c:order val="1"/>
          <c:tx>
            <c:strRef>
              <c:f>S11_HPH!$D$7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S11_HPH!$A$20:$B$45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S11_HPH!$D$20:$D$45</c:f>
              <c:numCache>
                <c:formatCode>0.0</c:formatCode>
                <c:ptCount val="26"/>
                <c:pt idx="0">
                  <c:v>27.047000000000001</c:v>
                </c:pt>
                <c:pt idx="1">
                  <c:v>37.268999999999998</c:v>
                </c:pt>
                <c:pt idx="2">
                  <c:v>35.341999999999999</c:v>
                </c:pt>
                <c:pt idx="3">
                  <c:v>32.363999999999997</c:v>
                </c:pt>
                <c:pt idx="4">
                  <c:v>35.039000000000001</c:v>
                </c:pt>
                <c:pt idx="5">
                  <c:v>36.268000000000001</c:v>
                </c:pt>
                <c:pt idx="6">
                  <c:v>33.268999999999998</c:v>
                </c:pt>
                <c:pt idx="7">
                  <c:v>40.823</c:v>
                </c:pt>
                <c:pt idx="8">
                  <c:v>32.991</c:v>
                </c:pt>
                <c:pt idx="9">
                  <c:v>32.084000000000003</c:v>
                </c:pt>
                <c:pt idx="10">
                  <c:v>27.997</c:v>
                </c:pt>
                <c:pt idx="11">
                  <c:v>27.196000000000002</c:v>
                </c:pt>
                <c:pt idx="12">
                  <c:v>20.518999999999998</c:v>
                </c:pt>
                <c:pt idx="13">
                  <c:v>-29.218</c:v>
                </c:pt>
                <c:pt idx="14">
                  <c:v>-6.2619999999999996</c:v>
                </c:pt>
                <c:pt idx="15">
                  <c:v>1.2110000000000001</c:v>
                </c:pt>
                <c:pt idx="16">
                  <c:v>-14.814</c:v>
                </c:pt>
                <c:pt idx="17">
                  <c:v>47.508000000000003</c:v>
                </c:pt>
                <c:pt idx="18">
                  <c:v>42.628</c:v>
                </c:pt>
                <c:pt idx="19">
                  <c:v>38.332999999999998</c:v>
                </c:pt>
                <c:pt idx="20">
                  <c:v>54.42</c:v>
                </c:pt>
                <c:pt idx="21">
                  <c:v>53.536999999999999</c:v>
                </c:pt>
                <c:pt idx="22">
                  <c:v>38.448999999999998</c:v>
                </c:pt>
                <c:pt idx="23">
                  <c:v>47.076000000000001</c:v>
                </c:pt>
                <c:pt idx="24">
                  <c:v>52.01</c:v>
                </c:pt>
                <c:pt idx="25">
                  <c:v>41.587000000000003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26-4A48-B55D-83CC0EA92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S11_HPH!$E$7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multiLvlStrRef>
              <c:f>S11_HPH!$A$20:$B$44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S11_HPH!$E$20:$E$45</c:f>
              <c:numCache>
                <c:formatCode>0.0</c:formatCode>
                <c:ptCount val="26"/>
                <c:pt idx="0">
                  <c:v>47.271181532232859</c:v>
                </c:pt>
                <c:pt idx="1">
                  <c:v>47.610613384305445</c:v>
                </c:pt>
                <c:pt idx="2">
                  <c:v>47.438098171746958</c:v>
                </c:pt>
                <c:pt idx="3">
                  <c:v>47.109973103702288</c:v>
                </c:pt>
                <c:pt idx="4">
                  <c:v>45.5722868485405</c:v>
                </c:pt>
                <c:pt idx="5">
                  <c:v>45.107076485469797</c:v>
                </c:pt>
                <c:pt idx="6">
                  <c:v>45.123166532481193</c:v>
                </c:pt>
                <c:pt idx="7">
                  <c:v>44.351190949902737</c:v>
                </c:pt>
                <c:pt idx="8">
                  <c:v>44.49949606271332</c:v>
                </c:pt>
                <c:pt idx="9">
                  <c:v>45.129298944206241</c:v>
                </c:pt>
                <c:pt idx="10">
                  <c:v>45.240010825254188</c:v>
                </c:pt>
                <c:pt idx="11">
                  <c:v>45.366208339452655</c:v>
                </c:pt>
                <c:pt idx="12">
                  <c:v>43.585037332559303</c:v>
                </c:pt>
                <c:pt idx="13">
                  <c:v>44.553902476500966</c:v>
                </c:pt>
                <c:pt idx="14">
                  <c:v>45.468963473438883</c:v>
                </c:pt>
                <c:pt idx="15">
                  <c:v>46.746911147121367</c:v>
                </c:pt>
                <c:pt idx="16">
                  <c:v>48.581568892104073</c:v>
                </c:pt>
                <c:pt idx="17">
                  <c:v>47.0890510137178</c:v>
                </c:pt>
                <c:pt idx="18">
                  <c:v>45.182921985750284</c:v>
                </c:pt>
                <c:pt idx="19">
                  <c:v>44.406940236345164</c:v>
                </c:pt>
                <c:pt idx="20">
                  <c:v>45.663298379408964</c:v>
                </c:pt>
                <c:pt idx="21">
                  <c:v>46.148856094842102</c:v>
                </c:pt>
                <c:pt idx="22">
                  <c:v>48.099898697264827</c:v>
                </c:pt>
                <c:pt idx="23">
                  <c:v>48.327240500720059</c:v>
                </c:pt>
                <c:pt idx="24">
                  <c:v>48.639033289086314</c:v>
                </c:pt>
                <c:pt idx="25">
                  <c:v>49.023873761534453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26-4A48-B55D-83CC0EA92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>
                    <a:solidFill>
                      <a:srgbClr val="0070C0"/>
                    </a:solidFill>
                  </a:rPr>
                  <a:t>Změna </a:t>
                </a:r>
                <a:r>
                  <a:rPr lang="en-US" b="1">
                    <a:solidFill>
                      <a:srgbClr val="0070C0"/>
                    </a:solidFill>
                  </a:rPr>
                  <a:t>HPH</a:t>
                </a:r>
                <a:r>
                  <a:rPr lang="cs-CZ" b="1">
                    <a:solidFill>
                      <a:srgbClr val="0070C0"/>
                    </a:solidFill>
                  </a:rPr>
                  <a:t> </a:t>
                </a:r>
                <a:r>
                  <a:rPr lang="cs-CZ" b="1">
                    <a:solidFill>
                      <a:schemeClr val="bg2">
                        <a:lumMod val="50000"/>
                      </a:schemeClr>
                    </a:solidFill>
                  </a:rPr>
                  <a:t>a</a:t>
                </a:r>
                <a:r>
                  <a:rPr lang="en-US"/>
                  <a:t> </a:t>
                </a:r>
                <a:r>
                  <a:rPr lang="cs-CZ" b="1">
                    <a:solidFill>
                      <a:srgbClr val="FF0000"/>
                    </a:solidFill>
                  </a:rPr>
                  <a:t>ná</a:t>
                </a:r>
                <a:r>
                  <a:rPr lang="en-US" b="1">
                    <a:solidFill>
                      <a:srgbClr val="FF0000"/>
                    </a:solidFill>
                  </a:rPr>
                  <a:t>hrad</a:t>
                </a:r>
                <a:r>
                  <a:rPr lang="cs-CZ" b="1">
                    <a:solidFill>
                      <a:srgbClr val="FF0000"/>
                    </a:solidFill>
                  </a:rPr>
                  <a:t> zaměstnancům </a:t>
                </a:r>
              </a:p>
              <a:p>
                <a:pPr>
                  <a:defRPr/>
                </a:pPr>
                <a:r>
                  <a:rPr lang="cs-CZ"/>
                  <a:t>(mld. Kč)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ax val="50"/>
          <c:min val="3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>
                    <a:solidFill>
                      <a:srgbClr val="00B050"/>
                    </a:solidFill>
                  </a:rPr>
                  <a:t>Míra zisku</a:t>
                </a:r>
                <a:r>
                  <a:rPr lang="cs-CZ"/>
                  <a:t> </a:t>
                </a:r>
              </a:p>
              <a:p>
                <a:pPr>
                  <a:defRPr/>
                </a:pPr>
                <a:r>
                  <a:rPr lang="cs-CZ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87215184"/>
        <c:crosses val="max"/>
        <c:crossBetween val="between"/>
        <c:majorUnit val="2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2763424518744"/>
          <c:y val="3.9316672295395698E-2"/>
          <c:w val="0.7790537402904425"/>
          <c:h val="0.75501067742876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S11_THFK!$C$6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S11_THFK!$A$19:$B$44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S11_THFK!$C$19:$C$44</c:f>
              <c:numCache>
                <c:formatCode>General</c:formatCode>
                <c:ptCount val="26"/>
                <c:pt idx="0">
                  <c:v>8.5790000000000006</c:v>
                </c:pt>
                <c:pt idx="1">
                  <c:v>16.106000000000002</c:v>
                </c:pt>
                <c:pt idx="2">
                  <c:v>18.687000000000001</c:v>
                </c:pt>
                <c:pt idx="3">
                  <c:v>26.071999999999999</c:v>
                </c:pt>
                <c:pt idx="4">
                  <c:v>6.3949999999999996</c:v>
                </c:pt>
                <c:pt idx="5">
                  <c:v>8.6140000000000008</c:v>
                </c:pt>
                <c:pt idx="6">
                  <c:v>7.9569999999999999</c:v>
                </c:pt>
                <c:pt idx="7">
                  <c:v>16.013000000000002</c:v>
                </c:pt>
                <c:pt idx="8">
                  <c:v>17.695</c:v>
                </c:pt>
                <c:pt idx="9">
                  <c:v>13.617000000000001</c:v>
                </c:pt>
                <c:pt idx="10">
                  <c:v>25.163</c:v>
                </c:pt>
                <c:pt idx="11">
                  <c:v>32.338999999999999</c:v>
                </c:pt>
                <c:pt idx="12">
                  <c:v>-3.714</c:v>
                </c:pt>
                <c:pt idx="13">
                  <c:v>-7.29</c:v>
                </c:pt>
                <c:pt idx="14">
                  <c:v>-20.146000000000001</c:v>
                </c:pt>
                <c:pt idx="15">
                  <c:v>-40.325000000000003</c:v>
                </c:pt>
                <c:pt idx="16">
                  <c:v>1.694</c:v>
                </c:pt>
                <c:pt idx="17">
                  <c:v>16.667000000000002</c:v>
                </c:pt>
                <c:pt idx="18">
                  <c:v>12.728999999999999</c:v>
                </c:pt>
                <c:pt idx="19">
                  <c:v>23.949000000000002</c:v>
                </c:pt>
                <c:pt idx="20">
                  <c:v>39.835999999999999</c:v>
                </c:pt>
                <c:pt idx="21">
                  <c:v>50.484999999999999</c:v>
                </c:pt>
                <c:pt idx="22">
                  <c:v>51.237000000000002</c:v>
                </c:pt>
                <c:pt idx="23">
                  <c:v>52.715000000000003</c:v>
                </c:pt>
                <c:pt idx="24">
                  <c:v>21.341999999999999</c:v>
                </c:pt>
                <c:pt idx="25">
                  <c:v>21.135000000000002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8-4BDF-A8BC-009DBF703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S11_THFK!$D$6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multiLvlStrRef>
              <c:f>S11_THFK!$A$19:$B$43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S11_THFK!$D$19:$D$44</c:f>
              <c:numCache>
                <c:formatCode>General</c:formatCode>
                <c:ptCount val="26"/>
                <c:pt idx="0">
                  <c:v>29.001688845305786</c:v>
                </c:pt>
                <c:pt idx="1">
                  <c:v>28.672501873637746</c:v>
                </c:pt>
                <c:pt idx="2">
                  <c:v>28.87141707590785</c:v>
                </c:pt>
                <c:pt idx="3">
                  <c:v>29.302014572112384</c:v>
                </c:pt>
                <c:pt idx="4">
                  <c:v>28.292301260067568</c:v>
                </c:pt>
                <c:pt idx="5">
                  <c:v>28.729833113479135</c:v>
                </c:pt>
                <c:pt idx="6">
                  <c:v>28.933579500305523</c:v>
                </c:pt>
                <c:pt idx="7">
                  <c:v>29.964422190011859</c:v>
                </c:pt>
                <c:pt idx="8">
                  <c:v>29.250113496540727</c:v>
                </c:pt>
                <c:pt idx="9">
                  <c:v>28.075111560832504</c:v>
                </c:pt>
                <c:pt idx="10">
                  <c:v>30.08110368609702</c:v>
                </c:pt>
                <c:pt idx="11">
                  <c:v>31.131260066786886</c:v>
                </c:pt>
                <c:pt idx="12">
                  <c:v>27.977001414252452</c:v>
                </c:pt>
                <c:pt idx="13">
                  <c:v>29.693560563041547</c:v>
                </c:pt>
                <c:pt idx="14">
                  <c:v>28.236006188218276</c:v>
                </c:pt>
                <c:pt idx="15">
                  <c:v>26.992851477150516</c:v>
                </c:pt>
                <c:pt idx="16">
                  <c:v>27.717182849679801</c:v>
                </c:pt>
                <c:pt idx="17">
                  <c:v>27.625808275162235</c:v>
                </c:pt>
                <c:pt idx="18">
                  <c:v>27.44445685196207</c:v>
                </c:pt>
                <c:pt idx="19">
                  <c:v>28.065644823198806</c:v>
                </c:pt>
                <c:pt idx="20">
                  <c:v>29.778782513958873</c:v>
                </c:pt>
                <c:pt idx="21">
                  <c:v>29.938118477893081</c:v>
                </c:pt>
                <c:pt idx="22">
                  <c:v>28.91048058297574</c:v>
                </c:pt>
                <c:pt idx="23">
                  <c:v>28.561683370939811</c:v>
                </c:pt>
                <c:pt idx="24">
                  <c:v>27.578903069359061</c:v>
                </c:pt>
                <c:pt idx="25">
                  <c:v>28.059491690661346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C8-4BDF-A8BC-009DBF7032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in val="-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rgbClr val="0070C0"/>
                    </a:solidFill>
                  </a:rPr>
                  <a:t>Změna t</a:t>
                </a:r>
                <a:r>
                  <a:rPr lang="en-US" b="1">
                    <a:solidFill>
                      <a:srgbClr val="0070C0"/>
                    </a:solidFill>
                  </a:rPr>
                  <a:t>vorb</a:t>
                </a:r>
                <a:r>
                  <a:rPr lang="cs-CZ" b="1">
                    <a:solidFill>
                      <a:srgbClr val="0070C0"/>
                    </a:solidFill>
                  </a:rPr>
                  <a:t>y</a:t>
                </a:r>
                <a:r>
                  <a:rPr lang="en-US" b="1">
                    <a:solidFill>
                      <a:srgbClr val="0070C0"/>
                    </a:solidFill>
                  </a:rPr>
                  <a:t> </a:t>
                </a:r>
                <a:r>
                  <a:rPr lang="cs-CZ" b="1">
                    <a:solidFill>
                      <a:srgbClr val="0070C0"/>
                    </a:solidFill>
                  </a:rPr>
                  <a:t>hrubého fixního kapitálu</a:t>
                </a:r>
              </a:p>
              <a:p>
                <a:pPr>
                  <a:defRPr/>
                </a:pPr>
                <a:r>
                  <a:rPr lang="en-US"/>
                  <a:t> (mld. </a:t>
                </a:r>
                <a:r>
                  <a:rPr lang="cs-CZ"/>
                  <a:t>Kč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87223504"/>
        <c:crosses val="autoZero"/>
        <c:crossBetween val="between"/>
        <c:majorUnit val="15"/>
      </c:valAx>
      <c:valAx>
        <c:axId val="787206864"/>
        <c:scaling>
          <c:orientation val="minMax"/>
          <c:min val="2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>
                    <a:solidFill>
                      <a:srgbClr val="00B050"/>
                    </a:solidFill>
                  </a:rPr>
                  <a:t>Míra investic </a:t>
                </a:r>
                <a:endParaRPr lang="cs-CZ" b="1">
                  <a:solidFill>
                    <a:srgbClr val="00B050"/>
                  </a:solidFill>
                </a:endParaRPr>
              </a:p>
              <a:p>
                <a:pPr>
                  <a:defRPr b="1"/>
                </a:pPr>
                <a:r>
                  <a:rPr lang="en-US" b="0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787212272"/>
        <c:crosses val="max"/>
        <c:crossBetween val="between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820330969267135E-2"/>
          <c:y val="0.93846049120514075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S.13_saldo!$F$6</c:f>
              <c:strCache>
                <c:ptCount val="1"/>
                <c:pt idx="0">
                  <c:v>Fondy sociálního zabezpečení (zdrav.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S.13_saldo!$A$19:$B$44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S.13_saldo!$F$19:$F$44</c:f>
              <c:numCache>
                <c:formatCode>General</c:formatCode>
                <c:ptCount val="26"/>
                <c:pt idx="0">
                  <c:v>0.34899999999999998</c:v>
                </c:pt>
                <c:pt idx="1">
                  <c:v>4.6449999999999996</c:v>
                </c:pt>
                <c:pt idx="2">
                  <c:v>6.37</c:v>
                </c:pt>
                <c:pt idx="3">
                  <c:v>-3.1819999999999999</c:v>
                </c:pt>
                <c:pt idx="4">
                  <c:v>3.45</c:v>
                </c:pt>
                <c:pt idx="5">
                  <c:v>4.9660000000000002</c:v>
                </c:pt>
                <c:pt idx="6">
                  <c:v>6.6139999999999999</c:v>
                </c:pt>
                <c:pt idx="7">
                  <c:v>1.6160000000000001</c:v>
                </c:pt>
                <c:pt idx="8">
                  <c:v>3.3359999999999999</c:v>
                </c:pt>
                <c:pt idx="9">
                  <c:v>4.9089999999999998</c:v>
                </c:pt>
                <c:pt idx="10">
                  <c:v>5.3339999999999996</c:v>
                </c:pt>
                <c:pt idx="11">
                  <c:v>-2.1880000000000002</c:v>
                </c:pt>
                <c:pt idx="12">
                  <c:v>-4.07</c:v>
                </c:pt>
                <c:pt idx="13">
                  <c:v>-1.4410000000000001</c:v>
                </c:pt>
                <c:pt idx="14">
                  <c:v>4.4909999999999997</c:v>
                </c:pt>
                <c:pt idx="15">
                  <c:v>-10.641</c:v>
                </c:pt>
                <c:pt idx="16">
                  <c:v>4.1180000000000003</c:v>
                </c:pt>
                <c:pt idx="17">
                  <c:v>9.0719999999999992</c:v>
                </c:pt>
                <c:pt idx="18">
                  <c:v>-12.209</c:v>
                </c:pt>
                <c:pt idx="19">
                  <c:v>-10.253</c:v>
                </c:pt>
                <c:pt idx="20">
                  <c:v>3.2120000000000002</c:v>
                </c:pt>
                <c:pt idx="21">
                  <c:v>7.3810000000000002</c:v>
                </c:pt>
                <c:pt idx="22">
                  <c:v>4.6020000000000003</c:v>
                </c:pt>
                <c:pt idx="23">
                  <c:v>-14.797000000000001</c:v>
                </c:pt>
                <c:pt idx="24">
                  <c:v>0.69499999999999995</c:v>
                </c:pt>
                <c:pt idx="25">
                  <c:v>1.2689999999999999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0-476D-8F36-7E364A7E0164}"/>
            </c:ext>
          </c:extLst>
        </c:ser>
        <c:ser>
          <c:idx val="2"/>
          <c:order val="2"/>
          <c:tx>
            <c:strRef>
              <c:f>S.13_saldo!$E$6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S.13_saldo!$A$19:$B$44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S.13_saldo!$E$19:$E$44</c:f>
              <c:numCache>
                <c:formatCode>General</c:formatCode>
                <c:ptCount val="26"/>
                <c:pt idx="0">
                  <c:v>16.695</c:v>
                </c:pt>
                <c:pt idx="1">
                  <c:v>26.521000000000001</c:v>
                </c:pt>
                <c:pt idx="2">
                  <c:v>5.6349999999999998</c:v>
                </c:pt>
                <c:pt idx="3">
                  <c:v>-6.9260000000000002</c:v>
                </c:pt>
                <c:pt idx="4">
                  <c:v>15.24</c:v>
                </c:pt>
                <c:pt idx="5">
                  <c:v>24.675000000000001</c:v>
                </c:pt>
                <c:pt idx="6">
                  <c:v>-5.1619999999999999</c:v>
                </c:pt>
                <c:pt idx="7">
                  <c:v>-11.194000000000001</c:v>
                </c:pt>
                <c:pt idx="8">
                  <c:v>20.981000000000002</c:v>
                </c:pt>
                <c:pt idx="9">
                  <c:v>28.152000000000001</c:v>
                </c:pt>
                <c:pt idx="10">
                  <c:v>-1.296</c:v>
                </c:pt>
                <c:pt idx="11">
                  <c:v>-10.241</c:v>
                </c:pt>
                <c:pt idx="12">
                  <c:v>14.45</c:v>
                </c:pt>
                <c:pt idx="13">
                  <c:v>14.35</c:v>
                </c:pt>
                <c:pt idx="14">
                  <c:v>14.858000000000001</c:v>
                </c:pt>
                <c:pt idx="15">
                  <c:v>-17.312000000000001</c:v>
                </c:pt>
                <c:pt idx="16">
                  <c:v>14.379</c:v>
                </c:pt>
                <c:pt idx="17">
                  <c:v>40.017000000000003</c:v>
                </c:pt>
                <c:pt idx="18">
                  <c:v>14.627000000000001</c:v>
                </c:pt>
                <c:pt idx="19">
                  <c:v>-13.222</c:v>
                </c:pt>
                <c:pt idx="20">
                  <c:v>7.2119999999999997</c:v>
                </c:pt>
                <c:pt idx="21">
                  <c:v>66.727999999999994</c:v>
                </c:pt>
                <c:pt idx="22">
                  <c:v>7.2670000000000003</c:v>
                </c:pt>
                <c:pt idx="23">
                  <c:v>-17.460999999999999</c:v>
                </c:pt>
                <c:pt idx="24">
                  <c:v>31.442</c:v>
                </c:pt>
                <c:pt idx="25">
                  <c:v>50.698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0-476D-8F36-7E364A7E0164}"/>
            </c:ext>
          </c:extLst>
        </c:ser>
        <c:ser>
          <c:idx val="1"/>
          <c:order val="3"/>
          <c:tx>
            <c:strRef>
              <c:f>S.13_saldo!$D$6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S.13_saldo!$A$19:$B$44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S.13_saldo!$D$19:$D$44</c:f>
              <c:numCache>
                <c:formatCode>General</c:formatCode>
                <c:ptCount val="26"/>
                <c:pt idx="0">
                  <c:v>-15.212999999999999</c:v>
                </c:pt>
                <c:pt idx="1">
                  <c:v>10.332000000000001</c:v>
                </c:pt>
                <c:pt idx="2">
                  <c:v>20.634</c:v>
                </c:pt>
                <c:pt idx="3">
                  <c:v>10.872999999999999</c:v>
                </c:pt>
                <c:pt idx="4">
                  <c:v>-16.704000000000001</c:v>
                </c:pt>
                <c:pt idx="5">
                  <c:v>11.66</c:v>
                </c:pt>
                <c:pt idx="6">
                  <c:v>14.561999999999999</c:v>
                </c:pt>
                <c:pt idx="7">
                  <c:v>-1.431</c:v>
                </c:pt>
                <c:pt idx="8">
                  <c:v>-26.315000000000001</c:v>
                </c:pt>
                <c:pt idx="9">
                  <c:v>-6.0869999999999997</c:v>
                </c:pt>
                <c:pt idx="10">
                  <c:v>12.068</c:v>
                </c:pt>
                <c:pt idx="11">
                  <c:v>-11.944000000000001</c:v>
                </c:pt>
                <c:pt idx="12">
                  <c:v>-60.658000000000001</c:v>
                </c:pt>
                <c:pt idx="13">
                  <c:v>-111.324</c:v>
                </c:pt>
                <c:pt idx="14">
                  <c:v>-62.37</c:v>
                </c:pt>
                <c:pt idx="15">
                  <c:v>-109.54900000000001</c:v>
                </c:pt>
                <c:pt idx="16">
                  <c:v>-149.547</c:v>
                </c:pt>
                <c:pt idx="17">
                  <c:v>-89.224999999999994</c:v>
                </c:pt>
                <c:pt idx="18">
                  <c:v>-45.093000000000004</c:v>
                </c:pt>
                <c:pt idx="19">
                  <c:v>-73.292000000000002</c:v>
                </c:pt>
                <c:pt idx="20">
                  <c:v>-74.23</c:v>
                </c:pt>
                <c:pt idx="21">
                  <c:v>-71.917000000000002</c:v>
                </c:pt>
                <c:pt idx="22">
                  <c:v>-67.974999999999994</c:v>
                </c:pt>
                <c:pt idx="23">
                  <c:v>-67.953999999999994</c:v>
                </c:pt>
                <c:pt idx="24">
                  <c:v>-137.43</c:v>
                </c:pt>
                <c:pt idx="25">
                  <c:v>-25.077000000000002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50-476D-8F36-7E364A7E0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S.13_saldo!$C$6</c:f>
              <c:strCache>
                <c:ptCount val="1"/>
                <c:pt idx="0">
                  <c:v>Sektor vládních institucí 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S.13_saldo!$A$19:$B$44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S.13_saldo!$C$19:$C$44</c:f>
              <c:numCache>
                <c:formatCode>General</c:formatCode>
                <c:ptCount val="26"/>
                <c:pt idx="0">
                  <c:v>1.831</c:v>
                </c:pt>
                <c:pt idx="1">
                  <c:v>41.497999999999998</c:v>
                </c:pt>
                <c:pt idx="2">
                  <c:v>32.639000000000003</c:v>
                </c:pt>
                <c:pt idx="3">
                  <c:v>0.76500000000000001</c:v>
                </c:pt>
                <c:pt idx="4">
                  <c:v>1.986</c:v>
                </c:pt>
                <c:pt idx="5">
                  <c:v>41.301000000000002</c:v>
                </c:pt>
                <c:pt idx="6">
                  <c:v>16.013999999999999</c:v>
                </c:pt>
                <c:pt idx="7">
                  <c:v>-11.009</c:v>
                </c:pt>
                <c:pt idx="8">
                  <c:v>-1.998</c:v>
                </c:pt>
                <c:pt idx="9">
                  <c:v>26.974</c:v>
                </c:pt>
                <c:pt idx="10">
                  <c:v>16.106000000000002</c:v>
                </c:pt>
                <c:pt idx="11">
                  <c:v>-24.373000000000001</c:v>
                </c:pt>
                <c:pt idx="12">
                  <c:v>-50.277999999999999</c:v>
                </c:pt>
                <c:pt idx="13">
                  <c:v>-98.415000000000006</c:v>
                </c:pt>
                <c:pt idx="14">
                  <c:v>-43.021000000000001</c:v>
                </c:pt>
                <c:pt idx="15">
                  <c:v>-137.50200000000001</c:v>
                </c:pt>
                <c:pt idx="16">
                  <c:v>-131.05000000000001</c:v>
                </c:pt>
                <c:pt idx="17">
                  <c:v>-40.136000000000003</c:v>
                </c:pt>
                <c:pt idx="18">
                  <c:v>-42.674999999999997</c:v>
                </c:pt>
                <c:pt idx="19">
                  <c:v>-96.766999999999996</c:v>
                </c:pt>
                <c:pt idx="20">
                  <c:v>-63.805999999999997</c:v>
                </c:pt>
                <c:pt idx="21">
                  <c:v>2.1920000000000002</c:v>
                </c:pt>
                <c:pt idx="22">
                  <c:v>-56.106000000000002</c:v>
                </c:pt>
                <c:pt idx="23">
                  <c:v>-100.212</c:v>
                </c:pt>
                <c:pt idx="24">
                  <c:v>-105.29300000000001</c:v>
                </c:pt>
                <c:pt idx="25">
                  <c:v>26.89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A50-476D-8F36-7E364A7E0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75"/>
          <c:min val="-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Saldo (mld. </a:t>
                </a:r>
                <a:r>
                  <a:rPr lang="cs-CZ"/>
                  <a:t>Kč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836024223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109361329833771E-3"/>
          <c:y val="0.86981117651555695"/>
          <c:w val="0.99248906386701663"/>
          <c:h val="0.10560195448869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04280648429587E-2"/>
          <c:y val="4.5653594771241833E-2"/>
          <c:w val="0.87830821513002355"/>
          <c:h val="0.64281036044871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S.13_dluh!$C$5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S.13_dluh!$C$18:$C$43</c:f>
              <c:numCache>
                <c:formatCode>General</c:formatCode>
                <c:ptCount val="26"/>
                <c:pt idx="0">
                  <c:v>101.614</c:v>
                </c:pt>
                <c:pt idx="1">
                  <c:v>9.9260000000000002</c:v>
                </c:pt>
                <c:pt idx="2">
                  <c:v>-29.707000000000001</c:v>
                </c:pt>
                <c:pt idx="3">
                  <c:v>-30.15</c:v>
                </c:pt>
                <c:pt idx="4">
                  <c:v>-187.25800000000001</c:v>
                </c:pt>
                <c:pt idx="5">
                  <c:v>-61.563000000000002</c:v>
                </c:pt>
                <c:pt idx="6">
                  <c:v>-37.698</c:v>
                </c:pt>
                <c:pt idx="7">
                  <c:v>-8.4459999999999997</c:v>
                </c:pt>
                <c:pt idx="8">
                  <c:v>159.285</c:v>
                </c:pt>
                <c:pt idx="9">
                  <c:v>100.34699999999999</c:v>
                </c:pt>
                <c:pt idx="10">
                  <c:v>88.245999999999995</c:v>
                </c:pt>
                <c:pt idx="11">
                  <c:v>41.860999999999997</c:v>
                </c:pt>
                <c:pt idx="12">
                  <c:v>-24.57</c:v>
                </c:pt>
                <c:pt idx="13">
                  <c:v>303.31900000000002</c:v>
                </c:pt>
                <c:pt idx="14">
                  <c:v>288.69200000000001</c:v>
                </c:pt>
                <c:pt idx="15">
                  <c:v>396.11</c:v>
                </c:pt>
                <c:pt idx="16">
                  <c:v>539.68100000000004</c:v>
                </c:pt>
                <c:pt idx="17">
                  <c:v>310.03300000000002</c:v>
                </c:pt>
                <c:pt idx="18">
                  <c:v>298.214</c:v>
                </c:pt>
                <c:pt idx="19">
                  <c:v>336.65300000000002</c:v>
                </c:pt>
                <c:pt idx="20">
                  <c:v>267.19400000000002</c:v>
                </c:pt>
                <c:pt idx="21">
                  <c:v>182.11500000000001</c:v>
                </c:pt>
                <c:pt idx="22">
                  <c:v>296.947</c:v>
                </c:pt>
                <c:pt idx="23">
                  <c:v>272.63499999999999</c:v>
                </c:pt>
                <c:pt idx="24">
                  <c:v>254.01499999999999</c:v>
                </c:pt>
                <c:pt idx="25">
                  <c:v>292.56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A-46D2-B282-77B7952A77FF}"/>
            </c:ext>
          </c:extLst>
        </c:ser>
        <c:ser>
          <c:idx val="1"/>
          <c:order val="1"/>
          <c:tx>
            <c:strRef>
              <c:f>S.13_dluh!$D$5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S.13_dluh!$D$18:$D$43</c:f>
              <c:numCache>
                <c:formatCode>General</c:formatCode>
                <c:ptCount val="26"/>
                <c:pt idx="0">
                  <c:v>-8.9580000000000002</c:v>
                </c:pt>
                <c:pt idx="1">
                  <c:v>89.825000000000003</c:v>
                </c:pt>
                <c:pt idx="2">
                  <c:v>-17.864999999999998</c:v>
                </c:pt>
                <c:pt idx="3">
                  <c:v>39.607999999999997</c:v>
                </c:pt>
                <c:pt idx="4">
                  <c:v>110.06399999999999</c:v>
                </c:pt>
                <c:pt idx="5">
                  <c:v>-73.570999999999998</c:v>
                </c:pt>
                <c:pt idx="6">
                  <c:v>42.71</c:v>
                </c:pt>
                <c:pt idx="7">
                  <c:v>-40.204999999999998</c:v>
                </c:pt>
                <c:pt idx="8">
                  <c:v>-178.68899999999999</c:v>
                </c:pt>
                <c:pt idx="9">
                  <c:v>-72.613</c:v>
                </c:pt>
                <c:pt idx="10">
                  <c:v>-42.478000000000002</c:v>
                </c:pt>
                <c:pt idx="11">
                  <c:v>0.13200000000000001</c:v>
                </c:pt>
                <c:pt idx="12">
                  <c:v>65.55</c:v>
                </c:pt>
                <c:pt idx="13">
                  <c:v>130.24100000000001</c:v>
                </c:pt>
                <c:pt idx="14">
                  <c:v>100.735</c:v>
                </c:pt>
                <c:pt idx="15">
                  <c:v>19.956</c:v>
                </c:pt>
                <c:pt idx="16">
                  <c:v>-42.252000000000002</c:v>
                </c:pt>
                <c:pt idx="17">
                  <c:v>-110.548</c:v>
                </c:pt>
                <c:pt idx="18">
                  <c:v>-85.460999999999999</c:v>
                </c:pt>
                <c:pt idx="19">
                  <c:v>9.3879999999999999</c:v>
                </c:pt>
                <c:pt idx="20">
                  <c:v>12.741</c:v>
                </c:pt>
                <c:pt idx="21">
                  <c:v>28.202000000000002</c:v>
                </c:pt>
                <c:pt idx="22">
                  <c:v>86.478999999999999</c:v>
                </c:pt>
                <c:pt idx="23">
                  <c:v>-33.298000000000002</c:v>
                </c:pt>
                <c:pt idx="24">
                  <c:v>54.351999999999997</c:v>
                </c:pt>
                <c:pt idx="25">
                  <c:v>57.896999999999998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4A-46D2-B282-77B7952A77FF}"/>
            </c:ext>
          </c:extLst>
        </c:ser>
        <c:ser>
          <c:idx val="2"/>
          <c:order val="2"/>
          <c:tx>
            <c:strRef>
              <c:f>S.13_dluh!$E$5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S.13_dluh!$E$18:$E$43</c:f>
              <c:numCache>
                <c:formatCode>General</c:formatCode>
                <c:ptCount val="26"/>
                <c:pt idx="0">
                  <c:v>-22.443000000000001</c:v>
                </c:pt>
                <c:pt idx="1">
                  <c:v>-21.582999999999998</c:v>
                </c:pt>
                <c:pt idx="2">
                  <c:v>-23.733000000000001</c:v>
                </c:pt>
                <c:pt idx="3">
                  <c:v>-12.262</c:v>
                </c:pt>
                <c:pt idx="4">
                  <c:v>-12.497999999999999</c:v>
                </c:pt>
                <c:pt idx="5">
                  <c:v>-10.695</c:v>
                </c:pt>
                <c:pt idx="6">
                  <c:v>-8.8230000000000004</c:v>
                </c:pt>
                <c:pt idx="7">
                  <c:v>-11.949</c:v>
                </c:pt>
                <c:pt idx="8">
                  <c:v>-9.83</c:v>
                </c:pt>
                <c:pt idx="9">
                  <c:v>-9.6769999999999996</c:v>
                </c:pt>
                <c:pt idx="10">
                  <c:v>-6.806</c:v>
                </c:pt>
                <c:pt idx="11">
                  <c:v>-2.5350000000000001</c:v>
                </c:pt>
                <c:pt idx="12">
                  <c:v>1.1910000000000001</c:v>
                </c:pt>
                <c:pt idx="13">
                  <c:v>2.137</c:v>
                </c:pt>
                <c:pt idx="14">
                  <c:v>8.7710000000000008</c:v>
                </c:pt>
                <c:pt idx="15">
                  <c:v>2.0659999999999998</c:v>
                </c:pt>
                <c:pt idx="16">
                  <c:v>50.624000000000002</c:v>
                </c:pt>
                <c:pt idx="17">
                  <c:v>47.749000000000002</c:v>
                </c:pt>
                <c:pt idx="18">
                  <c:v>46.271000000000001</c:v>
                </c:pt>
                <c:pt idx="19">
                  <c:v>49.628</c:v>
                </c:pt>
                <c:pt idx="20">
                  <c:v>-4.6550000000000002</c:v>
                </c:pt>
                <c:pt idx="21">
                  <c:v>-2.0779999999999998</c:v>
                </c:pt>
                <c:pt idx="22">
                  <c:v>-6.1669999999999998</c:v>
                </c:pt>
                <c:pt idx="23">
                  <c:v>53.854999999999997</c:v>
                </c:pt>
                <c:pt idx="24">
                  <c:v>52.250999999999998</c:v>
                </c:pt>
                <c:pt idx="25">
                  <c:v>57.131999999999998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4A-46D2-B282-77B7952A77FF}"/>
            </c:ext>
          </c:extLst>
        </c:ser>
        <c:ser>
          <c:idx val="3"/>
          <c:order val="3"/>
          <c:tx>
            <c:strRef>
              <c:f>S.13_dluh!$F$5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S.13_dluh!$F$18:$F$43</c:f>
              <c:numCache>
                <c:formatCode>General</c:formatCode>
                <c:ptCount val="26"/>
                <c:pt idx="0">
                  <c:v>-2.968</c:v>
                </c:pt>
                <c:pt idx="1">
                  <c:v>-1.4670000000000001</c:v>
                </c:pt>
                <c:pt idx="2">
                  <c:v>0.63</c:v>
                </c:pt>
                <c:pt idx="3">
                  <c:v>1.002</c:v>
                </c:pt>
                <c:pt idx="4">
                  <c:v>1.8140000000000001</c:v>
                </c:pt>
                <c:pt idx="5">
                  <c:v>53.356999999999999</c:v>
                </c:pt>
                <c:pt idx="6">
                  <c:v>50.372</c:v>
                </c:pt>
                <c:pt idx="7">
                  <c:v>42.76</c:v>
                </c:pt>
                <c:pt idx="8">
                  <c:v>34.055</c:v>
                </c:pt>
                <c:pt idx="9">
                  <c:v>-27.446000000000002</c:v>
                </c:pt>
                <c:pt idx="10">
                  <c:v>-33.340000000000003</c:v>
                </c:pt>
                <c:pt idx="11">
                  <c:v>-30.263000000000002</c:v>
                </c:pt>
                <c:pt idx="12">
                  <c:v>5.1239999999999997</c:v>
                </c:pt>
                <c:pt idx="13">
                  <c:v>7.8109999999999999</c:v>
                </c:pt>
                <c:pt idx="14">
                  <c:v>-13.019</c:v>
                </c:pt>
                <c:pt idx="15">
                  <c:v>-14.334</c:v>
                </c:pt>
                <c:pt idx="16">
                  <c:v>76.912000000000006</c:v>
                </c:pt>
                <c:pt idx="17">
                  <c:v>0.82799999999999996</c:v>
                </c:pt>
                <c:pt idx="18">
                  <c:v>-4.3040000000000003</c:v>
                </c:pt>
                <c:pt idx="19">
                  <c:v>16.015000000000001</c:v>
                </c:pt>
                <c:pt idx="20">
                  <c:v>-102.84399999999999</c:v>
                </c:pt>
                <c:pt idx="21">
                  <c:v>76.221999999999994</c:v>
                </c:pt>
                <c:pt idx="22">
                  <c:v>170.886</c:v>
                </c:pt>
                <c:pt idx="23">
                  <c:v>131.554</c:v>
                </c:pt>
                <c:pt idx="24">
                  <c:v>39.241999999999997</c:v>
                </c:pt>
                <c:pt idx="25">
                  <c:v>-66.137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4A-46D2-B282-77B7952A77FF}"/>
            </c:ext>
          </c:extLst>
        </c:ser>
        <c:ser>
          <c:idx val="4"/>
          <c:order val="4"/>
          <c:tx>
            <c:strRef>
              <c:f>S.13_dluh!$G$5</c:f>
              <c:strCache>
                <c:ptCount val="1"/>
                <c:pt idx="0">
                  <c:v>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S.13_dluh!$G$18:$G$43</c:f>
              <c:numCache>
                <c:formatCode>General</c:formatCode>
                <c:ptCount val="26"/>
                <c:pt idx="0">
                  <c:v>-0.40899999999999997</c:v>
                </c:pt>
                <c:pt idx="1">
                  <c:v>-3.468</c:v>
                </c:pt>
                <c:pt idx="2">
                  <c:v>-1.865</c:v>
                </c:pt>
                <c:pt idx="3">
                  <c:v>-3.258</c:v>
                </c:pt>
                <c:pt idx="4">
                  <c:v>-2.6560000000000001</c:v>
                </c:pt>
                <c:pt idx="5">
                  <c:v>-1.3320000000000001</c:v>
                </c:pt>
                <c:pt idx="6">
                  <c:v>-7.0730000000000004</c:v>
                </c:pt>
                <c:pt idx="7">
                  <c:v>2.7650000000000001</c:v>
                </c:pt>
                <c:pt idx="8">
                  <c:v>-2.7530000000000001</c:v>
                </c:pt>
                <c:pt idx="9">
                  <c:v>-3.827</c:v>
                </c:pt>
                <c:pt idx="10">
                  <c:v>0.35099999999999998</c:v>
                </c:pt>
                <c:pt idx="11">
                  <c:v>-3.5339999999999998</c:v>
                </c:pt>
                <c:pt idx="12">
                  <c:v>6.2709999999999999</c:v>
                </c:pt>
                <c:pt idx="13">
                  <c:v>4.931</c:v>
                </c:pt>
                <c:pt idx="14">
                  <c:v>3.0760000000000001</c:v>
                </c:pt>
                <c:pt idx="15">
                  <c:v>5.7610000000000001</c:v>
                </c:pt>
                <c:pt idx="16">
                  <c:v>-1.653</c:v>
                </c:pt>
                <c:pt idx="17">
                  <c:v>3.8149999999999999</c:v>
                </c:pt>
                <c:pt idx="18">
                  <c:v>5.4320000000000004</c:v>
                </c:pt>
                <c:pt idx="19">
                  <c:v>5.2249999999999996</c:v>
                </c:pt>
                <c:pt idx="20">
                  <c:v>-0.84</c:v>
                </c:pt>
                <c:pt idx="21">
                  <c:v>-7.7539999999999996</c:v>
                </c:pt>
                <c:pt idx="22">
                  <c:v>1.837</c:v>
                </c:pt>
                <c:pt idx="23">
                  <c:v>6.1379999999999999</c:v>
                </c:pt>
                <c:pt idx="24">
                  <c:v>15.385999999999999</c:v>
                </c:pt>
                <c:pt idx="25">
                  <c:v>15.576000000000001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4A-46D2-B282-77B7952A7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S.13_dluh!$H$5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S.13_dluh!$A$18:$B$43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S.13_dluh!$H$18:$H$43</c:f>
              <c:numCache>
                <c:formatCode>General</c:formatCode>
                <c:ptCount val="26"/>
                <c:pt idx="0">
                  <c:v>66.835999999999999</c:v>
                </c:pt>
                <c:pt idx="1">
                  <c:v>73.233000000000004</c:v>
                </c:pt>
                <c:pt idx="2">
                  <c:v>-72.540000000000006</c:v>
                </c:pt>
                <c:pt idx="3">
                  <c:v>-5.0599999999999996</c:v>
                </c:pt>
                <c:pt idx="4">
                  <c:v>-90.534000000000006</c:v>
                </c:pt>
                <c:pt idx="5">
                  <c:v>-93.804000000000002</c:v>
                </c:pt>
                <c:pt idx="6">
                  <c:v>39.488</c:v>
                </c:pt>
                <c:pt idx="7">
                  <c:v>-15.074999999999999</c:v>
                </c:pt>
                <c:pt idx="8">
                  <c:v>2.0680000000000001</c:v>
                </c:pt>
                <c:pt idx="9">
                  <c:v>-13.215999999999999</c:v>
                </c:pt>
                <c:pt idx="10">
                  <c:v>5.9729999999999999</c:v>
                </c:pt>
                <c:pt idx="11">
                  <c:v>5.6609999999999996</c:v>
                </c:pt>
                <c:pt idx="12">
                  <c:v>53.566000000000003</c:v>
                </c:pt>
                <c:pt idx="13">
                  <c:v>448.43900000000002</c:v>
                </c:pt>
                <c:pt idx="14">
                  <c:v>388.255</c:v>
                </c:pt>
                <c:pt idx="15">
                  <c:v>409.55900000000003</c:v>
                </c:pt>
                <c:pt idx="16">
                  <c:v>623.31200000000001</c:v>
                </c:pt>
                <c:pt idx="17">
                  <c:v>251.87700000000001</c:v>
                </c:pt>
                <c:pt idx="18">
                  <c:v>260.15199999999999</c:v>
                </c:pt>
                <c:pt idx="19">
                  <c:v>416.90899999999999</c:v>
                </c:pt>
                <c:pt idx="20">
                  <c:v>171.596</c:v>
                </c:pt>
                <c:pt idx="21">
                  <c:v>276.70699999999999</c:v>
                </c:pt>
                <c:pt idx="22">
                  <c:v>549.98199999999997</c:v>
                </c:pt>
                <c:pt idx="23">
                  <c:v>430.88400000000001</c:v>
                </c:pt>
                <c:pt idx="24">
                  <c:v>415.24599999999998</c:v>
                </c:pt>
                <c:pt idx="25">
                  <c:v>357.02800000000002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D4A-46D2-B282-77B7952A7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Z</a:t>
                </a:r>
                <a:r>
                  <a:rPr lang="en-US"/>
                  <a:t>měna </a:t>
                </a:r>
                <a:r>
                  <a:rPr lang="cs-CZ"/>
                  <a:t>výše </a:t>
                </a:r>
                <a:r>
                  <a:rPr lang="en-US"/>
                  <a:t>dluhu (mld. </a:t>
                </a:r>
                <a:r>
                  <a:rPr lang="cs-CZ"/>
                  <a:t>Kč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43962572012441"/>
          <c:y val="4.5653594771241833E-2"/>
          <c:w val="0.7812191827085444"/>
          <c:h val="0.71674618450471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'S14'!$C$4</c:f>
              <c:strCache>
                <c:ptCount val="1"/>
                <c:pt idx="0">
                  <c:v>Změna tvorby hrubého fixního kapitálu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cat>
            <c:multiLvlStrRef>
              <c:f>'S14'!$A$17:$B$42</c:f>
              <c:multiLvlStrCache>
                <c:ptCount val="2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'S14'!$C$17:$C$42</c:f>
              <c:numCache>
                <c:formatCode>General</c:formatCode>
                <c:ptCount val="26"/>
                <c:pt idx="0">
                  <c:v>-3.9460000000000002</c:v>
                </c:pt>
                <c:pt idx="1">
                  <c:v>-5.0069999999999997</c:v>
                </c:pt>
                <c:pt idx="2">
                  <c:v>-2.9910000000000001</c:v>
                </c:pt>
                <c:pt idx="3">
                  <c:v>-9.234</c:v>
                </c:pt>
                <c:pt idx="4">
                  <c:v>9.016</c:v>
                </c:pt>
                <c:pt idx="5">
                  <c:v>10.769</c:v>
                </c:pt>
                <c:pt idx="6">
                  <c:v>14.337999999999999</c:v>
                </c:pt>
                <c:pt idx="7">
                  <c:v>14.686</c:v>
                </c:pt>
                <c:pt idx="8">
                  <c:v>7.1550000000000002</c:v>
                </c:pt>
                <c:pt idx="9">
                  <c:v>7.4320000000000004</c:v>
                </c:pt>
                <c:pt idx="10">
                  <c:v>8.4429999999999996</c:v>
                </c:pt>
                <c:pt idx="11">
                  <c:v>8.8279999999999994</c:v>
                </c:pt>
                <c:pt idx="12">
                  <c:v>1.732</c:v>
                </c:pt>
                <c:pt idx="13">
                  <c:v>1.119</c:v>
                </c:pt>
                <c:pt idx="14">
                  <c:v>-4.2069999999999999</c:v>
                </c:pt>
                <c:pt idx="15">
                  <c:v>5.1470000000000002</c:v>
                </c:pt>
                <c:pt idx="16">
                  <c:v>-2.9239999999999999</c:v>
                </c:pt>
                <c:pt idx="17">
                  <c:v>7.0570000000000004</c:v>
                </c:pt>
                <c:pt idx="18">
                  <c:v>8.093</c:v>
                </c:pt>
                <c:pt idx="19">
                  <c:v>5.0739999999999998</c:v>
                </c:pt>
                <c:pt idx="20">
                  <c:v>10.920999999999999</c:v>
                </c:pt>
                <c:pt idx="21">
                  <c:v>0.42399999999999999</c:v>
                </c:pt>
                <c:pt idx="22">
                  <c:v>-9.2010000000000005</c:v>
                </c:pt>
                <c:pt idx="23">
                  <c:v>-7.399</c:v>
                </c:pt>
                <c:pt idx="24">
                  <c:v>-5.4260000000000002</c:v>
                </c:pt>
                <c:pt idx="25">
                  <c:v>-3.0529999999999999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AB-4FD1-A127-946F6A97D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'S14'!$D$4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'S14'!$A$17:$B$41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'S14'!$D$17:$D$42</c:f>
              <c:numCache>
                <c:formatCode>0.0</c:formatCode>
                <c:ptCount val="26"/>
                <c:pt idx="0">
                  <c:v>11.721290721668241</c:v>
                </c:pt>
                <c:pt idx="1">
                  <c:v>11.843437770794401</c:v>
                </c:pt>
                <c:pt idx="2">
                  <c:v>11.306353910825619</c:v>
                </c:pt>
                <c:pt idx="3">
                  <c:v>11.554092780103167</c:v>
                </c:pt>
                <c:pt idx="4">
                  <c:v>11.709599873612836</c:v>
                </c:pt>
                <c:pt idx="5">
                  <c:v>12.503734062185048</c:v>
                </c:pt>
                <c:pt idx="6">
                  <c:v>11.377891036760175</c:v>
                </c:pt>
                <c:pt idx="7">
                  <c:v>12.885924079707754</c:v>
                </c:pt>
                <c:pt idx="8">
                  <c:v>12.591267353276706</c:v>
                </c:pt>
                <c:pt idx="9">
                  <c:v>13.474980127419462</c:v>
                </c:pt>
                <c:pt idx="10">
                  <c:v>13.203127029062671</c:v>
                </c:pt>
                <c:pt idx="11">
                  <c:v>13.26996334363545</c:v>
                </c:pt>
                <c:pt idx="12">
                  <c:v>16.024448983324696</c:v>
                </c:pt>
                <c:pt idx="13">
                  <c:v>19.893886638717166</c:v>
                </c:pt>
                <c:pt idx="14">
                  <c:v>18.210427561372811</c:v>
                </c:pt>
                <c:pt idx="15">
                  <c:v>23.024189344176833</c:v>
                </c:pt>
                <c:pt idx="16">
                  <c:v>21.716145988889554</c:v>
                </c:pt>
                <c:pt idx="17">
                  <c:v>20.012641955667927</c:v>
                </c:pt>
                <c:pt idx="18">
                  <c:v>17.422390879348633</c:v>
                </c:pt>
                <c:pt idx="19">
                  <c:v>18.638714208374473</c:v>
                </c:pt>
                <c:pt idx="20">
                  <c:v>15.290489343226852</c:v>
                </c:pt>
                <c:pt idx="21">
                  <c:v>15.584364641967561</c:v>
                </c:pt>
                <c:pt idx="22">
                  <c:v>16.576228311017168</c:v>
                </c:pt>
                <c:pt idx="23">
                  <c:v>18.241586160041095</c:v>
                </c:pt>
                <c:pt idx="24">
                  <c:v>17.028058822870857</c:v>
                </c:pt>
                <c:pt idx="25">
                  <c:v>18.816195340725052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AB-4FD1-A127-946F6A97DBE7}"/>
            </c:ext>
          </c:extLst>
        </c:ser>
        <c:ser>
          <c:idx val="2"/>
          <c:order val="2"/>
          <c:tx>
            <c:strRef>
              <c:f>'S14'!$E$4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multiLvlStrRef>
              <c:f>'S14'!$A$17:$B$41</c:f>
              <c:multiLvlStrCache>
                <c:ptCount val="25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'S14'!$E$17:$E$42</c:f>
              <c:numCache>
                <c:formatCode>0.0</c:formatCode>
                <c:ptCount val="26"/>
                <c:pt idx="0">
                  <c:v>7.9700531710859668</c:v>
                </c:pt>
                <c:pt idx="1">
                  <c:v>7.6634535505107531</c:v>
                </c:pt>
                <c:pt idx="2">
                  <c:v>7.703865955034952</c:v>
                </c:pt>
                <c:pt idx="3">
                  <c:v>7.7749506458018534</c:v>
                </c:pt>
                <c:pt idx="4">
                  <c:v>8.5173277085352606</c:v>
                </c:pt>
                <c:pt idx="5">
                  <c:v>8.8805072182562839</c:v>
                </c:pt>
                <c:pt idx="6">
                  <c:v>9.2382421550612523</c:v>
                </c:pt>
                <c:pt idx="7">
                  <c:v>9.3392846719093825</c:v>
                </c:pt>
                <c:pt idx="8">
                  <c:v>9.3899713402207325</c:v>
                </c:pt>
                <c:pt idx="9">
                  <c:v>9.436245237433285</c:v>
                </c:pt>
                <c:pt idx="10">
                  <c:v>9.6015894865335163</c:v>
                </c:pt>
                <c:pt idx="11">
                  <c:v>9.4667371728393785</c:v>
                </c:pt>
                <c:pt idx="12">
                  <c:v>9.4323181822800759</c:v>
                </c:pt>
                <c:pt idx="13">
                  <c:v>9.5842840637838158</c:v>
                </c:pt>
                <c:pt idx="14">
                  <c:v>9.1931511283291023</c:v>
                </c:pt>
                <c:pt idx="15">
                  <c:v>9.249618938389661</c:v>
                </c:pt>
                <c:pt idx="16">
                  <c:v>9.1478256973896421</c:v>
                </c:pt>
                <c:pt idx="17">
                  <c:v>9.1998636373321219</c:v>
                </c:pt>
                <c:pt idx="18">
                  <c:v>9.4542821237161156</c:v>
                </c:pt>
                <c:pt idx="19">
                  <c:v>9.1918285151396386</c:v>
                </c:pt>
                <c:pt idx="20">
                  <c:v>9.0346415245053056</c:v>
                </c:pt>
                <c:pt idx="21">
                  <c:v>8.4276384176358672</c:v>
                </c:pt>
                <c:pt idx="22">
                  <c:v>7.9407393854163235</c:v>
                </c:pt>
                <c:pt idx="23">
                  <c:v>7.6476461133113496</c:v>
                </c:pt>
                <c:pt idx="24">
                  <c:v>7.4280718502905216</c:v>
                </c:pt>
                <c:pt idx="25">
                  <c:v>7.212557618039118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AB-4FD1-A127-946F6A97D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>
                    <a:solidFill>
                      <a:srgbClr val="0070C0"/>
                    </a:solidFill>
                  </a:rPr>
                  <a:t>Z</a:t>
                </a:r>
                <a:r>
                  <a:rPr lang="en-US" b="1">
                    <a:solidFill>
                      <a:srgbClr val="0070C0"/>
                    </a:solidFill>
                  </a:rPr>
                  <a:t>měna tvorb</a:t>
                </a:r>
                <a:r>
                  <a:rPr lang="cs-CZ" b="1">
                    <a:solidFill>
                      <a:srgbClr val="0070C0"/>
                    </a:solidFill>
                  </a:rPr>
                  <a:t>y hrubého fixního kapitálu</a:t>
                </a:r>
              </a:p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r>
                  <a:rPr lang="en-US">
                    <a:solidFill>
                      <a:schemeClr val="bg1">
                        <a:lumMod val="50000"/>
                      </a:schemeClr>
                    </a:solidFill>
                  </a:rPr>
                  <a:t>(mld. </a:t>
                </a:r>
                <a:r>
                  <a:rPr lang="cs-CZ">
                    <a:solidFill>
                      <a:schemeClr val="bg1">
                        <a:lumMod val="50000"/>
                      </a:schemeClr>
                    </a:solidFill>
                  </a:rPr>
                  <a:t>Kč</a:t>
                </a:r>
                <a:r>
                  <a:rPr lang="en-US">
                    <a:solidFill>
                      <a:schemeClr val="bg1">
                        <a:lumMod val="50000"/>
                      </a:schemeClr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bg1">
                      <a:lumMod val="50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ax val="24"/>
          <c:min val="-1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>
                    <a:solidFill>
                      <a:srgbClr val="00B050"/>
                    </a:solidFill>
                  </a:rPr>
                  <a:t>Míra </a:t>
                </a:r>
                <a:r>
                  <a:rPr lang="cs-CZ" b="1">
                    <a:solidFill>
                      <a:srgbClr val="00B050"/>
                    </a:solidFill>
                  </a:rPr>
                  <a:t>i</a:t>
                </a:r>
                <a:r>
                  <a:rPr lang="en-US" b="1">
                    <a:solidFill>
                      <a:srgbClr val="00B050"/>
                    </a:solidFill>
                  </a:rPr>
                  <a:t>nvestic</a:t>
                </a:r>
                <a:r>
                  <a:rPr lang="en-US" b="1"/>
                  <a:t>, </a:t>
                </a:r>
                <a:r>
                  <a:rPr lang="en-US" b="1">
                    <a:solidFill>
                      <a:srgbClr val="FF0000"/>
                    </a:solidFill>
                  </a:rPr>
                  <a:t>míra úspor</a:t>
                </a:r>
                <a:r>
                  <a:rPr lang="en-US">
                    <a:solidFill>
                      <a:srgbClr val="FF0000"/>
                    </a:solidFill>
                  </a:rPr>
                  <a:t> </a:t>
                </a:r>
                <a:endParaRPr lang="cs-CZ">
                  <a:solidFill>
                    <a:srgbClr val="FF0000"/>
                  </a:solidFill>
                </a:endParaRPr>
              </a:p>
              <a:p>
                <a:pPr>
                  <a:defRPr/>
                </a:pPr>
                <a:r>
                  <a:rPr lang="en-US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61122767"/>
        <c:crosses val="max"/>
        <c:crossBetween val="between"/>
        <c:majorUnit val="6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0693535530280933"/>
          <c:w val="0.9"/>
          <c:h val="7.33115582774375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7371-FBC2-4717-85E0-060A0303E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5F249-BEFC-431C-BB77-6404662C6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683EC-C4A0-4124-91C6-63C92FD7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16E7-5FC8-4E3F-A205-CC1195B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9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Zábojníková</dc:creator>
  <cp:lastModifiedBy>Musil Petr</cp:lastModifiedBy>
  <cp:revision>2</cp:revision>
  <dcterms:created xsi:type="dcterms:W3CDTF">2023-10-19T11:31:00Z</dcterms:created>
  <dcterms:modified xsi:type="dcterms:W3CDTF">2023-10-19T11:31:00Z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