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57" w:rsidRPr="003F6D94" w:rsidRDefault="00491103" w:rsidP="002C02F4">
      <w:pPr>
        <w:pStyle w:val="Nadpis1"/>
      </w:pPr>
      <w:r>
        <w:t xml:space="preserve">1. </w:t>
      </w:r>
      <w:r w:rsidR="00D47EE1" w:rsidRPr="003F6D94">
        <w:t>Základní informace o statistice</w:t>
      </w:r>
      <w:r w:rsidR="001F2191">
        <w:t xml:space="preserve"> GTARD</w:t>
      </w:r>
      <w:r w:rsidR="00D676A9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B53E68" w:rsidRPr="003F6D94" w:rsidTr="000535F4">
        <w:trPr>
          <w:trHeight w:val="567"/>
        </w:trPr>
        <w:tc>
          <w:tcPr>
            <w:tcW w:w="2122" w:type="dxa"/>
            <w:shd w:val="clear" w:color="000000" w:fill="DAEEF3"/>
            <w:hideMark/>
          </w:tcPr>
          <w:p w:rsidR="00B53E68" w:rsidRPr="003F6D94" w:rsidRDefault="00B53E68" w:rsidP="00E029E5">
            <w:pPr>
              <w:jc w:val="left"/>
            </w:pPr>
            <w:r w:rsidRPr="003F6D94">
              <w:t xml:space="preserve">Název </w:t>
            </w:r>
            <w:r w:rsidR="001F654F">
              <w:t>statistiky</w:t>
            </w:r>
            <w:r w:rsidRPr="003F6D94">
              <w:t>:</w:t>
            </w:r>
          </w:p>
        </w:tc>
        <w:tc>
          <w:tcPr>
            <w:tcW w:w="7512" w:type="dxa"/>
            <w:shd w:val="clear" w:color="auto" w:fill="auto"/>
            <w:hideMark/>
          </w:tcPr>
          <w:p w:rsidR="001F2191" w:rsidRPr="001B5638" w:rsidRDefault="00DC55F2" w:rsidP="000535F4">
            <w:pPr>
              <w:spacing w:after="60"/>
            </w:pPr>
            <w:r w:rsidRPr="001B5638">
              <w:t>Daňová</w:t>
            </w:r>
            <w:r w:rsidR="00B53E68" w:rsidRPr="001B5638">
              <w:t xml:space="preserve"> podpora </w:t>
            </w:r>
            <w:r w:rsidR="00543992" w:rsidRPr="001B5638">
              <w:t>výzkumu a vývoje</w:t>
            </w:r>
            <w:r w:rsidR="001F2191" w:rsidRPr="001B5638">
              <w:t xml:space="preserve"> (GTARD)</w:t>
            </w:r>
            <w:r w:rsidR="00673A4C" w:rsidRPr="001B5638">
              <w:rPr>
                <w:rStyle w:val="Znakapoznpodarou"/>
              </w:rPr>
              <w:footnoteReference w:id="1"/>
            </w:r>
          </w:p>
          <w:p w:rsidR="001F2191" w:rsidRPr="001B5638" w:rsidRDefault="007E0D5A" w:rsidP="000535F4">
            <w:pPr>
              <w:spacing w:after="60"/>
            </w:pPr>
            <w:r w:rsidRPr="001B5638">
              <w:t xml:space="preserve">Pozn.: </w:t>
            </w:r>
            <w:r w:rsidR="000535F4">
              <w:t xml:space="preserve">GTARD je zkratka z anglického </w:t>
            </w:r>
            <w:r w:rsidR="00D676A9" w:rsidRPr="001B5638">
              <w:t>Government Tax Rel</w:t>
            </w:r>
            <w:r w:rsidR="000535F4">
              <w:t xml:space="preserve">ief for R&amp;D Expenditures </w:t>
            </w:r>
          </w:p>
        </w:tc>
      </w:tr>
      <w:tr w:rsidR="00855FB3" w:rsidRPr="003F6D94" w:rsidTr="00ED3FD2">
        <w:trPr>
          <w:trHeight w:val="454"/>
        </w:trPr>
        <w:tc>
          <w:tcPr>
            <w:tcW w:w="2122" w:type="dxa"/>
            <w:shd w:val="clear" w:color="000000" w:fill="DAEEF3"/>
            <w:hideMark/>
          </w:tcPr>
          <w:p w:rsidR="00855FB3" w:rsidRPr="003F6D94" w:rsidRDefault="00855FB3" w:rsidP="00E029E5">
            <w:pPr>
              <w:jc w:val="left"/>
            </w:pPr>
            <w:r w:rsidRPr="00425406">
              <w:t xml:space="preserve">Metoda </w:t>
            </w:r>
            <w:r w:rsidR="00425406" w:rsidRPr="00425406">
              <w:t>zajištění</w:t>
            </w:r>
            <w:r w:rsidRPr="00425406">
              <w:t xml:space="preserve"> dat:</w:t>
            </w:r>
          </w:p>
        </w:tc>
        <w:tc>
          <w:tcPr>
            <w:tcW w:w="7512" w:type="dxa"/>
            <w:shd w:val="clear" w:color="auto" w:fill="auto"/>
            <w:hideMark/>
          </w:tcPr>
          <w:p w:rsidR="00855FB3" w:rsidRPr="003F6D94" w:rsidRDefault="00E27777" w:rsidP="003A7D53">
            <w:r>
              <w:t>Z</w:t>
            </w:r>
            <w:r w:rsidR="003A7D53">
              <w:t xml:space="preserve">pracování </w:t>
            </w:r>
            <w:r w:rsidR="00855FB3" w:rsidRPr="003F6D94">
              <w:t>administrativních datových zdrojů</w:t>
            </w:r>
          </w:p>
        </w:tc>
      </w:tr>
      <w:tr w:rsidR="00B53E68" w:rsidRPr="003F6D94" w:rsidTr="00ED3FD2">
        <w:trPr>
          <w:trHeight w:val="454"/>
        </w:trPr>
        <w:tc>
          <w:tcPr>
            <w:tcW w:w="2122" w:type="dxa"/>
            <w:shd w:val="clear" w:color="000000" w:fill="DAEEF3"/>
            <w:hideMark/>
          </w:tcPr>
          <w:p w:rsidR="00B53E68" w:rsidRPr="003F6D94" w:rsidRDefault="00B53E68" w:rsidP="00FF5065">
            <w:pPr>
              <w:jc w:val="left"/>
            </w:pPr>
            <w:r w:rsidRPr="003F6D94">
              <w:t>Periodicita</w:t>
            </w:r>
            <w:r w:rsidR="00476627">
              <w:t xml:space="preserve"> pracování</w:t>
            </w:r>
            <w:r w:rsidRPr="003F6D94">
              <w:t>:</w:t>
            </w:r>
          </w:p>
        </w:tc>
        <w:tc>
          <w:tcPr>
            <w:tcW w:w="7512" w:type="dxa"/>
            <w:shd w:val="clear" w:color="auto" w:fill="auto"/>
            <w:hideMark/>
          </w:tcPr>
          <w:p w:rsidR="00B53E68" w:rsidRPr="003F6D94" w:rsidRDefault="00B53E68" w:rsidP="002C02F4">
            <w:r w:rsidRPr="003F6D94">
              <w:t>Roční</w:t>
            </w:r>
          </w:p>
        </w:tc>
      </w:tr>
      <w:tr w:rsidR="00B53E68" w:rsidRPr="003F6D94" w:rsidTr="00ED3FD2">
        <w:trPr>
          <w:trHeight w:val="454"/>
        </w:trPr>
        <w:tc>
          <w:tcPr>
            <w:tcW w:w="2122" w:type="dxa"/>
            <w:shd w:val="clear" w:color="000000" w:fill="DAEEF3"/>
            <w:hideMark/>
          </w:tcPr>
          <w:p w:rsidR="00B53E68" w:rsidRPr="003F6D94" w:rsidRDefault="00B53E68" w:rsidP="00E029E5">
            <w:pPr>
              <w:jc w:val="left"/>
            </w:pPr>
            <w:r w:rsidRPr="003F6D94">
              <w:t>Zdroj dat:</w:t>
            </w:r>
          </w:p>
        </w:tc>
        <w:tc>
          <w:tcPr>
            <w:tcW w:w="7512" w:type="dxa"/>
            <w:shd w:val="clear" w:color="auto" w:fill="auto"/>
            <w:hideMark/>
          </w:tcPr>
          <w:p w:rsidR="00B53E68" w:rsidRPr="003F6D94" w:rsidRDefault="00B53E68" w:rsidP="002C02F4">
            <w:r w:rsidRPr="003F6D94">
              <w:t>Daňová přiznání právnických osob</w:t>
            </w:r>
          </w:p>
        </w:tc>
      </w:tr>
      <w:tr w:rsidR="00B53E68" w:rsidRPr="003F6D94" w:rsidTr="00ED3FD2">
        <w:trPr>
          <w:trHeight w:val="510"/>
        </w:trPr>
        <w:tc>
          <w:tcPr>
            <w:tcW w:w="2122" w:type="dxa"/>
            <w:shd w:val="clear" w:color="000000" w:fill="DAEEF3"/>
            <w:hideMark/>
          </w:tcPr>
          <w:p w:rsidR="00B53E68" w:rsidRPr="003F6D94" w:rsidRDefault="00B53E68" w:rsidP="00E029E5">
            <w:pPr>
              <w:jc w:val="left"/>
            </w:pPr>
            <w:r w:rsidRPr="003F6D94">
              <w:t>Statistická jednotka:</w:t>
            </w:r>
          </w:p>
        </w:tc>
        <w:tc>
          <w:tcPr>
            <w:tcW w:w="7512" w:type="dxa"/>
            <w:shd w:val="clear" w:color="auto" w:fill="auto"/>
            <w:hideMark/>
          </w:tcPr>
          <w:p w:rsidR="00B53E68" w:rsidRPr="003F6D94" w:rsidRDefault="001F2191" w:rsidP="00ED3FD2">
            <w:r>
              <w:t>P</w:t>
            </w:r>
            <w:r w:rsidR="00D676A9">
              <w:t>odnik</w:t>
            </w:r>
            <w:r>
              <w:t xml:space="preserve">, který v sledovaném roce </w:t>
            </w:r>
            <w:r w:rsidR="00B53E68" w:rsidRPr="008639ED">
              <w:t>uplatnil</w:t>
            </w:r>
            <w:r w:rsidR="000976CE" w:rsidRPr="008639ED">
              <w:t xml:space="preserve"> daňový odpočet</w:t>
            </w:r>
            <w:r w:rsidR="00B53E68" w:rsidRPr="008639ED">
              <w:t xml:space="preserve"> výdajů na </w:t>
            </w:r>
            <w:r w:rsidR="00D676A9">
              <w:t>výzkumnou a</w:t>
            </w:r>
            <w:r w:rsidR="00ED3FD2">
              <w:t> </w:t>
            </w:r>
            <w:r w:rsidR="00D676A9">
              <w:t>vývojovou</w:t>
            </w:r>
            <w:r w:rsidR="00FE33C1">
              <w:t xml:space="preserve"> (VaV)</w:t>
            </w:r>
            <w:r w:rsidR="00D676A9">
              <w:t xml:space="preserve"> činnost </w:t>
            </w:r>
            <w:r w:rsidR="00B53E68" w:rsidRPr="003F6D94">
              <w:t>od základu daně</w:t>
            </w:r>
            <w:r w:rsidR="00D676A9">
              <w:t xml:space="preserve"> z</w:t>
            </w:r>
            <w:r>
              <w:t> </w:t>
            </w:r>
            <w:r w:rsidR="00D676A9">
              <w:t>příjmu</w:t>
            </w:r>
            <w:r>
              <w:t xml:space="preserve"> právnických osob</w:t>
            </w:r>
            <w:r w:rsidR="00FE33C1">
              <w:t xml:space="preserve"> (</w:t>
            </w:r>
            <w:r w:rsidR="00ED3FD2">
              <w:t>DP</w:t>
            </w:r>
            <w:r w:rsidR="00FE33C1">
              <w:t>PO)</w:t>
            </w:r>
            <w:r w:rsidR="00ED3FD2">
              <w:t xml:space="preserve"> po</w:t>
            </w:r>
            <w:r w:rsidR="00ED3FD2" w:rsidRPr="00ED3FD2">
              <w:t>dle § 34 odst. 4 a 5 zákona č. 586/1992 Sb.</w:t>
            </w:r>
          </w:p>
        </w:tc>
      </w:tr>
      <w:tr w:rsidR="00B53E68" w:rsidRPr="003F6D94" w:rsidTr="00ED3FD2">
        <w:trPr>
          <w:trHeight w:val="454"/>
        </w:trPr>
        <w:tc>
          <w:tcPr>
            <w:tcW w:w="2122" w:type="dxa"/>
            <w:shd w:val="clear" w:color="000000" w:fill="DAEEF3"/>
            <w:hideMark/>
          </w:tcPr>
          <w:p w:rsidR="00B53E68" w:rsidRPr="003F6D94" w:rsidRDefault="00B53E68" w:rsidP="00EB3473">
            <w:pPr>
              <w:jc w:val="left"/>
            </w:pPr>
            <w:r w:rsidRPr="003F6D94">
              <w:t>Předmět úlohy:</w:t>
            </w:r>
          </w:p>
        </w:tc>
        <w:tc>
          <w:tcPr>
            <w:tcW w:w="7512" w:type="dxa"/>
            <w:shd w:val="clear" w:color="auto" w:fill="auto"/>
            <w:hideMark/>
          </w:tcPr>
          <w:p w:rsidR="00B53E68" w:rsidRPr="003F6D94" w:rsidRDefault="00DC55F2" w:rsidP="00B56944">
            <w:r w:rsidRPr="00425406">
              <w:t>Daňová</w:t>
            </w:r>
            <w:r w:rsidR="00B53E68" w:rsidRPr="00425406">
              <w:t xml:space="preserve"> podpora projektů </w:t>
            </w:r>
            <w:r w:rsidR="007628FD" w:rsidRPr="00425406">
              <w:t>výzkumu a vývoje</w:t>
            </w:r>
            <w:r w:rsidR="00B53E68" w:rsidRPr="00425406">
              <w:t xml:space="preserve"> </w:t>
            </w:r>
            <w:r w:rsidR="001F2191" w:rsidRPr="00425406">
              <w:t>v</w:t>
            </w:r>
            <w:r w:rsidR="00B56944" w:rsidRPr="00425406">
              <w:t xml:space="preserve"> soukromých </w:t>
            </w:r>
            <w:r w:rsidR="001F2191" w:rsidRPr="00425406">
              <w:t>podnicích</w:t>
            </w:r>
            <w:r w:rsidR="00B53E68" w:rsidRPr="00425406">
              <w:t xml:space="preserve"> </w:t>
            </w:r>
          </w:p>
        </w:tc>
      </w:tr>
      <w:tr w:rsidR="00B53E68" w:rsidRPr="003F6D94" w:rsidTr="00425406">
        <w:trPr>
          <w:trHeight w:hRule="exact" w:val="4901"/>
        </w:trPr>
        <w:tc>
          <w:tcPr>
            <w:tcW w:w="2122" w:type="dxa"/>
            <w:shd w:val="clear" w:color="000000" w:fill="DAEEF3"/>
            <w:hideMark/>
          </w:tcPr>
          <w:p w:rsidR="00B53E68" w:rsidRPr="003F6D94" w:rsidRDefault="00361542" w:rsidP="00E029E5">
            <w:pPr>
              <w:jc w:val="left"/>
            </w:pPr>
            <w:r w:rsidRPr="003F6D94">
              <w:t>Základní ukazatele:</w:t>
            </w:r>
          </w:p>
        </w:tc>
        <w:tc>
          <w:tcPr>
            <w:tcW w:w="7512" w:type="dxa"/>
            <w:shd w:val="clear" w:color="auto" w:fill="auto"/>
            <w:hideMark/>
          </w:tcPr>
          <w:p w:rsidR="00CF7DE3" w:rsidRPr="00425406" w:rsidRDefault="003653F5" w:rsidP="008174AB">
            <w:pPr>
              <w:tabs>
                <w:tab w:val="left" w:pos="190"/>
              </w:tabs>
              <w:spacing w:after="60"/>
              <w:ind w:left="48"/>
            </w:pPr>
            <w:r w:rsidRPr="00425406">
              <w:t xml:space="preserve">Sledovány jsou následující </w:t>
            </w:r>
            <w:r w:rsidR="001F2191" w:rsidRPr="00425406">
              <w:t xml:space="preserve">tři </w:t>
            </w:r>
            <w:r w:rsidR="00865A3F" w:rsidRPr="00425406">
              <w:t xml:space="preserve">hlavní </w:t>
            </w:r>
            <w:r w:rsidR="00A969F7" w:rsidRPr="00425406">
              <w:t>ukazatele:</w:t>
            </w:r>
          </w:p>
          <w:p w:rsidR="00B53E68" w:rsidRPr="00425406" w:rsidRDefault="00A969F7" w:rsidP="000535F4">
            <w:pPr>
              <w:numPr>
                <w:ilvl w:val="0"/>
                <w:numId w:val="39"/>
              </w:numPr>
              <w:tabs>
                <w:tab w:val="left" w:pos="190"/>
              </w:tabs>
              <w:spacing w:after="60" w:line="264" w:lineRule="auto"/>
              <w:ind w:left="765" w:hanging="357"/>
              <w:jc w:val="left"/>
            </w:pPr>
            <w:r w:rsidRPr="00425406">
              <w:t>p</w:t>
            </w:r>
            <w:r w:rsidR="00B53E68" w:rsidRPr="00425406">
              <w:t>očet podniků</w:t>
            </w:r>
            <w:r w:rsidR="004665AF" w:rsidRPr="00425406">
              <w:t xml:space="preserve"> využívající </w:t>
            </w:r>
            <w:r w:rsidR="00EB3473" w:rsidRPr="00425406">
              <w:t>daňov</w:t>
            </w:r>
            <w:r w:rsidR="00F6212C" w:rsidRPr="00425406">
              <w:t xml:space="preserve">ou </w:t>
            </w:r>
            <w:r w:rsidR="00B96A40" w:rsidRPr="00425406">
              <w:t xml:space="preserve">podporu VaV = podniky, které si </w:t>
            </w:r>
            <w:r w:rsidR="004665AF" w:rsidRPr="00425406">
              <w:t xml:space="preserve">uplatnily odpočet </w:t>
            </w:r>
            <w:r w:rsidR="001D70F1" w:rsidRPr="00425406">
              <w:t xml:space="preserve">výdajů </w:t>
            </w:r>
            <w:r w:rsidR="004665AF" w:rsidRPr="00425406">
              <w:t>na VaV o</w:t>
            </w:r>
            <w:r w:rsidR="00B96A40" w:rsidRPr="00425406">
              <w:t xml:space="preserve">d základu </w:t>
            </w:r>
            <w:r w:rsidR="00ED3FD2" w:rsidRPr="00425406">
              <w:t>daně z příjmu právnických osob (dále jen DPPO)</w:t>
            </w:r>
            <w:r w:rsidR="00152E73" w:rsidRPr="00425406">
              <w:t xml:space="preserve"> za dané zdaňovací období (rok)</w:t>
            </w:r>
            <w:r w:rsidR="00B96A40" w:rsidRPr="00425406">
              <w:t>;</w:t>
            </w:r>
            <w:r w:rsidR="00EB3473" w:rsidRPr="00425406">
              <w:t xml:space="preserve"> </w:t>
            </w:r>
          </w:p>
          <w:p w:rsidR="00EB3473" w:rsidRPr="00425406" w:rsidRDefault="00F6212C" w:rsidP="000535F4">
            <w:pPr>
              <w:numPr>
                <w:ilvl w:val="0"/>
                <w:numId w:val="39"/>
              </w:numPr>
              <w:tabs>
                <w:tab w:val="left" w:pos="190"/>
              </w:tabs>
              <w:spacing w:after="60" w:line="264" w:lineRule="auto"/>
              <w:ind w:left="765" w:hanging="357"/>
              <w:jc w:val="left"/>
            </w:pPr>
            <w:r w:rsidRPr="00425406">
              <w:t xml:space="preserve">uplatněné </w:t>
            </w:r>
            <w:r w:rsidR="001B5638" w:rsidRPr="00425406">
              <w:t>daňov</w:t>
            </w:r>
            <w:r w:rsidR="00FE33C1" w:rsidRPr="00425406">
              <w:t>é</w:t>
            </w:r>
            <w:r w:rsidR="001B5638" w:rsidRPr="00425406">
              <w:t xml:space="preserve"> odpočt</w:t>
            </w:r>
            <w:r w:rsidR="00FE33C1" w:rsidRPr="00425406">
              <w:t>y</w:t>
            </w:r>
            <w:r w:rsidR="001B5638" w:rsidRPr="00425406">
              <w:t xml:space="preserve"> na VaV</w:t>
            </w:r>
            <w:r w:rsidR="00FE33C1" w:rsidRPr="00425406">
              <w:t xml:space="preserve"> = </w:t>
            </w:r>
            <w:r w:rsidR="004665AF" w:rsidRPr="00425406">
              <w:t xml:space="preserve">výše </w:t>
            </w:r>
            <w:r w:rsidRPr="00425406">
              <w:t>odečten</w:t>
            </w:r>
            <w:r w:rsidR="004665AF" w:rsidRPr="00425406">
              <w:t xml:space="preserve">ých výdajů </w:t>
            </w:r>
            <w:r w:rsidR="001D70F1" w:rsidRPr="00425406">
              <w:t xml:space="preserve">na VaV </w:t>
            </w:r>
            <w:r w:rsidR="00EB3473" w:rsidRPr="00425406">
              <w:t xml:space="preserve">od základu </w:t>
            </w:r>
            <w:r w:rsidR="00ED3FD2" w:rsidRPr="00425406">
              <w:t>DPPO</w:t>
            </w:r>
            <w:r w:rsidR="007E0D5A" w:rsidRPr="00425406">
              <w:t xml:space="preserve"> </w:t>
            </w:r>
            <w:r w:rsidR="004665AF" w:rsidRPr="00425406">
              <w:t xml:space="preserve">prostřednictvím </w:t>
            </w:r>
            <w:r w:rsidR="007E0D5A" w:rsidRPr="00425406">
              <w:t>daňov</w:t>
            </w:r>
            <w:r w:rsidR="004665AF" w:rsidRPr="00425406">
              <w:t xml:space="preserve">ých odpočtů na </w:t>
            </w:r>
            <w:r w:rsidR="00633016" w:rsidRPr="00425406">
              <w:t>VaV</w:t>
            </w:r>
            <w:r w:rsidR="00B96A40" w:rsidRPr="00425406">
              <w:t>;</w:t>
            </w:r>
          </w:p>
          <w:p w:rsidR="007E0D5A" w:rsidRPr="00425406" w:rsidRDefault="007E0D5A" w:rsidP="000535F4">
            <w:pPr>
              <w:pStyle w:val="Odstavecseseznamem"/>
              <w:numPr>
                <w:ilvl w:val="0"/>
                <w:numId w:val="39"/>
              </w:numPr>
              <w:spacing w:after="60" w:line="264" w:lineRule="auto"/>
              <w:ind w:left="765" w:hanging="357"/>
              <w:contextualSpacing w:val="0"/>
            </w:pPr>
            <w:r w:rsidRPr="00425406">
              <w:t>daňov</w:t>
            </w:r>
            <w:r w:rsidR="00633016" w:rsidRPr="00425406">
              <w:t>á</w:t>
            </w:r>
            <w:r w:rsidRPr="00425406">
              <w:t xml:space="preserve"> podpor</w:t>
            </w:r>
            <w:r w:rsidR="00633016" w:rsidRPr="00425406">
              <w:t>a</w:t>
            </w:r>
            <w:r w:rsidRPr="00425406">
              <w:t xml:space="preserve"> </w:t>
            </w:r>
            <w:r w:rsidR="00FE33C1" w:rsidRPr="00425406">
              <w:t>VaV</w:t>
            </w:r>
            <w:r w:rsidR="004665AF" w:rsidRPr="00425406">
              <w:t xml:space="preserve"> </w:t>
            </w:r>
            <w:r w:rsidRPr="00425406">
              <w:t>=</w:t>
            </w:r>
            <w:r w:rsidR="004665AF" w:rsidRPr="00425406">
              <w:t xml:space="preserve"> </w:t>
            </w:r>
            <w:r w:rsidR="000E6C1D" w:rsidRPr="00425406">
              <w:t xml:space="preserve">odečtené výdaje </w:t>
            </w:r>
            <w:r w:rsidR="004665AF" w:rsidRPr="00425406">
              <w:t xml:space="preserve">na VaV </w:t>
            </w:r>
            <w:r w:rsidR="005432B4">
              <w:t>×</w:t>
            </w:r>
            <w:r w:rsidR="00633016" w:rsidRPr="00425406">
              <w:t xml:space="preserve"> sazba </w:t>
            </w:r>
            <w:r w:rsidR="00C56A53">
              <w:t xml:space="preserve">daně </w:t>
            </w:r>
            <w:r w:rsidR="00ED3FD2" w:rsidRPr="00425406">
              <w:t>DPPO</w:t>
            </w:r>
            <w:r w:rsidR="00605F96" w:rsidRPr="00425406">
              <w:t>.</w:t>
            </w:r>
          </w:p>
          <w:p w:rsidR="00605F96" w:rsidRPr="00425406" w:rsidRDefault="00B235A9" w:rsidP="008174AB">
            <w:pPr>
              <w:spacing w:before="120" w:after="60"/>
            </w:pPr>
            <w:r w:rsidRPr="00425406">
              <w:t xml:space="preserve"> </w:t>
            </w:r>
            <w:r w:rsidR="00605F96" w:rsidRPr="00425406">
              <w:t>Pozn.: Od roku 2019 se samostatně sledují i následující ukazatele:</w:t>
            </w:r>
          </w:p>
          <w:p w:rsidR="008A296A" w:rsidRPr="00425406" w:rsidRDefault="00605F96" w:rsidP="000535F4">
            <w:pPr>
              <w:numPr>
                <w:ilvl w:val="0"/>
                <w:numId w:val="39"/>
              </w:numPr>
              <w:tabs>
                <w:tab w:val="left" w:pos="190"/>
              </w:tabs>
              <w:spacing w:after="60" w:line="264" w:lineRule="auto"/>
              <w:ind w:left="765" w:hanging="357"/>
              <w:jc w:val="left"/>
            </w:pPr>
            <w:r w:rsidRPr="00425406">
              <w:t>počet podniků s</w:t>
            </w:r>
            <w:r w:rsidR="008A296A" w:rsidRPr="00425406">
              <w:t> nevyužitým od</w:t>
            </w:r>
            <w:r w:rsidR="00B96A40" w:rsidRPr="00425406">
              <w:t xml:space="preserve">počtem </w:t>
            </w:r>
            <w:r w:rsidR="008A296A" w:rsidRPr="00425406">
              <w:t xml:space="preserve">na VaV = </w:t>
            </w:r>
            <w:r w:rsidR="00B235A9" w:rsidRPr="00425406">
              <w:t>podniky s</w:t>
            </w:r>
            <w:r w:rsidR="00B96A40" w:rsidRPr="00425406">
              <w:t xml:space="preserve"> uznatelnými </w:t>
            </w:r>
            <w:r w:rsidR="00B235A9" w:rsidRPr="00425406">
              <w:t xml:space="preserve">výdaji </w:t>
            </w:r>
            <w:r w:rsidR="008A296A" w:rsidRPr="00425406">
              <w:t xml:space="preserve">na VaV </w:t>
            </w:r>
            <w:r w:rsidR="00B235A9" w:rsidRPr="00425406">
              <w:t>uvedenými v</w:t>
            </w:r>
            <w:r w:rsidR="000E6C1D" w:rsidRPr="00425406">
              <w:t xml:space="preserve"> přiznání </w:t>
            </w:r>
            <w:r w:rsidR="00ED3FD2" w:rsidRPr="00425406">
              <w:t xml:space="preserve">DPPO </w:t>
            </w:r>
            <w:r w:rsidR="008A296A" w:rsidRPr="00425406">
              <w:t xml:space="preserve">k uplatnění </w:t>
            </w:r>
            <w:r w:rsidR="00B96A40" w:rsidRPr="00425406">
              <w:t xml:space="preserve">v rámci daňové podpory </w:t>
            </w:r>
            <w:r w:rsidR="00ED3FD2" w:rsidRPr="00425406">
              <w:t xml:space="preserve">této činnosti </w:t>
            </w:r>
            <w:r w:rsidR="00B96A40" w:rsidRPr="00425406">
              <w:t>do</w:t>
            </w:r>
            <w:r w:rsidR="008A296A" w:rsidRPr="00425406">
              <w:t xml:space="preserve"> dalšího </w:t>
            </w:r>
            <w:r w:rsidR="00ED3FD2" w:rsidRPr="00425406">
              <w:t>období (</w:t>
            </w:r>
            <w:r w:rsidR="008A296A" w:rsidRPr="00425406">
              <w:t>roku</w:t>
            </w:r>
            <w:r w:rsidR="00ED3FD2" w:rsidRPr="00425406">
              <w:t>)</w:t>
            </w:r>
            <w:r w:rsidR="00FF5065" w:rsidRPr="00425406">
              <w:t>;</w:t>
            </w:r>
          </w:p>
          <w:p w:rsidR="008A296A" w:rsidRPr="00425406" w:rsidRDefault="008A296A" w:rsidP="000535F4">
            <w:pPr>
              <w:numPr>
                <w:ilvl w:val="0"/>
                <w:numId w:val="39"/>
              </w:numPr>
              <w:tabs>
                <w:tab w:val="left" w:pos="190"/>
              </w:tabs>
              <w:spacing w:after="60" w:line="264" w:lineRule="auto"/>
              <w:ind w:left="765" w:hanging="357"/>
              <w:jc w:val="left"/>
            </w:pPr>
            <w:r w:rsidRPr="00425406">
              <w:t>nevyužit</w:t>
            </w:r>
            <w:r w:rsidR="00ED3FD2" w:rsidRPr="00425406">
              <w:t>é</w:t>
            </w:r>
            <w:r w:rsidRPr="00425406">
              <w:t xml:space="preserve"> </w:t>
            </w:r>
            <w:r w:rsidR="00FF5065" w:rsidRPr="00425406">
              <w:t xml:space="preserve">daňové odpočty </w:t>
            </w:r>
            <w:r w:rsidRPr="00425406">
              <w:t xml:space="preserve">na VaV = </w:t>
            </w:r>
            <w:r w:rsidR="00FF5065" w:rsidRPr="00425406">
              <w:t xml:space="preserve">výdaje </w:t>
            </w:r>
            <w:r w:rsidRPr="00425406">
              <w:t xml:space="preserve">na VaV </w:t>
            </w:r>
            <w:r w:rsidR="00ED3FD2" w:rsidRPr="00425406">
              <w:t>uvedené v</w:t>
            </w:r>
            <w:r w:rsidR="000E6C1D" w:rsidRPr="00425406">
              <w:t xml:space="preserve"> přiznání </w:t>
            </w:r>
            <w:r w:rsidR="00ED3FD2" w:rsidRPr="00425406">
              <w:t xml:space="preserve"> DPPO </w:t>
            </w:r>
            <w:r w:rsidRPr="00425406">
              <w:t>k</w:t>
            </w:r>
            <w:r w:rsidR="000E6C1D" w:rsidRPr="00425406">
              <w:t xml:space="preserve"> přenesení k </w:t>
            </w:r>
            <w:r w:rsidR="00B96A40" w:rsidRPr="00425406">
              <w:t>uplatnění</w:t>
            </w:r>
            <w:r w:rsidR="000E6C1D" w:rsidRPr="00425406">
              <w:t xml:space="preserve"> </w:t>
            </w:r>
            <w:r w:rsidR="00ED3FD2" w:rsidRPr="00425406">
              <w:t>d</w:t>
            </w:r>
            <w:r w:rsidRPr="00425406">
              <w:t xml:space="preserve">o dalšího </w:t>
            </w:r>
            <w:r w:rsidR="00ED3FD2" w:rsidRPr="00425406">
              <w:t>období (</w:t>
            </w:r>
            <w:r w:rsidRPr="00425406">
              <w:t>roku</w:t>
            </w:r>
            <w:r w:rsidR="00ED3FD2" w:rsidRPr="00425406">
              <w:t>)</w:t>
            </w:r>
            <w:r w:rsidR="00FF5065" w:rsidRPr="00425406">
              <w:t>;</w:t>
            </w:r>
          </w:p>
          <w:p w:rsidR="00605F96" w:rsidRPr="00B235A9" w:rsidRDefault="008A296A" w:rsidP="000E6C1D">
            <w:pPr>
              <w:numPr>
                <w:ilvl w:val="0"/>
                <w:numId w:val="39"/>
              </w:numPr>
              <w:tabs>
                <w:tab w:val="left" w:pos="190"/>
              </w:tabs>
              <w:spacing w:after="60" w:line="264" w:lineRule="auto"/>
              <w:ind w:left="765" w:hanging="357"/>
              <w:jc w:val="left"/>
              <w:rPr>
                <w:i/>
              </w:rPr>
            </w:pPr>
            <w:r w:rsidRPr="00425406">
              <w:t xml:space="preserve">nevyužitá daňová podpora </w:t>
            </w:r>
            <w:r w:rsidR="00B96A40" w:rsidRPr="00425406">
              <w:t>VaV</w:t>
            </w:r>
            <w:r w:rsidRPr="00425406">
              <w:t xml:space="preserve"> = </w:t>
            </w:r>
            <w:r w:rsidR="00FF5065" w:rsidRPr="00425406">
              <w:t>výdaje na VaV</w:t>
            </w:r>
            <w:r w:rsidRPr="00425406">
              <w:t xml:space="preserve"> </w:t>
            </w:r>
            <w:r w:rsidR="000E6C1D" w:rsidRPr="00425406">
              <w:t xml:space="preserve">přenesené k uplatnění </w:t>
            </w:r>
            <w:r w:rsidR="00ED3FD2" w:rsidRPr="00425406">
              <w:t>vedené v</w:t>
            </w:r>
            <w:r w:rsidR="000E6C1D" w:rsidRPr="00425406">
              <w:t xml:space="preserve"> přiznání </w:t>
            </w:r>
            <w:r w:rsidR="00ED3FD2" w:rsidRPr="00425406">
              <w:t xml:space="preserve">DPPO v rámci daňové podpory této činnosti </w:t>
            </w:r>
            <w:r w:rsidR="000535F4" w:rsidRPr="00425406">
              <w:t xml:space="preserve">k </w:t>
            </w:r>
            <w:r w:rsidR="00FF5065" w:rsidRPr="00425406">
              <w:t xml:space="preserve">uplatnění </w:t>
            </w:r>
            <w:r w:rsidR="000E6C1D" w:rsidRPr="00425406">
              <w:t>(přenesení</w:t>
            </w:r>
            <w:r w:rsidR="00425406" w:rsidRPr="00425406">
              <w:t xml:space="preserve"> </w:t>
            </w:r>
            <w:r w:rsidR="00FF5065" w:rsidRPr="00425406">
              <w:t>v rámci daňové podpory VaV do dalšího roku</w:t>
            </w:r>
            <w:r w:rsidR="005432B4">
              <w:t xml:space="preserve"> ×</w:t>
            </w:r>
            <w:r w:rsidRPr="00425406">
              <w:t xml:space="preserve"> sazba daně z příjmu právnických osob</w:t>
            </w:r>
            <w:r w:rsidR="00B235A9" w:rsidRPr="00425406">
              <w:t xml:space="preserve"> v následujícím roce.</w:t>
            </w:r>
          </w:p>
        </w:tc>
      </w:tr>
      <w:tr w:rsidR="00B53E68" w:rsidRPr="003F6D94" w:rsidTr="000535F4">
        <w:trPr>
          <w:trHeight w:hRule="exact" w:val="2154"/>
        </w:trPr>
        <w:tc>
          <w:tcPr>
            <w:tcW w:w="2122" w:type="dxa"/>
            <w:shd w:val="clear" w:color="000000" w:fill="DAEEF3"/>
            <w:hideMark/>
          </w:tcPr>
          <w:p w:rsidR="00B53E68" w:rsidRPr="003F6D94" w:rsidRDefault="007F4F52" w:rsidP="007F4F52">
            <w:pPr>
              <w:jc w:val="left"/>
            </w:pPr>
            <w:r w:rsidRPr="003F6D94">
              <w:t>Použ</w:t>
            </w:r>
            <w:r>
              <w:t>itá</w:t>
            </w:r>
            <w:r w:rsidRPr="003F6D94">
              <w:t xml:space="preserve"> </w:t>
            </w:r>
            <w:r w:rsidR="00B53E68" w:rsidRPr="003F6D94">
              <w:t>třídění:</w:t>
            </w:r>
          </w:p>
        </w:tc>
        <w:tc>
          <w:tcPr>
            <w:tcW w:w="7512" w:type="dxa"/>
            <w:shd w:val="clear" w:color="auto" w:fill="auto"/>
            <w:hideMark/>
          </w:tcPr>
          <w:p w:rsidR="00B235A9" w:rsidRDefault="00D0247B" w:rsidP="008174AB">
            <w:pPr>
              <w:spacing w:after="60"/>
            </w:pPr>
            <w:r>
              <w:t xml:space="preserve"> Sledované ukazatele daňové podpory VaV jsou k dispozici </w:t>
            </w:r>
            <w:r w:rsidR="00B56944">
              <w:t xml:space="preserve">v členění </w:t>
            </w:r>
            <w:r>
              <w:t>podle:</w:t>
            </w:r>
          </w:p>
          <w:p w:rsidR="00B56944" w:rsidRPr="00B56944" w:rsidRDefault="00B56944" w:rsidP="008174AB">
            <w:pPr>
              <w:numPr>
                <w:ilvl w:val="0"/>
                <w:numId w:val="39"/>
              </w:numPr>
              <w:tabs>
                <w:tab w:val="left" w:pos="190"/>
              </w:tabs>
              <w:spacing w:after="60"/>
              <w:jc w:val="left"/>
            </w:pPr>
            <w:r w:rsidRPr="00B56944">
              <w:t>vlastnictví podniků (</w:t>
            </w:r>
            <w:r w:rsidR="000D429A">
              <w:t xml:space="preserve">domácí vs. </w:t>
            </w:r>
            <w:r w:rsidRPr="00B56944">
              <w:t>pod zahraniční kontrolou)</w:t>
            </w:r>
            <w:r>
              <w:t>,</w:t>
            </w:r>
          </w:p>
          <w:p w:rsidR="00B56944" w:rsidRPr="00B56944" w:rsidRDefault="00B56944" w:rsidP="008174AB">
            <w:pPr>
              <w:numPr>
                <w:ilvl w:val="0"/>
                <w:numId w:val="39"/>
              </w:numPr>
              <w:tabs>
                <w:tab w:val="left" w:pos="190"/>
              </w:tabs>
              <w:spacing w:after="60"/>
              <w:jc w:val="left"/>
            </w:pPr>
            <w:r w:rsidRPr="00B56944">
              <w:t>velikostních skupin podniků (mikro, malé, střední, velké)</w:t>
            </w:r>
            <w:r>
              <w:t>,</w:t>
            </w:r>
          </w:p>
          <w:p w:rsidR="00B56944" w:rsidRPr="00B56944" w:rsidRDefault="00B56944" w:rsidP="008174AB">
            <w:pPr>
              <w:numPr>
                <w:ilvl w:val="0"/>
                <w:numId w:val="39"/>
              </w:numPr>
              <w:tabs>
                <w:tab w:val="left" w:pos="190"/>
              </w:tabs>
              <w:spacing w:after="60"/>
              <w:jc w:val="left"/>
            </w:pPr>
            <w:r w:rsidRPr="00B56944">
              <w:t>převažující ekonomické činnosti podniků (klasifikace CZ-NACE)</w:t>
            </w:r>
            <w:r>
              <w:t>,</w:t>
            </w:r>
          </w:p>
          <w:p w:rsidR="00B56944" w:rsidRPr="00B56944" w:rsidRDefault="00B56944" w:rsidP="008174AB">
            <w:pPr>
              <w:numPr>
                <w:ilvl w:val="0"/>
                <w:numId w:val="39"/>
              </w:numPr>
              <w:tabs>
                <w:tab w:val="left" w:pos="190"/>
              </w:tabs>
              <w:spacing w:after="60"/>
              <w:jc w:val="left"/>
            </w:pPr>
            <w:r w:rsidRPr="00B56944">
              <w:t>sídla podniků (klasifikace CZ NUTS 3 - kraje).</w:t>
            </w:r>
          </w:p>
          <w:p w:rsidR="00B56944" w:rsidRPr="003F6D94" w:rsidRDefault="00B56944">
            <w:pPr>
              <w:spacing w:before="120" w:after="60"/>
            </w:pPr>
            <w:r>
              <w:rPr>
                <w:rFonts w:cs="Arial"/>
                <w:szCs w:val="20"/>
              </w:rPr>
              <w:t xml:space="preserve"> Pozn.: Výše </w:t>
            </w:r>
            <w:r w:rsidR="007F4F52">
              <w:rPr>
                <w:rFonts w:cs="Arial"/>
                <w:szCs w:val="20"/>
              </w:rPr>
              <w:t xml:space="preserve">uvedená </w:t>
            </w:r>
            <w:r>
              <w:rPr>
                <w:rFonts w:cs="Arial"/>
                <w:szCs w:val="20"/>
              </w:rPr>
              <w:t>třídění jsou k dispozici ve vzájemné kombinaci</w:t>
            </w:r>
          </w:p>
        </w:tc>
      </w:tr>
      <w:tr w:rsidR="00B53E68" w:rsidRPr="003F6D94" w:rsidTr="000535F4">
        <w:trPr>
          <w:trHeight w:val="567"/>
        </w:trPr>
        <w:tc>
          <w:tcPr>
            <w:tcW w:w="2122" w:type="dxa"/>
            <w:shd w:val="clear" w:color="000000" w:fill="DAEEF3"/>
            <w:hideMark/>
          </w:tcPr>
          <w:p w:rsidR="00B53E68" w:rsidRPr="003F6D94" w:rsidRDefault="00B53E68" w:rsidP="00E029E5">
            <w:pPr>
              <w:jc w:val="left"/>
            </w:pPr>
            <w:r w:rsidRPr="003F6D94">
              <w:t>Časová řada:</w:t>
            </w:r>
          </w:p>
        </w:tc>
        <w:tc>
          <w:tcPr>
            <w:tcW w:w="7512" w:type="dxa"/>
            <w:shd w:val="clear" w:color="auto" w:fill="auto"/>
            <w:hideMark/>
          </w:tcPr>
          <w:p w:rsidR="00B53E68" w:rsidRPr="003F6D94" w:rsidRDefault="00B53E68" w:rsidP="0094156A">
            <w:r w:rsidRPr="003F6D94">
              <w:t>Roky 2005</w:t>
            </w:r>
            <w:r w:rsidR="002445A8">
              <w:t xml:space="preserve"> až 202</w:t>
            </w:r>
            <w:r w:rsidR="00E130E8">
              <w:t>2</w:t>
            </w:r>
            <w:r w:rsidR="00A945F6">
              <w:t>, podrobné údaje od roku 2007</w:t>
            </w:r>
          </w:p>
        </w:tc>
      </w:tr>
      <w:tr w:rsidR="00B53E68" w:rsidRPr="003F6D94" w:rsidTr="000535F4">
        <w:trPr>
          <w:trHeight w:val="1312"/>
        </w:trPr>
        <w:tc>
          <w:tcPr>
            <w:tcW w:w="2122" w:type="dxa"/>
            <w:shd w:val="clear" w:color="000000" w:fill="DAEEF3"/>
            <w:hideMark/>
          </w:tcPr>
          <w:p w:rsidR="00B53E68" w:rsidRPr="003F6D94" w:rsidRDefault="00B53E68" w:rsidP="00E029E5">
            <w:pPr>
              <w:jc w:val="left"/>
            </w:pPr>
            <w:r w:rsidRPr="003F6D94">
              <w:t>Mezinárodní srovnání</w:t>
            </w:r>
          </w:p>
        </w:tc>
        <w:tc>
          <w:tcPr>
            <w:tcW w:w="7512" w:type="dxa"/>
            <w:shd w:val="clear" w:color="auto" w:fill="auto"/>
            <w:hideMark/>
          </w:tcPr>
          <w:p w:rsidR="00B56944" w:rsidRDefault="003F1D40" w:rsidP="00B56944">
            <w:pPr>
              <w:spacing w:after="0"/>
            </w:pPr>
            <w:r w:rsidRPr="003F6D94">
              <w:t>S</w:t>
            </w:r>
            <w:r w:rsidR="00B53E68" w:rsidRPr="003F6D94">
              <w:t xml:space="preserve">tatistika </w:t>
            </w:r>
            <w:r w:rsidR="00633016">
              <w:t>G</w:t>
            </w:r>
            <w:r w:rsidR="000535F4">
              <w:t>T</w:t>
            </w:r>
            <w:r w:rsidR="00633016">
              <w:t xml:space="preserve">ARD </w:t>
            </w:r>
            <w:r w:rsidR="00674524">
              <w:t>vychází z metodických doporučení</w:t>
            </w:r>
            <w:r w:rsidR="00B53E68" w:rsidRPr="003F6D94">
              <w:t xml:space="preserve"> OECD </w:t>
            </w:r>
            <w:r w:rsidR="00674524">
              <w:t>uvedených</w:t>
            </w:r>
          </w:p>
          <w:p w:rsidR="00B53E68" w:rsidRDefault="0031148A" w:rsidP="00973CEF">
            <w:pPr>
              <w:spacing w:after="0"/>
            </w:pPr>
            <w:r w:rsidRPr="003F6D94">
              <w:t xml:space="preserve">ve </w:t>
            </w:r>
            <w:r w:rsidR="0096737D">
              <w:t>Frascati manuálu</w:t>
            </w:r>
            <w:r w:rsidR="00674524">
              <w:t xml:space="preserve"> </w:t>
            </w:r>
            <w:r w:rsidR="008174AB">
              <w:t xml:space="preserve">z roku </w:t>
            </w:r>
            <w:r w:rsidR="00674524">
              <w:t>2015 (kapitola č. 13)</w:t>
            </w:r>
            <w:r w:rsidR="00B53E68" w:rsidRPr="003F6D94">
              <w:t>.</w:t>
            </w:r>
          </w:p>
          <w:p w:rsidR="008174AB" w:rsidRDefault="008174AB" w:rsidP="000535F4">
            <w:pPr>
              <w:spacing w:before="120" w:after="0"/>
            </w:pPr>
            <w:r>
              <w:t>Více k mezinárodní statistice GTARD zde:</w:t>
            </w:r>
          </w:p>
          <w:p w:rsidR="008174AB" w:rsidRPr="003F6D94" w:rsidRDefault="00616048" w:rsidP="00B17D92">
            <w:pPr>
              <w:spacing w:after="0"/>
            </w:pPr>
            <w:hyperlink r:id="rId8" w:history="1">
              <w:r w:rsidR="008174AB" w:rsidRPr="004C2ABC">
                <w:rPr>
                  <w:rStyle w:val="Hypertextovodkaz"/>
                  <w:color w:val="009BB4"/>
                </w:rPr>
                <w:t>https://www.oecd.org/innovation/tax-incentives-RD-innovation/</w:t>
              </w:r>
            </w:hyperlink>
          </w:p>
        </w:tc>
      </w:tr>
    </w:tbl>
    <w:p w:rsidR="005A3847" w:rsidRPr="003F6D94" w:rsidRDefault="00491103" w:rsidP="0029722B">
      <w:pPr>
        <w:pStyle w:val="Nadpis1"/>
      </w:pPr>
      <w:r>
        <w:lastRenderedPageBreak/>
        <w:t xml:space="preserve">2. </w:t>
      </w:r>
      <w:r w:rsidR="00D47EE1" w:rsidRPr="0029722B">
        <w:rPr>
          <w:sz w:val="28"/>
          <w:szCs w:val="26"/>
        </w:rPr>
        <w:t>Metodika</w:t>
      </w:r>
    </w:p>
    <w:p w:rsidR="00DE5AD6" w:rsidRPr="0029722B" w:rsidRDefault="00491103" w:rsidP="002C02F4">
      <w:pPr>
        <w:pStyle w:val="Nadpis2"/>
      </w:pPr>
      <w:r>
        <w:rPr>
          <w:rStyle w:val="st"/>
        </w:rPr>
        <w:t xml:space="preserve">2.1 </w:t>
      </w:r>
      <w:r w:rsidR="00FF24C6" w:rsidRPr="0029722B">
        <w:t>Daňová podpora výzkumu a vývoje v Česk</w:t>
      </w:r>
      <w:r w:rsidR="00FF5065" w:rsidRPr="0029722B">
        <w:t>u</w:t>
      </w:r>
    </w:p>
    <w:p w:rsidR="00280AA5" w:rsidRPr="00280AA5" w:rsidRDefault="007E56FF" w:rsidP="00280AA5">
      <w:r w:rsidRPr="00280AA5">
        <w:t>Daňová podpora výzkumu a vývoje (dále jen VaV)</w:t>
      </w:r>
      <w:r w:rsidR="00DE708D" w:rsidRPr="00280AA5">
        <w:t>, která je n</w:t>
      </w:r>
      <w:r w:rsidRPr="00280AA5">
        <w:t xml:space="preserve">ěkdy </w:t>
      </w:r>
      <w:r w:rsidR="00DE708D" w:rsidRPr="00280AA5">
        <w:t xml:space="preserve">uváděná i </w:t>
      </w:r>
      <w:r w:rsidRPr="00280AA5">
        <w:t>jako nepřímá veřejná podpora VaV, je v Česku poskytována od roku 2005,</w:t>
      </w:r>
      <w:r w:rsidRPr="00280AA5">
        <w:rPr>
          <w:b/>
        </w:rPr>
        <w:t xml:space="preserve"> </w:t>
      </w:r>
      <w:r w:rsidRPr="00280AA5">
        <w:t xml:space="preserve">a to formou daňových odpočtů na uznatelné výdaje spojené s realizací </w:t>
      </w:r>
      <w:r w:rsidR="00DE708D" w:rsidRPr="00280AA5">
        <w:t>VaV</w:t>
      </w:r>
      <w:r w:rsidRPr="00280AA5">
        <w:t xml:space="preserve"> projektů od základu daně z příjmu právnických osob</w:t>
      </w:r>
      <w:r w:rsidR="00280AA5" w:rsidRPr="00280AA5">
        <w:t xml:space="preserve"> (dále jen DPPO)</w:t>
      </w:r>
      <w:r w:rsidRPr="00280AA5">
        <w:t xml:space="preserve">. </w:t>
      </w:r>
      <w:r w:rsidR="00280AA5" w:rsidRPr="00280AA5">
        <w:t>Tato podpora umožňuje daňovým subjektům (dále jen podnikům), které vyvíjí nové výrobky, služby</w:t>
      </w:r>
      <w:r w:rsidR="00DD3DAD">
        <w:t xml:space="preserve"> či</w:t>
      </w:r>
      <w:r w:rsidR="00DD3DAD" w:rsidRPr="00280AA5">
        <w:t xml:space="preserve"> </w:t>
      </w:r>
      <w:r w:rsidR="00280AA5" w:rsidRPr="00280AA5">
        <w:t xml:space="preserve">technologické a výrobní postupy odečíst si z daňového základu (zisku) výdaje na tyto činnosti dvakrát, jednou jako všechny ostatní náklady a podruhé prostřednictvím daňových odpočtů na VaV. </w:t>
      </w:r>
    </w:p>
    <w:p w:rsidR="007E56FF" w:rsidRPr="001D70F1" w:rsidRDefault="007E56FF" w:rsidP="00280AA5">
      <w:pPr>
        <w:shd w:val="clear" w:color="auto" w:fill="DAEEF3" w:themeFill="accent5" w:themeFillTint="33"/>
      </w:pPr>
      <w:r w:rsidRPr="004C20E8">
        <w:rPr>
          <w:b/>
        </w:rPr>
        <w:t xml:space="preserve">Daňový odpočet na </w:t>
      </w:r>
      <w:r>
        <w:rPr>
          <w:b/>
        </w:rPr>
        <w:t>VaV</w:t>
      </w:r>
      <w:r>
        <w:t xml:space="preserve"> </w:t>
      </w:r>
      <w:r w:rsidRPr="001D70F1">
        <w:t>byl zaveden do zákona č. 586/1992 Sb., o daních z příjmů s účinností od 1.</w:t>
      </w:r>
      <w:r>
        <w:t> </w:t>
      </w:r>
      <w:r w:rsidRPr="001D70F1">
        <w:t>1.</w:t>
      </w:r>
      <w:r>
        <w:t> </w:t>
      </w:r>
      <w:r w:rsidRPr="001D70F1">
        <w:t xml:space="preserve">2005. Podmínky využití </w:t>
      </w:r>
      <w:r>
        <w:t xml:space="preserve">tohoto </w:t>
      </w:r>
      <w:r w:rsidRPr="001D70F1">
        <w:t xml:space="preserve">daňového odpočtu jsou obsaženy v § 34 odst. 4 a odst. 5 </w:t>
      </w:r>
      <w:r>
        <w:t xml:space="preserve">výše uvedeného </w:t>
      </w:r>
      <w:r w:rsidRPr="001D70F1">
        <w:t>zákona. Ministerstvo financí k tomu postupně vydalo příslušné pokyny, a to POKYN D-288 ze dne 3. 10. 2005 a</w:t>
      </w:r>
      <w:r>
        <w:t> </w:t>
      </w:r>
      <w:r w:rsidRPr="001D70F1">
        <w:t>nejnověji POKYN MF-17 z 5. května 2020</w:t>
      </w:r>
      <w:r w:rsidRPr="001D70F1">
        <w:rPr>
          <w:rStyle w:val="Znakapoznpodarou"/>
          <w:rFonts w:cs="Arial"/>
          <w:szCs w:val="20"/>
        </w:rPr>
        <w:footnoteReference w:id="2"/>
      </w:r>
      <w:r w:rsidRPr="001D70F1">
        <w:t>, k jednotnému postupu při uplatňování této daňové podpory.</w:t>
      </w:r>
      <w:r w:rsidR="00280AA5">
        <w:t xml:space="preserve"> Míra těchto odpočtů je stejná pro všechny podniky bez ohledu na jejich velikost, stáří či objem investic do VaV. </w:t>
      </w:r>
    </w:p>
    <w:p w:rsidR="00A955C4" w:rsidRDefault="004665AF" w:rsidP="004665AF">
      <w:r>
        <w:t>Daňová podpora VaV je v českém systému veřejné podpory VaV sekundárním nástrojem, kterým stát podporuje provádění výzkumných a vývojových činností</w:t>
      </w:r>
      <w:r w:rsidR="001D70F1">
        <w:t xml:space="preserve">, a to primárně </w:t>
      </w:r>
      <w:r>
        <w:t>v</w:t>
      </w:r>
      <w:r w:rsidR="00265FE2">
        <w:t xml:space="preserve"> soukromých </w:t>
      </w:r>
      <w:r w:rsidR="001D70F1">
        <w:t>podnicích</w:t>
      </w:r>
      <w:r>
        <w:t xml:space="preserve">. Primárním nástrojem </w:t>
      </w:r>
      <w:r w:rsidR="00A955C4">
        <w:t xml:space="preserve">zůstává </w:t>
      </w:r>
      <w:r>
        <w:t xml:space="preserve">přímá veřejná podpora VaV </w:t>
      </w:r>
      <w:r w:rsidR="00265FE2">
        <w:t xml:space="preserve">ze </w:t>
      </w:r>
      <w:r>
        <w:t>státního rozpočtu</w:t>
      </w:r>
      <w:r w:rsidR="00A955C4">
        <w:t>.</w:t>
      </w:r>
    </w:p>
    <w:p w:rsidR="00CC5D9D" w:rsidRPr="0029722B" w:rsidRDefault="0029722B" w:rsidP="0029722B">
      <w:pPr>
        <w:pStyle w:val="Nadpis3"/>
        <w:spacing w:after="120"/>
      </w:pPr>
      <w:r>
        <w:t xml:space="preserve">2.1.1 </w:t>
      </w:r>
      <w:r w:rsidR="00FF5065" w:rsidRPr="0029722B">
        <w:t xml:space="preserve">Vymezení </w:t>
      </w:r>
      <w:r w:rsidR="00CC5D9D" w:rsidRPr="0029722B">
        <w:t>výzkumu a vývoje</w:t>
      </w:r>
      <w:r w:rsidR="003E4357" w:rsidRPr="0029722B">
        <w:t xml:space="preserve"> pro účely</w:t>
      </w:r>
      <w:r w:rsidR="00C03303" w:rsidRPr="0029722B">
        <w:t xml:space="preserve"> daňové podpory</w:t>
      </w:r>
    </w:p>
    <w:p w:rsidR="00937937" w:rsidRDefault="00F27EBE" w:rsidP="00937937">
      <w:r w:rsidRPr="00F82FA3">
        <w:t xml:space="preserve">Základní vymezení </w:t>
      </w:r>
      <w:r w:rsidR="00B12596">
        <w:t>VaV</w:t>
      </w:r>
      <w:r w:rsidR="00F82FA3" w:rsidRPr="00F82FA3">
        <w:t xml:space="preserve"> </w:t>
      </w:r>
      <w:r w:rsidR="00EC02CD" w:rsidRPr="00F82FA3">
        <w:t xml:space="preserve">pro účely daňové podpory </w:t>
      </w:r>
      <w:r w:rsidRPr="00F82FA3">
        <w:t>navazuje na ustanovení § 2 zákona č.</w:t>
      </w:r>
      <w:r w:rsidR="00EC02CD" w:rsidRPr="00F82FA3">
        <w:t> </w:t>
      </w:r>
      <w:r w:rsidRPr="00F82FA3">
        <w:t>130/2002</w:t>
      </w:r>
      <w:r w:rsidR="00EC02CD" w:rsidRPr="00F82FA3">
        <w:t xml:space="preserve"> </w:t>
      </w:r>
      <w:r w:rsidRPr="00F82FA3">
        <w:t>Sb., o podpoře výzkumu, experimentálního vývoje a inovací</w:t>
      </w:r>
      <w:r w:rsidR="00316EF4" w:rsidRPr="00F82FA3">
        <w:rPr>
          <w:rStyle w:val="Znakapoznpodarou"/>
        </w:rPr>
        <w:footnoteReference w:id="3"/>
      </w:r>
      <w:r w:rsidRPr="00F82FA3">
        <w:t xml:space="preserve"> a na článek</w:t>
      </w:r>
      <w:r w:rsidR="000535F4" w:rsidRPr="00F82FA3">
        <w:t> </w:t>
      </w:r>
      <w:r w:rsidRPr="00F82FA3">
        <w:t>2 nařízení Komise (EU) č. 651/2014</w:t>
      </w:r>
      <w:r w:rsidR="000535F4" w:rsidRPr="00F82FA3">
        <w:rPr>
          <w:rStyle w:val="Znakapoznpodarou"/>
        </w:rPr>
        <w:footnoteReference w:id="4"/>
      </w:r>
      <w:r w:rsidRPr="00F82FA3">
        <w:t>.</w:t>
      </w:r>
      <w:r w:rsidR="00AD4D81">
        <w:rPr>
          <w:b/>
        </w:rPr>
        <w:t xml:space="preserve"> </w:t>
      </w:r>
      <w:r w:rsidR="00F82FA3">
        <w:t xml:space="preserve">Toto vymezení </w:t>
      </w:r>
      <w:r w:rsidR="00973CEF" w:rsidRPr="00973CEF">
        <w:t>se</w:t>
      </w:r>
      <w:r w:rsidR="00F82FA3">
        <w:t xml:space="preserve"> zde</w:t>
      </w:r>
      <w:r w:rsidR="00973CEF" w:rsidRPr="00973CEF">
        <w:t xml:space="preserve"> </w:t>
      </w:r>
      <w:r w:rsidR="00973CEF" w:rsidRPr="006A343E">
        <w:rPr>
          <w:b/>
        </w:rPr>
        <w:t>zásadně neliší</w:t>
      </w:r>
      <w:r w:rsidR="00973CEF" w:rsidRPr="00973CEF">
        <w:t xml:space="preserve"> od </w:t>
      </w:r>
      <w:r w:rsidR="00F82FA3">
        <w:t xml:space="preserve">definice </w:t>
      </w:r>
      <w:r w:rsidR="002D185D">
        <w:t>VaV</w:t>
      </w:r>
      <w:r w:rsidR="00937937">
        <w:t xml:space="preserve"> uveden</w:t>
      </w:r>
      <w:r w:rsidR="00EC02CD">
        <w:t>ého</w:t>
      </w:r>
      <w:r w:rsidR="000A6330">
        <w:t xml:space="preserve"> ve výše zmíněném Frascati manuálu</w:t>
      </w:r>
      <w:r w:rsidR="00F82FA3">
        <w:t xml:space="preserve"> z roku 2015.</w:t>
      </w:r>
      <w:r w:rsidR="00B12596">
        <w:rPr>
          <w:rStyle w:val="Znakapoznpodarou"/>
        </w:rPr>
        <w:footnoteReference w:id="5"/>
      </w:r>
      <w:r w:rsidR="00F82FA3">
        <w:t xml:space="preserve"> V kapitole č. 2 tohoto manuálu se uvádí, že </w:t>
      </w:r>
      <w:r w:rsidR="00F82FA3" w:rsidRPr="00873749">
        <w:rPr>
          <w:b/>
        </w:rPr>
        <w:t>v</w:t>
      </w:r>
      <w:r w:rsidR="00937937" w:rsidRPr="00937937">
        <w:rPr>
          <w:b/>
        </w:rPr>
        <w:t xml:space="preserve">ýzkum a vývoj </w:t>
      </w:r>
      <w:r w:rsidR="002D185D" w:rsidRPr="002D185D">
        <w:t>j</w:t>
      </w:r>
      <w:r w:rsidR="00937937" w:rsidRPr="00937937">
        <w:t>e systematická tvůrčí práce konaná za účelem rozšíření stávajícího poznání, včetně poznání člověka, kultury a společnosti, získání nových znalostí nebo jejich využití v praxi, a to metodami, které umožňují potvrzení, doplnění či vyvrácení získaných poznatků</w:t>
      </w:r>
      <w:r w:rsidR="00937937">
        <w:t>.</w:t>
      </w:r>
      <w:r w:rsidR="00937937" w:rsidRPr="00937937">
        <w:t xml:space="preserve"> </w:t>
      </w:r>
      <w:r w:rsidR="00F82FA3">
        <w:t>Ve Frascati manuálu se dále r</w:t>
      </w:r>
      <w:r w:rsidR="002D185D">
        <w:t>ozlišuj</w:t>
      </w:r>
      <w:r w:rsidR="00F82FA3">
        <w:t>í</w:t>
      </w:r>
      <w:r w:rsidR="002D185D">
        <w:t xml:space="preserve"> </w:t>
      </w:r>
      <w:r w:rsidR="000D0B9E" w:rsidRPr="000D0B9E">
        <w:rPr>
          <w:b/>
        </w:rPr>
        <w:t xml:space="preserve">tři základní kategorie </w:t>
      </w:r>
      <w:r w:rsidR="000D0B9E" w:rsidRPr="00BC784E">
        <w:t>prováděné VaV činnosti</w:t>
      </w:r>
      <w:r w:rsidR="000D0B9E" w:rsidRPr="000D0B9E">
        <w:t>:</w:t>
      </w:r>
      <w:r w:rsidR="00937937" w:rsidRPr="00937937">
        <w:t xml:space="preserve"> </w:t>
      </w:r>
    </w:p>
    <w:p w:rsidR="00937937" w:rsidRDefault="00937937" w:rsidP="005E2FF6">
      <w:pPr>
        <w:pStyle w:val="Odstavecseseznamem"/>
        <w:numPr>
          <w:ilvl w:val="0"/>
          <w:numId w:val="44"/>
        </w:numPr>
        <w:spacing w:line="264" w:lineRule="auto"/>
        <w:ind w:left="357" w:hanging="357"/>
        <w:contextualSpacing w:val="0"/>
      </w:pPr>
      <w:r w:rsidRPr="00937937">
        <w:rPr>
          <w:b/>
        </w:rPr>
        <w:t>Základní výzkum</w:t>
      </w:r>
      <w:r w:rsidRPr="00937937">
        <w:t xml:space="preserve">, kterým se rozumí experimentální a teoretická práce vynakládaná zásadně za účelem získání nových vědomostí o základních principech jevů nebo pozorovatelných skutečností, která není primárně zaměřena na uplatnění nebo využití v praxi. </w:t>
      </w:r>
    </w:p>
    <w:p w:rsidR="00AD4D81" w:rsidRPr="00C705C6" w:rsidRDefault="00937937" w:rsidP="005E2FF6">
      <w:pPr>
        <w:pStyle w:val="Odstavecseseznamem"/>
        <w:numPr>
          <w:ilvl w:val="0"/>
          <w:numId w:val="44"/>
        </w:numPr>
        <w:spacing w:line="264" w:lineRule="auto"/>
        <w:ind w:left="357" w:hanging="357"/>
        <w:contextualSpacing w:val="0"/>
        <w:rPr>
          <w:i/>
        </w:rPr>
      </w:pPr>
      <w:r w:rsidRPr="00C705C6">
        <w:rPr>
          <w:b/>
        </w:rPr>
        <w:t>Aplikovaný výzkum</w:t>
      </w:r>
      <w:r w:rsidRPr="00937937">
        <w:t xml:space="preserve">, kterým se rozumí plánovitý výzkum nebo kritické šetření zaměřené na získání nových poznatků a dovedností pro vývoj nových výrobků, postupů nebo služeb nebo ke značnému zdokonalení stávajících výrobků, postupů nebo služeb. Výsledky aplikovaného výzkumu jsou směřovány ke specifickému a praktickému cíli. </w:t>
      </w:r>
      <w:r w:rsidR="00AD4D81" w:rsidRPr="00C705C6">
        <w:rPr>
          <w:i/>
        </w:rPr>
        <w:t>Výše zmíněný zákon o podpoře výzkumu, experimentálního vývoje a inovací z veřejných prostředků č. 130/2002 Sb., a tím i metodický pokyn k daňové podpoře VaV pracuje</w:t>
      </w:r>
      <w:r w:rsidR="00C705C6">
        <w:rPr>
          <w:i/>
        </w:rPr>
        <w:t>, na rozdíl od FM 2015,</w:t>
      </w:r>
      <w:r w:rsidR="00AD4D81" w:rsidRPr="00C705C6">
        <w:rPr>
          <w:i/>
        </w:rPr>
        <w:t xml:space="preserve"> v rámci aplikovaného výzkumu </w:t>
      </w:r>
      <w:r w:rsidR="00316EF4" w:rsidRPr="00C705C6">
        <w:rPr>
          <w:i/>
        </w:rPr>
        <w:t xml:space="preserve">i </w:t>
      </w:r>
      <w:r w:rsidR="00C705C6" w:rsidRPr="00C705C6">
        <w:rPr>
          <w:i/>
        </w:rPr>
        <w:t xml:space="preserve">s </w:t>
      </w:r>
      <w:r w:rsidR="00316EF4" w:rsidRPr="00C705C6">
        <w:rPr>
          <w:i/>
        </w:rPr>
        <w:t xml:space="preserve">termínem </w:t>
      </w:r>
      <w:r w:rsidR="00AD4D81" w:rsidRPr="00C705C6">
        <w:rPr>
          <w:b/>
          <w:i/>
        </w:rPr>
        <w:t>průmyslový výzkum</w:t>
      </w:r>
      <w:r w:rsidR="00C705C6" w:rsidRPr="00C705C6">
        <w:rPr>
          <w:b/>
          <w:i/>
        </w:rPr>
        <w:t xml:space="preserve">. </w:t>
      </w:r>
      <w:r w:rsidR="00C705C6" w:rsidRPr="00C705C6">
        <w:rPr>
          <w:i/>
        </w:rPr>
        <w:t>P</w:t>
      </w:r>
      <w:r w:rsidR="00C705C6" w:rsidRPr="00C705C6">
        <w:rPr>
          <w:bCs/>
          <w:i/>
        </w:rPr>
        <w:t xml:space="preserve">růmyslový výzkum je podle tohoto zákona </w:t>
      </w:r>
      <w:r w:rsidR="00C705C6" w:rsidRPr="00C705C6">
        <w:rPr>
          <w:i/>
        </w:rPr>
        <w:t>část aplikovaného výzkumu, jehož výsledky se prostřednictvím vývoje využívají v nových výrobcích, technologiích a službách, které jsou určeny k podnikání podle zvláštního právního předpisu.</w:t>
      </w:r>
    </w:p>
    <w:p w:rsidR="00973CEF" w:rsidRPr="000D0B9E" w:rsidRDefault="00937937" w:rsidP="005E2FF6">
      <w:pPr>
        <w:pStyle w:val="Odstavecseseznamem"/>
        <w:numPr>
          <w:ilvl w:val="0"/>
          <w:numId w:val="44"/>
        </w:numPr>
        <w:spacing w:line="264" w:lineRule="auto"/>
        <w:ind w:left="357" w:hanging="357"/>
        <w:contextualSpacing w:val="0"/>
        <w:rPr>
          <w:i/>
        </w:rPr>
      </w:pPr>
      <w:r w:rsidRPr="00937937">
        <w:rPr>
          <w:b/>
        </w:rPr>
        <w:t>Experimentální vývoj</w:t>
      </w:r>
      <w:r w:rsidRPr="00937937">
        <w:t>, kterým se rozumí získávání, spojování, formování a používání stávajících vědeckých, technologických, obchodních a jiných poznatků a dovedností pro návrh nových nebo podstatně zdokonalených výrobků, postupů nebo služeb</w:t>
      </w:r>
      <w:r w:rsidRPr="00AD4D81">
        <w:rPr>
          <w:b/>
        </w:rPr>
        <w:t xml:space="preserve">. </w:t>
      </w:r>
      <w:r w:rsidRPr="000D0B9E">
        <w:rPr>
          <w:i/>
        </w:rPr>
        <w:t xml:space="preserve">Experimentální vývoj může zahrnovat i vývoj prototypů, demonstrační činnosti, pilotní projekty, testování a ověřování nových nebo zdokonalených </w:t>
      </w:r>
      <w:r w:rsidRPr="000D0B9E">
        <w:rPr>
          <w:i/>
        </w:rPr>
        <w:lastRenderedPageBreak/>
        <w:t xml:space="preserve">výrobků, postupů nebo služeb v prostředí reprezentativním z hlediska reálných provozních podmínek, pokud hlavní cíl spočívá v dalším technickém zlepšení výrobků, postupů nebo služeb. </w:t>
      </w:r>
    </w:p>
    <w:p w:rsidR="00B12596" w:rsidRDefault="00F41A6E" w:rsidP="00F27EBE">
      <w:r>
        <w:t xml:space="preserve">Vymezení výzkumu a vývoje </w:t>
      </w:r>
      <w:r w:rsidR="00B12596" w:rsidRPr="00B12596">
        <w:t xml:space="preserve">se v pokynu částečně liší od definic v Ročním šetření o výzkumu a vývoji. Jde například o patentové a licenční práce, studie záměrů politiky národní, regionální nebo místní a podnikatelské záměry podniků. Jmenované činnosti lze </w:t>
      </w:r>
      <w:r w:rsidR="00DD3DAD" w:rsidRPr="00B12596">
        <w:t xml:space="preserve">do </w:t>
      </w:r>
      <w:proofErr w:type="spellStart"/>
      <w:r w:rsidR="00DD3DAD" w:rsidRPr="00B12596">
        <w:t>VaV</w:t>
      </w:r>
      <w:proofErr w:type="spellEnd"/>
      <w:r w:rsidR="00DD3DAD" w:rsidRPr="00B12596">
        <w:t xml:space="preserve"> </w:t>
      </w:r>
      <w:r w:rsidR="00B12596" w:rsidRPr="00B12596">
        <w:t>zahrnout pouze, jde-li o úpravy stávajících nebo tvorbu nových metodik s ocenitelným prvkem novosti.</w:t>
      </w:r>
    </w:p>
    <w:p w:rsidR="00841B01" w:rsidRDefault="005E5260" w:rsidP="00F27EBE">
      <w:pPr>
        <w:rPr>
          <w:rStyle w:val="st"/>
          <w:rFonts w:cs="Arial"/>
          <w:sz w:val="20"/>
          <w:szCs w:val="20"/>
        </w:rPr>
      </w:pPr>
      <w:r>
        <w:t xml:space="preserve">Daňový odpočet na VaV lze využít </w:t>
      </w:r>
      <w:r w:rsidRPr="005E5260">
        <w:t xml:space="preserve">zejména </w:t>
      </w:r>
      <w:r>
        <w:t xml:space="preserve">na </w:t>
      </w:r>
      <w:r w:rsidRPr="005E5260">
        <w:t>výzkum a následný vývoj nových, zlepšených nebo zdokonalených výrobků, materiálů, služeb, technologií a využívaných výrobních postupů a metod včetně projektování nových nebo zdokonalených zařízení nebo technologií, a to prováděný prostřednictvím celé řady činností specifikovaných ve výše uvedeném pokynu MF-17.</w:t>
      </w:r>
      <w:r>
        <w:t xml:space="preserve"> </w:t>
      </w:r>
      <w:r w:rsidR="005E2FF6">
        <w:t xml:space="preserve">Tento pokyn </w:t>
      </w:r>
      <w:r w:rsidR="00841B01">
        <w:rPr>
          <w:rStyle w:val="st"/>
          <w:rFonts w:cs="Arial"/>
          <w:sz w:val="20"/>
          <w:szCs w:val="20"/>
        </w:rPr>
        <w:t xml:space="preserve">specifikuje </w:t>
      </w:r>
      <w:r w:rsidR="007178D3">
        <w:rPr>
          <w:rStyle w:val="st"/>
          <w:rFonts w:cs="Arial"/>
          <w:sz w:val="20"/>
          <w:szCs w:val="20"/>
        </w:rPr>
        <w:t xml:space="preserve">i </w:t>
      </w:r>
      <w:r w:rsidR="00841B01">
        <w:rPr>
          <w:rStyle w:val="st"/>
          <w:rFonts w:cs="Arial"/>
          <w:sz w:val="20"/>
          <w:szCs w:val="20"/>
        </w:rPr>
        <w:t>č</w:t>
      </w:r>
      <w:r w:rsidR="00841B01" w:rsidRPr="00841B01">
        <w:rPr>
          <w:rStyle w:val="st"/>
          <w:rFonts w:cs="Arial"/>
          <w:sz w:val="20"/>
          <w:szCs w:val="20"/>
        </w:rPr>
        <w:t xml:space="preserve">innosti, </w:t>
      </w:r>
      <w:r w:rsidR="00841B01" w:rsidRPr="00F27EBE">
        <w:rPr>
          <w:rStyle w:val="st"/>
          <w:rFonts w:cs="Arial"/>
          <w:b/>
          <w:sz w:val="20"/>
          <w:szCs w:val="20"/>
        </w:rPr>
        <w:t xml:space="preserve">které </w:t>
      </w:r>
      <w:r w:rsidR="00841B01" w:rsidRPr="002D185D">
        <w:rPr>
          <w:rStyle w:val="st"/>
          <w:rFonts w:cs="Arial"/>
          <w:b/>
          <w:sz w:val="20"/>
          <w:szCs w:val="20"/>
          <w:u w:val="single"/>
        </w:rPr>
        <w:t xml:space="preserve">nelze </w:t>
      </w:r>
      <w:r>
        <w:rPr>
          <w:rStyle w:val="st"/>
          <w:rFonts w:cs="Arial"/>
          <w:b/>
          <w:sz w:val="20"/>
          <w:szCs w:val="20"/>
          <w:u w:val="single"/>
        </w:rPr>
        <w:t xml:space="preserve">pro daňové účely </w:t>
      </w:r>
      <w:r w:rsidR="00841B01" w:rsidRPr="002D185D">
        <w:rPr>
          <w:rStyle w:val="st"/>
          <w:rFonts w:cs="Arial"/>
          <w:b/>
          <w:sz w:val="20"/>
          <w:szCs w:val="20"/>
          <w:u w:val="single"/>
        </w:rPr>
        <w:t>zahrnout</w:t>
      </w:r>
      <w:r w:rsidR="00841B01" w:rsidRPr="00841B01">
        <w:rPr>
          <w:rStyle w:val="st"/>
          <w:rFonts w:cs="Arial"/>
          <w:sz w:val="20"/>
          <w:szCs w:val="20"/>
        </w:rPr>
        <w:t xml:space="preserve"> mezi </w:t>
      </w:r>
      <w:r w:rsidR="002D185D">
        <w:rPr>
          <w:rStyle w:val="st"/>
          <w:rFonts w:cs="Arial"/>
          <w:sz w:val="20"/>
          <w:szCs w:val="20"/>
        </w:rPr>
        <w:t>VaV</w:t>
      </w:r>
      <w:r>
        <w:rPr>
          <w:rStyle w:val="st"/>
          <w:rFonts w:cs="Arial"/>
          <w:sz w:val="20"/>
          <w:szCs w:val="20"/>
        </w:rPr>
        <w:t>. Jde například o:</w:t>
      </w:r>
    </w:p>
    <w:p w:rsidR="00841B01" w:rsidRPr="00841B01" w:rsidRDefault="00841B01" w:rsidP="00B12596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</w:rPr>
      </w:pPr>
      <w:r w:rsidRPr="00841B01">
        <w:rPr>
          <w:rStyle w:val="st"/>
          <w:b/>
          <w:sz w:val="20"/>
          <w:szCs w:val="20"/>
        </w:rPr>
        <w:t xml:space="preserve">vzdělávání a výcvik </w:t>
      </w:r>
      <w:r w:rsidRPr="00841B01">
        <w:rPr>
          <w:rStyle w:val="st"/>
          <w:sz w:val="20"/>
          <w:szCs w:val="20"/>
        </w:rPr>
        <w:t>pracovníků na univerzitách a institucích pro vyšší a pomaturitní vzdělávání;</w:t>
      </w:r>
    </w:p>
    <w:p w:rsidR="008615A9" w:rsidRPr="00841B01" w:rsidRDefault="008615A9" w:rsidP="00B12596">
      <w:pPr>
        <w:pStyle w:val="Odstavecseseznamem"/>
        <w:numPr>
          <w:ilvl w:val="0"/>
          <w:numId w:val="22"/>
        </w:numPr>
        <w:spacing w:after="60" w:line="288" w:lineRule="auto"/>
        <w:ind w:left="426" w:hanging="284"/>
        <w:contextualSpacing w:val="0"/>
        <w:rPr>
          <w:b/>
          <w:szCs w:val="20"/>
        </w:rPr>
      </w:pPr>
      <w:r w:rsidRPr="00841B01">
        <w:rPr>
          <w:rStyle w:val="st"/>
          <w:sz w:val="20"/>
          <w:szCs w:val="20"/>
        </w:rPr>
        <w:t>některé specializované</w:t>
      </w:r>
      <w:r w:rsidRPr="00841B01">
        <w:rPr>
          <w:rStyle w:val="st"/>
          <w:b/>
          <w:sz w:val="20"/>
          <w:szCs w:val="20"/>
        </w:rPr>
        <w:t xml:space="preserve"> příbuzné vědecké a technologické činnosti</w:t>
      </w:r>
      <w:r w:rsidR="00B07FE9">
        <w:rPr>
          <w:rStyle w:val="st"/>
          <w:b/>
          <w:sz w:val="20"/>
          <w:szCs w:val="20"/>
        </w:rPr>
        <w:t xml:space="preserve"> </w:t>
      </w:r>
      <w:r w:rsidR="00B07FE9" w:rsidRPr="002D185D">
        <w:rPr>
          <w:rStyle w:val="st"/>
          <w:i/>
          <w:sz w:val="20"/>
          <w:szCs w:val="20"/>
        </w:rPr>
        <w:t>(</w:t>
      </w:r>
      <w:r w:rsidRPr="002D185D">
        <w:rPr>
          <w:rFonts w:cs="Arial"/>
          <w:i/>
          <w:szCs w:val="20"/>
          <w:u w:val="single"/>
        </w:rPr>
        <w:t>pokud nejsou výlučně a primárně prováděny pro účely projektu VaV</w:t>
      </w:r>
      <w:r w:rsidR="00B07FE9" w:rsidRPr="002D185D">
        <w:rPr>
          <w:rFonts w:cs="Arial"/>
          <w:i/>
          <w:szCs w:val="20"/>
        </w:rPr>
        <w:t>)</w:t>
      </w:r>
      <w:r w:rsidR="00B07FE9" w:rsidRPr="00B07FE9">
        <w:rPr>
          <w:rFonts w:cs="Arial"/>
          <w:szCs w:val="20"/>
        </w:rPr>
        <w:t>.</w:t>
      </w:r>
      <w:r>
        <w:rPr>
          <w:rStyle w:val="st"/>
          <w:b/>
          <w:sz w:val="20"/>
          <w:szCs w:val="20"/>
        </w:rPr>
        <w:t xml:space="preserve"> </w:t>
      </w:r>
      <w:r w:rsidR="00DA3149">
        <w:rPr>
          <w:rFonts w:cs="Arial"/>
          <w:szCs w:val="20"/>
        </w:rPr>
        <w:t>Jedná se</w:t>
      </w:r>
      <w:r w:rsidR="00DA3149" w:rsidRPr="00841B01">
        <w:rPr>
          <w:rFonts w:cs="Arial"/>
          <w:szCs w:val="20"/>
        </w:rPr>
        <w:t xml:space="preserve"> </w:t>
      </w:r>
      <w:r w:rsidRPr="00841B01">
        <w:rPr>
          <w:rFonts w:cs="Arial"/>
          <w:szCs w:val="20"/>
        </w:rPr>
        <w:t>například o:</w:t>
      </w:r>
    </w:p>
    <w:p w:rsidR="008615A9" w:rsidRPr="00EA3364" w:rsidRDefault="008615A9" w:rsidP="00B12596">
      <w:pPr>
        <w:numPr>
          <w:ilvl w:val="0"/>
          <w:numId w:val="22"/>
        </w:numPr>
        <w:tabs>
          <w:tab w:val="left" w:pos="709"/>
        </w:tabs>
        <w:spacing w:after="60" w:line="264" w:lineRule="auto"/>
        <w:ind w:left="714" w:hanging="357"/>
        <w:rPr>
          <w:rFonts w:cs="Arial"/>
          <w:szCs w:val="20"/>
        </w:rPr>
      </w:pPr>
      <w:r w:rsidRPr="008615A9">
        <w:rPr>
          <w:rFonts w:cs="Arial"/>
          <w:b/>
          <w:szCs w:val="20"/>
        </w:rPr>
        <w:t>informační služby</w:t>
      </w:r>
      <w:r>
        <w:rPr>
          <w:rFonts w:cs="Arial"/>
          <w:szCs w:val="20"/>
        </w:rPr>
        <w:t xml:space="preserve"> jako</w:t>
      </w:r>
      <w:r w:rsidR="00C705C6">
        <w:rPr>
          <w:rFonts w:cs="Arial"/>
          <w:szCs w:val="20"/>
        </w:rPr>
        <w:t xml:space="preserve"> </w:t>
      </w:r>
      <w:r w:rsidRPr="00EA3364">
        <w:rPr>
          <w:rFonts w:cs="Arial"/>
          <w:szCs w:val="20"/>
        </w:rPr>
        <w:t xml:space="preserve">shromažďování, kódování, </w:t>
      </w:r>
      <w:r w:rsidR="00C705C6">
        <w:rPr>
          <w:rFonts w:cs="Arial"/>
          <w:szCs w:val="20"/>
        </w:rPr>
        <w:t xml:space="preserve">klasifikace, </w:t>
      </w:r>
      <w:r w:rsidRPr="00EA3364">
        <w:rPr>
          <w:rFonts w:cs="Arial"/>
          <w:szCs w:val="20"/>
        </w:rPr>
        <w:t>zaznamenávání,</w:t>
      </w:r>
      <w:r w:rsidR="00C705C6">
        <w:rPr>
          <w:rFonts w:cs="Arial"/>
          <w:szCs w:val="20"/>
        </w:rPr>
        <w:t xml:space="preserve"> </w:t>
      </w:r>
      <w:r w:rsidRPr="00EA3364">
        <w:rPr>
          <w:rFonts w:cs="Arial"/>
          <w:szCs w:val="20"/>
        </w:rPr>
        <w:t>rozšiřování, překládáni, analyzování</w:t>
      </w:r>
      <w:r w:rsidR="00C705C6">
        <w:rPr>
          <w:rFonts w:cs="Arial"/>
          <w:szCs w:val="20"/>
        </w:rPr>
        <w:t xml:space="preserve"> či </w:t>
      </w:r>
      <w:r w:rsidRPr="00EA3364">
        <w:rPr>
          <w:rFonts w:cs="Arial"/>
          <w:szCs w:val="20"/>
        </w:rPr>
        <w:t xml:space="preserve">vyhodnocování prováděné vědeckotechnickými pracovníky, bibliografickými, patentovými </w:t>
      </w:r>
      <w:r w:rsidR="006519CC">
        <w:rPr>
          <w:rFonts w:cs="Arial"/>
          <w:szCs w:val="20"/>
        </w:rPr>
        <w:t>či</w:t>
      </w:r>
      <w:r w:rsidRPr="00EA3364">
        <w:rPr>
          <w:rFonts w:cs="Arial"/>
          <w:szCs w:val="20"/>
        </w:rPr>
        <w:t xml:space="preserve"> poradenskými službami;</w:t>
      </w:r>
    </w:p>
    <w:p w:rsidR="002D185D" w:rsidRDefault="006519CC" w:rsidP="00B12596">
      <w:pPr>
        <w:numPr>
          <w:ilvl w:val="0"/>
          <w:numId w:val="22"/>
        </w:numPr>
        <w:tabs>
          <w:tab w:val="left" w:pos="709"/>
        </w:tabs>
        <w:spacing w:after="60" w:line="264" w:lineRule="auto"/>
        <w:ind w:left="714" w:hanging="357"/>
        <w:rPr>
          <w:rFonts w:cs="Arial"/>
          <w:szCs w:val="20"/>
        </w:rPr>
      </w:pPr>
      <w:r w:rsidRPr="00C705C6">
        <w:rPr>
          <w:rFonts w:cs="Arial"/>
          <w:b/>
          <w:szCs w:val="20"/>
        </w:rPr>
        <w:t xml:space="preserve">sběr </w:t>
      </w:r>
      <w:r w:rsidR="00050296" w:rsidRPr="00C705C6">
        <w:rPr>
          <w:rFonts w:cs="Arial"/>
          <w:b/>
          <w:szCs w:val="20"/>
        </w:rPr>
        <w:t xml:space="preserve">univerzálních </w:t>
      </w:r>
      <w:r w:rsidRPr="00C705C6">
        <w:rPr>
          <w:rFonts w:cs="Arial"/>
          <w:b/>
          <w:szCs w:val="20"/>
        </w:rPr>
        <w:t xml:space="preserve">údajů </w:t>
      </w:r>
      <w:r w:rsidR="00050296" w:rsidRPr="00C705C6">
        <w:rPr>
          <w:rFonts w:cs="Arial"/>
          <w:szCs w:val="20"/>
        </w:rPr>
        <w:t>o obecných jevech určených pro širokou veřejnost</w:t>
      </w:r>
      <w:r w:rsidR="00050296" w:rsidRPr="00C705C6">
        <w:rPr>
          <w:rFonts w:cs="Arial"/>
          <w:b/>
          <w:szCs w:val="20"/>
        </w:rPr>
        <w:t xml:space="preserve"> </w:t>
      </w:r>
      <w:r w:rsidR="002D185D" w:rsidRPr="00C705C6">
        <w:rPr>
          <w:rFonts w:cs="Arial"/>
          <w:szCs w:val="20"/>
        </w:rPr>
        <w:t>jako je například geologický a meteorologický průzkum, astronomická pozorování nebo průzkum trhu</w:t>
      </w:r>
      <w:r w:rsidR="002D185D">
        <w:rPr>
          <w:rFonts w:cs="Arial"/>
          <w:szCs w:val="20"/>
        </w:rPr>
        <w:t xml:space="preserve">, a to včetně </w:t>
      </w:r>
      <w:r w:rsidR="002D185D" w:rsidRPr="00A5244B">
        <w:rPr>
          <w:rFonts w:cs="Arial"/>
          <w:szCs w:val="20"/>
        </w:rPr>
        <w:t xml:space="preserve">pozorování rutinního charakteru a zpracování těchto údajů </w:t>
      </w:r>
      <w:r w:rsidR="002D185D" w:rsidRPr="008631AE">
        <w:rPr>
          <w:rFonts w:cs="Arial"/>
          <w:i/>
          <w:szCs w:val="20"/>
        </w:rPr>
        <w:t>– výjimkou jsou činnosti prováděné výlučně pro účely projektu VaV</w:t>
      </w:r>
      <w:r w:rsidR="002D185D" w:rsidRPr="00C705C6">
        <w:rPr>
          <w:rFonts w:cs="Arial"/>
          <w:szCs w:val="20"/>
        </w:rPr>
        <w:t>;</w:t>
      </w:r>
    </w:p>
    <w:p w:rsidR="00A5244B" w:rsidRDefault="00A5244B" w:rsidP="00B12596">
      <w:pPr>
        <w:numPr>
          <w:ilvl w:val="0"/>
          <w:numId w:val="22"/>
        </w:numPr>
        <w:tabs>
          <w:tab w:val="left" w:pos="709"/>
        </w:tabs>
        <w:spacing w:after="60" w:line="264" w:lineRule="auto"/>
        <w:ind w:left="714" w:hanging="357"/>
        <w:rPr>
          <w:rFonts w:cs="Arial"/>
          <w:szCs w:val="20"/>
        </w:rPr>
      </w:pPr>
      <w:r>
        <w:rPr>
          <w:rFonts w:cs="Arial"/>
          <w:b/>
          <w:szCs w:val="20"/>
        </w:rPr>
        <w:t>r</w:t>
      </w:r>
      <w:r w:rsidR="002D185D">
        <w:rPr>
          <w:rFonts w:cs="Arial"/>
          <w:b/>
          <w:szCs w:val="20"/>
        </w:rPr>
        <w:t xml:space="preserve">utinní </w:t>
      </w:r>
      <w:r>
        <w:rPr>
          <w:rFonts w:cs="Arial"/>
          <w:b/>
          <w:szCs w:val="20"/>
        </w:rPr>
        <w:t xml:space="preserve">měření, zkoušení, šlechtění </w:t>
      </w:r>
      <w:r w:rsidRPr="00A5244B">
        <w:rPr>
          <w:rFonts w:cs="Arial"/>
          <w:szCs w:val="20"/>
        </w:rPr>
        <w:t>a obdobné činnosti</w:t>
      </w:r>
      <w:r>
        <w:rPr>
          <w:rFonts w:cs="Arial"/>
          <w:b/>
          <w:szCs w:val="20"/>
        </w:rPr>
        <w:t xml:space="preserve"> </w:t>
      </w:r>
      <w:r w:rsidRPr="00A5244B">
        <w:rPr>
          <w:rFonts w:cs="Arial"/>
          <w:szCs w:val="20"/>
        </w:rPr>
        <w:t xml:space="preserve">jako je </w:t>
      </w:r>
      <w:r w:rsidR="002D185D" w:rsidRPr="00A5244B">
        <w:rPr>
          <w:rFonts w:cs="Arial"/>
          <w:szCs w:val="20"/>
        </w:rPr>
        <w:t xml:space="preserve">kalibrace a analýza materiálů, </w:t>
      </w:r>
      <w:r>
        <w:rPr>
          <w:rFonts w:cs="Arial"/>
          <w:szCs w:val="20"/>
        </w:rPr>
        <w:t xml:space="preserve">a to včetně </w:t>
      </w:r>
      <w:r w:rsidRPr="00A5244B">
        <w:rPr>
          <w:rFonts w:cs="Arial"/>
          <w:szCs w:val="20"/>
        </w:rPr>
        <w:t>zpracování</w:t>
      </w:r>
      <w:r w:rsidR="006519CC" w:rsidRPr="00A5244B">
        <w:rPr>
          <w:rFonts w:cs="Arial"/>
          <w:szCs w:val="20"/>
        </w:rPr>
        <w:t xml:space="preserve"> těchto údajů</w:t>
      </w:r>
      <w:r w:rsidR="003321E3">
        <w:rPr>
          <w:rFonts w:cs="Arial"/>
          <w:szCs w:val="20"/>
        </w:rPr>
        <w:t xml:space="preserve"> pokud nejde o </w:t>
      </w:r>
      <w:r w:rsidRPr="003321E3">
        <w:rPr>
          <w:rFonts w:cs="Arial"/>
          <w:szCs w:val="20"/>
        </w:rPr>
        <w:t>činnosti prováděné výlučně pro účely projektu VaV;</w:t>
      </w:r>
    </w:p>
    <w:p w:rsidR="00A5244B" w:rsidRDefault="00A5244B" w:rsidP="00B12596">
      <w:pPr>
        <w:numPr>
          <w:ilvl w:val="0"/>
          <w:numId w:val="22"/>
        </w:numPr>
        <w:tabs>
          <w:tab w:val="left" w:pos="709"/>
        </w:tabs>
        <w:spacing w:after="60" w:line="264" w:lineRule="auto"/>
        <w:ind w:left="714" w:hanging="357"/>
        <w:rPr>
          <w:rFonts w:cs="Arial"/>
          <w:szCs w:val="20"/>
        </w:rPr>
      </w:pPr>
      <w:r w:rsidRPr="00050296">
        <w:rPr>
          <w:rFonts w:cs="Arial"/>
          <w:b/>
          <w:szCs w:val="20"/>
        </w:rPr>
        <w:t>rutinní zkoumání a běžné používání specializovaných lékařských znalostí</w:t>
      </w:r>
      <w:r>
        <w:rPr>
          <w:rFonts w:cs="Arial"/>
          <w:b/>
          <w:szCs w:val="20"/>
        </w:rPr>
        <w:t xml:space="preserve"> </w:t>
      </w:r>
      <w:r w:rsidRPr="008631AE">
        <w:rPr>
          <w:rFonts w:cs="Arial"/>
          <w:i/>
          <w:szCs w:val="20"/>
        </w:rPr>
        <w:t>– výjimkou jsou činnosti prováděné výlučně pro účely projektu VaV</w:t>
      </w:r>
      <w:r w:rsidRPr="00C705C6">
        <w:rPr>
          <w:rFonts w:cs="Arial"/>
          <w:szCs w:val="20"/>
        </w:rPr>
        <w:t>;</w:t>
      </w:r>
    </w:p>
    <w:p w:rsidR="00A5244B" w:rsidRPr="00050296" w:rsidRDefault="00A5244B" w:rsidP="00B12596">
      <w:pPr>
        <w:numPr>
          <w:ilvl w:val="0"/>
          <w:numId w:val="22"/>
        </w:numPr>
        <w:tabs>
          <w:tab w:val="left" w:pos="709"/>
        </w:tabs>
        <w:spacing w:after="60" w:line="264" w:lineRule="auto"/>
        <w:ind w:left="714" w:hanging="357"/>
        <w:rPr>
          <w:rFonts w:cs="Arial"/>
          <w:szCs w:val="20"/>
        </w:rPr>
      </w:pPr>
      <w:r w:rsidRPr="00050296">
        <w:rPr>
          <w:rFonts w:cs="Arial"/>
          <w:b/>
          <w:szCs w:val="20"/>
        </w:rPr>
        <w:t>rutinní vývoj softwaru</w:t>
      </w:r>
      <w:r w:rsidRPr="00A5244B">
        <w:rPr>
          <w:rFonts w:cs="Arial"/>
          <w:szCs w:val="20"/>
        </w:rPr>
        <w:t>, který</w:t>
      </w:r>
      <w:r>
        <w:rPr>
          <w:rFonts w:cs="Arial"/>
          <w:b/>
          <w:szCs w:val="20"/>
        </w:rPr>
        <w:t xml:space="preserve"> z</w:t>
      </w:r>
      <w:r w:rsidRPr="00050296">
        <w:rPr>
          <w:rFonts w:cs="Arial"/>
          <w:szCs w:val="20"/>
        </w:rPr>
        <w:t>ahrnuje prác</w:t>
      </w:r>
      <w:r>
        <w:rPr>
          <w:rFonts w:cs="Arial"/>
          <w:szCs w:val="20"/>
        </w:rPr>
        <w:t>e</w:t>
      </w:r>
      <w:r w:rsidRPr="00050296">
        <w:rPr>
          <w:rFonts w:cs="Arial"/>
          <w:szCs w:val="20"/>
        </w:rPr>
        <w:t xml:space="preserve"> na vylepšení systému a programu, které byly veřejně k dispozici před zahájením práce; vývoj komerčního aplikačního softwaru pomocí známých metod; převádění nebo překlad počítačových jazyků; přidání uživatelské funkčnosti k aplikacím a programům;</w:t>
      </w:r>
    </w:p>
    <w:p w:rsidR="00A5244B" w:rsidRDefault="00A5244B" w:rsidP="00B12596">
      <w:pPr>
        <w:numPr>
          <w:ilvl w:val="0"/>
          <w:numId w:val="22"/>
        </w:numPr>
        <w:tabs>
          <w:tab w:val="left" w:pos="709"/>
        </w:tabs>
        <w:spacing w:after="60" w:line="264" w:lineRule="auto"/>
        <w:ind w:left="714" w:hanging="357"/>
        <w:rPr>
          <w:rFonts w:cs="Arial"/>
          <w:szCs w:val="20"/>
        </w:rPr>
      </w:pPr>
      <w:r w:rsidRPr="00A5244B">
        <w:rPr>
          <w:rFonts w:cs="Arial"/>
          <w:b/>
          <w:szCs w:val="20"/>
        </w:rPr>
        <w:t>administrativní a právní úkony spojené s předměty průmyslových práv a licencemi</w:t>
      </w:r>
      <w:r>
        <w:rPr>
          <w:rFonts w:cs="Arial"/>
          <w:b/>
          <w:szCs w:val="20"/>
        </w:rPr>
        <w:t xml:space="preserve"> </w:t>
      </w:r>
      <w:r w:rsidRPr="008631AE">
        <w:rPr>
          <w:rFonts w:cs="Arial"/>
          <w:i/>
          <w:szCs w:val="20"/>
        </w:rPr>
        <w:t>– výjimkou jsou činnosti prováděné výlučně pro účely projektu VaV</w:t>
      </w:r>
      <w:r w:rsidRPr="00C705C6">
        <w:rPr>
          <w:rFonts w:cs="Arial"/>
          <w:szCs w:val="20"/>
        </w:rPr>
        <w:t>;</w:t>
      </w:r>
    </w:p>
    <w:p w:rsidR="00A5244B" w:rsidRPr="00EA3364" w:rsidRDefault="00A5244B" w:rsidP="00B12596">
      <w:pPr>
        <w:numPr>
          <w:ilvl w:val="0"/>
          <w:numId w:val="22"/>
        </w:numPr>
        <w:tabs>
          <w:tab w:val="left" w:pos="709"/>
        </w:tabs>
        <w:spacing w:after="60" w:line="264" w:lineRule="auto"/>
        <w:ind w:left="714" w:hanging="357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provádění </w:t>
      </w:r>
      <w:r w:rsidRPr="00050296">
        <w:rPr>
          <w:rFonts w:cs="Arial"/>
          <w:b/>
          <w:szCs w:val="20"/>
        </w:rPr>
        <w:t>studi</w:t>
      </w:r>
      <w:r>
        <w:rPr>
          <w:rFonts w:cs="Arial"/>
          <w:b/>
          <w:szCs w:val="20"/>
        </w:rPr>
        <w:t>í</w:t>
      </w:r>
      <w:r w:rsidRPr="00050296">
        <w:rPr>
          <w:rFonts w:cs="Arial"/>
          <w:b/>
          <w:szCs w:val="20"/>
        </w:rPr>
        <w:t xml:space="preserve"> proveditelnosti</w:t>
      </w:r>
      <w:r w:rsidRPr="00EA3364">
        <w:rPr>
          <w:rFonts w:cs="Arial"/>
          <w:szCs w:val="20"/>
        </w:rPr>
        <w:t xml:space="preserve"> (např. zkoumání navrhovaných technických projektů za použití existujících technik k zajištění doplňujících informací před rozhodnutím o implementaci);</w:t>
      </w:r>
    </w:p>
    <w:p w:rsidR="00050296" w:rsidRPr="00A5244B" w:rsidRDefault="00050296" w:rsidP="00B12596">
      <w:pPr>
        <w:numPr>
          <w:ilvl w:val="0"/>
          <w:numId w:val="22"/>
        </w:numPr>
        <w:tabs>
          <w:tab w:val="left" w:pos="709"/>
        </w:tabs>
        <w:spacing w:after="60" w:line="264" w:lineRule="auto"/>
        <w:ind w:left="714" w:hanging="357"/>
        <w:rPr>
          <w:rFonts w:cs="Arial"/>
          <w:szCs w:val="20"/>
        </w:rPr>
      </w:pPr>
      <w:r w:rsidRPr="00A5244B">
        <w:rPr>
          <w:b/>
        </w:rPr>
        <w:t>administrativa a ostatní podpůrné činnosti</w:t>
      </w:r>
      <w:r>
        <w:t xml:space="preserve"> </w:t>
      </w:r>
      <w:r w:rsidR="003321E3">
        <w:t>(</w:t>
      </w:r>
      <w:r>
        <w:t>např. finanční</w:t>
      </w:r>
      <w:r w:rsidR="003321E3">
        <w:t xml:space="preserve">, </w:t>
      </w:r>
      <w:r>
        <w:t>personálních</w:t>
      </w:r>
      <w:r w:rsidR="003321E3">
        <w:t xml:space="preserve"> a</w:t>
      </w:r>
      <w:r>
        <w:t xml:space="preserve"> manažerské činnosti, přeprava, skladování, úklid, opravy, údržba a bezpečnost</w:t>
      </w:r>
      <w:r w:rsidR="003321E3">
        <w:t xml:space="preserve"> apod.)</w:t>
      </w:r>
      <w:r>
        <w:t>;</w:t>
      </w:r>
    </w:p>
    <w:p w:rsidR="00B07FE9" w:rsidRPr="00B07FE9" w:rsidRDefault="00050296" w:rsidP="00B12596">
      <w:pPr>
        <w:numPr>
          <w:ilvl w:val="0"/>
          <w:numId w:val="22"/>
        </w:numPr>
        <w:tabs>
          <w:tab w:val="left" w:pos="709"/>
        </w:tabs>
        <w:spacing w:line="264" w:lineRule="auto"/>
        <w:ind w:left="714" w:hanging="357"/>
        <w:rPr>
          <w:rStyle w:val="st"/>
          <w:rFonts w:cs="Arial"/>
          <w:sz w:val="20"/>
          <w:szCs w:val="20"/>
        </w:rPr>
      </w:pPr>
      <w:r w:rsidRPr="00050296">
        <w:rPr>
          <w:rFonts w:cs="Arial"/>
          <w:b/>
          <w:szCs w:val="20"/>
        </w:rPr>
        <w:t>studie záměrů politiky</w:t>
      </w:r>
      <w:r w:rsidRPr="00EA3364">
        <w:rPr>
          <w:rFonts w:cs="Arial"/>
          <w:szCs w:val="20"/>
        </w:rPr>
        <w:t xml:space="preserve"> - národní a regionální politika, tvorba podnikatelských záměrů;</w:t>
      </w:r>
      <w:r w:rsidR="00B07FE9" w:rsidRPr="00B07FE9">
        <w:rPr>
          <w:rStyle w:val="st"/>
          <w:sz w:val="20"/>
          <w:szCs w:val="20"/>
        </w:rPr>
        <w:t xml:space="preserve"> </w:t>
      </w:r>
    </w:p>
    <w:p w:rsidR="00050296" w:rsidRPr="007178D3" w:rsidRDefault="00B07FE9" w:rsidP="00B12596">
      <w:pPr>
        <w:pStyle w:val="Odstavecseseznamem"/>
        <w:numPr>
          <w:ilvl w:val="0"/>
          <w:numId w:val="22"/>
        </w:numPr>
        <w:spacing w:after="60" w:line="288" w:lineRule="auto"/>
        <w:ind w:left="426" w:hanging="284"/>
        <w:contextualSpacing w:val="0"/>
        <w:rPr>
          <w:rStyle w:val="st"/>
          <w:sz w:val="20"/>
          <w:szCs w:val="20"/>
        </w:rPr>
      </w:pPr>
      <w:r w:rsidRPr="007178D3">
        <w:rPr>
          <w:rStyle w:val="st"/>
          <w:b/>
          <w:sz w:val="20"/>
          <w:szCs w:val="20"/>
        </w:rPr>
        <w:t>činnosti inovačního charakteru</w:t>
      </w:r>
      <w:r w:rsidRPr="007178D3">
        <w:rPr>
          <w:rStyle w:val="st"/>
          <w:sz w:val="20"/>
          <w:szCs w:val="20"/>
        </w:rPr>
        <w:t xml:space="preserve">, které </w:t>
      </w:r>
      <w:r w:rsidRPr="007178D3">
        <w:rPr>
          <w:rStyle w:val="st"/>
          <w:b/>
          <w:sz w:val="20"/>
          <w:szCs w:val="20"/>
        </w:rPr>
        <w:t>nezahrnují ocenitelný prvek novosti</w:t>
      </w:r>
      <w:r w:rsidR="008631AE" w:rsidRPr="007178D3">
        <w:rPr>
          <w:rStyle w:val="st"/>
          <w:sz w:val="20"/>
          <w:szCs w:val="20"/>
        </w:rPr>
        <w:t xml:space="preserve">, tj. </w:t>
      </w:r>
      <w:r w:rsidR="00AD4D81" w:rsidRPr="007178D3">
        <w:rPr>
          <w:rStyle w:val="st"/>
          <w:sz w:val="20"/>
          <w:szCs w:val="20"/>
        </w:rPr>
        <w:t>běžné nebo pravidelné změny výrobků, výrobních linek, výrobních postupů</w:t>
      </w:r>
      <w:r w:rsidR="007178D3">
        <w:rPr>
          <w:rStyle w:val="st"/>
          <w:sz w:val="20"/>
          <w:szCs w:val="20"/>
        </w:rPr>
        <w:t xml:space="preserve"> a</w:t>
      </w:r>
      <w:r w:rsidR="00AD4D81" w:rsidRPr="007178D3">
        <w:rPr>
          <w:rStyle w:val="st"/>
          <w:sz w:val="20"/>
          <w:szCs w:val="20"/>
        </w:rPr>
        <w:t xml:space="preserve"> služeb </w:t>
      </w:r>
      <w:r w:rsidR="007178D3">
        <w:rPr>
          <w:rStyle w:val="st"/>
          <w:sz w:val="20"/>
          <w:szCs w:val="20"/>
        </w:rPr>
        <w:t xml:space="preserve">a související činnosti </w:t>
      </w:r>
      <w:r w:rsidRPr="007178D3">
        <w:rPr>
          <w:rStyle w:val="st"/>
          <w:sz w:val="20"/>
          <w:szCs w:val="20"/>
        </w:rPr>
        <w:t>jako je např.:</w:t>
      </w:r>
    </w:p>
    <w:p w:rsidR="00050296" w:rsidRDefault="00050296" w:rsidP="00B12596">
      <w:pPr>
        <w:numPr>
          <w:ilvl w:val="0"/>
          <w:numId w:val="22"/>
        </w:numPr>
        <w:tabs>
          <w:tab w:val="left" w:pos="709"/>
        </w:tabs>
        <w:spacing w:after="60" w:line="264" w:lineRule="auto"/>
        <w:ind w:left="714" w:hanging="357"/>
        <w:rPr>
          <w:rFonts w:cs="Arial"/>
          <w:szCs w:val="20"/>
        </w:rPr>
      </w:pPr>
      <w:r w:rsidRPr="00F27EBE">
        <w:rPr>
          <w:rFonts w:cs="Arial"/>
          <w:b/>
          <w:szCs w:val="20"/>
        </w:rPr>
        <w:t>výzkum trhu</w:t>
      </w:r>
      <w:r w:rsidR="00F27EBE">
        <w:rPr>
          <w:rFonts w:cs="Arial"/>
          <w:szCs w:val="20"/>
        </w:rPr>
        <w:t>;</w:t>
      </w:r>
    </w:p>
    <w:p w:rsidR="00F27EBE" w:rsidRPr="00F27EBE" w:rsidRDefault="00F27EBE" w:rsidP="00B12596">
      <w:pPr>
        <w:numPr>
          <w:ilvl w:val="0"/>
          <w:numId w:val="22"/>
        </w:numPr>
        <w:tabs>
          <w:tab w:val="left" w:pos="709"/>
        </w:tabs>
        <w:spacing w:after="60" w:line="264" w:lineRule="auto"/>
        <w:ind w:left="714" w:hanging="357"/>
        <w:rPr>
          <w:rFonts w:cs="Arial"/>
          <w:b/>
          <w:szCs w:val="20"/>
        </w:rPr>
      </w:pPr>
      <w:r w:rsidRPr="00F27EBE">
        <w:rPr>
          <w:rFonts w:cs="Arial"/>
          <w:b/>
          <w:szCs w:val="20"/>
        </w:rPr>
        <w:t>projektování výrobní</w:t>
      </w:r>
      <w:r w:rsidR="00B07FE9">
        <w:rPr>
          <w:rFonts w:cs="Arial"/>
          <w:b/>
          <w:szCs w:val="20"/>
        </w:rPr>
        <w:t>ho</w:t>
      </w:r>
      <w:r w:rsidRPr="00F27EBE">
        <w:rPr>
          <w:rFonts w:cs="Arial"/>
          <w:b/>
          <w:szCs w:val="20"/>
        </w:rPr>
        <w:t xml:space="preserve"> proces</w:t>
      </w:r>
      <w:r w:rsidR="00B07FE9">
        <w:rPr>
          <w:rFonts w:cs="Arial"/>
          <w:b/>
          <w:szCs w:val="20"/>
        </w:rPr>
        <w:t>u</w:t>
      </w:r>
      <w:r w:rsidRPr="00F27EBE">
        <w:rPr>
          <w:rFonts w:cs="Arial"/>
          <w:b/>
          <w:szCs w:val="20"/>
        </w:rPr>
        <w:t>;</w:t>
      </w:r>
    </w:p>
    <w:p w:rsidR="00F27EBE" w:rsidRPr="00F27EBE" w:rsidRDefault="00AD4D81" w:rsidP="00B12596">
      <w:pPr>
        <w:numPr>
          <w:ilvl w:val="0"/>
          <w:numId w:val="22"/>
        </w:numPr>
        <w:tabs>
          <w:tab w:val="left" w:pos="709"/>
        </w:tabs>
        <w:spacing w:after="60" w:line="264" w:lineRule="auto"/>
        <w:ind w:left="714" w:hanging="357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činnosti </w:t>
      </w:r>
      <w:r w:rsidR="00050296" w:rsidRPr="00F27EBE">
        <w:rPr>
          <w:rFonts w:cs="Arial"/>
          <w:b/>
          <w:szCs w:val="20"/>
        </w:rPr>
        <w:t>nezbytné pro implementaci nových nebo zdokonalených výrobku nebo služeb</w:t>
      </w:r>
      <w:r w:rsidR="00F27EBE" w:rsidRPr="00F27EBE">
        <w:rPr>
          <w:rFonts w:cs="Arial"/>
          <w:szCs w:val="20"/>
        </w:rPr>
        <w:t xml:space="preserve"> (např. nastartování výroby využitelné pro všechny průmyslové situace; výroba ukázkových modelů, provádění zkoušek pro uživatele, předvýrobní příprava</w:t>
      </w:r>
      <w:r w:rsidR="00F27EBE">
        <w:rPr>
          <w:rFonts w:cs="Arial"/>
          <w:szCs w:val="20"/>
        </w:rPr>
        <w:t xml:space="preserve"> apod.</w:t>
      </w:r>
      <w:r w:rsidR="00F27EBE" w:rsidRPr="00F27EBE">
        <w:rPr>
          <w:rFonts w:cs="Arial"/>
          <w:szCs w:val="20"/>
        </w:rPr>
        <w:t>);</w:t>
      </w:r>
    </w:p>
    <w:p w:rsidR="00050296" w:rsidRPr="00050296" w:rsidRDefault="00050296" w:rsidP="00B12596">
      <w:pPr>
        <w:numPr>
          <w:ilvl w:val="0"/>
          <w:numId w:val="22"/>
        </w:numPr>
        <w:tabs>
          <w:tab w:val="left" w:pos="709"/>
        </w:tabs>
        <w:spacing w:after="60" w:line="264" w:lineRule="auto"/>
        <w:ind w:left="714" w:hanging="357"/>
        <w:rPr>
          <w:rFonts w:cs="Arial"/>
          <w:szCs w:val="20"/>
        </w:rPr>
      </w:pPr>
      <w:r w:rsidRPr="00F27EBE">
        <w:rPr>
          <w:rFonts w:cs="Arial"/>
          <w:b/>
          <w:szCs w:val="20"/>
        </w:rPr>
        <w:t>komerční využití</w:t>
      </w:r>
      <w:r w:rsidRPr="00050296">
        <w:rPr>
          <w:rFonts w:cs="Arial"/>
          <w:szCs w:val="20"/>
        </w:rPr>
        <w:t xml:space="preserve"> nových nebo podstatně zdokonalených postupů;</w:t>
      </w:r>
    </w:p>
    <w:p w:rsidR="00F27EBE" w:rsidRDefault="00050296" w:rsidP="00B12596">
      <w:pPr>
        <w:numPr>
          <w:ilvl w:val="0"/>
          <w:numId w:val="22"/>
        </w:numPr>
        <w:tabs>
          <w:tab w:val="left" w:pos="709"/>
        </w:tabs>
        <w:spacing w:line="264" w:lineRule="auto"/>
        <w:ind w:left="714" w:hanging="357"/>
        <w:rPr>
          <w:rFonts w:cs="Arial"/>
          <w:szCs w:val="20"/>
        </w:rPr>
      </w:pPr>
      <w:r w:rsidRPr="00F27EBE">
        <w:rPr>
          <w:rFonts w:cs="Arial"/>
          <w:b/>
          <w:szCs w:val="20"/>
        </w:rPr>
        <w:t>marketing</w:t>
      </w:r>
      <w:r w:rsidRPr="00050296">
        <w:rPr>
          <w:rFonts w:cs="Arial"/>
          <w:szCs w:val="20"/>
        </w:rPr>
        <w:t xml:space="preserve"> nových nebo zdokonalených výrobků</w:t>
      </w:r>
      <w:r w:rsidR="00F27EBE">
        <w:rPr>
          <w:rFonts w:cs="Arial"/>
          <w:szCs w:val="20"/>
        </w:rPr>
        <w:t>.</w:t>
      </w:r>
    </w:p>
    <w:p w:rsidR="00F27EBE" w:rsidRDefault="005E5260" w:rsidP="00F27EBE">
      <w:pPr>
        <w:tabs>
          <w:tab w:val="left" w:pos="709"/>
        </w:tabs>
        <w:rPr>
          <w:b/>
        </w:rPr>
      </w:pPr>
      <w:r>
        <w:t>Výše u</w:t>
      </w:r>
      <w:r w:rsidR="00F27EBE" w:rsidRPr="00F27EBE">
        <w:rPr>
          <w:rFonts w:cs="Arial"/>
          <w:szCs w:val="20"/>
        </w:rPr>
        <w:t xml:space="preserve">vedený seznam činností není doslovný opis </w:t>
      </w:r>
      <w:r w:rsidR="00F27EBE">
        <w:rPr>
          <w:rFonts w:cs="Arial"/>
          <w:szCs w:val="20"/>
        </w:rPr>
        <w:t xml:space="preserve">z </w:t>
      </w:r>
      <w:r w:rsidR="00F27EBE" w:rsidRPr="00F27EBE">
        <w:rPr>
          <w:rStyle w:val="st"/>
          <w:rFonts w:cs="Arial"/>
          <w:sz w:val="20"/>
          <w:szCs w:val="20"/>
        </w:rPr>
        <w:t>pokynu MF-17, ale jeho upravená podoba.</w:t>
      </w:r>
      <w:r w:rsidR="00F27EBE">
        <w:rPr>
          <w:rStyle w:val="st"/>
          <w:rFonts w:cs="Arial"/>
          <w:sz w:val="20"/>
          <w:szCs w:val="20"/>
        </w:rPr>
        <w:t xml:space="preserve"> Neupravený </w:t>
      </w:r>
      <w:r w:rsidR="005D74E7">
        <w:rPr>
          <w:rStyle w:val="st"/>
          <w:rFonts w:cs="Arial"/>
          <w:sz w:val="20"/>
          <w:szCs w:val="20"/>
        </w:rPr>
        <w:t xml:space="preserve">a úplný </w:t>
      </w:r>
      <w:r w:rsidR="00F27EBE">
        <w:rPr>
          <w:rStyle w:val="st"/>
          <w:rFonts w:cs="Arial"/>
          <w:sz w:val="20"/>
          <w:szCs w:val="20"/>
        </w:rPr>
        <w:t xml:space="preserve">seznam těchto činností je uveden ve </w:t>
      </w:r>
      <w:r w:rsidR="00F27EBE" w:rsidRPr="00F27EBE">
        <w:rPr>
          <w:rStyle w:val="st"/>
          <w:rFonts w:cs="Arial"/>
          <w:sz w:val="20"/>
          <w:szCs w:val="20"/>
        </w:rPr>
        <w:t>Finanční</w:t>
      </w:r>
      <w:r w:rsidR="00F27EBE">
        <w:rPr>
          <w:rStyle w:val="st"/>
          <w:rFonts w:cs="Arial"/>
          <w:sz w:val="20"/>
          <w:szCs w:val="20"/>
        </w:rPr>
        <w:t>m</w:t>
      </w:r>
      <w:r w:rsidR="00F27EBE" w:rsidRPr="00F27EBE">
        <w:rPr>
          <w:rStyle w:val="st"/>
          <w:rFonts w:cs="Arial"/>
          <w:sz w:val="20"/>
          <w:szCs w:val="20"/>
        </w:rPr>
        <w:t xml:space="preserve"> zpravodaj</w:t>
      </w:r>
      <w:r w:rsidR="00F27EBE">
        <w:rPr>
          <w:rStyle w:val="st"/>
          <w:rFonts w:cs="Arial"/>
          <w:sz w:val="20"/>
          <w:szCs w:val="20"/>
        </w:rPr>
        <w:t>i</w:t>
      </w:r>
      <w:r w:rsidR="00F27EBE" w:rsidRPr="00F27EBE">
        <w:rPr>
          <w:rStyle w:val="st"/>
          <w:rFonts w:cs="Arial"/>
          <w:sz w:val="20"/>
          <w:szCs w:val="20"/>
        </w:rPr>
        <w:t xml:space="preserve"> č. 8/2020</w:t>
      </w:r>
      <w:r w:rsidR="00F27EBE">
        <w:rPr>
          <w:rStyle w:val="st"/>
          <w:rFonts w:cs="Arial"/>
          <w:sz w:val="20"/>
          <w:szCs w:val="20"/>
        </w:rPr>
        <w:t>; b</w:t>
      </w:r>
      <w:r w:rsidR="00F27EBE" w:rsidRPr="00F27EBE">
        <w:rPr>
          <w:rStyle w:val="st"/>
          <w:rFonts w:cs="Arial"/>
          <w:sz w:val="20"/>
          <w:szCs w:val="20"/>
        </w:rPr>
        <w:t>od č. 11</w:t>
      </w:r>
      <w:r w:rsidR="00F27EBE">
        <w:rPr>
          <w:rStyle w:val="st"/>
          <w:rFonts w:cs="Arial"/>
          <w:sz w:val="20"/>
          <w:szCs w:val="20"/>
        </w:rPr>
        <w:t>.</w:t>
      </w:r>
      <w:r w:rsidR="00651076">
        <w:rPr>
          <w:rStyle w:val="st"/>
          <w:rFonts w:cs="Arial"/>
          <w:sz w:val="20"/>
          <w:szCs w:val="20"/>
        </w:rPr>
        <w:t xml:space="preserve"> </w:t>
      </w:r>
      <w:r w:rsidR="00036F28">
        <w:rPr>
          <w:rStyle w:val="st"/>
          <w:rFonts w:cs="Arial"/>
          <w:sz w:val="20"/>
          <w:szCs w:val="20"/>
        </w:rPr>
        <w:t xml:space="preserve"> </w:t>
      </w:r>
      <w:r w:rsidR="00B12596" w:rsidRPr="00937937">
        <w:t xml:space="preserve">V některých případech může být obtížné odlišit VaV od </w:t>
      </w:r>
      <w:r w:rsidR="00B12596">
        <w:t xml:space="preserve">podobných </w:t>
      </w:r>
      <w:r w:rsidR="00B12596" w:rsidRPr="00937937">
        <w:t xml:space="preserve">činností. Základním pravidlem pro určení VaV by měla být </w:t>
      </w:r>
      <w:r w:rsidR="00B12596" w:rsidRPr="00036F28">
        <w:t>přítomnost prvku</w:t>
      </w:r>
      <w:r w:rsidR="00B12596" w:rsidRPr="00937937">
        <w:rPr>
          <w:b/>
        </w:rPr>
        <w:t xml:space="preserve"> novosti</w:t>
      </w:r>
      <w:r w:rsidR="00B12596">
        <w:rPr>
          <w:b/>
        </w:rPr>
        <w:t>.</w:t>
      </w:r>
    </w:p>
    <w:p w:rsidR="00036F28" w:rsidRDefault="00036F28" w:rsidP="001F4263">
      <w:pPr>
        <w:shd w:val="clear" w:color="auto" w:fill="DAEEF3" w:themeFill="accent5" w:themeFillTint="33"/>
        <w:spacing w:after="0"/>
      </w:pPr>
      <w:r w:rsidRPr="00036F28">
        <w:rPr>
          <w:b/>
        </w:rPr>
        <w:lastRenderedPageBreak/>
        <w:t>Upozornění:</w:t>
      </w:r>
      <w:r>
        <w:t xml:space="preserve"> </w:t>
      </w:r>
    </w:p>
    <w:p w:rsidR="001F4263" w:rsidRPr="001F4263" w:rsidRDefault="001F4263" w:rsidP="001F4263">
      <w:pPr>
        <w:shd w:val="clear" w:color="auto" w:fill="DAEEF3" w:themeFill="accent5" w:themeFillTint="33"/>
        <w:spacing w:after="0"/>
        <w:rPr>
          <w:sz w:val="6"/>
          <w:szCs w:val="16"/>
        </w:rPr>
      </w:pPr>
    </w:p>
    <w:p w:rsidR="00036F28" w:rsidRPr="00B12596" w:rsidRDefault="00036F28" w:rsidP="00B12596">
      <w:pPr>
        <w:pStyle w:val="Odstavecseseznamem"/>
        <w:numPr>
          <w:ilvl w:val="0"/>
          <w:numId w:val="46"/>
        </w:numPr>
        <w:shd w:val="clear" w:color="auto" w:fill="DAEEF3" w:themeFill="accent5" w:themeFillTint="33"/>
        <w:spacing w:line="288" w:lineRule="auto"/>
        <w:contextualSpacing w:val="0"/>
        <w:rPr>
          <w:b/>
        </w:rPr>
      </w:pPr>
      <w:r>
        <w:t xml:space="preserve">daňovou </w:t>
      </w:r>
      <w:r w:rsidRPr="003F6D94">
        <w:t xml:space="preserve">podporu VaV </w:t>
      </w:r>
      <w:r w:rsidRPr="00B12596">
        <w:rPr>
          <w:b/>
        </w:rPr>
        <w:t>nelze uplatnit</w:t>
      </w:r>
      <w:r w:rsidRPr="003F6D94">
        <w:t xml:space="preserve"> na projekty, na něž byla alespoň z části poskytnuta </w:t>
      </w:r>
      <w:r w:rsidRPr="00B12596">
        <w:rPr>
          <w:b/>
        </w:rPr>
        <w:t>přímá finanční podpora VaV z domácích nebo zahraničních veřejných zdrojů</w:t>
      </w:r>
      <w:r w:rsidR="001F4263">
        <w:rPr>
          <w:b/>
        </w:rPr>
        <w:t>.</w:t>
      </w:r>
    </w:p>
    <w:p w:rsidR="00036F28" w:rsidRDefault="00B12596" w:rsidP="00B12596">
      <w:pPr>
        <w:pStyle w:val="Odstavecseseznamem"/>
        <w:numPr>
          <w:ilvl w:val="0"/>
          <w:numId w:val="46"/>
        </w:numPr>
        <w:shd w:val="clear" w:color="auto" w:fill="DAEEF3" w:themeFill="accent5" w:themeFillTint="33"/>
        <w:spacing w:line="288" w:lineRule="auto"/>
        <w:contextualSpacing w:val="0"/>
      </w:pPr>
      <w:r>
        <w:t>d</w:t>
      </w:r>
      <w:r w:rsidR="00036F28" w:rsidRPr="003F6D94">
        <w:t xml:space="preserve">aňovou podporu VaV </w:t>
      </w:r>
      <w:r w:rsidR="00036F28">
        <w:t xml:space="preserve">rovněž </w:t>
      </w:r>
      <w:r w:rsidR="00036F28" w:rsidRPr="00B12596">
        <w:rPr>
          <w:b/>
        </w:rPr>
        <w:t>nelze využít</w:t>
      </w:r>
      <w:r w:rsidR="00036F28" w:rsidRPr="003F6D94">
        <w:t xml:space="preserve"> v případě, kdy podnik v daném daňovém období vykáže ztrátu</w:t>
      </w:r>
      <w:r w:rsidR="00036F28">
        <w:t>, čímž mu v</w:t>
      </w:r>
      <w:r w:rsidR="00036F28" w:rsidRPr="003F6D94">
        <w:t xml:space="preserve"> daném roce </w:t>
      </w:r>
      <w:r w:rsidR="00036F28">
        <w:t xml:space="preserve">odpadá </w:t>
      </w:r>
      <w:r w:rsidR="00036F28" w:rsidRPr="003F6D94">
        <w:t>daňov</w:t>
      </w:r>
      <w:r w:rsidR="00036F28">
        <w:t>á</w:t>
      </w:r>
      <w:r w:rsidR="00036F28" w:rsidRPr="003F6D94">
        <w:t xml:space="preserve"> povinnost. V této situaci </w:t>
      </w:r>
      <w:r w:rsidR="00036F28" w:rsidRPr="00B12596">
        <w:rPr>
          <w:b/>
        </w:rPr>
        <w:t>lze přenést</w:t>
      </w:r>
      <w:r w:rsidR="00036F28" w:rsidRPr="003F6D94">
        <w:t xml:space="preserve"> možnost snížení daňové povinnosti </w:t>
      </w:r>
      <w:r w:rsidR="00036F28" w:rsidRPr="00B12596">
        <w:rPr>
          <w:b/>
        </w:rPr>
        <w:t>do následujících tří let</w:t>
      </w:r>
      <w:r w:rsidR="00036F28" w:rsidRPr="003F6D94">
        <w:t xml:space="preserve">, za předpokladu, </w:t>
      </w:r>
      <w:r w:rsidR="00036F28">
        <w:t xml:space="preserve">objeví-li </w:t>
      </w:r>
      <w:r w:rsidR="00036F28" w:rsidRPr="003F6D94">
        <w:t xml:space="preserve">se odpočet v daňovém přiznání </w:t>
      </w:r>
      <w:r w:rsidR="00036F28">
        <w:t xml:space="preserve">za </w:t>
      </w:r>
      <w:r w:rsidR="00036F28" w:rsidRPr="003F6D94">
        <w:t>období, v</w:t>
      </w:r>
      <w:r w:rsidR="00036F28">
        <w:t xml:space="preserve"> němž </w:t>
      </w:r>
      <w:r w:rsidR="00036F28" w:rsidRPr="003F6D94">
        <w:t xml:space="preserve">projekt </w:t>
      </w:r>
      <w:r w:rsidR="00036F28">
        <w:t xml:space="preserve">VaV </w:t>
      </w:r>
      <w:r w:rsidR="00036F28" w:rsidRPr="003F6D94">
        <w:t xml:space="preserve">probíhal. Zpětné uplatnění </w:t>
      </w:r>
      <w:r w:rsidR="00036F28">
        <w:t>umožněno není</w:t>
      </w:r>
      <w:r w:rsidR="00036F28" w:rsidRPr="003F6D94">
        <w:t>.</w:t>
      </w:r>
    </w:p>
    <w:p w:rsidR="00036F28" w:rsidRDefault="00B12596" w:rsidP="00B12596">
      <w:pPr>
        <w:pStyle w:val="Odstavecseseznamem"/>
        <w:numPr>
          <w:ilvl w:val="0"/>
          <w:numId w:val="46"/>
        </w:numPr>
        <w:shd w:val="clear" w:color="auto" w:fill="DAEEF3" w:themeFill="accent5" w:themeFillTint="33"/>
        <w:spacing w:line="288" w:lineRule="auto"/>
        <w:contextualSpacing w:val="0"/>
      </w:pPr>
      <w:r>
        <w:t>p</w:t>
      </w:r>
      <w:r w:rsidR="00036F28" w:rsidRPr="003C075E">
        <w:t>okud poplatník v období, kdy vznikl nárok na odpočet, tj. v období, kdy byly výdaje (náklady) na realizaci projektu výzkumu a vývoje vynaložen</w:t>
      </w:r>
      <w:r w:rsidR="00036F28">
        <w:t xml:space="preserve">y, </w:t>
      </w:r>
      <w:r w:rsidR="00036F28" w:rsidRPr="00B12596">
        <w:rPr>
          <w:b/>
        </w:rPr>
        <w:t xml:space="preserve">vykáže základ daně z příjmů </w:t>
      </w:r>
      <w:r w:rsidR="00036F28" w:rsidRPr="003C075E">
        <w:t>(ř. 270 daňového přiznání)</w:t>
      </w:r>
      <w:r w:rsidR="00036F28" w:rsidRPr="00B12596">
        <w:rPr>
          <w:b/>
        </w:rPr>
        <w:t xml:space="preserve"> dostatečně vysoký a odpočet na podporu </w:t>
      </w:r>
      <w:r>
        <w:rPr>
          <w:b/>
        </w:rPr>
        <w:t>VaV</w:t>
      </w:r>
      <w:r w:rsidR="00036F28" w:rsidRPr="00B12596">
        <w:rPr>
          <w:b/>
        </w:rPr>
        <w:t xml:space="preserve"> neuplatní </w:t>
      </w:r>
      <w:r w:rsidR="00036F28" w:rsidRPr="00B12596">
        <w:t>nebo ho neuplatní v celkové možné výši,</w:t>
      </w:r>
      <w:r w:rsidR="00036F28" w:rsidRPr="00B12596">
        <w:rPr>
          <w:b/>
        </w:rPr>
        <w:t xml:space="preserve"> nelze tento odpočet nebo jeho část přenášet do dalších období</w:t>
      </w:r>
      <w:r w:rsidR="00036F28" w:rsidRPr="003C075E">
        <w:t>.</w:t>
      </w:r>
    </w:p>
    <w:p w:rsidR="000D0B9E" w:rsidRPr="0029722B" w:rsidRDefault="0029722B" w:rsidP="0029722B">
      <w:pPr>
        <w:pStyle w:val="Nadpis3"/>
        <w:spacing w:after="120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2.1.2 </w:t>
      </w:r>
      <w:r w:rsidR="00CF21E3" w:rsidRPr="0029722B">
        <w:rPr>
          <w:rStyle w:val="st"/>
          <w:sz w:val="24"/>
          <w:szCs w:val="24"/>
        </w:rPr>
        <w:t>U</w:t>
      </w:r>
      <w:r w:rsidR="000D0B9E" w:rsidRPr="0029722B">
        <w:rPr>
          <w:rStyle w:val="st"/>
          <w:sz w:val="24"/>
          <w:szCs w:val="24"/>
        </w:rPr>
        <w:t xml:space="preserve">znatelné </w:t>
      </w:r>
      <w:r w:rsidR="00CF21E3" w:rsidRPr="0029722B">
        <w:rPr>
          <w:rStyle w:val="st"/>
          <w:sz w:val="24"/>
          <w:szCs w:val="24"/>
        </w:rPr>
        <w:t xml:space="preserve">výdaje </w:t>
      </w:r>
      <w:r w:rsidR="000D0B9E" w:rsidRPr="0029722B">
        <w:rPr>
          <w:rStyle w:val="st"/>
          <w:sz w:val="24"/>
          <w:szCs w:val="24"/>
        </w:rPr>
        <w:t>z hlediska daňové podpory VaV</w:t>
      </w:r>
    </w:p>
    <w:p w:rsidR="000D0B9E" w:rsidRPr="00323022" w:rsidRDefault="005D74E7" w:rsidP="00323022">
      <w:r w:rsidRPr="00BC784E">
        <w:rPr>
          <w:rStyle w:val="st"/>
          <w:rFonts w:cs="Arial"/>
          <w:sz w:val="20"/>
          <w:szCs w:val="20"/>
        </w:rPr>
        <w:t>Výdaje, které</w:t>
      </w:r>
      <w:r w:rsidR="000D0B9E" w:rsidRPr="00BC784E">
        <w:rPr>
          <w:rStyle w:val="st"/>
          <w:rFonts w:cs="Arial"/>
          <w:sz w:val="20"/>
          <w:szCs w:val="20"/>
        </w:rPr>
        <w:t xml:space="preserve"> lze v Česku uplatnit jako odečitateln</w:t>
      </w:r>
      <w:r w:rsidR="007178D3" w:rsidRPr="00BC784E">
        <w:rPr>
          <w:rStyle w:val="st"/>
          <w:rFonts w:cs="Arial"/>
          <w:sz w:val="20"/>
          <w:szCs w:val="20"/>
        </w:rPr>
        <w:t>á</w:t>
      </w:r>
      <w:r w:rsidR="000D0B9E" w:rsidRPr="00BC784E">
        <w:rPr>
          <w:rStyle w:val="st"/>
          <w:rFonts w:cs="Arial"/>
          <w:sz w:val="20"/>
          <w:szCs w:val="20"/>
        </w:rPr>
        <w:t xml:space="preserve"> položk</w:t>
      </w:r>
      <w:r w:rsidR="007178D3" w:rsidRPr="00BC784E">
        <w:rPr>
          <w:rStyle w:val="st"/>
          <w:rFonts w:cs="Arial"/>
          <w:sz w:val="20"/>
          <w:szCs w:val="20"/>
        </w:rPr>
        <w:t>a</w:t>
      </w:r>
      <w:r w:rsidR="000D0B9E" w:rsidRPr="00BC784E">
        <w:rPr>
          <w:rStyle w:val="st"/>
          <w:rFonts w:cs="Arial"/>
          <w:sz w:val="20"/>
          <w:szCs w:val="20"/>
        </w:rPr>
        <w:t xml:space="preserve"> </w:t>
      </w:r>
      <w:r w:rsidR="007C6B79" w:rsidRPr="00BC784E">
        <w:rPr>
          <w:rStyle w:val="st"/>
          <w:rFonts w:cs="Arial"/>
          <w:sz w:val="20"/>
          <w:szCs w:val="20"/>
        </w:rPr>
        <w:t>o</w:t>
      </w:r>
      <w:r w:rsidR="00ED26B4" w:rsidRPr="00BC784E">
        <w:rPr>
          <w:rStyle w:val="st"/>
          <w:rFonts w:cs="Arial"/>
          <w:sz w:val="20"/>
          <w:szCs w:val="20"/>
        </w:rPr>
        <w:t>d základu daně z</w:t>
      </w:r>
      <w:r w:rsidR="001A3F1E" w:rsidRPr="00BC784E">
        <w:rPr>
          <w:rStyle w:val="st"/>
          <w:rFonts w:cs="Arial"/>
          <w:sz w:val="20"/>
          <w:szCs w:val="20"/>
        </w:rPr>
        <w:t> </w:t>
      </w:r>
      <w:r w:rsidR="00ED26B4" w:rsidRPr="00BC784E">
        <w:rPr>
          <w:rStyle w:val="st"/>
          <w:rFonts w:cs="Arial"/>
          <w:sz w:val="20"/>
          <w:szCs w:val="20"/>
        </w:rPr>
        <w:t>příjmů</w:t>
      </w:r>
      <w:r w:rsidR="00DF279E" w:rsidRPr="00BC784E">
        <w:rPr>
          <w:rStyle w:val="st"/>
          <w:rFonts w:cs="Arial"/>
          <w:sz w:val="20"/>
          <w:szCs w:val="20"/>
        </w:rPr>
        <w:t xml:space="preserve"> </w:t>
      </w:r>
      <w:r w:rsidR="000D0B9E" w:rsidRPr="00BC784E">
        <w:rPr>
          <w:rStyle w:val="st"/>
          <w:rFonts w:cs="Arial"/>
          <w:sz w:val="20"/>
          <w:szCs w:val="20"/>
        </w:rPr>
        <w:t xml:space="preserve">v rámci daňové podpory </w:t>
      </w:r>
      <w:r w:rsidRPr="00BC784E">
        <w:rPr>
          <w:rStyle w:val="st"/>
          <w:rFonts w:cs="Arial"/>
          <w:sz w:val="20"/>
          <w:szCs w:val="20"/>
        </w:rPr>
        <w:t>VaV,</w:t>
      </w:r>
      <w:r w:rsidR="000D0B9E" w:rsidRPr="00BC784E">
        <w:rPr>
          <w:rStyle w:val="st"/>
          <w:rFonts w:cs="Arial"/>
          <w:sz w:val="20"/>
          <w:szCs w:val="20"/>
        </w:rPr>
        <w:t xml:space="preserve"> jsou uvedeny </w:t>
      </w:r>
      <w:r w:rsidRPr="00BC784E">
        <w:rPr>
          <w:rStyle w:val="st"/>
          <w:rFonts w:cs="Arial"/>
          <w:sz w:val="20"/>
          <w:szCs w:val="20"/>
        </w:rPr>
        <w:t xml:space="preserve">opět </w:t>
      </w:r>
      <w:r w:rsidR="000D0B9E" w:rsidRPr="00BC784E">
        <w:rPr>
          <w:rStyle w:val="st"/>
          <w:rFonts w:cs="Arial"/>
          <w:sz w:val="20"/>
          <w:szCs w:val="20"/>
        </w:rPr>
        <w:t>v</w:t>
      </w:r>
      <w:r w:rsidRPr="00BC784E">
        <w:rPr>
          <w:rStyle w:val="st"/>
          <w:rFonts w:cs="Arial"/>
          <w:sz w:val="20"/>
          <w:szCs w:val="20"/>
        </w:rPr>
        <w:t xml:space="preserve"> </w:t>
      </w:r>
      <w:r w:rsidR="008631AE" w:rsidRPr="00BC784E">
        <w:rPr>
          <w:rStyle w:val="st"/>
          <w:rFonts w:cs="Arial"/>
          <w:sz w:val="20"/>
          <w:szCs w:val="20"/>
        </w:rPr>
        <w:t xml:space="preserve">pokynu </w:t>
      </w:r>
      <w:r w:rsidR="000D0B9E" w:rsidRPr="00BC784E">
        <w:t>MF-17.</w:t>
      </w:r>
      <w:r w:rsidR="008631AE">
        <w:t xml:space="preserve"> </w:t>
      </w:r>
      <w:r w:rsidR="00323022" w:rsidRPr="00323022">
        <w:rPr>
          <w:szCs w:val="20"/>
        </w:rPr>
        <w:t xml:space="preserve">Podle </w:t>
      </w:r>
      <w:r w:rsidR="008631AE">
        <w:rPr>
          <w:szCs w:val="20"/>
        </w:rPr>
        <w:t xml:space="preserve">toho </w:t>
      </w:r>
      <w:r w:rsidR="00323022" w:rsidRPr="00323022">
        <w:rPr>
          <w:szCs w:val="20"/>
        </w:rPr>
        <w:t xml:space="preserve">pokynu </w:t>
      </w:r>
      <w:r w:rsidR="00323022" w:rsidRPr="00323022">
        <w:rPr>
          <w:b/>
          <w:szCs w:val="20"/>
        </w:rPr>
        <w:t xml:space="preserve">mezi uznatelné </w:t>
      </w:r>
      <w:r>
        <w:rPr>
          <w:b/>
          <w:szCs w:val="20"/>
        </w:rPr>
        <w:t xml:space="preserve">položky </w:t>
      </w:r>
      <w:r w:rsidR="008631AE" w:rsidRPr="008631AE">
        <w:rPr>
          <w:b/>
          <w:szCs w:val="20"/>
          <w:u w:val="single"/>
        </w:rPr>
        <w:t>patří</w:t>
      </w:r>
      <w:r>
        <w:rPr>
          <w:b/>
          <w:szCs w:val="20"/>
          <w:u w:val="single"/>
        </w:rPr>
        <w:t>:</w:t>
      </w:r>
    </w:p>
    <w:p w:rsidR="00B07FE9" w:rsidRPr="005E3EC3" w:rsidRDefault="00400753" w:rsidP="005E3EC3">
      <w:pPr>
        <w:pStyle w:val="Odstavecseseznamem"/>
        <w:numPr>
          <w:ilvl w:val="0"/>
          <w:numId w:val="22"/>
        </w:numPr>
        <w:spacing w:after="60" w:line="288" w:lineRule="auto"/>
        <w:ind w:left="426" w:hanging="284"/>
        <w:contextualSpacing w:val="0"/>
        <w:rPr>
          <w:rStyle w:val="st"/>
          <w:sz w:val="20"/>
          <w:szCs w:val="20"/>
        </w:rPr>
      </w:pPr>
      <w:r>
        <w:rPr>
          <w:rStyle w:val="st"/>
          <w:b/>
          <w:sz w:val="20"/>
          <w:szCs w:val="20"/>
        </w:rPr>
        <w:t xml:space="preserve">osobní náklady </w:t>
      </w:r>
      <w:r w:rsidR="00323022" w:rsidRPr="005E3EC3">
        <w:rPr>
          <w:rStyle w:val="st"/>
          <w:sz w:val="20"/>
          <w:szCs w:val="20"/>
        </w:rPr>
        <w:t>osob podílejících se na sledovaném projektu VaV</w:t>
      </w:r>
      <w:r w:rsidRPr="005E3EC3">
        <w:rPr>
          <w:rStyle w:val="st"/>
          <w:sz w:val="20"/>
          <w:szCs w:val="20"/>
        </w:rPr>
        <w:t xml:space="preserve">. </w:t>
      </w:r>
      <w:r w:rsidR="005D74E7" w:rsidRPr="005E3EC3">
        <w:rPr>
          <w:rStyle w:val="st"/>
          <w:sz w:val="20"/>
          <w:szCs w:val="20"/>
        </w:rPr>
        <w:t>Patří zde zejména</w:t>
      </w:r>
      <w:r w:rsidR="00B07FE9" w:rsidRPr="005E3EC3">
        <w:rPr>
          <w:rStyle w:val="st"/>
          <w:sz w:val="20"/>
          <w:szCs w:val="20"/>
        </w:rPr>
        <w:t>:</w:t>
      </w:r>
    </w:p>
    <w:p w:rsidR="00B07FE9" w:rsidRPr="005E3EC3" w:rsidRDefault="00B07FE9" w:rsidP="005E3EC3">
      <w:pPr>
        <w:numPr>
          <w:ilvl w:val="0"/>
          <w:numId w:val="22"/>
        </w:numPr>
        <w:tabs>
          <w:tab w:val="left" w:pos="709"/>
        </w:tabs>
        <w:spacing w:after="60" w:line="264" w:lineRule="auto"/>
        <w:ind w:left="714" w:hanging="357"/>
        <w:rPr>
          <w:rFonts w:cs="Arial"/>
          <w:szCs w:val="20"/>
        </w:rPr>
      </w:pPr>
      <w:r w:rsidRPr="005E3EC3">
        <w:rPr>
          <w:rFonts w:cs="Arial"/>
          <w:szCs w:val="20"/>
        </w:rPr>
        <w:t>mzdy zaměstnanců přijatých podle pracovní smlouvy výhradně na řešení projektu VaV;</w:t>
      </w:r>
    </w:p>
    <w:p w:rsidR="00B07FE9" w:rsidRPr="005E3EC3" w:rsidRDefault="00B07FE9" w:rsidP="005E3EC3">
      <w:pPr>
        <w:numPr>
          <w:ilvl w:val="0"/>
          <w:numId w:val="22"/>
        </w:numPr>
        <w:tabs>
          <w:tab w:val="left" w:pos="709"/>
        </w:tabs>
        <w:spacing w:after="60" w:line="264" w:lineRule="auto"/>
        <w:ind w:left="714" w:hanging="357"/>
        <w:rPr>
          <w:rFonts w:cs="Arial"/>
          <w:szCs w:val="20"/>
        </w:rPr>
      </w:pPr>
      <w:r w:rsidRPr="005E3EC3">
        <w:rPr>
          <w:rFonts w:cs="Arial"/>
          <w:szCs w:val="20"/>
        </w:rPr>
        <w:t>příslušná část mezd ostatních zaměstnanců odpovídající jejich úvazku na řešení projektu VaV nebo se na projektu VaV podílejících</w:t>
      </w:r>
      <w:r w:rsidR="005D74E7" w:rsidRPr="005E3EC3">
        <w:rPr>
          <w:rFonts w:cs="Arial"/>
          <w:szCs w:val="20"/>
        </w:rPr>
        <w:t>;</w:t>
      </w:r>
    </w:p>
    <w:p w:rsidR="005D74E7" w:rsidRPr="005E3EC3" w:rsidRDefault="005D74E7" w:rsidP="005E3EC3">
      <w:pPr>
        <w:numPr>
          <w:ilvl w:val="0"/>
          <w:numId w:val="22"/>
        </w:numPr>
        <w:tabs>
          <w:tab w:val="left" w:pos="709"/>
        </w:tabs>
        <w:spacing w:after="60" w:line="264" w:lineRule="auto"/>
        <w:ind w:left="714" w:hanging="357"/>
        <w:rPr>
          <w:rFonts w:cs="Arial"/>
          <w:szCs w:val="20"/>
        </w:rPr>
      </w:pPr>
      <w:r w:rsidRPr="005E3EC3">
        <w:rPr>
          <w:rFonts w:cs="Arial"/>
          <w:szCs w:val="20"/>
        </w:rPr>
        <w:t>související platby zákonného pojistného (sociálního, zdravotního a úrazového);</w:t>
      </w:r>
    </w:p>
    <w:p w:rsidR="00B07FE9" w:rsidRPr="005E3EC3" w:rsidRDefault="00B07FE9" w:rsidP="005E3EC3">
      <w:pPr>
        <w:numPr>
          <w:ilvl w:val="0"/>
          <w:numId w:val="22"/>
        </w:numPr>
        <w:tabs>
          <w:tab w:val="left" w:pos="709"/>
        </w:tabs>
        <w:spacing w:line="264" w:lineRule="auto"/>
        <w:ind w:left="714" w:hanging="357"/>
        <w:rPr>
          <w:rStyle w:val="st"/>
          <w:rFonts w:cs="Arial"/>
          <w:sz w:val="20"/>
          <w:szCs w:val="20"/>
        </w:rPr>
      </w:pPr>
      <w:r w:rsidRPr="005E3EC3">
        <w:rPr>
          <w:rStyle w:val="st"/>
          <w:sz w:val="20"/>
          <w:szCs w:val="20"/>
        </w:rPr>
        <w:t>odměny za práce podle dohod o provedení práce a o pracovní činnosti nebo obdobné dohody podle zahraničních právních předpisů, uzavřených v přímé souvislosti s řešením projektu VaV;</w:t>
      </w:r>
    </w:p>
    <w:p w:rsidR="005E3EC3" w:rsidRPr="005E3EC3" w:rsidRDefault="00BF3779" w:rsidP="005E3EC3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i/>
          <w:sz w:val="20"/>
          <w:szCs w:val="20"/>
        </w:rPr>
      </w:pPr>
      <w:r w:rsidRPr="00400753">
        <w:rPr>
          <w:rStyle w:val="st"/>
          <w:b/>
          <w:sz w:val="20"/>
          <w:szCs w:val="20"/>
        </w:rPr>
        <w:t xml:space="preserve">cestovní náhrady </w:t>
      </w:r>
      <w:r w:rsidR="00400753" w:rsidRPr="005E3EC3">
        <w:rPr>
          <w:rStyle w:val="st"/>
          <w:sz w:val="20"/>
          <w:szCs w:val="20"/>
        </w:rPr>
        <w:t>vzniklé v přímé souvislosti s řešením projektu</w:t>
      </w:r>
      <w:r w:rsidR="005E3EC3" w:rsidRPr="005E3EC3">
        <w:rPr>
          <w:rStyle w:val="st"/>
          <w:sz w:val="20"/>
          <w:szCs w:val="20"/>
        </w:rPr>
        <w:t xml:space="preserve"> VaV</w:t>
      </w:r>
      <w:r w:rsidR="00400753" w:rsidRPr="005E3EC3">
        <w:rPr>
          <w:rStyle w:val="st"/>
          <w:sz w:val="20"/>
          <w:szCs w:val="20"/>
        </w:rPr>
        <w:t xml:space="preserve"> </w:t>
      </w:r>
      <w:r w:rsidR="005E3EC3" w:rsidRPr="005E3EC3">
        <w:rPr>
          <w:rStyle w:val="st"/>
          <w:sz w:val="20"/>
          <w:szCs w:val="20"/>
        </w:rPr>
        <w:t xml:space="preserve">– </w:t>
      </w:r>
      <w:r w:rsidR="005E3EC3" w:rsidRPr="005E3EC3">
        <w:rPr>
          <w:rStyle w:val="st"/>
          <w:i/>
          <w:sz w:val="20"/>
          <w:szCs w:val="20"/>
        </w:rPr>
        <w:t>nezahrnují se cestovní náhrady vyplacené v souvislosti s cestami na vědecké konference a podobná sympozia;</w:t>
      </w:r>
    </w:p>
    <w:p w:rsidR="00BC784E" w:rsidRPr="00BC784E" w:rsidRDefault="005E2FF6" w:rsidP="00BC784E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</w:rPr>
      </w:pPr>
      <w:r>
        <w:rPr>
          <w:rStyle w:val="st"/>
          <w:b/>
          <w:sz w:val="20"/>
          <w:szCs w:val="20"/>
        </w:rPr>
        <w:t xml:space="preserve">nákup </w:t>
      </w:r>
      <w:r w:rsidRPr="00A025E0">
        <w:rPr>
          <w:rStyle w:val="st"/>
          <w:b/>
          <w:sz w:val="20"/>
          <w:szCs w:val="20"/>
        </w:rPr>
        <w:t>služ</w:t>
      </w:r>
      <w:r>
        <w:rPr>
          <w:rStyle w:val="st"/>
          <w:b/>
          <w:sz w:val="20"/>
          <w:szCs w:val="20"/>
        </w:rPr>
        <w:t>e</w:t>
      </w:r>
      <w:r w:rsidRPr="00A025E0">
        <w:rPr>
          <w:rStyle w:val="st"/>
          <w:b/>
          <w:sz w:val="20"/>
          <w:szCs w:val="20"/>
        </w:rPr>
        <w:t>b a nehmotn</w:t>
      </w:r>
      <w:r>
        <w:rPr>
          <w:rStyle w:val="st"/>
          <w:b/>
          <w:sz w:val="20"/>
          <w:szCs w:val="20"/>
        </w:rPr>
        <w:t xml:space="preserve">ých </w:t>
      </w:r>
      <w:r w:rsidRPr="00A025E0">
        <w:rPr>
          <w:rStyle w:val="st"/>
          <w:b/>
          <w:sz w:val="20"/>
          <w:szCs w:val="20"/>
        </w:rPr>
        <w:t>výsledk</w:t>
      </w:r>
      <w:r>
        <w:rPr>
          <w:rStyle w:val="st"/>
          <w:b/>
          <w:sz w:val="20"/>
          <w:szCs w:val="20"/>
        </w:rPr>
        <w:t>u</w:t>
      </w:r>
      <w:r w:rsidRPr="00A025E0">
        <w:rPr>
          <w:rStyle w:val="st"/>
          <w:b/>
          <w:sz w:val="20"/>
          <w:szCs w:val="20"/>
        </w:rPr>
        <w:t xml:space="preserve"> </w:t>
      </w:r>
      <w:r>
        <w:rPr>
          <w:rStyle w:val="st"/>
          <w:b/>
          <w:sz w:val="20"/>
          <w:szCs w:val="20"/>
        </w:rPr>
        <w:t>VaV</w:t>
      </w:r>
      <w:r w:rsidRPr="00A025E0">
        <w:rPr>
          <w:rStyle w:val="st"/>
          <w:b/>
          <w:sz w:val="20"/>
          <w:szCs w:val="20"/>
        </w:rPr>
        <w:t xml:space="preserve"> </w:t>
      </w:r>
      <w:r w:rsidRPr="005E2FF6">
        <w:rPr>
          <w:rStyle w:val="st"/>
          <w:sz w:val="20"/>
          <w:szCs w:val="20"/>
        </w:rPr>
        <w:t xml:space="preserve">od veřejných vysokých škol, veřejných výzkumných institucí </w:t>
      </w:r>
      <w:r w:rsidRPr="00F15403">
        <w:rPr>
          <w:rStyle w:val="st"/>
          <w:sz w:val="20"/>
          <w:szCs w:val="20"/>
        </w:rPr>
        <w:t>(např. ústavů Akademie věd ČR</w:t>
      </w:r>
      <w:r>
        <w:rPr>
          <w:rStyle w:val="st"/>
          <w:b/>
          <w:sz w:val="20"/>
          <w:szCs w:val="20"/>
        </w:rPr>
        <w:t xml:space="preserve">) </w:t>
      </w:r>
      <w:r w:rsidRPr="00F15403">
        <w:rPr>
          <w:rStyle w:val="st"/>
          <w:sz w:val="20"/>
          <w:szCs w:val="20"/>
        </w:rPr>
        <w:t xml:space="preserve">a ostatních výzkumných organizací, jež splňují definiční znaky v § 2 odst. 2 písm. d) zákona č. 130/2002 Sb., o podpoře výzkumu, experimentálního vývoje a inovací a </w:t>
      </w:r>
      <w:r w:rsidR="00BC784E" w:rsidRPr="00BC784E">
        <w:rPr>
          <w:rStyle w:val="st"/>
          <w:sz w:val="20"/>
          <w:szCs w:val="20"/>
        </w:rPr>
        <w:t xml:space="preserve">souvisí s realizací projektu VaV; </w:t>
      </w:r>
    </w:p>
    <w:p w:rsidR="005E3EC3" w:rsidRPr="005E3EC3" w:rsidRDefault="005E3EC3" w:rsidP="005E3EC3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 xml:space="preserve">výdaje na </w:t>
      </w:r>
      <w:r w:rsidRPr="005E3EC3">
        <w:rPr>
          <w:rStyle w:val="st"/>
          <w:b/>
          <w:sz w:val="20"/>
          <w:szCs w:val="20"/>
        </w:rPr>
        <w:t>certifikaci výsledků VaV</w:t>
      </w:r>
      <w:r>
        <w:rPr>
          <w:rStyle w:val="st"/>
          <w:b/>
          <w:sz w:val="20"/>
          <w:szCs w:val="20"/>
        </w:rPr>
        <w:t>;</w:t>
      </w:r>
    </w:p>
    <w:p w:rsidR="00A025E0" w:rsidRDefault="00A025E0" w:rsidP="00A025E0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</w:rPr>
      </w:pPr>
      <w:r w:rsidRPr="00A025E0">
        <w:rPr>
          <w:rStyle w:val="st"/>
          <w:sz w:val="20"/>
          <w:szCs w:val="20"/>
        </w:rPr>
        <w:t>náklady na</w:t>
      </w:r>
      <w:r>
        <w:rPr>
          <w:rStyle w:val="st"/>
          <w:b/>
          <w:sz w:val="20"/>
          <w:szCs w:val="20"/>
        </w:rPr>
        <w:t xml:space="preserve"> </w:t>
      </w:r>
      <w:r w:rsidRPr="00A025E0">
        <w:rPr>
          <w:rStyle w:val="st"/>
          <w:b/>
          <w:sz w:val="20"/>
          <w:szCs w:val="20"/>
        </w:rPr>
        <w:t>finanční leasing hmotného movitého majetku</w:t>
      </w:r>
      <w:r w:rsidRPr="00A025E0">
        <w:rPr>
          <w:rStyle w:val="st"/>
          <w:sz w:val="20"/>
          <w:szCs w:val="20"/>
        </w:rPr>
        <w:t>, kter</w:t>
      </w:r>
      <w:r>
        <w:rPr>
          <w:rStyle w:val="st"/>
          <w:sz w:val="20"/>
          <w:szCs w:val="20"/>
        </w:rPr>
        <w:t>ý</w:t>
      </w:r>
      <w:r w:rsidRPr="00A025E0">
        <w:rPr>
          <w:rStyle w:val="st"/>
          <w:sz w:val="20"/>
          <w:szCs w:val="20"/>
        </w:rPr>
        <w:t xml:space="preserve"> </w:t>
      </w:r>
      <w:r>
        <w:rPr>
          <w:rStyle w:val="st"/>
          <w:sz w:val="20"/>
          <w:szCs w:val="20"/>
        </w:rPr>
        <w:t xml:space="preserve">přímo </w:t>
      </w:r>
      <w:r w:rsidRPr="00A025E0">
        <w:rPr>
          <w:rStyle w:val="st"/>
          <w:sz w:val="20"/>
          <w:szCs w:val="20"/>
        </w:rPr>
        <w:t>souvisí s realizací projektu VaV</w:t>
      </w:r>
      <w:r>
        <w:rPr>
          <w:rStyle w:val="st"/>
          <w:sz w:val="20"/>
          <w:szCs w:val="20"/>
        </w:rPr>
        <w:t>;</w:t>
      </w:r>
    </w:p>
    <w:p w:rsidR="00BC784E" w:rsidRPr="005E3EC3" w:rsidRDefault="00BC784E" w:rsidP="00BC784E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>odpisy</w:t>
      </w:r>
      <w:r w:rsidRPr="005E3EC3">
        <w:rPr>
          <w:rStyle w:val="st"/>
          <w:b/>
          <w:sz w:val="20"/>
          <w:szCs w:val="20"/>
        </w:rPr>
        <w:t xml:space="preserve"> </w:t>
      </w:r>
      <w:r w:rsidRPr="005E3EC3">
        <w:rPr>
          <w:rStyle w:val="st"/>
          <w:sz w:val="20"/>
          <w:szCs w:val="20"/>
        </w:rPr>
        <w:t>(nebo jejich část) hmotného movitého majetku a nehmotného majetku (s výjimkou odpisů nehmotných výsledků výzkumu a vývoje pořízených od jiných osob), používaného v přímé souvislosti s řešením projektu</w:t>
      </w:r>
      <w:r>
        <w:rPr>
          <w:rStyle w:val="st"/>
          <w:sz w:val="20"/>
          <w:szCs w:val="20"/>
        </w:rPr>
        <w:t xml:space="preserve"> VaV</w:t>
      </w:r>
      <w:r w:rsidRPr="005E3EC3">
        <w:rPr>
          <w:rStyle w:val="st"/>
          <w:sz w:val="20"/>
          <w:szCs w:val="20"/>
        </w:rPr>
        <w:t>;</w:t>
      </w:r>
    </w:p>
    <w:p w:rsidR="00BF3779" w:rsidRPr="005E3EC3" w:rsidRDefault="00BF3779" w:rsidP="005E3EC3">
      <w:pPr>
        <w:pStyle w:val="Odstavecseseznamem"/>
        <w:numPr>
          <w:ilvl w:val="0"/>
          <w:numId w:val="22"/>
        </w:numPr>
        <w:spacing w:after="60" w:line="264" w:lineRule="auto"/>
        <w:ind w:left="426" w:hanging="284"/>
        <w:contextualSpacing w:val="0"/>
        <w:rPr>
          <w:rStyle w:val="st"/>
          <w:sz w:val="20"/>
          <w:szCs w:val="20"/>
        </w:rPr>
      </w:pPr>
      <w:r w:rsidRPr="00323022">
        <w:rPr>
          <w:rStyle w:val="st"/>
          <w:b/>
          <w:sz w:val="20"/>
          <w:szCs w:val="20"/>
        </w:rPr>
        <w:t xml:space="preserve">ostatní neinvestiční </w:t>
      </w:r>
      <w:r>
        <w:rPr>
          <w:rStyle w:val="st"/>
          <w:b/>
          <w:sz w:val="20"/>
          <w:szCs w:val="20"/>
        </w:rPr>
        <w:t xml:space="preserve">(provozní) </w:t>
      </w:r>
      <w:r w:rsidRPr="00323022">
        <w:rPr>
          <w:rStyle w:val="st"/>
          <w:b/>
          <w:sz w:val="20"/>
          <w:szCs w:val="20"/>
        </w:rPr>
        <w:t xml:space="preserve">náklady </w:t>
      </w:r>
      <w:r w:rsidRPr="005E3EC3">
        <w:rPr>
          <w:rStyle w:val="st"/>
          <w:sz w:val="20"/>
          <w:szCs w:val="20"/>
        </w:rPr>
        <w:t xml:space="preserve">vzniklé v přímé souvislosti s řešením projektu VaV vedené v oddělené evidenci v souladu se zákonem. Jde například o: </w:t>
      </w:r>
    </w:p>
    <w:p w:rsidR="00BF3779" w:rsidRPr="005E3EC3" w:rsidRDefault="00BF3779" w:rsidP="005E3EC3">
      <w:pPr>
        <w:numPr>
          <w:ilvl w:val="0"/>
          <w:numId w:val="22"/>
        </w:numPr>
        <w:tabs>
          <w:tab w:val="left" w:pos="709"/>
        </w:tabs>
        <w:spacing w:after="60" w:line="264" w:lineRule="auto"/>
        <w:ind w:left="714" w:hanging="357"/>
        <w:rPr>
          <w:rFonts w:cs="Arial"/>
          <w:szCs w:val="20"/>
        </w:rPr>
      </w:pPr>
      <w:r w:rsidRPr="005E3EC3">
        <w:rPr>
          <w:rFonts w:cs="Arial"/>
          <w:szCs w:val="20"/>
        </w:rPr>
        <w:t>nákup materiálu, zásob a vybavení;</w:t>
      </w:r>
      <w:r w:rsidR="005E3EC3">
        <w:rPr>
          <w:rFonts w:cs="Arial"/>
          <w:szCs w:val="20"/>
        </w:rPr>
        <w:t xml:space="preserve"> </w:t>
      </w:r>
    </w:p>
    <w:p w:rsidR="005E3EC3" w:rsidRDefault="00BF3779" w:rsidP="005E3EC3">
      <w:pPr>
        <w:numPr>
          <w:ilvl w:val="0"/>
          <w:numId w:val="22"/>
        </w:numPr>
        <w:tabs>
          <w:tab w:val="left" w:pos="709"/>
        </w:tabs>
        <w:spacing w:after="60" w:line="264" w:lineRule="auto"/>
        <w:ind w:left="714" w:hanging="357"/>
        <w:rPr>
          <w:rFonts w:cs="Arial"/>
          <w:szCs w:val="20"/>
        </w:rPr>
      </w:pPr>
      <w:r w:rsidRPr="005E3EC3">
        <w:rPr>
          <w:rFonts w:cs="Arial"/>
          <w:szCs w:val="20"/>
        </w:rPr>
        <w:t>spotřeba energie (elektřina, teplo, plyn)</w:t>
      </w:r>
      <w:r w:rsidR="005E3EC3">
        <w:rPr>
          <w:rFonts w:cs="Arial"/>
          <w:szCs w:val="20"/>
        </w:rPr>
        <w:t>;</w:t>
      </w:r>
      <w:r w:rsidRPr="005E3EC3">
        <w:rPr>
          <w:rFonts w:cs="Arial"/>
          <w:szCs w:val="20"/>
        </w:rPr>
        <w:t xml:space="preserve"> vodné a stočné</w:t>
      </w:r>
      <w:r w:rsidR="005E3EC3" w:rsidRPr="005E3EC3">
        <w:rPr>
          <w:rFonts w:cs="Arial"/>
          <w:szCs w:val="20"/>
        </w:rPr>
        <w:t>;</w:t>
      </w:r>
      <w:r w:rsidR="005E3EC3">
        <w:rPr>
          <w:rFonts w:cs="Arial"/>
          <w:szCs w:val="20"/>
        </w:rPr>
        <w:t xml:space="preserve"> telekomunikační </w:t>
      </w:r>
      <w:r w:rsidR="00A025E0">
        <w:rPr>
          <w:rFonts w:cs="Arial"/>
          <w:szCs w:val="20"/>
        </w:rPr>
        <w:t>poplatky;</w:t>
      </w:r>
    </w:p>
    <w:p w:rsidR="00BC784E" w:rsidRPr="005E3EC3" w:rsidRDefault="00BC784E" w:rsidP="00BC784E">
      <w:pPr>
        <w:numPr>
          <w:ilvl w:val="0"/>
          <w:numId w:val="22"/>
        </w:numPr>
        <w:tabs>
          <w:tab w:val="left" w:pos="709"/>
        </w:tabs>
        <w:spacing w:line="264" w:lineRule="auto"/>
        <w:ind w:left="714" w:hanging="357"/>
        <w:rPr>
          <w:rFonts w:cs="Arial"/>
          <w:szCs w:val="20"/>
        </w:rPr>
      </w:pPr>
      <w:r w:rsidRPr="00BC784E">
        <w:rPr>
          <w:rFonts w:cs="Arial"/>
          <w:szCs w:val="20"/>
        </w:rPr>
        <w:t>cestovní náhrady vzniklé v přímé souvislosti s řešením projektu</w:t>
      </w:r>
      <w:r>
        <w:rPr>
          <w:rFonts w:cs="Arial"/>
          <w:szCs w:val="20"/>
        </w:rPr>
        <w:t xml:space="preserve"> VaV (n</w:t>
      </w:r>
      <w:r w:rsidRPr="00BC784E">
        <w:rPr>
          <w:rFonts w:cs="Arial"/>
          <w:szCs w:val="20"/>
        </w:rPr>
        <w:t>ezahrnuje cestovní náhrady vyplacené v souvislosti s cestami na vědecké konference a podobná sympozia</w:t>
      </w:r>
      <w:r>
        <w:rPr>
          <w:rFonts w:cs="Arial"/>
          <w:szCs w:val="20"/>
        </w:rPr>
        <w:t>)</w:t>
      </w:r>
    </w:p>
    <w:p w:rsidR="00BC784E" w:rsidRDefault="00323022" w:rsidP="00BC784E">
      <w:pPr>
        <w:rPr>
          <w:rStyle w:val="st"/>
          <w:rFonts w:cs="Arial"/>
          <w:sz w:val="20"/>
          <w:szCs w:val="20"/>
        </w:rPr>
      </w:pPr>
      <w:r w:rsidRPr="00F27EBE">
        <w:rPr>
          <w:rFonts w:cs="Arial"/>
          <w:szCs w:val="20"/>
        </w:rPr>
        <w:t xml:space="preserve">Uvedený seznam </w:t>
      </w:r>
      <w:r w:rsidR="00F15403">
        <w:rPr>
          <w:rFonts w:cs="Arial"/>
          <w:szCs w:val="20"/>
        </w:rPr>
        <w:t xml:space="preserve">uznatelných výdajů pro účely daňové podpory VaV není </w:t>
      </w:r>
      <w:r w:rsidRPr="00F27EBE">
        <w:rPr>
          <w:rFonts w:cs="Arial"/>
          <w:szCs w:val="20"/>
        </w:rPr>
        <w:t xml:space="preserve">doslovný opis </w:t>
      </w:r>
      <w:r>
        <w:rPr>
          <w:rFonts w:cs="Arial"/>
          <w:szCs w:val="20"/>
        </w:rPr>
        <w:t xml:space="preserve">z </w:t>
      </w:r>
      <w:r w:rsidRPr="00F27EBE">
        <w:rPr>
          <w:rStyle w:val="st"/>
          <w:rFonts w:cs="Arial"/>
          <w:sz w:val="20"/>
          <w:szCs w:val="20"/>
        </w:rPr>
        <w:t>pokynu MF-17, ale jeho upravená podoba.</w:t>
      </w:r>
      <w:r>
        <w:rPr>
          <w:rStyle w:val="st"/>
          <w:rFonts w:cs="Arial"/>
          <w:sz w:val="20"/>
          <w:szCs w:val="20"/>
        </w:rPr>
        <w:t xml:space="preserve"> Neupravený </w:t>
      </w:r>
      <w:r w:rsidR="00F15403">
        <w:rPr>
          <w:rStyle w:val="st"/>
          <w:rFonts w:cs="Arial"/>
          <w:sz w:val="20"/>
          <w:szCs w:val="20"/>
        </w:rPr>
        <w:t xml:space="preserve">a úplný </w:t>
      </w:r>
      <w:r>
        <w:rPr>
          <w:rStyle w:val="st"/>
          <w:rFonts w:cs="Arial"/>
          <w:sz w:val="20"/>
          <w:szCs w:val="20"/>
        </w:rPr>
        <w:t xml:space="preserve">seznam </w:t>
      </w:r>
      <w:r w:rsidR="00F15403">
        <w:rPr>
          <w:rStyle w:val="st"/>
          <w:rFonts w:cs="Arial"/>
          <w:sz w:val="20"/>
          <w:szCs w:val="20"/>
        </w:rPr>
        <w:t>najdete v</w:t>
      </w:r>
      <w:r>
        <w:rPr>
          <w:rStyle w:val="st"/>
          <w:rFonts w:cs="Arial"/>
          <w:sz w:val="20"/>
          <w:szCs w:val="20"/>
        </w:rPr>
        <w:t xml:space="preserve">e </w:t>
      </w:r>
      <w:r w:rsidRPr="00F27EBE">
        <w:rPr>
          <w:rStyle w:val="st"/>
          <w:rFonts w:cs="Arial"/>
          <w:sz w:val="20"/>
          <w:szCs w:val="20"/>
        </w:rPr>
        <w:t>Finanční</w:t>
      </w:r>
      <w:r>
        <w:rPr>
          <w:rStyle w:val="st"/>
          <w:rFonts w:cs="Arial"/>
          <w:sz w:val="20"/>
          <w:szCs w:val="20"/>
        </w:rPr>
        <w:t>m</w:t>
      </w:r>
      <w:r w:rsidRPr="00F27EBE">
        <w:rPr>
          <w:rStyle w:val="st"/>
          <w:rFonts w:cs="Arial"/>
          <w:sz w:val="20"/>
          <w:szCs w:val="20"/>
        </w:rPr>
        <w:t xml:space="preserve"> zpravodaj</w:t>
      </w:r>
      <w:r>
        <w:rPr>
          <w:rStyle w:val="st"/>
          <w:rFonts w:cs="Arial"/>
          <w:sz w:val="20"/>
          <w:szCs w:val="20"/>
        </w:rPr>
        <w:t>i</w:t>
      </w:r>
      <w:r w:rsidRPr="00F27EBE">
        <w:rPr>
          <w:rStyle w:val="st"/>
          <w:rFonts w:cs="Arial"/>
          <w:sz w:val="20"/>
          <w:szCs w:val="20"/>
        </w:rPr>
        <w:t xml:space="preserve"> č. 8/2020</w:t>
      </w:r>
      <w:r>
        <w:rPr>
          <w:rStyle w:val="st"/>
          <w:rFonts w:cs="Arial"/>
          <w:sz w:val="20"/>
          <w:szCs w:val="20"/>
        </w:rPr>
        <w:t>; b</w:t>
      </w:r>
      <w:r w:rsidRPr="00F27EBE">
        <w:rPr>
          <w:rStyle w:val="st"/>
          <w:rFonts w:cs="Arial"/>
          <w:sz w:val="20"/>
          <w:szCs w:val="20"/>
        </w:rPr>
        <w:t>od č. 11</w:t>
      </w:r>
      <w:r>
        <w:rPr>
          <w:rStyle w:val="st"/>
          <w:rFonts w:cs="Arial"/>
          <w:sz w:val="20"/>
          <w:szCs w:val="20"/>
        </w:rPr>
        <w:t>.</w:t>
      </w:r>
      <w:r w:rsidR="00651076">
        <w:rPr>
          <w:rStyle w:val="st"/>
          <w:rFonts w:cs="Arial"/>
          <w:sz w:val="20"/>
          <w:szCs w:val="20"/>
        </w:rPr>
        <w:t xml:space="preserve"> </w:t>
      </w:r>
    </w:p>
    <w:p w:rsidR="00BC784E" w:rsidRPr="00F15403" w:rsidRDefault="00BC784E" w:rsidP="00BC784E">
      <w:pPr>
        <w:rPr>
          <w:rStyle w:val="st"/>
          <w:rFonts w:cs="Arial"/>
          <w:sz w:val="20"/>
          <w:szCs w:val="20"/>
        </w:rPr>
      </w:pPr>
      <w:r w:rsidRPr="00F15403">
        <w:rPr>
          <w:rStyle w:val="st"/>
          <w:rFonts w:cs="Arial"/>
          <w:sz w:val="20"/>
          <w:szCs w:val="20"/>
        </w:rPr>
        <w:t xml:space="preserve">Výše rozlišené kategorie výdajů </w:t>
      </w:r>
      <w:r w:rsidRPr="00F15403">
        <w:rPr>
          <w:rStyle w:val="st"/>
          <w:rFonts w:cs="Arial"/>
          <w:b/>
          <w:sz w:val="20"/>
          <w:szCs w:val="20"/>
        </w:rPr>
        <w:t xml:space="preserve">musí být vedeny </w:t>
      </w:r>
      <w:r w:rsidRPr="00F15403">
        <w:rPr>
          <w:rStyle w:val="st"/>
          <w:rFonts w:cs="Arial"/>
          <w:sz w:val="20"/>
          <w:szCs w:val="20"/>
        </w:rPr>
        <w:t>oddělenou evidencí v členění na jednotlivé projekty a jednotlivé účetní případy. Evidence musí splňovat požadavek přehlednosti a prokazatelnosti oprávněnosti použití dle ustanovení § 34 odst. 4 a 5 zákona s tím, že důkazní břemeno je na poplatníkovi.</w:t>
      </w:r>
    </w:p>
    <w:p w:rsidR="004665AF" w:rsidRPr="003F6D94" w:rsidRDefault="004665AF" w:rsidP="004665AF">
      <w:pPr>
        <w:pStyle w:val="Nadpis2"/>
      </w:pPr>
      <w:r>
        <w:lastRenderedPageBreak/>
        <w:t xml:space="preserve">2.2 </w:t>
      </w:r>
      <w:r w:rsidRPr="003F6D94">
        <w:t xml:space="preserve">Statistika </w:t>
      </w:r>
      <w:r>
        <w:t>daňové</w:t>
      </w:r>
      <w:r w:rsidRPr="003F6D94">
        <w:t xml:space="preserve"> podpory </w:t>
      </w:r>
      <w:r>
        <w:t>výzkumu a vývoje</w:t>
      </w:r>
    </w:p>
    <w:p w:rsidR="003321E3" w:rsidRPr="003321E3" w:rsidRDefault="003321E3" w:rsidP="004665AF">
      <w:pPr>
        <w:rPr>
          <w:b/>
        </w:rPr>
      </w:pPr>
      <w:r>
        <w:t xml:space="preserve">Využívání daňové podpory VaV ze strany soukromých firem a její zapojení do financování výzkumu a vývoje v Česku sleduje ČSÚ prostřednictvím mezinárodně srovnatelné roční statistické úlohy označované v angličtině jako </w:t>
      </w:r>
      <w:r w:rsidRPr="003321E3">
        <w:rPr>
          <w:b/>
        </w:rPr>
        <w:t xml:space="preserve">Government Tax </w:t>
      </w:r>
      <w:proofErr w:type="spellStart"/>
      <w:r w:rsidRPr="003321E3">
        <w:rPr>
          <w:b/>
        </w:rPr>
        <w:t>Relief</w:t>
      </w:r>
      <w:proofErr w:type="spellEnd"/>
      <w:r w:rsidRPr="003321E3">
        <w:rPr>
          <w:b/>
        </w:rPr>
        <w:t xml:space="preserve"> </w:t>
      </w:r>
      <w:proofErr w:type="spellStart"/>
      <w:r w:rsidRPr="003321E3">
        <w:rPr>
          <w:b/>
        </w:rPr>
        <w:t>for</w:t>
      </w:r>
      <w:proofErr w:type="spellEnd"/>
      <w:r w:rsidRPr="003321E3">
        <w:rPr>
          <w:b/>
        </w:rPr>
        <w:t xml:space="preserve"> R&amp;D </w:t>
      </w:r>
      <w:proofErr w:type="spellStart"/>
      <w:r w:rsidRPr="003321E3">
        <w:rPr>
          <w:b/>
        </w:rPr>
        <w:t>Expenditures</w:t>
      </w:r>
      <w:proofErr w:type="spellEnd"/>
      <w:r w:rsidRPr="003321E3">
        <w:rPr>
          <w:b/>
        </w:rPr>
        <w:t xml:space="preserve"> (GTARD </w:t>
      </w:r>
      <w:proofErr w:type="spellStart"/>
      <w:r w:rsidRPr="003321E3">
        <w:rPr>
          <w:b/>
        </w:rPr>
        <w:t>statistics</w:t>
      </w:r>
      <w:proofErr w:type="spellEnd"/>
      <w:r w:rsidRPr="003321E3">
        <w:rPr>
          <w:b/>
        </w:rPr>
        <w:t xml:space="preserve">). </w:t>
      </w:r>
    </w:p>
    <w:p w:rsidR="003321E3" w:rsidRDefault="003321E3" w:rsidP="003321E3">
      <w:pPr>
        <w:shd w:val="clear" w:color="auto" w:fill="DAEEF3" w:themeFill="accent5" w:themeFillTint="33"/>
      </w:pPr>
      <w:r w:rsidRPr="002D4858">
        <w:rPr>
          <w:b/>
        </w:rPr>
        <w:t>Metodika sběru dat daňové podpory VaV</w:t>
      </w:r>
      <w:r>
        <w:t xml:space="preserve"> je uvedena ve </w:t>
      </w:r>
      <w:r w:rsidRPr="00772D15">
        <w:rPr>
          <w:b/>
        </w:rPr>
        <w:t>Frascati manuálu z roku 2015</w:t>
      </w:r>
      <w:r>
        <w:rPr>
          <w:rStyle w:val="Znakapoznpodarou"/>
        </w:rPr>
        <w:footnoteReference w:id="6"/>
      </w:r>
      <w:r>
        <w:t xml:space="preserve">. </w:t>
      </w:r>
      <w:r w:rsidRPr="002D4858">
        <w:t xml:space="preserve">Frascati manuál </w:t>
      </w:r>
      <w:r w:rsidRPr="000A6330">
        <w:t xml:space="preserve">je celosvětově </w:t>
      </w:r>
      <w:r>
        <w:t xml:space="preserve">uznávaný a </w:t>
      </w:r>
      <w:r w:rsidRPr="000A6330">
        <w:t xml:space="preserve">používaný metodický standard </w:t>
      </w:r>
      <w:r>
        <w:t xml:space="preserve">OECD </w:t>
      </w:r>
      <w:r w:rsidRPr="000A6330">
        <w:t xml:space="preserve">pro statistiky </w:t>
      </w:r>
      <w:r>
        <w:t xml:space="preserve">VaV, který obsahuje </w:t>
      </w:r>
      <w:r w:rsidRPr="000A6330">
        <w:t>doporučení pro sběr, zpracování a publikování údajů</w:t>
      </w:r>
      <w:r>
        <w:t xml:space="preserve"> v této oblasti. Jeho nejnovější verze z roku 2015</w:t>
      </w:r>
      <w:r w:rsidRPr="000A6330">
        <w:t xml:space="preserve"> o</w:t>
      </w:r>
      <w:r>
        <w:t xml:space="preserve">bsahuje nově i doporučení pro mezinárodně srovnatelný </w:t>
      </w:r>
      <w:r w:rsidRPr="002D4858">
        <w:t xml:space="preserve">sběr, zpracování a publikování </w:t>
      </w:r>
      <w:r>
        <w:t xml:space="preserve">statistických </w:t>
      </w:r>
      <w:r w:rsidRPr="002D4858">
        <w:t>údajů v</w:t>
      </w:r>
      <w:r>
        <w:t> </w:t>
      </w:r>
      <w:r w:rsidRPr="002D4858">
        <w:t>oblasti</w:t>
      </w:r>
      <w:r>
        <w:t xml:space="preserve"> daňové podpory VaV. Více viz </w:t>
      </w:r>
      <w:r w:rsidRPr="002D4858">
        <w:t xml:space="preserve">kapitola č. </w:t>
      </w:r>
      <w:r w:rsidRPr="002D4858">
        <w:rPr>
          <w:b/>
        </w:rPr>
        <w:t xml:space="preserve">13 </w:t>
      </w:r>
      <w:proofErr w:type="spellStart"/>
      <w:r w:rsidRPr="002D4858">
        <w:rPr>
          <w:b/>
        </w:rPr>
        <w:t>Measurement</w:t>
      </w:r>
      <w:proofErr w:type="spellEnd"/>
      <w:r w:rsidRPr="002D4858">
        <w:rPr>
          <w:b/>
        </w:rPr>
        <w:t xml:space="preserve"> </w:t>
      </w:r>
      <w:proofErr w:type="spellStart"/>
      <w:r w:rsidRPr="002D4858">
        <w:rPr>
          <w:b/>
        </w:rPr>
        <w:t>of</w:t>
      </w:r>
      <w:proofErr w:type="spellEnd"/>
      <w:r w:rsidRPr="002D4858">
        <w:rPr>
          <w:b/>
        </w:rPr>
        <w:t xml:space="preserve"> </w:t>
      </w:r>
      <w:proofErr w:type="spellStart"/>
      <w:r w:rsidRPr="002D4858">
        <w:rPr>
          <w:b/>
        </w:rPr>
        <w:t>government</w:t>
      </w:r>
      <w:proofErr w:type="spellEnd"/>
      <w:r w:rsidRPr="002D4858">
        <w:rPr>
          <w:b/>
        </w:rPr>
        <w:t xml:space="preserve"> tax </w:t>
      </w:r>
      <w:proofErr w:type="spellStart"/>
      <w:r w:rsidRPr="002D4858">
        <w:rPr>
          <w:b/>
        </w:rPr>
        <w:t>relief</w:t>
      </w:r>
      <w:proofErr w:type="spellEnd"/>
      <w:r w:rsidRPr="002D4858">
        <w:rPr>
          <w:b/>
        </w:rPr>
        <w:t xml:space="preserve"> </w:t>
      </w:r>
      <w:proofErr w:type="spellStart"/>
      <w:r w:rsidRPr="002D4858">
        <w:rPr>
          <w:b/>
        </w:rPr>
        <w:t>for</w:t>
      </w:r>
      <w:proofErr w:type="spellEnd"/>
      <w:r w:rsidRPr="002D4858">
        <w:rPr>
          <w:b/>
        </w:rPr>
        <w:t xml:space="preserve"> R&amp;D</w:t>
      </w:r>
      <w:r w:rsidRPr="002D4858">
        <w:t xml:space="preserve"> tohoto manuálu</w:t>
      </w:r>
      <w:r>
        <w:rPr>
          <w:b/>
          <w:i/>
        </w:rPr>
        <w:t>.</w:t>
      </w:r>
      <w:r>
        <w:t xml:space="preserve"> </w:t>
      </w:r>
    </w:p>
    <w:p w:rsidR="003321E3" w:rsidRDefault="003321E3" w:rsidP="003321E3">
      <w:pPr>
        <w:spacing w:after="60"/>
      </w:pPr>
      <w:r w:rsidRPr="003321E3">
        <w:t>Podrobné informace k této statistice jsou k dispozici na stránkách OECD:</w:t>
      </w:r>
    </w:p>
    <w:p w:rsidR="003321E3" w:rsidRDefault="00616048" w:rsidP="003321E3">
      <w:pPr>
        <w:pStyle w:val="Odstavecseseznamem"/>
        <w:numPr>
          <w:ilvl w:val="0"/>
          <w:numId w:val="47"/>
        </w:numPr>
        <w:spacing w:after="60"/>
      </w:pPr>
      <w:hyperlink r:id="rId9" w:history="1">
        <w:r w:rsidR="003321E3" w:rsidRPr="00E057F2">
          <w:rPr>
            <w:rStyle w:val="Hypertextovodkaz"/>
            <w:color w:val="009BB4"/>
          </w:rPr>
          <w:t>https://www.oecd.org/innovation/tax-incentives-RD-innovation/</w:t>
        </w:r>
      </w:hyperlink>
      <w:r w:rsidR="003321E3">
        <w:t xml:space="preserve"> </w:t>
      </w:r>
      <w:r w:rsidR="003321E3" w:rsidRPr="003321E3">
        <w:t>nebo zde:</w:t>
      </w:r>
    </w:p>
    <w:p w:rsidR="003321E3" w:rsidRDefault="00616048" w:rsidP="003321E3">
      <w:pPr>
        <w:pStyle w:val="Odstavecseseznamem"/>
        <w:numPr>
          <w:ilvl w:val="0"/>
          <w:numId w:val="47"/>
        </w:numPr>
        <w:spacing w:after="240"/>
      </w:pPr>
      <w:hyperlink r:id="rId10" w:history="1">
        <w:r w:rsidR="003321E3" w:rsidRPr="00E057F2">
          <w:rPr>
            <w:rStyle w:val="Hypertextovodkaz"/>
            <w:color w:val="009BB4"/>
          </w:rPr>
          <w:t>https://www.oecd.org/sti/rd-tax-stats.htm/</w:t>
        </w:r>
      </w:hyperlink>
      <w:r w:rsidR="003321E3">
        <w:t xml:space="preserve"> </w:t>
      </w:r>
    </w:p>
    <w:p w:rsidR="003321E3" w:rsidRPr="003F6D94" w:rsidRDefault="003321E3" w:rsidP="003321E3">
      <w:pPr>
        <w:spacing w:after="240"/>
      </w:pPr>
      <w:r>
        <w:t>První výsledky statistiky daňové</w:t>
      </w:r>
      <w:r w:rsidRPr="003F6D94">
        <w:t xml:space="preserve"> podpory VaV </w:t>
      </w:r>
      <w:r>
        <w:t xml:space="preserve">byly zpracovány ČSÚ </w:t>
      </w:r>
      <w:r w:rsidRPr="003F6D94">
        <w:t>v</w:t>
      </w:r>
      <w:r>
        <w:t> </w:t>
      </w:r>
      <w:r w:rsidRPr="003F6D94">
        <w:t>r</w:t>
      </w:r>
      <w:r>
        <w:t>oce</w:t>
      </w:r>
      <w:r w:rsidRPr="003F6D94">
        <w:t xml:space="preserve"> 2012</w:t>
      </w:r>
      <w:r>
        <w:t xml:space="preserve"> za sérii referenčních let </w:t>
      </w:r>
      <w:r w:rsidRPr="003F6D94">
        <w:t xml:space="preserve">2007 až 2011. </w:t>
      </w:r>
      <w:r>
        <w:t xml:space="preserve">Počínaje těmito lety jsou k dispozici podrobná statistická data provázaná s </w:t>
      </w:r>
      <w:r w:rsidRPr="003F6D94">
        <w:t xml:space="preserve">informacemi Registru ekonomických subjektů (RES). </w:t>
      </w:r>
      <w:r>
        <w:t>Data z předcházejících let (</w:t>
      </w:r>
      <w:r w:rsidRPr="003F6D94">
        <w:t>2005 a 2006</w:t>
      </w:r>
      <w:r>
        <w:t>)</w:t>
      </w:r>
      <w:r w:rsidRPr="003F6D94">
        <w:t xml:space="preserve"> jsou k dispozici pouze v agregované podobě, </w:t>
      </w:r>
      <w:r>
        <w:t>jež</w:t>
      </w:r>
      <w:r w:rsidRPr="003F6D94">
        <w:t xml:space="preserve"> neumožňuje podrobnější členění na úrovni </w:t>
      </w:r>
      <w:r>
        <w:t>jednotlivých firem.</w:t>
      </w:r>
      <w:r w:rsidRPr="003F6D94">
        <w:t xml:space="preserve"> Administrativním zdrojem v</w:t>
      </w:r>
      <w:r>
        <w:t xml:space="preserve">yužívaným ve statistice daňové </w:t>
      </w:r>
      <w:r w:rsidRPr="003F6D94">
        <w:t xml:space="preserve">podpory VaV jsou </w:t>
      </w:r>
      <w:r>
        <w:t xml:space="preserve">vyčerpávající data z </w:t>
      </w:r>
      <w:r w:rsidRPr="003F6D94">
        <w:t>daňov</w:t>
      </w:r>
      <w:r>
        <w:t>ých</w:t>
      </w:r>
      <w:r w:rsidRPr="003F6D94">
        <w:t xml:space="preserve"> přiznání právnických osob.</w:t>
      </w:r>
    </w:p>
    <w:p w:rsidR="003321E3" w:rsidRDefault="003321E3" w:rsidP="003321E3">
      <w:pPr>
        <w:rPr>
          <w:rFonts w:cs="Arial"/>
          <w:i/>
          <w:szCs w:val="20"/>
        </w:rPr>
      </w:pPr>
      <w:r>
        <w:rPr>
          <w:rFonts w:cs="Arial"/>
          <w:szCs w:val="20"/>
        </w:rPr>
        <w:t xml:space="preserve">Výsledky z této statistiky </w:t>
      </w:r>
      <w:r w:rsidRPr="00C406F4">
        <w:rPr>
          <w:rFonts w:cs="Arial"/>
          <w:szCs w:val="20"/>
        </w:rPr>
        <w:t xml:space="preserve">se </w:t>
      </w:r>
      <w:r w:rsidRPr="00A76BFC">
        <w:rPr>
          <w:rFonts w:cs="Arial"/>
          <w:b/>
          <w:szCs w:val="20"/>
        </w:rPr>
        <w:t>využívají</w:t>
      </w:r>
      <w:r>
        <w:rPr>
          <w:rFonts w:cs="Arial"/>
          <w:szCs w:val="20"/>
        </w:rPr>
        <w:t xml:space="preserve"> na národní úrovni </w:t>
      </w:r>
      <w:r w:rsidRPr="00C406F4">
        <w:rPr>
          <w:rFonts w:cs="Arial"/>
          <w:szCs w:val="20"/>
        </w:rPr>
        <w:t xml:space="preserve">především k zabezpečení </w:t>
      </w:r>
      <w:r>
        <w:rPr>
          <w:rFonts w:cs="Arial"/>
          <w:szCs w:val="20"/>
        </w:rPr>
        <w:t>statistických údajů</w:t>
      </w:r>
      <w:r w:rsidRPr="00C406F4">
        <w:rPr>
          <w:rFonts w:cs="Arial"/>
          <w:szCs w:val="20"/>
        </w:rPr>
        <w:t xml:space="preserve"> potřebných pro </w:t>
      </w:r>
      <w:r w:rsidRPr="00C406F4">
        <w:rPr>
          <w:rFonts w:cs="Arial"/>
          <w:b/>
          <w:szCs w:val="20"/>
        </w:rPr>
        <w:t xml:space="preserve">výkon státní správy </w:t>
      </w:r>
      <w:r w:rsidRPr="00076308">
        <w:rPr>
          <w:rFonts w:cs="Arial"/>
          <w:szCs w:val="20"/>
        </w:rPr>
        <w:t>v oblasti výzkumu, vývoje a inovací</w:t>
      </w:r>
      <w:r>
        <w:rPr>
          <w:rFonts w:cs="Arial"/>
          <w:szCs w:val="20"/>
        </w:rPr>
        <w:t>. Sl</w:t>
      </w:r>
      <w:r w:rsidRPr="000009C9">
        <w:rPr>
          <w:rFonts w:cs="Arial"/>
          <w:szCs w:val="20"/>
        </w:rPr>
        <w:t xml:space="preserve">ouží </w:t>
      </w:r>
      <w:r>
        <w:rPr>
          <w:rFonts w:cs="Arial"/>
          <w:szCs w:val="20"/>
        </w:rPr>
        <w:t xml:space="preserve">např. </w:t>
      </w:r>
      <w:r w:rsidRPr="000009C9">
        <w:rPr>
          <w:rFonts w:cs="Arial"/>
          <w:szCs w:val="20"/>
        </w:rPr>
        <w:t xml:space="preserve">pro hodnocení </w:t>
      </w:r>
      <w:r w:rsidRPr="003265D4">
        <w:rPr>
          <w:rFonts w:cs="Arial"/>
          <w:i/>
          <w:szCs w:val="20"/>
        </w:rPr>
        <w:t>Národní výzkumné a inovační strategie pro inteligentní specializaci České republiky (</w:t>
      </w:r>
      <w:r w:rsidRPr="003265D4">
        <w:rPr>
          <w:rFonts w:cs="Arial"/>
          <w:b/>
          <w:i/>
          <w:szCs w:val="20"/>
        </w:rPr>
        <w:t>RIS3 strategie</w:t>
      </w:r>
      <w:r w:rsidRPr="003265D4">
        <w:rPr>
          <w:rFonts w:cs="Arial"/>
          <w:i/>
          <w:szCs w:val="20"/>
        </w:rPr>
        <w:t>)</w:t>
      </w:r>
      <w:r w:rsidRPr="003265D4">
        <w:rPr>
          <w:rFonts w:cs="Arial"/>
          <w:szCs w:val="20"/>
        </w:rPr>
        <w:t xml:space="preserve"> nebo pro potřeby </w:t>
      </w:r>
      <w:r w:rsidRPr="003265D4">
        <w:rPr>
          <w:rFonts w:cs="Arial"/>
          <w:b/>
          <w:i/>
          <w:szCs w:val="20"/>
        </w:rPr>
        <w:t>Národní politiky výzkumu, vývoje a inovací České republiky 2021+</w:t>
      </w:r>
      <w:r w:rsidRPr="003265D4">
        <w:rPr>
          <w:rFonts w:cs="Arial"/>
          <w:i/>
          <w:szCs w:val="20"/>
        </w:rPr>
        <w:t>.</w:t>
      </w:r>
      <w:r>
        <w:rPr>
          <w:rFonts w:cs="Arial"/>
          <w:i/>
          <w:szCs w:val="20"/>
        </w:rPr>
        <w:t xml:space="preserve"> </w:t>
      </w:r>
    </w:p>
    <w:p w:rsidR="003321E3" w:rsidRPr="003321E3" w:rsidRDefault="003321E3" w:rsidP="003321E3">
      <w:r w:rsidRPr="003321E3">
        <w:t xml:space="preserve">Informace o daňové podpoře VaV uvedené v daňových přiznáních právnických osob jsou relevantní i pro Roční národní účty, které zpracovávají údaje o </w:t>
      </w:r>
      <w:r w:rsidRPr="003321E3">
        <w:rPr>
          <w:b/>
        </w:rPr>
        <w:t>kapitalizaci výzkumu a vývoje</w:t>
      </w:r>
      <w:r w:rsidRPr="003321E3">
        <w:t>.</w:t>
      </w:r>
    </w:p>
    <w:p w:rsidR="003321E3" w:rsidRDefault="003321E3" w:rsidP="003321E3">
      <w:pPr>
        <w:rPr>
          <w:rFonts w:cs="Arial"/>
          <w:i/>
          <w:szCs w:val="20"/>
        </w:rPr>
      </w:pPr>
      <w:r w:rsidRPr="003321E3">
        <w:rPr>
          <w:rFonts w:cs="Arial"/>
          <w:szCs w:val="20"/>
        </w:rPr>
        <w:t xml:space="preserve">Cílem je nalézt odlišnosti ve využívání různých forem veřejné podpory </w:t>
      </w:r>
      <w:r>
        <w:rPr>
          <w:rFonts w:cs="Arial"/>
          <w:szCs w:val="20"/>
        </w:rPr>
        <w:t>VaV</w:t>
      </w:r>
      <w:r w:rsidRPr="003321E3">
        <w:rPr>
          <w:rFonts w:cs="Arial"/>
          <w:szCs w:val="20"/>
        </w:rPr>
        <w:t xml:space="preserve"> (např. prostřednictvím dotací nebo daňové podpory) v závislosti na charakteristikách firem provádějících </w:t>
      </w:r>
      <w:r>
        <w:rPr>
          <w:rFonts w:cs="Arial"/>
          <w:szCs w:val="20"/>
        </w:rPr>
        <w:t>VaV</w:t>
      </w:r>
      <w:r w:rsidRPr="003321E3">
        <w:rPr>
          <w:rFonts w:cs="Arial"/>
          <w:szCs w:val="20"/>
        </w:rPr>
        <w:t xml:space="preserve">, jako je vlastnictví, velikost, převažující ekonomická činnost nebo sídlo těchto firem. Jde o údaje, které nejsou z jiných datových zdrojů v tomto rozsahu v současné době k dispozici. </w:t>
      </w:r>
      <w:r>
        <w:rPr>
          <w:rFonts w:cs="Arial"/>
          <w:szCs w:val="20"/>
        </w:rPr>
        <w:t xml:space="preserve"> </w:t>
      </w:r>
      <w:r w:rsidRPr="003321E3">
        <w:rPr>
          <w:rFonts w:cs="Arial"/>
          <w:szCs w:val="20"/>
        </w:rPr>
        <w:t>Tyto údaje mohou sloužit i jako jeden z podkladů pro zhodnocení toho, jestli je daňová podpora VaV v</w:t>
      </w:r>
      <w:r w:rsidR="00C37948">
        <w:rPr>
          <w:rFonts w:cs="Arial"/>
          <w:szCs w:val="20"/>
        </w:rPr>
        <w:t> </w:t>
      </w:r>
      <w:r w:rsidRPr="003321E3">
        <w:rPr>
          <w:rFonts w:cs="Arial"/>
          <w:szCs w:val="20"/>
        </w:rPr>
        <w:t>Česku</w:t>
      </w:r>
      <w:r w:rsidR="00C37948">
        <w:rPr>
          <w:rFonts w:cs="Arial"/>
          <w:szCs w:val="20"/>
        </w:rPr>
        <w:t xml:space="preserve"> správně nastavena.</w:t>
      </w:r>
    </w:p>
    <w:p w:rsidR="003321E3" w:rsidRPr="003265D4" w:rsidRDefault="003321E3" w:rsidP="003321E3">
      <w:pPr>
        <w:rPr>
          <w:rFonts w:cs="Arial"/>
          <w:szCs w:val="20"/>
        </w:rPr>
      </w:pPr>
      <w:r w:rsidRPr="000009C9">
        <w:rPr>
          <w:rFonts w:cs="Arial"/>
          <w:szCs w:val="20"/>
        </w:rPr>
        <w:t>Oficiální statistická data z</w:t>
      </w:r>
      <w:r>
        <w:rPr>
          <w:rFonts w:cs="Arial"/>
          <w:szCs w:val="20"/>
        </w:rPr>
        <w:t> </w:t>
      </w:r>
      <w:r w:rsidRPr="000009C9">
        <w:rPr>
          <w:rFonts w:cs="Arial"/>
          <w:szCs w:val="20"/>
        </w:rPr>
        <w:t>oblasti</w:t>
      </w:r>
      <w:r>
        <w:rPr>
          <w:rFonts w:cs="Arial"/>
          <w:szCs w:val="20"/>
        </w:rPr>
        <w:t xml:space="preserve"> výzkumu a vývoje </w:t>
      </w:r>
      <w:r w:rsidRPr="000009C9">
        <w:rPr>
          <w:rFonts w:cs="Arial"/>
          <w:szCs w:val="20"/>
        </w:rPr>
        <w:t xml:space="preserve">jsou zároveň nepostradatelná pro </w:t>
      </w:r>
      <w:r w:rsidRPr="003265D4">
        <w:rPr>
          <w:rFonts w:cs="Arial"/>
          <w:b/>
          <w:szCs w:val="20"/>
        </w:rPr>
        <w:t>mezinárodní srovnání</w:t>
      </w:r>
      <w:r w:rsidRPr="000009C9">
        <w:rPr>
          <w:rFonts w:cs="Arial"/>
          <w:szCs w:val="20"/>
        </w:rPr>
        <w:t xml:space="preserve">. </w:t>
      </w:r>
      <w:r w:rsidRPr="003265D4">
        <w:rPr>
          <w:rFonts w:cs="Arial"/>
          <w:szCs w:val="20"/>
        </w:rPr>
        <w:t>Kromě národních potřeb jsou tak tyto údaje využívány i pro potřeby Evropské unie a dalších mezinárodních organizací, zejména Organizace pro hospodářskou spolupráci a rozvoj.</w:t>
      </w:r>
    </w:p>
    <w:p w:rsidR="0029722B" w:rsidRDefault="0029722B">
      <w:pPr>
        <w:spacing w:after="0" w:line="240" w:lineRule="auto"/>
        <w:jc w:val="left"/>
        <w:rPr>
          <w:rStyle w:val="st"/>
          <w:rFonts w:eastAsia="MS Gothic"/>
          <w:b/>
          <w:bCs/>
          <w:color w:val="009BB4"/>
          <w:sz w:val="24"/>
          <w:szCs w:val="24"/>
        </w:rPr>
      </w:pPr>
      <w:r>
        <w:rPr>
          <w:rStyle w:val="st"/>
          <w:sz w:val="24"/>
          <w:szCs w:val="24"/>
        </w:rPr>
        <w:br w:type="page"/>
      </w:r>
    </w:p>
    <w:p w:rsidR="00200034" w:rsidRPr="0029722B" w:rsidRDefault="0029722B" w:rsidP="0029722B">
      <w:pPr>
        <w:pStyle w:val="Nadpis3"/>
        <w:spacing w:after="120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lastRenderedPageBreak/>
        <w:t xml:space="preserve">2.2.1 </w:t>
      </w:r>
      <w:r w:rsidR="00F02E9C" w:rsidRPr="0029722B">
        <w:rPr>
          <w:rStyle w:val="st"/>
          <w:sz w:val="24"/>
          <w:szCs w:val="24"/>
        </w:rPr>
        <w:t>Z</w:t>
      </w:r>
      <w:r w:rsidR="00A67F76" w:rsidRPr="0029722B">
        <w:rPr>
          <w:rStyle w:val="st"/>
          <w:sz w:val="24"/>
          <w:szCs w:val="24"/>
        </w:rPr>
        <w:t xml:space="preserve">jišťované </w:t>
      </w:r>
      <w:r w:rsidR="00F02E9C" w:rsidRPr="0029722B">
        <w:rPr>
          <w:rStyle w:val="st"/>
          <w:sz w:val="24"/>
          <w:szCs w:val="24"/>
        </w:rPr>
        <w:t xml:space="preserve">ukazatele </w:t>
      </w:r>
      <w:r w:rsidR="000C18DE" w:rsidRPr="0029722B">
        <w:rPr>
          <w:rStyle w:val="st"/>
          <w:sz w:val="24"/>
          <w:szCs w:val="24"/>
        </w:rPr>
        <w:t>statistiky daňové</w:t>
      </w:r>
      <w:r w:rsidR="00A14C12" w:rsidRPr="0029722B">
        <w:rPr>
          <w:rStyle w:val="st"/>
          <w:sz w:val="24"/>
          <w:szCs w:val="24"/>
        </w:rPr>
        <w:t xml:space="preserve"> </w:t>
      </w:r>
      <w:r w:rsidR="00200034" w:rsidRPr="0029722B">
        <w:rPr>
          <w:rStyle w:val="st"/>
          <w:sz w:val="24"/>
          <w:szCs w:val="24"/>
        </w:rPr>
        <w:t>podpory Va</w:t>
      </w:r>
      <w:r w:rsidR="006F223A" w:rsidRPr="0029722B">
        <w:rPr>
          <w:rStyle w:val="st"/>
          <w:sz w:val="24"/>
          <w:szCs w:val="24"/>
        </w:rPr>
        <w:t>V</w:t>
      </w:r>
    </w:p>
    <w:p w:rsidR="00E1118A" w:rsidRDefault="007337F1" w:rsidP="00351439">
      <w:pPr>
        <w:spacing w:after="240"/>
      </w:pPr>
      <w:r>
        <w:t xml:space="preserve">Statistika </w:t>
      </w:r>
      <w:r w:rsidR="000C18DE">
        <w:t>daňové</w:t>
      </w:r>
      <w:r w:rsidR="00BD3852">
        <w:t xml:space="preserve"> podpo</w:t>
      </w:r>
      <w:r>
        <w:t xml:space="preserve">ry </w:t>
      </w:r>
      <w:r w:rsidR="00BD3852">
        <w:t xml:space="preserve">VaV </w:t>
      </w:r>
      <w:r>
        <w:t xml:space="preserve">v České republice </w:t>
      </w:r>
      <w:r w:rsidR="00393C6A">
        <w:t>si kl</w:t>
      </w:r>
      <w:r w:rsidR="00B90513">
        <w:t>a</w:t>
      </w:r>
      <w:r w:rsidR="00393C6A">
        <w:t xml:space="preserve">de za cíl </w:t>
      </w:r>
      <w:r w:rsidR="00A31C1F">
        <w:t>měřit objem</w:t>
      </w:r>
      <w:r w:rsidR="00E57AB1">
        <w:t xml:space="preserve"> či rozsah</w:t>
      </w:r>
      <w:r w:rsidR="00A31C1F">
        <w:t xml:space="preserve"> poskytnuté podpory </w:t>
      </w:r>
      <w:r w:rsidR="00BD3852">
        <w:t>s ohledem na</w:t>
      </w:r>
      <w:r w:rsidR="00232628">
        <w:t xml:space="preserve"> zák</w:t>
      </w:r>
      <w:r w:rsidR="00001523">
        <w:t xml:space="preserve">ladní charakteristiky </w:t>
      </w:r>
      <w:r w:rsidR="00E67739">
        <w:t>p</w:t>
      </w:r>
      <w:r w:rsidR="00E32AE7">
        <w:t>říjemců.</w:t>
      </w:r>
    </w:p>
    <w:p w:rsidR="00200034" w:rsidRPr="00C715D2" w:rsidRDefault="00C66128" w:rsidP="00F11D2C">
      <w:pPr>
        <w:rPr>
          <w:b/>
          <w:u w:val="single"/>
        </w:rPr>
      </w:pPr>
      <w:r>
        <w:rPr>
          <w:b/>
          <w:u w:val="single"/>
        </w:rPr>
        <w:t xml:space="preserve">Mezi hlavní ukazatele statistiky </w:t>
      </w:r>
      <w:r w:rsidR="000C18DE">
        <w:rPr>
          <w:b/>
          <w:u w:val="single"/>
        </w:rPr>
        <w:t>daňové</w:t>
      </w:r>
      <w:r w:rsidR="00880BA5">
        <w:rPr>
          <w:b/>
          <w:u w:val="single"/>
        </w:rPr>
        <w:t xml:space="preserve"> </w:t>
      </w:r>
      <w:r w:rsidR="00382A0F">
        <w:rPr>
          <w:b/>
          <w:u w:val="single"/>
        </w:rPr>
        <w:t>podpory VaV v ČR</w:t>
      </w:r>
      <w:r w:rsidR="00475DA2" w:rsidRPr="00C715D2">
        <w:rPr>
          <w:b/>
          <w:u w:val="single"/>
        </w:rPr>
        <w:t xml:space="preserve"> </w:t>
      </w:r>
      <w:r>
        <w:rPr>
          <w:b/>
          <w:u w:val="single"/>
        </w:rPr>
        <w:t>se řadí následující:</w:t>
      </w:r>
      <w:r w:rsidR="00475DA2" w:rsidRPr="00C715D2">
        <w:rPr>
          <w:b/>
          <w:u w:val="single"/>
        </w:rPr>
        <w:t xml:space="preserve"> </w:t>
      </w:r>
    </w:p>
    <w:p w:rsidR="000E4206" w:rsidRDefault="00EA436A" w:rsidP="00245732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F6D94">
        <w:rPr>
          <w:b/>
        </w:rPr>
        <w:t>Poč</w:t>
      </w:r>
      <w:r w:rsidR="00382A0F">
        <w:rPr>
          <w:b/>
        </w:rPr>
        <w:t>e</w:t>
      </w:r>
      <w:r w:rsidRPr="003F6D94">
        <w:rPr>
          <w:b/>
        </w:rPr>
        <w:t xml:space="preserve">t </w:t>
      </w:r>
      <w:r w:rsidR="00880BA5">
        <w:rPr>
          <w:b/>
        </w:rPr>
        <w:t>právnických osob (podniků)</w:t>
      </w:r>
      <w:r w:rsidR="009B5331" w:rsidRPr="003F6D94">
        <w:rPr>
          <w:b/>
        </w:rPr>
        <w:t>, jež využily</w:t>
      </w:r>
      <w:r w:rsidR="000C18DE">
        <w:rPr>
          <w:b/>
        </w:rPr>
        <w:t xml:space="preserve"> daňové</w:t>
      </w:r>
      <w:r w:rsidR="00200034" w:rsidRPr="003F6D94">
        <w:rPr>
          <w:b/>
        </w:rPr>
        <w:t xml:space="preserve"> podpor</w:t>
      </w:r>
      <w:r w:rsidR="006B0F98" w:rsidRPr="003F6D94">
        <w:rPr>
          <w:b/>
        </w:rPr>
        <w:t>y</w:t>
      </w:r>
      <w:r w:rsidR="00200034" w:rsidRPr="003F6D94">
        <w:rPr>
          <w:b/>
        </w:rPr>
        <w:t xml:space="preserve"> VaV</w:t>
      </w:r>
      <w:r w:rsidR="00986693" w:rsidRPr="003F6D94">
        <w:t>.</w:t>
      </w:r>
      <w:r w:rsidR="00AB4031" w:rsidRPr="003F6D94">
        <w:t xml:space="preserve"> Ukazatel stanovuje </w:t>
      </w:r>
      <w:r w:rsidR="00E017C5" w:rsidRPr="003F6D94">
        <w:t xml:space="preserve">počty </w:t>
      </w:r>
      <w:r w:rsidR="00AB4031" w:rsidRPr="003F6D94">
        <w:t xml:space="preserve">právnických </w:t>
      </w:r>
      <w:r w:rsidR="00200034" w:rsidRPr="003F6D94">
        <w:t>osob</w:t>
      </w:r>
      <w:r w:rsidR="006E25E7">
        <w:t xml:space="preserve"> (podniků)</w:t>
      </w:r>
      <w:r w:rsidR="00200034" w:rsidRPr="003F6D94">
        <w:t xml:space="preserve">, jež v daném roce </w:t>
      </w:r>
      <w:r w:rsidR="00E253C0" w:rsidRPr="003F6D94">
        <w:t xml:space="preserve">uplatnily při vyplňování svých </w:t>
      </w:r>
      <w:r w:rsidR="00200034" w:rsidRPr="003F6D94">
        <w:t>daňov</w:t>
      </w:r>
      <w:r w:rsidR="00E253C0" w:rsidRPr="003F6D94">
        <w:t>ých</w:t>
      </w:r>
      <w:r w:rsidR="00200034" w:rsidRPr="003F6D94">
        <w:t xml:space="preserve"> přiznání daňov</w:t>
      </w:r>
      <w:r w:rsidR="009046C2" w:rsidRPr="003F6D94">
        <w:t>é</w:t>
      </w:r>
      <w:r w:rsidR="00200034" w:rsidRPr="003F6D94">
        <w:t xml:space="preserve"> odpočt</w:t>
      </w:r>
      <w:r w:rsidR="00316817" w:rsidRPr="003F6D94">
        <w:t>y</w:t>
      </w:r>
      <w:r w:rsidR="00200034" w:rsidRPr="003F6D94">
        <w:t xml:space="preserve"> výdajů na VaV </w:t>
      </w:r>
      <w:r w:rsidR="00B643E3" w:rsidRPr="003F6D94">
        <w:t xml:space="preserve">v souladu s </w:t>
      </w:r>
      <w:r w:rsidR="00200034" w:rsidRPr="003F6D94">
        <w:t>§</w:t>
      </w:r>
      <w:r w:rsidR="00316817" w:rsidRPr="003F6D94">
        <w:t> </w:t>
      </w:r>
      <w:r w:rsidR="00200034" w:rsidRPr="003F6D94">
        <w:t>34 odst. 4 a 5 zákona č. 586/1992 Sb., o daních z příjmů.</w:t>
      </w:r>
    </w:p>
    <w:p w:rsidR="000E4206" w:rsidRPr="003F6D94" w:rsidRDefault="006E25E7" w:rsidP="006E25E7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>
        <w:rPr>
          <w:b/>
        </w:rPr>
        <w:t>U</w:t>
      </w:r>
      <w:r w:rsidRPr="006E25E7">
        <w:rPr>
          <w:b/>
        </w:rPr>
        <w:t>platněné daňové odpočty na VaV</w:t>
      </w:r>
      <w:r w:rsidR="006624B0" w:rsidRPr="003F6D94">
        <w:t>. J</w:t>
      </w:r>
      <w:r w:rsidR="005F3893" w:rsidRPr="003F6D94">
        <w:t>de</w:t>
      </w:r>
      <w:r w:rsidR="00AA5266" w:rsidRPr="003F6D94">
        <w:t xml:space="preserve"> o </w:t>
      </w:r>
      <w:r w:rsidR="008D3CE3">
        <w:t xml:space="preserve">objem </w:t>
      </w:r>
      <w:r w:rsidR="00AA5266" w:rsidRPr="003F6D94">
        <w:t>výdajů</w:t>
      </w:r>
      <w:r w:rsidR="00571197" w:rsidRPr="003F6D94">
        <w:t xml:space="preserve"> na VaV</w:t>
      </w:r>
      <w:r w:rsidR="00AA5266" w:rsidRPr="003F6D94">
        <w:t xml:space="preserve">, </w:t>
      </w:r>
      <w:r w:rsidR="0014314F">
        <w:t xml:space="preserve">jež </w:t>
      </w:r>
      <w:r w:rsidR="00AA5266" w:rsidRPr="00C37948">
        <w:t>právnické osoby</w:t>
      </w:r>
      <w:r w:rsidR="00C37948" w:rsidRPr="00C37948">
        <w:t xml:space="preserve"> (podniky)</w:t>
      </w:r>
      <w:r w:rsidR="00571197" w:rsidRPr="00C37948">
        <w:t xml:space="preserve"> odečetly</w:t>
      </w:r>
      <w:r w:rsidR="00AA5266" w:rsidRPr="00C37948">
        <w:t xml:space="preserve"> ve </w:t>
      </w:r>
      <w:r w:rsidR="001D0653" w:rsidRPr="00C37948">
        <w:t>sledovaném</w:t>
      </w:r>
      <w:r w:rsidR="001D0653" w:rsidRPr="003F6D94">
        <w:t xml:space="preserve"> roce </w:t>
      </w:r>
      <w:r w:rsidR="00571197" w:rsidRPr="003F6D94">
        <w:t>ve</w:t>
      </w:r>
      <w:r w:rsidR="001D0653" w:rsidRPr="003F6D94">
        <w:t xml:space="preserve"> </w:t>
      </w:r>
      <w:r w:rsidR="00571197" w:rsidRPr="003F6D94">
        <w:t xml:space="preserve">svých </w:t>
      </w:r>
      <w:r w:rsidR="001D0653" w:rsidRPr="003F6D94">
        <w:t>daňových přiznání</w:t>
      </w:r>
      <w:r w:rsidR="00571197" w:rsidRPr="003F6D94">
        <w:t>ch</w:t>
      </w:r>
      <w:r w:rsidR="001D0653" w:rsidRPr="003F6D94">
        <w:t xml:space="preserve"> </w:t>
      </w:r>
      <w:r w:rsidR="000D14AC">
        <w:t xml:space="preserve">v souladu s </w:t>
      </w:r>
      <w:r w:rsidR="00200034" w:rsidRPr="003F6D94">
        <w:t>§ 34 odst. 4 a 5 zákona č. 586/1992 Sb., o daních z příjmů.</w:t>
      </w:r>
    </w:p>
    <w:p w:rsidR="00C02753" w:rsidRPr="003F6D94" w:rsidRDefault="00E52C3A" w:rsidP="00245732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F6D94">
        <w:rPr>
          <w:b/>
        </w:rPr>
        <w:t>Výš</w:t>
      </w:r>
      <w:r w:rsidR="00382A0F">
        <w:rPr>
          <w:b/>
        </w:rPr>
        <w:t>e</w:t>
      </w:r>
      <w:r w:rsidRPr="003F6D94">
        <w:rPr>
          <w:b/>
        </w:rPr>
        <w:t xml:space="preserve"> d</w:t>
      </w:r>
      <w:r w:rsidR="00BD378C" w:rsidRPr="003F6D94">
        <w:rPr>
          <w:b/>
        </w:rPr>
        <w:t>aňov</w:t>
      </w:r>
      <w:r w:rsidRPr="003F6D94">
        <w:rPr>
          <w:b/>
        </w:rPr>
        <w:t>é</w:t>
      </w:r>
      <w:r w:rsidR="00BD378C" w:rsidRPr="003F6D94">
        <w:rPr>
          <w:b/>
        </w:rPr>
        <w:t xml:space="preserve"> podpor</w:t>
      </w:r>
      <w:r w:rsidRPr="003F6D94">
        <w:rPr>
          <w:b/>
        </w:rPr>
        <w:t>y</w:t>
      </w:r>
      <w:r w:rsidR="00BD378C" w:rsidRPr="003F6D94">
        <w:rPr>
          <w:b/>
        </w:rPr>
        <w:t xml:space="preserve"> VaV</w:t>
      </w:r>
      <w:r w:rsidR="0030070B">
        <w:t xml:space="preserve"> přímo </w:t>
      </w:r>
      <w:r w:rsidR="00D7324B">
        <w:t>vypovídá o</w:t>
      </w:r>
      <w:r w:rsidR="0013176A" w:rsidRPr="003F6D94">
        <w:t xml:space="preserve"> </w:t>
      </w:r>
      <w:r w:rsidR="00C37948">
        <w:t>částce</w:t>
      </w:r>
      <w:r w:rsidRPr="003F6D94">
        <w:t xml:space="preserve"> </w:t>
      </w:r>
      <w:r w:rsidR="000C18DE" w:rsidRPr="00C37948">
        <w:t>získané daňové</w:t>
      </w:r>
      <w:r w:rsidRPr="00C37948">
        <w:t xml:space="preserve"> podpory VaV</w:t>
      </w:r>
      <w:r w:rsidR="004A1CCE" w:rsidRPr="00C37948">
        <w:t>. Její výpočet se</w:t>
      </w:r>
      <w:r w:rsidR="004A1CCE">
        <w:t xml:space="preserve"> řídí níže uvedeným vzorcem, v němž </w:t>
      </w:r>
      <w:r w:rsidR="00994D1A">
        <w:t xml:space="preserve">je </w:t>
      </w:r>
      <w:r w:rsidR="00834E97" w:rsidRPr="003F6D94">
        <w:t>o</w:t>
      </w:r>
      <w:r w:rsidR="00600063" w:rsidRPr="003F6D94">
        <w:t xml:space="preserve">bjem odečtených výdajů na VaV </w:t>
      </w:r>
      <w:r w:rsidR="000F4329">
        <w:t xml:space="preserve">vynásoben </w:t>
      </w:r>
      <w:r w:rsidR="00600063" w:rsidRPr="003F6D94">
        <w:t>příslušnou</w:t>
      </w:r>
      <w:r w:rsidR="001C439D" w:rsidRPr="003F6D94">
        <w:t xml:space="preserve"> </w:t>
      </w:r>
      <w:r w:rsidR="00600063" w:rsidRPr="003F6D94">
        <w:t>sazbou d</w:t>
      </w:r>
      <w:r w:rsidR="001C439D" w:rsidRPr="003F6D94">
        <w:t xml:space="preserve">aně z příjmu </w:t>
      </w:r>
      <w:r w:rsidR="003259CF" w:rsidRPr="003F6D94">
        <w:t>právnických osob</w:t>
      </w:r>
      <w:r w:rsidR="00AD6EE1" w:rsidRPr="003F6D94">
        <w:t>.</w:t>
      </w:r>
    </w:p>
    <w:tbl>
      <w:tblPr>
        <w:tblW w:w="494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9219"/>
        <w:gridCol w:w="158"/>
      </w:tblGrid>
      <w:tr w:rsidR="00DA345A" w:rsidRPr="003F6D94" w:rsidTr="00DA345A">
        <w:trPr>
          <w:trHeight w:val="283"/>
        </w:trPr>
        <w:tc>
          <w:tcPr>
            <w:tcW w:w="4917" w:type="pct"/>
            <w:gridSpan w:val="2"/>
            <w:shd w:val="clear" w:color="000000" w:fill="DAEEF3"/>
            <w:vAlign w:val="center"/>
            <w:hideMark/>
          </w:tcPr>
          <w:p w:rsidR="00DA345A" w:rsidRPr="00EB3E53" w:rsidRDefault="008A1F6D" w:rsidP="005451BD">
            <w:pPr>
              <w:spacing w:before="120"/>
              <w:rPr>
                <w:b/>
                <w:color w:val="009BB4"/>
                <w:sz w:val="18"/>
                <w:szCs w:val="18"/>
              </w:rPr>
            </w:pPr>
            <w:r w:rsidRPr="00EB3E53">
              <w:rPr>
                <w:b/>
                <w:color w:val="009BB4"/>
                <w:sz w:val="18"/>
                <w:szCs w:val="18"/>
              </w:rPr>
              <w:t xml:space="preserve"> </w:t>
            </w:r>
            <w:r w:rsidR="00A543C6">
              <w:rPr>
                <w:b/>
                <w:color w:val="009BB4"/>
                <w:sz w:val="18"/>
                <w:szCs w:val="18"/>
              </w:rPr>
              <w:t>Vzorec 1</w:t>
            </w:r>
            <w:r w:rsidR="00AD41FE">
              <w:rPr>
                <w:b/>
                <w:color w:val="009BB4"/>
                <w:sz w:val="18"/>
                <w:szCs w:val="18"/>
              </w:rPr>
              <w:t>:</w:t>
            </w:r>
            <w:r w:rsidR="00A543C6">
              <w:rPr>
                <w:b/>
                <w:color w:val="009BB4"/>
                <w:sz w:val="18"/>
                <w:szCs w:val="18"/>
              </w:rPr>
              <w:t xml:space="preserve"> S</w:t>
            </w:r>
            <w:r w:rsidR="00E00F38" w:rsidRPr="00EB3E53">
              <w:rPr>
                <w:b/>
                <w:color w:val="009BB4"/>
                <w:sz w:val="18"/>
                <w:szCs w:val="18"/>
              </w:rPr>
              <w:t xml:space="preserve">tanovení </w:t>
            </w:r>
            <w:r w:rsidR="000C18DE">
              <w:rPr>
                <w:b/>
                <w:color w:val="009BB4"/>
                <w:sz w:val="18"/>
                <w:szCs w:val="18"/>
              </w:rPr>
              <w:t>daňové</w:t>
            </w:r>
            <w:r w:rsidR="005451BD" w:rsidRPr="00EB3E53">
              <w:rPr>
                <w:b/>
                <w:color w:val="009BB4"/>
                <w:sz w:val="18"/>
                <w:szCs w:val="18"/>
              </w:rPr>
              <w:t xml:space="preserve"> </w:t>
            </w:r>
            <w:r w:rsidR="00844F09" w:rsidRPr="00EB3E53">
              <w:rPr>
                <w:b/>
                <w:color w:val="009BB4"/>
                <w:sz w:val="18"/>
                <w:szCs w:val="18"/>
              </w:rPr>
              <w:t>podpory VaV</w:t>
            </w:r>
          </w:p>
        </w:tc>
        <w:tc>
          <w:tcPr>
            <w:tcW w:w="83" w:type="pct"/>
            <w:shd w:val="clear" w:color="000000" w:fill="DAEEF3"/>
            <w:vAlign w:val="center"/>
          </w:tcPr>
          <w:p w:rsidR="00DA345A" w:rsidRPr="00EB3E53" w:rsidRDefault="00DA345A" w:rsidP="002C02F4">
            <w:pPr>
              <w:rPr>
                <w:sz w:val="18"/>
                <w:szCs w:val="18"/>
              </w:rPr>
            </w:pPr>
          </w:p>
        </w:tc>
      </w:tr>
      <w:tr w:rsidR="002F0B8B" w:rsidRPr="003F6D94" w:rsidTr="00C56365">
        <w:trPr>
          <w:trHeight w:val="283"/>
        </w:trPr>
        <w:tc>
          <w:tcPr>
            <w:tcW w:w="83" w:type="pct"/>
            <w:shd w:val="clear" w:color="auto" w:fill="DAEEF3"/>
            <w:vAlign w:val="center"/>
            <w:hideMark/>
          </w:tcPr>
          <w:p w:rsidR="002F0B8B" w:rsidRPr="00EB3E53" w:rsidRDefault="002F0B8B" w:rsidP="002C02F4">
            <w:pPr>
              <w:rPr>
                <w:sz w:val="18"/>
                <w:szCs w:val="18"/>
              </w:rPr>
            </w:pPr>
          </w:p>
        </w:tc>
        <w:tc>
          <w:tcPr>
            <w:tcW w:w="4917" w:type="pct"/>
            <w:gridSpan w:val="2"/>
            <w:shd w:val="clear" w:color="auto" w:fill="DAEEF3"/>
            <w:vAlign w:val="center"/>
          </w:tcPr>
          <w:p w:rsidR="00F026D4" w:rsidRPr="000C18DE" w:rsidRDefault="000C18DE" w:rsidP="00C1654D">
            <w:pPr>
              <w:spacing w:after="60"/>
              <w:jc w:val="left"/>
              <w:rPr>
                <w:b/>
                <w:sz w:val="18"/>
                <w:szCs w:val="18"/>
              </w:rPr>
            </w:pPr>
            <w:r w:rsidRPr="000C18DE">
              <w:rPr>
                <w:b/>
                <w:sz w:val="18"/>
                <w:szCs w:val="18"/>
              </w:rPr>
              <w:t>Daňová</w:t>
            </w:r>
            <w:r w:rsidR="002F0B8B" w:rsidRPr="000C18DE">
              <w:rPr>
                <w:b/>
                <w:sz w:val="18"/>
                <w:szCs w:val="18"/>
              </w:rPr>
              <w:t xml:space="preserve"> podpora VaV</w:t>
            </w:r>
            <w:r w:rsidR="00B336B5" w:rsidRPr="000C18DE">
              <w:rPr>
                <w:b/>
                <w:sz w:val="18"/>
                <w:szCs w:val="18"/>
              </w:rPr>
              <w:t xml:space="preserve"> </w:t>
            </w:r>
            <w:r w:rsidR="002F0B8B" w:rsidRPr="000C18DE">
              <w:rPr>
                <w:b/>
                <w:sz w:val="18"/>
                <w:szCs w:val="18"/>
              </w:rPr>
              <w:t xml:space="preserve"> =</w:t>
            </w:r>
          </w:p>
          <w:p w:rsidR="002F0B8B" w:rsidRPr="000C18DE" w:rsidRDefault="008851F3" w:rsidP="00C1654D">
            <w:pPr>
              <w:spacing w:after="60"/>
              <w:jc w:val="left"/>
              <w:rPr>
                <w:b/>
                <w:sz w:val="18"/>
                <w:szCs w:val="18"/>
              </w:rPr>
            </w:pPr>
            <w:r w:rsidRPr="000C18DE">
              <w:rPr>
                <w:b/>
                <w:sz w:val="18"/>
                <w:szCs w:val="18"/>
              </w:rPr>
              <w:t>= objem</w:t>
            </w:r>
            <w:r w:rsidR="00F026D4" w:rsidRPr="000C18DE">
              <w:rPr>
                <w:b/>
                <w:sz w:val="18"/>
                <w:szCs w:val="18"/>
              </w:rPr>
              <w:t xml:space="preserve"> odečtených výdajů na VaV od</w:t>
            </w:r>
            <w:r w:rsidR="00C37948">
              <w:rPr>
                <w:b/>
                <w:sz w:val="18"/>
                <w:szCs w:val="18"/>
              </w:rPr>
              <w:t xml:space="preserve"> základu daně z příjmu  ×</w:t>
            </w:r>
            <w:r w:rsidR="002F0B8B" w:rsidRPr="000C18DE">
              <w:rPr>
                <w:b/>
                <w:sz w:val="18"/>
                <w:szCs w:val="18"/>
              </w:rPr>
              <w:t xml:space="preserve">  sazba daně z</w:t>
            </w:r>
            <w:r w:rsidR="00027C33" w:rsidRPr="000C18DE">
              <w:rPr>
                <w:b/>
                <w:sz w:val="18"/>
                <w:szCs w:val="18"/>
              </w:rPr>
              <w:t> </w:t>
            </w:r>
            <w:r w:rsidR="002F0B8B" w:rsidRPr="000C18DE">
              <w:rPr>
                <w:b/>
                <w:sz w:val="18"/>
                <w:szCs w:val="18"/>
              </w:rPr>
              <w:t>příjmu</w:t>
            </w:r>
          </w:p>
        </w:tc>
      </w:tr>
    </w:tbl>
    <w:p w:rsidR="00C463A9" w:rsidRPr="003F6D94" w:rsidRDefault="00C463A9" w:rsidP="005D5CA3">
      <w:pPr>
        <w:spacing w:before="240"/>
      </w:pPr>
      <w:r w:rsidRPr="003F6D94">
        <w:t xml:space="preserve">Uplatněný odečet </w:t>
      </w:r>
      <w:r w:rsidR="00464380" w:rsidRPr="003F6D94">
        <w:t>výdajů</w:t>
      </w:r>
      <w:r w:rsidRPr="003F6D94">
        <w:t xml:space="preserve"> na VaV může dosáhnout až 100 % celkových nákladů na VaV činnost</w:t>
      </w:r>
      <w:r w:rsidR="0059708A" w:rsidRPr="003F6D94">
        <w:rPr>
          <w:rStyle w:val="Znakapoznpodarou"/>
          <w:rFonts w:cs="Arial"/>
          <w:szCs w:val="20"/>
        </w:rPr>
        <w:footnoteReference w:id="7"/>
      </w:r>
      <w:r w:rsidRPr="003F6D94">
        <w:t xml:space="preserve">. </w:t>
      </w:r>
      <w:r w:rsidR="00880BA5">
        <w:t>Náklady</w:t>
      </w:r>
      <w:r w:rsidR="00C42C92">
        <w:t xml:space="preserve"> (výdaje)</w:t>
      </w:r>
      <w:r w:rsidR="00880BA5">
        <w:t xml:space="preserve"> na </w:t>
      </w:r>
      <w:r w:rsidR="00C42C92">
        <w:t>výzkumné a vývojové projekty</w:t>
      </w:r>
      <w:r w:rsidR="00880BA5">
        <w:t xml:space="preserve"> </w:t>
      </w:r>
      <w:r w:rsidR="00C42C92">
        <w:t xml:space="preserve">vzniklé v </w:t>
      </w:r>
      <w:r w:rsidR="00880BA5">
        <w:t xml:space="preserve">daném roce lze </w:t>
      </w:r>
      <w:r w:rsidRPr="003F6D94">
        <w:t>odečí</w:t>
      </w:r>
      <w:r w:rsidR="00C42C92">
        <w:t>st</w:t>
      </w:r>
      <w:r w:rsidRPr="003F6D94">
        <w:t xml:space="preserve"> </w:t>
      </w:r>
      <w:r w:rsidR="00C42C92">
        <w:t>během</w:t>
      </w:r>
      <w:r w:rsidRPr="003F6D94">
        <w:t> navazujících třech let</w:t>
      </w:r>
      <w:r w:rsidR="00C36C5C" w:rsidRPr="003F6D94">
        <w:t>.</w:t>
      </w:r>
      <w:r w:rsidRPr="003F6D94">
        <w:t xml:space="preserve"> Daňová sazba pro právnické osoby v roce 2005 činila 26 %. Následoval postupný pokles této sazby </w:t>
      </w:r>
      <w:r w:rsidR="00514B70" w:rsidRPr="003F6D94">
        <w:t xml:space="preserve">až </w:t>
      </w:r>
      <w:r w:rsidRPr="003F6D94">
        <w:t xml:space="preserve">na hodnotu 19 % </w:t>
      </w:r>
      <w:r w:rsidR="007E5FF1">
        <w:t xml:space="preserve">platnou pro období </w:t>
      </w:r>
      <w:r w:rsidRPr="003F6D94">
        <w:t>201</w:t>
      </w:r>
      <w:r w:rsidR="00514B70" w:rsidRPr="003F6D94">
        <w:t>0</w:t>
      </w:r>
      <w:r w:rsidR="007E5FF1">
        <w:t xml:space="preserve"> až 2023. Sazba daně právnických osob se v roce 2024 zvýší z 19 % na 21 %.  </w:t>
      </w:r>
    </w:p>
    <w:tbl>
      <w:tblPr>
        <w:tblW w:w="4948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482"/>
        <w:gridCol w:w="498"/>
        <w:gridCol w:w="1021"/>
        <w:gridCol w:w="1021"/>
        <w:gridCol w:w="1021"/>
        <w:gridCol w:w="1011"/>
        <w:gridCol w:w="961"/>
        <w:gridCol w:w="2207"/>
        <w:gridCol w:w="156"/>
      </w:tblGrid>
      <w:tr w:rsidR="008C5842" w:rsidRPr="003F6D94" w:rsidTr="005D5CA3">
        <w:trPr>
          <w:trHeight w:val="397"/>
        </w:trPr>
        <w:tc>
          <w:tcPr>
            <w:tcW w:w="4917" w:type="pct"/>
            <w:gridSpan w:val="9"/>
            <w:shd w:val="clear" w:color="000000" w:fill="DAEEF3"/>
            <w:vAlign w:val="center"/>
            <w:hideMark/>
          </w:tcPr>
          <w:p w:rsidR="008C5842" w:rsidRPr="00EB3E53" w:rsidRDefault="00FC3496" w:rsidP="009E450F">
            <w:pPr>
              <w:spacing w:before="120"/>
              <w:rPr>
                <w:b/>
                <w:color w:val="009BB4"/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 xml:space="preserve"> </w:t>
            </w:r>
            <w:r w:rsidR="00A543C6">
              <w:rPr>
                <w:b/>
                <w:color w:val="009BB4"/>
                <w:sz w:val="18"/>
                <w:szCs w:val="18"/>
              </w:rPr>
              <w:t>Tabulka 1</w:t>
            </w:r>
            <w:r w:rsidR="00AD41FE">
              <w:rPr>
                <w:b/>
                <w:color w:val="009BB4"/>
                <w:sz w:val="18"/>
                <w:szCs w:val="18"/>
              </w:rPr>
              <w:t>:</w:t>
            </w:r>
            <w:r w:rsidR="00A543C6">
              <w:rPr>
                <w:b/>
                <w:color w:val="009BB4"/>
                <w:sz w:val="18"/>
                <w:szCs w:val="18"/>
              </w:rPr>
              <w:t xml:space="preserve"> </w:t>
            </w:r>
            <w:r w:rsidR="008C5842" w:rsidRPr="00EB3E53">
              <w:rPr>
                <w:b/>
                <w:color w:val="009BB4"/>
                <w:sz w:val="18"/>
                <w:szCs w:val="18"/>
              </w:rPr>
              <w:t>Vývoj sazby daně z příjmu právni</w:t>
            </w:r>
            <w:r w:rsidR="005915CC">
              <w:rPr>
                <w:b/>
                <w:color w:val="009BB4"/>
                <w:sz w:val="18"/>
                <w:szCs w:val="18"/>
              </w:rPr>
              <w:t>ckých osob</w:t>
            </w:r>
          </w:p>
        </w:tc>
        <w:tc>
          <w:tcPr>
            <w:tcW w:w="83" w:type="pct"/>
            <w:shd w:val="clear" w:color="000000" w:fill="DAEEF3"/>
            <w:vAlign w:val="center"/>
          </w:tcPr>
          <w:p w:rsidR="008C5842" w:rsidRPr="003F6D94" w:rsidRDefault="008C5842" w:rsidP="002C02F4"/>
        </w:tc>
      </w:tr>
      <w:tr w:rsidR="002D5DAB" w:rsidRPr="003F6D94" w:rsidTr="005D5CA3">
        <w:trPr>
          <w:trHeight w:val="397"/>
        </w:trPr>
        <w:tc>
          <w:tcPr>
            <w:tcW w:w="84" w:type="pct"/>
            <w:vMerge w:val="restart"/>
            <w:shd w:val="clear" w:color="auto" w:fill="DAEEF3"/>
            <w:vAlign w:val="center"/>
            <w:hideMark/>
          </w:tcPr>
          <w:p w:rsidR="002D5DAB" w:rsidRPr="00EB3E53" w:rsidRDefault="002D5DAB" w:rsidP="00956BF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bottom w:val="single" w:sz="4" w:space="0" w:color="009BB4"/>
            </w:tcBorders>
            <w:shd w:val="clear" w:color="auto" w:fill="DAEEF3"/>
            <w:vAlign w:val="center"/>
          </w:tcPr>
          <w:p w:rsidR="002D5DAB" w:rsidRPr="00EB3E53" w:rsidRDefault="002D5DAB" w:rsidP="00C1654D">
            <w:pPr>
              <w:spacing w:after="60"/>
              <w:jc w:val="left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rok</w:t>
            </w:r>
          </w:p>
        </w:tc>
        <w:tc>
          <w:tcPr>
            <w:tcW w:w="261" w:type="pct"/>
            <w:tcBorders>
              <w:left w:val="nil"/>
              <w:bottom w:val="single" w:sz="4" w:space="0" w:color="009BB4"/>
            </w:tcBorders>
            <w:shd w:val="clear" w:color="auto" w:fill="DAEEF3"/>
            <w:vAlign w:val="center"/>
          </w:tcPr>
          <w:p w:rsidR="002D5DAB" w:rsidRPr="00EB3E53" w:rsidRDefault="002D5DAB" w:rsidP="00C1654D">
            <w:pPr>
              <w:spacing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2005</w:t>
            </w: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2006</w:t>
            </w: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2007</w:t>
            </w:r>
          </w:p>
        </w:tc>
        <w:tc>
          <w:tcPr>
            <w:tcW w:w="530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2008</w:t>
            </w:r>
          </w:p>
        </w:tc>
        <w:tc>
          <w:tcPr>
            <w:tcW w:w="504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2009</w:t>
            </w:r>
          </w:p>
        </w:tc>
        <w:tc>
          <w:tcPr>
            <w:tcW w:w="1157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EB3E53" w:rsidRDefault="00C95A39" w:rsidP="00C1654D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– 2023</w:t>
            </w:r>
          </w:p>
        </w:tc>
        <w:tc>
          <w:tcPr>
            <w:tcW w:w="83" w:type="pct"/>
            <w:shd w:val="clear" w:color="auto" w:fill="DAEEF3"/>
            <w:vAlign w:val="center"/>
          </w:tcPr>
          <w:p w:rsidR="002D5DAB" w:rsidRPr="003F6D94" w:rsidRDefault="002D5DAB" w:rsidP="002C02F4"/>
        </w:tc>
      </w:tr>
      <w:tr w:rsidR="002D5DAB" w:rsidRPr="003F6D94" w:rsidTr="005D5CA3">
        <w:trPr>
          <w:trHeight w:val="397"/>
        </w:trPr>
        <w:tc>
          <w:tcPr>
            <w:tcW w:w="84" w:type="pct"/>
            <w:vMerge/>
            <w:shd w:val="clear" w:color="auto" w:fill="DAEEF3"/>
            <w:vAlign w:val="center"/>
            <w:hideMark/>
          </w:tcPr>
          <w:p w:rsidR="002D5DAB" w:rsidRPr="00EB3E53" w:rsidRDefault="002D5DAB" w:rsidP="00956BF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9BB4"/>
            </w:tcBorders>
            <w:shd w:val="clear" w:color="auto" w:fill="DAEEF3"/>
            <w:vAlign w:val="center"/>
          </w:tcPr>
          <w:p w:rsidR="002D5DAB" w:rsidRPr="00EB3E53" w:rsidRDefault="002D5DAB" w:rsidP="00C1654D">
            <w:pPr>
              <w:spacing w:after="0"/>
              <w:jc w:val="left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daňová sazba</w:t>
            </w:r>
          </w:p>
        </w:tc>
        <w:tc>
          <w:tcPr>
            <w:tcW w:w="261" w:type="pct"/>
            <w:tcBorders>
              <w:top w:val="single" w:sz="4" w:space="0" w:color="009BB4"/>
              <w:left w:val="nil"/>
            </w:tcBorders>
            <w:shd w:val="clear" w:color="auto" w:fill="DAEEF3"/>
            <w:vAlign w:val="center"/>
          </w:tcPr>
          <w:p w:rsidR="002D5DAB" w:rsidRPr="00EB3E53" w:rsidRDefault="002D5DAB" w:rsidP="00C1654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26%</w:t>
            </w: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24%</w:t>
            </w: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24%</w:t>
            </w:r>
          </w:p>
        </w:tc>
        <w:tc>
          <w:tcPr>
            <w:tcW w:w="530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21%</w:t>
            </w:r>
          </w:p>
        </w:tc>
        <w:tc>
          <w:tcPr>
            <w:tcW w:w="504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20%</w:t>
            </w:r>
          </w:p>
        </w:tc>
        <w:tc>
          <w:tcPr>
            <w:tcW w:w="1157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19%</w:t>
            </w:r>
          </w:p>
        </w:tc>
        <w:tc>
          <w:tcPr>
            <w:tcW w:w="83" w:type="pct"/>
            <w:shd w:val="clear" w:color="auto" w:fill="DAEEF3"/>
            <w:vAlign w:val="center"/>
          </w:tcPr>
          <w:p w:rsidR="002D5DAB" w:rsidRPr="003F6D94" w:rsidRDefault="002D5DAB" w:rsidP="00956BF9"/>
        </w:tc>
      </w:tr>
    </w:tbl>
    <w:p w:rsidR="00090FED" w:rsidRPr="003F6D94" w:rsidRDefault="00C36C5C" w:rsidP="00E910A6">
      <w:pPr>
        <w:spacing w:before="240"/>
      </w:pPr>
      <w:r w:rsidRPr="003F6D94">
        <w:t xml:space="preserve">Uznatelné výdaje na VaV lze </w:t>
      </w:r>
      <w:r w:rsidR="0047201D" w:rsidRPr="003F6D94">
        <w:t>prakticky</w:t>
      </w:r>
      <w:r w:rsidRPr="003F6D94">
        <w:t xml:space="preserve"> odečíst </w:t>
      </w:r>
      <w:r w:rsidR="00C463A9" w:rsidRPr="003F6D94">
        <w:t xml:space="preserve">od základu daně dvakrát, </w:t>
      </w:r>
      <w:r w:rsidR="00C87539" w:rsidRPr="003F6D94">
        <w:t xml:space="preserve">nejprve </w:t>
      </w:r>
      <w:r w:rsidR="00C463A9" w:rsidRPr="003F6D94">
        <w:t>účetně</w:t>
      </w:r>
      <w:r w:rsidR="00C87539" w:rsidRPr="003F6D94">
        <w:t>,</w:t>
      </w:r>
      <w:r w:rsidR="00C463A9" w:rsidRPr="003F6D94">
        <w:t xml:space="preserve"> podruhé daňově, kdy </w:t>
      </w:r>
      <w:r w:rsidR="00C12AA6" w:rsidRPr="003F6D94">
        <w:t>j</w:t>
      </w:r>
      <w:r w:rsidR="008B17DC" w:rsidRPr="003F6D94">
        <w:t>sou</w:t>
      </w:r>
      <w:r w:rsidR="00C12AA6" w:rsidRPr="003F6D94">
        <w:t xml:space="preserve"> </w:t>
      </w:r>
      <w:r w:rsidR="00C463A9" w:rsidRPr="003F6D94">
        <w:t>využ</w:t>
      </w:r>
      <w:r w:rsidR="008B17DC" w:rsidRPr="003F6D94">
        <w:t>ity</w:t>
      </w:r>
      <w:r w:rsidR="00C463A9" w:rsidRPr="003F6D94">
        <w:t xml:space="preserve"> ke snížení daňového základu profitabilní firmy</w:t>
      </w:r>
      <w:r w:rsidR="00FD099A" w:rsidRPr="003F6D94">
        <w:t xml:space="preserve">, čímž jsou získány </w:t>
      </w:r>
      <w:r w:rsidR="00B23C2C">
        <w:t>dodatečné</w:t>
      </w:r>
      <w:r w:rsidR="00C463A9" w:rsidRPr="003F6D94">
        <w:t xml:space="preserve"> </w:t>
      </w:r>
      <w:r w:rsidR="00FD099A" w:rsidRPr="003F6D94">
        <w:t xml:space="preserve">prostředky k </w:t>
      </w:r>
      <w:r w:rsidR="00C463A9" w:rsidRPr="003F6D94">
        <w:t xml:space="preserve">financování </w:t>
      </w:r>
      <w:r w:rsidR="00A97646" w:rsidRPr="003F6D94">
        <w:t>výzkumu a vývoje.</w:t>
      </w:r>
      <w:r w:rsidR="00E910A6">
        <w:t xml:space="preserve"> </w:t>
      </w:r>
      <w:r w:rsidR="00EF50BA" w:rsidRPr="003F6D94">
        <w:t>G</w:t>
      </w:r>
      <w:r w:rsidR="00C463A9" w:rsidRPr="003F6D94">
        <w:t xml:space="preserve">ranty a dotační stimuly jsou </w:t>
      </w:r>
      <w:r w:rsidR="00EF50BA" w:rsidRPr="003F6D94">
        <w:t xml:space="preserve">naopak prostředky </w:t>
      </w:r>
      <w:r w:rsidR="00C463A9" w:rsidRPr="003F6D94">
        <w:t>přím</w:t>
      </w:r>
      <w:r w:rsidR="00EF50BA" w:rsidRPr="003F6D94">
        <w:t>é podpory</w:t>
      </w:r>
      <w:r w:rsidR="00C463A9" w:rsidRPr="003F6D94">
        <w:t xml:space="preserve"> a firmy s jejich pomocí přímo získávají částečné</w:t>
      </w:r>
      <w:r w:rsidR="00942494" w:rsidRPr="003F6D94">
        <w:t xml:space="preserve"> profinancování svých projektů.</w:t>
      </w:r>
    </w:p>
    <w:p w:rsidR="0047201D" w:rsidRPr="003F6D94" w:rsidRDefault="005D3E7F" w:rsidP="002C02F4">
      <w:r w:rsidRPr="003F6D94">
        <w:t>Podniky</w:t>
      </w:r>
      <w:r w:rsidR="00C463A9" w:rsidRPr="003F6D94">
        <w:t xml:space="preserve">, které vyvíjí nebo významně zdokonalují své produkty, technologické a výrobní postupy nebo interní procesy, mohou tato zdokonalení </w:t>
      </w:r>
      <w:r w:rsidRPr="003F6D94">
        <w:t xml:space="preserve">evidovat jako </w:t>
      </w:r>
      <w:r w:rsidR="00C463A9" w:rsidRPr="003F6D94">
        <w:t xml:space="preserve">projekty </w:t>
      </w:r>
      <w:r w:rsidRPr="003F6D94">
        <w:t xml:space="preserve">VaV a </w:t>
      </w:r>
      <w:r w:rsidR="00E91424" w:rsidRPr="003F6D94">
        <w:t xml:space="preserve">jejich náklady </w:t>
      </w:r>
      <w:r w:rsidRPr="003F6D94">
        <w:t xml:space="preserve">mohou </w:t>
      </w:r>
      <w:r w:rsidR="00C463A9" w:rsidRPr="003F6D94">
        <w:t>zahrnout do daňov</w:t>
      </w:r>
      <w:r w:rsidRPr="003F6D94">
        <w:t>ých</w:t>
      </w:r>
      <w:r w:rsidR="00C463A9" w:rsidRPr="003F6D94">
        <w:t xml:space="preserve"> odpočt</w:t>
      </w:r>
      <w:r w:rsidRPr="003F6D94">
        <w:t>ů</w:t>
      </w:r>
      <w:r w:rsidR="00C463A9" w:rsidRPr="003F6D94">
        <w:t xml:space="preserve">. </w:t>
      </w:r>
      <w:r w:rsidR="00E91424" w:rsidRPr="003F6D94">
        <w:t xml:space="preserve">Platí to </w:t>
      </w:r>
      <w:r w:rsidR="00C463A9" w:rsidRPr="003F6D94">
        <w:t>pro interní činnost</w:t>
      </w:r>
      <w:r w:rsidR="00E91424" w:rsidRPr="003F6D94">
        <w:t>. Od roku 2</w:t>
      </w:r>
      <w:r w:rsidR="00680F42" w:rsidRPr="003F6D94">
        <w:t xml:space="preserve">014 </w:t>
      </w:r>
      <w:r w:rsidR="00E91424" w:rsidRPr="003F6D94">
        <w:t xml:space="preserve">lze zahrnout </w:t>
      </w:r>
      <w:r w:rsidR="00680F42" w:rsidRPr="003F6D94">
        <w:t xml:space="preserve">i </w:t>
      </w:r>
      <w:r w:rsidR="00C42C92">
        <w:t>nákup služeb výzkumu a vývoje od výzkumných organizací.</w:t>
      </w:r>
    </w:p>
    <w:p w:rsidR="00C463A9" w:rsidRPr="003F6D94" w:rsidRDefault="002F009C" w:rsidP="002C02F4">
      <w:r>
        <w:t>V roce 2022 činila</w:t>
      </w:r>
      <w:r w:rsidR="00432081" w:rsidRPr="003F6D94">
        <w:t xml:space="preserve"> </w:t>
      </w:r>
      <w:r w:rsidR="00C463A9" w:rsidRPr="003F6D94">
        <w:t>sazba daně z příjmu právnických osob 19 procent</w:t>
      </w:r>
      <w:r>
        <w:t xml:space="preserve">. Podniky </w:t>
      </w:r>
      <w:r w:rsidR="00AD41FE">
        <w:t xml:space="preserve">tak </w:t>
      </w:r>
      <w:r>
        <w:t>mohly</w:t>
      </w:r>
      <w:r w:rsidR="005640E4">
        <w:t xml:space="preserve"> </w:t>
      </w:r>
      <w:r w:rsidR="00120FCF">
        <w:t xml:space="preserve">z každého milionu </w:t>
      </w:r>
      <w:r w:rsidR="00BF523B">
        <w:t xml:space="preserve">uznatelných výdajů na projekty VaV </w:t>
      </w:r>
      <w:r w:rsidR="00C463A9" w:rsidRPr="003F6D94">
        <w:t>uspořit 190</w:t>
      </w:r>
      <w:r w:rsidR="00680F42" w:rsidRPr="003F6D94">
        <w:t> </w:t>
      </w:r>
      <w:r w:rsidR="00C463A9" w:rsidRPr="003F6D94">
        <w:t xml:space="preserve">000 </w:t>
      </w:r>
      <w:r w:rsidR="00BF523B">
        <w:t xml:space="preserve">Kč. </w:t>
      </w:r>
      <w:r w:rsidR="00274309">
        <w:t>O</w:t>
      </w:r>
      <w:r w:rsidR="00680F42" w:rsidRPr="003F6D94">
        <w:t xml:space="preserve">d roku 2014 </w:t>
      </w:r>
      <w:r w:rsidR="00290097" w:rsidRPr="003F6D94">
        <w:t xml:space="preserve">lze uplatnit </w:t>
      </w:r>
      <w:r w:rsidR="00D72BBC" w:rsidRPr="003F6D94">
        <w:t>i více</w:t>
      </w:r>
      <w:r w:rsidR="00AD41FE">
        <w:t>, a to</w:t>
      </w:r>
      <w:r w:rsidR="00D72BBC" w:rsidRPr="003F6D94">
        <w:t xml:space="preserve"> v závislosti na meziročním přírůstku odečtených výdajů</w:t>
      </w:r>
      <w:r w:rsidR="001A3BB4" w:rsidRPr="003F6D94">
        <w:t xml:space="preserve"> </w:t>
      </w:r>
      <w:r w:rsidR="00D72BBC" w:rsidRPr="003F6D94">
        <w:t>na</w:t>
      </w:r>
      <w:r w:rsidR="001A3BB4" w:rsidRPr="003F6D94">
        <w:t xml:space="preserve"> </w:t>
      </w:r>
      <w:r w:rsidR="00D72BBC" w:rsidRPr="003F6D94">
        <w:t>VaV</w:t>
      </w:r>
      <w:r w:rsidR="00432081" w:rsidRPr="003F6D94">
        <w:t>.</w:t>
      </w:r>
      <w:r w:rsidR="00432081" w:rsidRPr="003F6D94">
        <w:rPr>
          <w:rStyle w:val="Znakapoznpodarou"/>
          <w:rFonts w:cs="Arial"/>
          <w:szCs w:val="20"/>
        </w:rPr>
        <w:footnoteReference w:id="8"/>
      </w:r>
      <w:r w:rsidR="00432081" w:rsidRPr="003F6D94">
        <w:t xml:space="preserve"> </w:t>
      </w:r>
      <w:r w:rsidR="00456CA1" w:rsidRPr="003F6D94">
        <w:t xml:space="preserve">Uspořené prostředky </w:t>
      </w:r>
      <w:r w:rsidR="00C463A9" w:rsidRPr="003F6D94">
        <w:t xml:space="preserve">mohou </w:t>
      </w:r>
      <w:r w:rsidR="00AD41FE">
        <w:t xml:space="preserve">podniky </w:t>
      </w:r>
      <w:r w:rsidR="00C463A9" w:rsidRPr="003F6D94">
        <w:t>v</w:t>
      </w:r>
      <w:r w:rsidR="00456CA1" w:rsidRPr="003F6D94">
        <w:t>kládat</w:t>
      </w:r>
      <w:r w:rsidR="00C463A9" w:rsidRPr="003F6D94">
        <w:t xml:space="preserve"> do dalších podobných projektů</w:t>
      </w:r>
      <w:r w:rsidR="00456CA1" w:rsidRPr="003F6D94">
        <w:t xml:space="preserve">, čímž mohou financovat svůj rozvoj a růst. Tento růstový </w:t>
      </w:r>
      <w:r w:rsidR="00DF2A8A" w:rsidRPr="003F6D94">
        <w:t xml:space="preserve">dopad </w:t>
      </w:r>
      <w:r w:rsidR="00456CA1" w:rsidRPr="003F6D94">
        <w:t xml:space="preserve">je </w:t>
      </w:r>
      <w:r w:rsidR="00C463A9" w:rsidRPr="003F6D94">
        <w:t xml:space="preserve">hlavním </w:t>
      </w:r>
      <w:r w:rsidR="00DF2A8A" w:rsidRPr="003F6D94">
        <w:t xml:space="preserve">motivem </w:t>
      </w:r>
      <w:r w:rsidR="00680F42" w:rsidRPr="003F6D94">
        <w:t xml:space="preserve">daňových </w:t>
      </w:r>
      <w:r w:rsidR="00C463A9" w:rsidRPr="003F6D94">
        <w:t>odpočt</w:t>
      </w:r>
      <w:r w:rsidR="00680F42" w:rsidRPr="003F6D94">
        <w:t>ů</w:t>
      </w:r>
      <w:r w:rsidR="00C463A9" w:rsidRPr="003F6D94">
        <w:t xml:space="preserve"> </w:t>
      </w:r>
      <w:r w:rsidR="00680F42" w:rsidRPr="003F6D94">
        <w:t xml:space="preserve">výdajů na </w:t>
      </w:r>
      <w:r w:rsidR="00C463A9" w:rsidRPr="003F6D94">
        <w:t>VaV na celém světě.</w:t>
      </w:r>
    </w:p>
    <w:p w:rsidR="00C463A9" w:rsidRPr="003F6D94" w:rsidRDefault="000C18DE" w:rsidP="002C02F4">
      <w:r>
        <w:rPr>
          <w:b/>
        </w:rPr>
        <w:lastRenderedPageBreak/>
        <w:t>Příjemcem daňové</w:t>
      </w:r>
      <w:r w:rsidR="00680F42" w:rsidRPr="003F6D94">
        <w:rPr>
          <w:b/>
        </w:rPr>
        <w:t xml:space="preserve"> </w:t>
      </w:r>
      <w:r w:rsidR="00777D0D" w:rsidRPr="003F6D94">
        <w:rPr>
          <w:b/>
        </w:rPr>
        <w:t>podpory VaV</w:t>
      </w:r>
      <w:r w:rsidR="00777D0D" w:rsidRPr="003F6D94">
        <w:t xml:space="preserve"> je daňový poplatník</w:t>
      </w:r>
      <w:r w:rsidR="009D0132">
        <w:t xml:space="preserve">, </w:t>
      </w:r>
      <w:r w:rsidR="00777D0D" w:rsidRPr="003F6D94">
        <w:t>p</w:t>
      </w:r>
      <w:r w:rsidR="00C463A9" w:rsidRPr="003F6D94">
        <w:t>rávnická osoba</w:t>
      </w:r>
      <w:r w:rsidR="00777D0D" w:rsidRPr="003F6D94">
        <w:t xml:space="preserve"> vymezená</w:t>
      </w:r>
      <w:r w:rsidR="00C463A9" w:rsidRPr="003F6D94">
        <w:t xml:space="preserve"> jako </w:t>
      </w:r>
      <w:r w:rsidR="00777D0D" w:rsidRPr="000259ED">
        <w:rPr>
          <w:u w:val="single"/>
        </w:rPr>
        <w:t xml:space="preserve">finanční nebo nefinanční </w:t>
      </w:r>
      <w:r w:rsidR="00C463A9" w:rsidRPr="000259ED">
        <w:rPr>
          <w:u w:val="single"/>
        </w:rPr>
        <w:t>podnik</w:t>
      </w:r>
      <w:r w:rsidR="00C463A9" w:rsidRPr="003F6D94">
        <w:t xml:space="preserve"> </w:t>
      </w:r>
      <w:r w:rsidR="00777D0D" w:rsidRPr="003F6D94">
        <w:t>dle</w:t>
      </w:r>
      <w:r w:rsidR="00C463A9" w:rsidRPr="003F6D94">
        <w:t xml:space="preserve"> Systém</w:t>
      </w:r>
      <w:r w:rsidR="00777D0D" w:rsidRPr="003F6D94">
        <w:t>u národních účtů 2010</w:t>
      </w:r>
      <w:r w:rsidR="00C95805">
        <w:t>.</w:t>
      </w:r>
      <w:r w:rsidR="00777D0D" w:rsidRPr="003F6D94">
        <w:t xml:space="preserve"> </w:t>
      </w:r>
    </w:p>
    <w:p w:rsidR="00090FED" w:rsidRPr="003F6D94" w:rsidRDefault="007E1850" w:rsidP="002C02F4">
      <w:r w:rsidRPr="003F6D94">
        <w:t xml:space="preserve">Český statistický úřad publikuje údaje </w:t>
      </w:r>
      <w:r w:rsidR="000C18DE">
        <w:t>o daňové</w:t>
      </w:r>
      <w:r w:rsidR="00C95805">
        <w:t xml:space="preserve"> podpoře VaV </w:t>
      </w:r>
      <w:r w:rsidRPr="003F6D94">
        <w:t>v podrobném členění v souladu s metodikou OECD p</w:t>
      </w:r>
      <w:r w:rsidR="000259ED">
        <w:t>ouze za podniky</w:t>
      </w:r>
      <w:r w:rsidRPr="003F6D94">
        <w:t xml:space="preserve">. </w:t>
      </w:r>
    </w:p>
    <w:p w:rsidR="00090FED" w:rsidRDefault="007E1850" w:rsidP="000B3AF1">
      <w:pPr>
        <w:spacing w:after="240"/>
      </w:pPr>
      <w:r w:rsidRPr="003F6D94">
        <w:t>Za fyzické osoby – podnikatele</w:t>
      </w:r>
      <w:r w:rsidR="00F025AB">
        <w:t xml:space="preserve"> </w:t>
      </w:r>
      <w:r w:rsidRPr="003F6D94">
        <w:t xml:space="preserve">– nejsou </w:t>
      </w:r>
      <w:r w:rsidR="00DD787B" w:rsidRPr="003F6D94">
        <w:t xml:space="preserve">podrobné </w:t>
      </w:r>
      <w:r w:rsidRPr="003F6D94">
        <w:t>údaje z daňových přiznání v současnosti dostupné.</w:t>
      </w:r>
      <w:r w:rsidR="00F35BEC">
        <w:t xml:space="preserve"> V</w:t>
      </w:r>
      <w:r w:rsidR="000259ED">
        <w:t xml:space="preserve"> roce 2022</w:t>
      </w:r>
      <w:r w:rsidR="00F025AB">
        <w:t xml:space="preserve"> podnikatelé (OSVČ)</w:t>
      </w:r>
      <w:r w:rsidR="00090FED" w:rsidRPr="003F6D94">
        <w:t xml:space="preserve"> odeč</w:t>
      </w:r>
      <w:r w:rsidR="00AC61C2" w:rsidRPr="003F6D94">
        <w:t>e</w:t>
      </w:r>
      <w:r w:rsidR="00090FED" w:rsidRPr="003F6D94">
        <w:t>tli</w:t>
      </w:r>
      <w:r w:rsidR="002D1818">
        <w:t xml:space="preserve"> </w:t>
      </w:r>
      <w:r w:rsidR="002D1818" w:rsidRPr="004E4191">
        <w:t>(</w:t>
      </w:r>
      <w:r w:rsidR="004E4191" w:rsidRPr="004E4191">
        <w:t>konkrétně 1</w:t>
      </w:r>
      <w:r w:rsidR="006B6647">
        <w:t>5</w:t>
      </w:r>
      <w:r w:rsidR="004E0807" w:rsidRPr="004E4191">
        <w:t xml:space="preserve"> osob)</w:t>
      </w:r>
      <w:r w:rsidR="00090FED" w:rsidRPr="004E4191">
        <w:t xml:space="preserve"> výdaje na VaV v objemu </w:t>
      </w:r>
      <w:r w:rsidR="006B6647">
        <w:t>24</w:t>
      </w:r>
      <w:r w:rsidR="00090FED" w:rsidRPr="004E4191">
        <w:t xml:space="preserve"> mil. Kč</w:t>
      </w:r>
      <w:r w:rsidR="00F025AB" w:rsidRPr="004E4191">
        <w:t>.</w:t>
      </w:r>
      <w:r w:rsidR="00090FED" w:rsidRPr="003F6D94">
        <w:t xml:space="preserve"> </w:t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1317"/>
        <w:gridCol w:w="1779"/>
        <w:gridCol w:w="1477"/>
        <w:gridCol w:w="1340"/>
        <w:gridCol w:w="1340"/>
        <w:gridCol w:w="1340"/>
      </w:tblGrid>
      <w:tr w:rsidR="002B5AB2" w:rsidRPr="002B5AB2" w:rsidTr="002B5AB2">
        <w:trPr>
          <w:trHeight w:val="34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:rsidR="002B5AB2" w:rsidRPr="002B5AB2" w:rsidRDefault="002B5AB2" w:rsidP="002B5AB2">
            <w:pPr>
              <w:spacing w:after="0" w:line="240" w:lineRule="auto"/>
              <w:jc w:val="left"/>
              <w:rPr>
                <w:rFonts w:cs="Arial"/>
                <w:b/>
                <w:bCs/>
                <w:color w:val="009BB4"/>
                <w:sz w:val="18"/>
                <w:szCs w:val="18"/>
              </w:rPr>
            </w:pPr>
            <w:r w:rsidRPr="002B5AB2">
              <w:rPr>
                <w:rFonts w:cs="Arial"/>
                <w:b/>
                <w:bCs/>
                <w:color w:val="009BB4"/>
                <w:sz w:val="18"/>
                <w:szCs w:val="18"/>
              </w:rPr>
              <w:t>Tabulka 2</w:t>
            </w:r>
            <w:r w:rsidR="00202F5D">
              <w:rPr>
                <w:rFonts w:cs="Arial"/>
                <w:b/>
                <w:bCs/>
                <w:color w:val="009BB4"/>
                <w:sz w:val="18"/>
                <w:szCs w:val="18"/>
              </w:rPr>
              <w:t>:</w:t>
            </w:r>
            <w:r w:rsidRPr="002B5AB2">
              <w:rPr>
                <w:rFonts w:cs="Arial"/>
                <w:b/>
                <w:bCs/>
                <w:color w:val="009BB4"/>
                <w:sz w:val="18"/>
                <w:szCs w:val="18"/>
              </w:rPr>
              <w:t xml:space="preserve"> Souhrnný přehled údajů o daňové podpoře VaV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2B5AB2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2B5AB2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2B5AB2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2B5AB2" w:rsidRPr="002B5AB2" w:rsidTr="002B5AB2">
        <w:trPr>
          <w:trHeight w:val="540"/>
        </w:trPr>
        <w:tc>
          <w:tcPr>
            <w:tcW w:w="687" w:type="dxa"/>
            <w:vMerge w:val="restart"/>
            <w:tcBorders>
              <w:top w:val="nil"/>
              <w:left w:val="nil"/>
              <w:bottom w:val="single" w:sz="4" w:space="0" w:color="4BACC6"/>
              <w:right w:val="nil"/>
            </w:tcBorders>
            <w:shd w:val="clear" w:color="000000" w:fill="92CDDC"/>
            <w:noWrap/>
            <w:vAlign w:val="center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B5AB2">
              <w:rPr>
                <w:rFonts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3096" w:type="dxa"/>
            <w:gridSpan w:val="2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92CDDC"/>
            <w:noWrap/>
            <w:vAlign w:val="center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B5AB2">
              <w:rPr>
                <w:rFonts w:cs="Arial"/>
                <w:b/>
                <w:bCs/>
                <w:sz w:val="18"/>
                <w:szCs w:val="18"/>
              </w:rPr>
              <w:t>Počet právnických osob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000000" w:fill="92CDDC"/>
            <w:vAlign w:val="center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B5AB2">
              <w:rPr>
                <w:rFonts w:cs="Arial"/>
                <w:b/>
                <w:bCs/>
                <w:sz w:val="18"/>
                <w:szCs w:val="18"/>
              </w:rPr>
              <w:t>Odčitatelná položka</w:t>
            </w:r>
            <w:r w:rsidRPr="002B5AB2">
              <w:rPr>
                <w:rFonts w:cs="Arial"/>
                <w:b/>
                <w:bCs/>
                <w:sz w:val="18"/>
                <w:szCs w:val="18"/>
              </w:rPr>
              <w:br/>
              <w:t>(v mil. Kč)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B5AB2">
              <w:rPr>
                <w:rFonts w:cs="Arial"/>
                <w:b/>
                <w:bCs/>
                <w:sz w:val="18"/>
                <w:szCs w:val="18"/>
              </w:rPr>
              <w:t>Daňová podpora VaV</w:t>
            </w:r>
            <w:r w:rsidRPr="002B5AB2">
              <w:rPr>
                <w:rFonts w:cs="Arial"/>
                <w:b/>
                <w:bCs/>
                <w:sz w:val="18"/>
                <w:szCs w:val="18"/>
              </w:rPr>
              <w:br/>
              <w:t>(v mil. Kč)</w:t>
            </w:r>
          </w:p>
        </w:tc>
      </w:tr>
      <w:tr w:rsidR="002B5AB2" w:rsidRPr="002B5AB2" w:rsidTr="002B5AB2">
        <w:trPr>
          <w:trHeight w:val="480"/>
        </w:trPr>
        <w:tc>
          <w:tcPr>
            <w:tcW w:w="687" w:type="dxa"/>
            <w:vMerge/>
            <w:tcBorders>
              <w:top w:val="nil"/>
              <w:left w:val="nil"/>
              <w:bottom w:val="single" w:sz="4" w:space="0" w:color="4BACC6"/>
              <w:right w:val="nil"/>
            </w:tcBorders>
            <w:vAlign w:val="center"/>
            <w:hideMark/>
          </w:tcPr>
          <w:p w:rsidR="002B5AB2" w:rsidRPr="002B5AB2" w:rsidRDefault="002B5AB2" w:rsidP="002B5AB2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000000" w:fill="B7DEE8"/>
            <w:noWrap/>
            <w:vAlign w:val="center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B5AB2">
              <w:rPr>
                <w:rFonts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77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000000" w:fill="B7DEE8"/>
            <w:vAlign w:val="center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B5AB2">
              <w:rPr>
                <w:rFonts w:cs="Arial"/>
                <w:b/>
                <w:bCs/>
                <w:sz w:val="18"/>
                <w:szCs w:val="18"/>
              </w:rPr>
              <w:t>soukromé podniky</w:t>
            </w:r>
          </w:p>
        </w:tc>
        <w:tc>
          <w:tcPr>
            <w:tcW w:w="1477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000000" w:fill="B7DEE8"/>
            <w:noWrap/>
            <w:vAlign w:val="center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B5AB2">
              <w:rPr>
                <w:rFonts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3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000000" w:fill="B7DEE8"/>
            <w:vAlign w:val="center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B5AB2">
              <w:rPr>
                <w:rFonts w:cs="Arial"/>
                <w:b/>
                <w:bCs/>
                <w:sz w:val="18"/>
                <w:szCs w:val="18"/>
              </w:rPr>
              <w:t>soukromé podniky</w:t>
            </w:r>
          </w:p>
        </w:tc>
        <w:tc>
          <w:tcPr>
            <w:tcW w:w="134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000000" w:fill="B7DEE8"/>
            <w:noWrap/>
            <w:vAlign w:val="center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B5AB2">
              <w:rPr>
                <w:rFonts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3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000000" w:fill="B7DEE8"/>
            <w:vAlign w:val="center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B5AB2">
              <w:rPr>
                <w:rFonts w:cs="Arial"/>
                <w:b/>
                <w:bCs/>
                <w:sz w:val="18"/>
                <w:szCs w:val="18"/>
              </w:rPr>
              <w:t>soukromé podniky</w:t>
            </w:r>
          </w:p>
        </w:tc>
      </w:tr>
      <w:tr w:rsidR="002B5AB2" w:rsidRPr="002B5AB2" w:rsidTr="002B5AB2">
        <w:trPr>
          <w:trHeight w:val="28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2005</w:t>
            </w:r>
          </w:p>
        </w:tc>
        <w:tc>
          <w:tcPr>
            <w:tcW w:w="1317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454</w:t>
            </w:r>
          </w:p>
        </w:tc>
        <w:tc>
          <w:tcPr>
            <w:tcW w:w="1779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3 151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819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-</w:t>
            </w:r>
          </w:p>
        </w:tc>
      </w:tr>
      <w:tr w:rsidR="002B5AB2" w:rsidRPr="002B5AB2" w:rsidTr="002B5AB2">
        <w:trPr>
          <w:trHeight w:val="28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2006</w:t>
            </w:r>
          </w:p>
        </w:tc>
        <w:tc>
          <w:tcPr>
            <w:tcW w:w="1317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553</w:t>
            </w:r>
          </w:p>
        </w:tc>
        <w:tc>
          <w:tcPr>
            <w:tcW w:w="1779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4 149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996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-</w:t>
            </w:r>
          </w:p>
        </w:tc>
      </w:tr>
      <w:tr w:rsidR="002B5AB2" w:rsidRPr="002B5AB2" w:rsidTr="002B5AB2">
        <w:trPr>
          <w:trHeight w:val="28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317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779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5 045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5 017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1 211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1 204</w:t>
            </w:r>
          </w:p>
        </w:tc>
      </w:tr>
      <w:tr w:rsidR="002B5AB2" w:rsidRPr="002B5AB2" w:rsidTr="002B5AB2">
        <w:trPr>
          <w:trHeight w:val="28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317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779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4 871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4 857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1 023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1 020</w:t>
            </w:r>
          </w:p>
        </w:tc>
      </w:tr>
      <w:tr w:rsidR="002B5AB2" w:rsidRPr="002B5AB2" w:rsidTr="002B5AB2">
        <w:trPr>
          <w:trHeight w:val="28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317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779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5 263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5 246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1 053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1 049</w:t>
            </w:r>
          </w:p>
        </w:tc>
      </w:tr>
      <w:tr w:rsidR="002B5AB2" w:rsidRPr="002B5AB2" w:rsidTr="002B5AB2">
        <w:trPr>
          <w:trHeight w:val="28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317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779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6 952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6 931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1 321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1 317</w:t>
            </w:r>
          </w:p>
        </w:tc>
      </w:tr>
      <w:tr w:rsidR="002B5AB2" w:rsidRPr="002B5AB2" w:rsidTr="002B5AB2">
        <w:trPr>
          <w:trHeight w:val="28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317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779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9 722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9 665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1 847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1 836</w:t>
            </w:r>
          </w:p>
        </w:tc>
      </w:tr>
      <w:tr w:rsidR="002B5AB2" w:rsidRPr="002B5AB2" w:rsidTr="002B5AB2">
        <w:trPr>
          <w:trHeight w:val="28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17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1 057</w:t>
            </w:r>
          </w:p>
        </w:tc>
        <w:tc>
          <w:tcPr>
            <w:tcW w:w="1779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1 021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10 468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10 435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1 989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1 983</w:t>
            </w:r>
          </w:p>
        </w:tc>
      </w:tr>
      <w:tr w:rsidR="002B5AB2" w:rsidRPr="002B5AB2" w:rsidTr="002B5AB2">
        <w:trPr>
          <w:trHeight w:val="28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17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1 146</w:t>
            </w:r>
          </w:p>
        </w:tc>
        <w:tc>
          <w:tcPr>
            <w:tcW w:w="1779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1 120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12 132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12 090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2 305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2 297</w:t>
            </w:r>
          </w:p>
        </w:tc>
      </w:tr>
      <w:tr w:rsidR="002B5AB2" w:rsidRPr="002B5AB2" w:rsidTr="002B5AB2">
        <w:trPr>
          <w:trHeight w:val="28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17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1 284</w:t>
            </w:r>
          </w:p>
        </w:tc>
        <w:tc>
          <w:tcPr>
            <w:tcW w:w="1779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1 264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11 979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11 912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2 276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2 263</w:t>
            </w:r>
          </w:p>
        </w:tc>
      </w:tr>
      <w:tr w:rsidR="002B5AB2" w:rsidRPr="002B5AB2" w:rsidTr="002B5AB2">
        <w:trPr>
          <w:trHeight w:val="28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17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1 322</w:t>
            </w:r>
          </w:p>
        </w:tc>
        <w:tc>
          <w:tcPr>
            <w:tcW w:w="1779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1 306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13 351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13 287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2 537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2 525</w:t>
            </w:r>
          </w:p>
        </w:tc>
      </w:tr>
      <w:tr w:rsidR="002B5AB2" w:rsidRPr="002B5AB2" w:rsidTr="002B5AB2">
        <w:trPr>
          <w:trHeight w:val="28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17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1 266</w:t>
            </w:r>
          </w:p>
        </w:tc>
        <w:tc>
          <w:tcPr>
            <w:tcW w:w="1779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1 248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12 590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12 550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2 392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2 384</w:t>
            </w:r>
          </w:p>
        </w:tc>
      </w:tr>
      <w:tr w:rsidR="002B5AB2" w:rsidRPr="002B5AB2" w:rsidTr="002B5AB2">
        <w:trPr>
          <w:trHeight w:val="28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17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1 149</w:t>
            </w:r>
          </w:p>
        </w:tc>
        <w:tc>
          <w:tcPr>
            <w:tcW w:w="1779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1 135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13 271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13 241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2 522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2 516</w:t>
            </w:r>
          </w:p>
        </w:tc>
      </w:tr>
      <w:tr w:rsidR="002B5AB2" w:rsidRPr="002B5AB2" w:rsidTr="002B5AB2">
        <w:trPr>
          <w:trHeight w:val="28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17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1 053</w:t>
            </w:r>
          </w:p>
        </w:tc>
        <w:tc>
          <w:tcPr>
            <w:tcW w:w="1779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1 037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13 642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13 595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2 592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2 583</w:t>
            </w:r>
          </w:p>
        </w:tc>
      </w:tr>
      <w:tr w:rsidR="002B5AB2" w:rsidRPr="002B5AB2" w:rsidTr="002B5AB2">
        <w:trPr>
          <w:trHeight w:val="28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17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79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14 448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14 358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2 745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2 728</w:t>
            </w:r>
          </w:p>
        </w:tc>
      </w:tr>
      <w:tr w:rsidR="002B5AB2" w:rsidRPr="002B5AB2" w:rsidTr="002B5AB2">
        <w:trPr>
          <w:trHeight w:val="28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17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779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11 117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11 077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2 112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2 105</w:t>
            </w:r>
          </w:p>
        </w:tc>
      </w:tr>
      <w:tr w:rsidR="002B5AB2" w:rsidRPr="002B5AB2" w:rsidTr="002B5AB2">
        <w:trPr>
          <w:trHeight w:val="28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17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779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12 857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12 792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2 443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2 430</w:t>
            </w:r>
          </w:p>
        </w:tc>
      </w:tr>
      <w:tr w:rsidR="002B5AB2" w:rsidRPr="002B5AB2" w:rsidTr="002B5AB2">
        <w:trPr>
          <w:trHeight w:val="28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17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779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16 457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2B5AB2">
              <w:rPr>
                <w:rFonts w:cs="Arial"/>
                <w:sz w:val="18"/>
                <w:szCs w:val="18"/>
              </w:rPr>
              <w:t>16 338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3 127</w:t>
            </w:r>
          </w:p>
        </w:tc>
        <w:tc>
          <w:tcPr>
            <w:tcW w:w="1340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ind w:firstLineChars="100" w:firstLine="18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B5AB2">
              <w:rPr>
                <w:rFonts w:cs="Arial"/>
                <w:color w:val="000000"/>
                <w:sz w:val="18"/>
                <w:szCs w:val="18"/>
              </w:rPr>
              <w:t>3 104</w:t>
            </w:r>
          </w:p>
        </w:tc>
      </w:tr>
      <w:tr w:rsidR="002B5AB2" w:rsidRPr="002B5AB2" w:rsidTr="002B5AB2">
        <w:trPr>
          <w:trHeight w:val="282"/>
        </w:trPr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2B5AB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Zdroj dat: ČSÚ podle administrativních dat GFŘ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2B5A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2B5A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2B5A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AB2" w:rsidRPr="002B5AB2" w:rsidRDefault="002B5AB2" w:rsidP="002B5AB2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2B5A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</w:tbl>
    <w:p w:rsidR="003321E3" w:rsidRDefault="003321E3" w:rsidP="009375C6"/>
    <w:p w:rsidR="00393436" w:rsidRDefault="00F1177F" w:rsidP="00B05D09">
      <w:r>
        <w:t>Počínaje rokem 2019 jsou dostupné i údaje o podnicích, které si své výdaje na VaV projekty neodečetly v daném zdaňovacím období (roce), ale převedly jejich část nebo celé do dalšího roku k pozdějšímu uplatnění.</w:t>
      </w:r>
      <w:r w:rsidR="00AC2997">
        <w:t xml:space="preserve"> </w:t>
      </w:r>
      <w:r w:rsidR="00393436">
        <w:t>Jedná se o následující ukazatele:</w:t>
      </w:r>
    </w:p>
    <w:p w:rsidR="00393436" w:rsidRPr="00393436" w:rsidRDefault="00393436" w:rsidP="00393436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93436">
        <w:rPr>
          <w:b/>
        </w:rPr>
        <w:t>Počet podniků s nevyužitým odpočtem na VaV</w:t>
      </w:r>
      <w:r w:rsidR="00031F52">
        <w:rPr>
          <w:b/>
        </w:rPr>
        <w:t>.</w:t>
      </w:r>
      <w:r w:rsidRPr="00393436">
        <w:rPr>
          <w:b/>
        </w:rPr>
        <w:t xml:space="preserve"> </w:t>
      </w:r>
      <w:r w:rsidR="00031F52">
        <w:t>Jedná se o</w:t>
      </w:r>
      <w:r w:rsidRPr="00393436">
        <w:t xml:space="preserve"> podniky s uznatelnými výdaji na VaV uvedenými v přiznání DPPO k uplatnění v rámci daňové podpory této činnosti do dalšího období (roku)</w:t>
      </w:r>
      <w:r>
        <w:t>.</w:t>
      </w:r>
    </w:p>
    <w:p w:rsidR="00393436" w:rsidRPr="00393436" w:rsidRDefault="00393436" w:rsidP="00393436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93436">
        <w:rPr>
          <w:b/>
        </w:rPr>
        <w:t>Nevyužité daňové odpočty na VaV</w:t>
      </w:r>
      <w:r w:rsidR="00031F52">
        <w:rPr>
          <w:b/>
        </w:rPr>
        <w:t>.</w:t>
      </w:r>
      <w:r w:rsidRPr="00393436">
        <w:rPr>
          <w:b/>
        </w:rPr>
        <w:t xml:space="preserve"> </w:t>
      </w:r>
      <w:r w:rsidR="00031F52">
        <w:t>Jedná se o</w:t>
      </w:r>
      <w:r w:rsidRPr="00393436">
        <w:t xml:space="preserve"> výdaje na VaV uvedené v přiznání </w:t>
      </w:r>
      <w:r w:rsidR="00031F52">
        <w:t>k dani právnických osob (podniků)</w:t>
      </w:r>
      <w:r w:rsidRPr="00393436">
        <w:t xml:space="preserve"> k přenesení k uplatnění do dalšího období (roku)</w:t>
      </w:r>
      <w:r>
        <w:t>.</w:t>
      </w:r>
    </w:p>
    <w:p w:rsidR="00B05D09" w:rsidRDefault="00B05D09" w:rsidP="00B05D09">
      <w:pPr>
        <w:spacing w:after="240"/>
      </w:pPr>
      <w:r>
        <w:t>Poznámka: Za účelem mezinárodního srovnání se celková daňová podpora VaV nejčastěji poměřuje k HDP a k celkovým výdajům na VaV v podnikatelském sektoru (BERD). Jelikož má však tento poměrový ukazatel celou řadu negativ z hlediska jeho interpretace, je například ovlivněn rozdílnou výší a nárůstem HDP v jednotlivých zemích, pro mezinárodní srovnání používají celkové výdaje na VaV vyjádřené v PPP připadající na jednoho obyvatele. Tento standardizovaný ukazatel eliminuje nejen rozdílnou velikost sledovaných ekonomik, ale i jejich cenovou úroveň.</w:t>
      </w:r>
    </w:p>
    <w:p w:rsidR="00393436" w:rsidRDefault="00393436" w:rsidP="003321E3">
      <w:pPr>
        <w:spacing w:after="240"/>
      </w:pPr>
    </w:p>
    <w:p w:rsidR="0069148C" w:rsidRPr="00845BA2" w:rsidRDefault="0029722B" w:rsidP="003321E3">
      <w:pPr>
        <w:pStyle w:val="Nadpis3"/>
        <w:pageBreakBefore/>
        <w:spacing w:before="480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lastRenderedPageBreak/>
        <w:t xml:space="preserve">2.2.2 </w:t>
      </w:r>
      <w:r w:rsidR="0069148C" w:rsidRPr="00845BA2">
        <w:rPr>
          <w:rStyle w:val="st"/>
          <w:sz w:val="24"/>
          <w:szCs w:val="24"/>
        </w:rPr>
        <w:t>Třídění ukazatel</w:t>
      </w:r>
      <w:r w:rsidR="00C95805">
        <w:rPr>
          <w:rStyle w:val="st"/>
          <w:sz w:val="24"/>
          <w:szCs w:val="24"/>
        </w:rPr>
        <w:t>ů</w:t>
      </w:r>
      <w:r w:rsidR="0069148C" w:rsidRPr="00845BA2">
        <w:rPr>
          <w:rStyle w:val="st"/>
          <w:sz w:val="24"/>
          <w:szCs w:val="24"/>
        </w:rPr>
        <w:t xml:space="preserve"> statistiky </w:t>
      </w:r>
      <w:r w:rsidR="00E54EB0">
        <w:rPr>
          <w:rStyle w:val="st"/>
          <w:sz w:val="24"/>
          <w:szCs w:val="24"/>
        </w:rPr>
        <w:t>daňové</w:t>
      </w:r>
      <w:r w:rsidR="0069148C" w:rsidRPr="00845BA2">
        <w:rPr>
          <w:rStyle w:val="st"/>
          <w:sz w:val="24"/>
          <w:szCs w:val="24"/>
        </w:rPr>
        <w:t xml:space="preserve"> podpory VaV</w:t>
      </w:r>
    </w:p>
    <w:p w:rsidR="00716EFE" w:rsidRDefault="00166AEA" w:rsidP="002C02F4">
      <w:r>
        <w:t xml:space="preserve">K třídění </w:t>
      </w:r>
      <w:r w:rsidR="00C67AFE">
        <w:t>administ</w:t>
      </w:r>
      <w:r w:rsidR="000C6511">
        <w:t>rativních dat je v rámci statistiky</w:t>
      </w:r>
      <w:r w:rsidR="00C67AFE">
        <w:t xml:space="preserve"> </w:t>
      </w:r>
      <w:r w:rsidR="00FB67CE">
        <w:t xml:space="preserve">využito </w:t>
      </w:r>
      <w:r w:rsidR="00E17569">
        <w:t xml:space="preserve">informací </w:t>
      </w:r>
      <w:r w:rsidR="00880404">
        <w:t xml:space="preserve">z </w:t>
      </w:r>
      <w:r w:rsidR="00E22396">
        <w:t>databází</w:t>
      </w:r>
      <w:r w:rsidR="0069148C" w:rsidRPr="003F6D94">
        <w:t> Registru ekonomických subjektů</w:t>
      </w:r>
      <w:r w:rsidR="00E17569" w:rsidRPr="003F6D94">
        <w:t xml:space="preserve"> </w:t>
      </w:r>
      <w:r w:rsidR="009229B1" w:rsidRPr="003F6D94">
        <w:t>(RES)</w:t>
      </w:r>
      <w:r w:rsidR="00685F85">
        <w:rPr>
          <w:rStyle w:val="Znakapoznpodarou"/>
        </w:rPr>
        <w:footnoteReference w:id="9"/>
      </w:r>
      <w:r w:rsidR="005C189F">
        <w:t>, případně d</w:t>
      </w:r>
      <w:r w:rsidR="0069148C" w:rsidRPr="003F6D94">
        <w:t xml:space="preserve">alších administrativních </w:t>
      </w:r>
      <w:r w:rsidR="00CF6E11">
        <w:t xml:space="preserve">zdrojů. </w:t>
      </w:r>
    </w:p>
    <w:p w:rsidR="00204F87" w:rsidRDefault="00A85E4D" w:rsidP="00216354">
      <w:r w:rsidRPr="00D5084E">
        <w:t xml:space="preserve">Z povahy </w:t>
      </w:r>
      <w:r w:rsidR="00E81EA7" w:rsidRPr="00D5084E">
        <w:t>zpra</w:t>
      </w:r>
      <w:r w:rsidR="002A7861" w:rsidRPr="00D5084E">
        <w:t>c</w:t>
      </w:r>
      <w:r w:rsidR="00E81EA7" w:rsidRPr="00D5084E">
        <w:t xml:space="preserve">ovávaných dat plyne, </w:t>
      </w:r>
      <w:r w:rsidR="00080CF9" w:rsidRPr="00D5084E">
        <w:t xml:space="preserve">že </w:t>
      </w:r>
      <w:r w:rsidR="00CC4F46" w:rsidRPr="00D5084E">
        <w:t xml:space="preserve">jde </w:t>
      </w:r>
      <w:r w:rsidR="00657ED8" w:rsidRPr="00D5084E">
        <w:t xml:space="preserve">o data </w:t>
      </w:r>
      <w:r w:rsidR="00E84B31" w:rsidRPr="00D5084E">
        <w:t xml:space="preserve">ekonomických subjektů </w:t>
      </w:r>
      <w:r w:rsidR="00657ED8" w:rsidRPr="00D5084E">
        <w:rPr>
          <w:b/>
        </w:rPr>
        <w:t>podnik</w:t>
      </w:r>
      <w:r w:rsidR="00E84B31" w:rsidRPr="00D5084E">
        <w:rPr>
          <w:b/>
        </w:rPr>
        <w:t>a</w:t>
      </w:r>
      <w:r w:rsidR="00657ED8" w:rsidRPr="00D5084E">
        <w:rPr>
          <w:b/>
        </w:rPr>
        <w:t>t</w:t>
      </w:r>
      <w:r w:rsidR="00E84B31" w:rsidRPr="00D5084E">
        <w:rPr>
          <w:b/>
        </w:rPr>
        <w:t>e</w:t>
      </w:r>
      <w:r w:rsidR="00657ED8" w:rsidRPr="00D5084E">
        <w:rPr>
          <w:b/>
        </w:rPr>
        <w:t>lského sektoru</w:t>
      </w:r>
      <w:r w:rsidR="00D5084E" w:rsidRPr="00D5084E">
        <w:rPr>
          <w:b/>
        </w:rPr>
        <w:t xml:space="preserve">, </w:t>
      </w:r>
      <w:r w:rsidR="00A05CC2" w:rsidRPr="00D5084E">
        <w:rPr>
          <w:b/>
        </w:rPr>
        <w:t>tedy podniky</w:t>
      </w:r>
      <w:r w:rsidR="00657ED8" w:rsidRPr="00D5084E">
        <w:t>.</w:t>
      </w:r>
      <w:r w:rsidR="00EE00DD" w:rsidRPr="00D5084E">
        <w:t xml:space="preserve"> </w:t>
      </w:r>
      <w:r w:rsidR="00A05CC2" w:rsidRPr="00D5084E">
        <w:t>J</w:t>
      </w:r>
      <w:r w:rsidR="00A05CC2">
        <w:t>edná se</w:t>
      </w:r>
      <w:r w:rsidR="00A05CC2" w:rsidRPr="00D5084E">
        <w:t xml:space="preserve"> </w:t>
      </w:r>
      <w:r w:rsidR="004A1053" w:rsidRPr="00D5084E">
        <w:t xml:space="preserve">o analytický pojem, </w:t>
      </w:r>
      <w:r w:rsidR="00057E16" w:rsidRPr="00D5084E">
        <w:t xml:space="preserve">jímž </w:t>
      </w:r>
      <w:r w:rsidR="006F7BEC" w:rsidRPr="00D5084E">
        <w:t xml:space="preserve">vymezujeme </w:t>
      </w:r>
      <w:r w:rsidR="00DA67CD" w:rsidRPr="00D5084E">
        <w:t>všechny ekonomické subjekty</w:t>
      </w:r>
      <w:r w:rsidR="00CF4634" w:rsidRPr="00D5084E">
        <w:t xml:space="preserve">, jejichž hlavní činností </w:t>
      </w:r>
      <w:r w:rsidR="00530A59" w:rsidRPr="00D5084E">
        <w:t>je tržní</w:t>
      </w:r>
      <w:r w:rsidR="00E42396" w:rsidRPr="00D5084E">
        <w:t xml:space="preserve"> produkce zboží či </w:t>
      </w:r>
      <w:r w:rsidR="00705E78" w:rsidRPr="00D5084E">
        <w:t>služeb</w:t>
      </w:r>
      <w:r w:rsidR="00810B3B" w:rsidRPr="00D5084E">
        <w:t xml:space="preserve"> určených </w:t>
      </w:r>
      <w:r w:rsidR="00461ADE" w:rsidRPr="00D5084E">
        <w:t>k</w:t>
      </w:r>
      <w:r w:rsidR="00B547A8" w:rsidRPr="00D5084E">
        <w:t> </w:t>
      </w:r>
      <w:r w:rsidR="005B59C1" w:rsidRPr="00D5084E">
        <w:t>prodeji.</w:t>
      </w:r>
      <w:r w:rsidR="00D5084E" w:rsidRPr="00D5084E">
        <w:t xml:space="preserve"> Fyzické osoby (OSVČ) nejsou zahrnuty.</w:t>
      </w:r>
      <w:bookmarkStart w:id="0" w:name="_GoBack"/>
      <w:bookmarkEnd w:id="0"/>
    </w:p>
    <w:p w:rsidR="0069148C" w:rsidRPr="00204F87" w:rsidRDefault="00271C9A" w:rsidP="00216354">
      <w:pPr>
        <w:rPr>
          <w:b/>
        </w:rPr>
      </w:pPr>
      <w:r w:rsidRPr="00204F87">
        <w:rPr>
          <w:b/>
        </w:rPr>
        <w:t>Ekonomické subjekty podnikatelského sektoru</w:t>
      </w:r>
      <w:r w:rsidR="00D5084E">
        <w:rPr>
          <w:b/>
        </w:rPr>
        <w:t xml:space="preserve"> (podniky)</w:t>
      </w:r>
      <w:r w:rsidRPr="00204F87">
        <w:rPr>
          <w:b/>
        </w:rPr>
        <w:t xml:space="preserve"> dále </w:t>
      </w:r>
      <w:r w:rsidR="001F0924" w:rsidRPr="00204F87">
        <w:rPr>
          <w:b/>
        </w:rPr>
        <w:t xml:space="preserve">třídíme </w:t>
      </w:r>
      <w:r w:rsidR="00FA58E3" w:rsidRPr="00204F87">
        <w:rPr>
          <w:b/>
        </w:rPr>
        <w:t xml:space="preserve">dle následujících parametrů </w:t>
      </w:r>
      <w:r w:rsidR="00546D29" w:rsidRPr="00204F87">
        <w:rPr>
          <w:b/>
        </w:rPr>
        <w:t>do následujících skupin</w:t>
      </w:r>
      <w:r w:rsidR="001466AE" w:rsidRPr="00204F87">
        <w:rPr>
          <w:b/>
        </w:rPr>
        <w:t>:</w:t>
      </w:r>
    </w:p>
    <w:p w:rsidR="0069148C" w:rsidRPr="00204F87" w:rsidRDefault="0069148C" w:rsidP="00E230B1">
      <w:pPr>
        <w:pStyle w:val="Odstavecseseznamem"/>
        <w:numPr>
          <w:ilvl w:val="0"/>
          <w:numId w:val="33"/>
        </w:numPr>
        <w:ind w:left="426" w:hanging="284"/>
        <w:contextualSpacing w:val="0"/>
      </w:pPr>
      <w:r w:rsidRPr="00E230B1">
        <w:rPr>
          <w:b/>
        </w:rPr>
        <w:t xml:space="preserve">Podle vlastnictví </w:t>
      </w:r>
      <w:r w:rsidRPr="00204F87">
        <w:t>(</w:t>
      </w:r>
      <w:r w:rsidR="000C6511">
        <w:t xml:space="preserve">veřejné podniky, </w:t>
      </w:r>
      <w:r w:rsidRPr="00204F87">
        <w:t>soukromé domácí</w:t>
      </w:r>
      <w:r w:rsidR="0011324C" w:rsidRPr="00204F87">
        <w:t xml:space="preserve"> /národní/</w:t>
      </w:r>
      <w:r w:rsidRPr="00204F87">
        <w:t xml:space="preserve"> podniky a podniky pod zahraniční kontrolou)</w:t>
      </w:r>
    </w:p>
    <w:p w:rsidR="0050092F" w:rsidRPr="009C0DCA" w:rsidRDefault="00C5133B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Veřejné podniky</w:t>
      </w:r>
      <w:r w:rsidRPr="009C0DCA">
        <w:t xml:space="preserve"> (</w:t>
      </w:r>
      <w:proofErr w:type="gramStart"/>
      <w:r w:rsidRPr="009C0DCA">
        <w:t>S.11001</w:t>
      </w:r>
      <w:proofErr w:type="gramEnd"/>
      <w:r w:rsidRPr="009C0DCA">
        <w:t xml:space="preserve"> + S.12X01) zahrnují všechny nefinanční podniky, finanční instituce,  </w:t>
      </w:r>
      <w:proofErr w:type="spellStart"/>
      <w:r w:rsidRPr="009C0DCA">
        <w:t>kvazikorporace</w:t>
      </w:r>
      <w:proofErr w:type="spellEnd"/>
      <w:r w:rsidRPr="009C0DCA">
        <w:t xml:space="preserve"> a neziskové instituce uznané za nezávislé právnické osoby, jež jsou tržními výrobci nebo poskytovateli služeb pod kontrolou vládních jednotek.</w:t>
      </w:r>
      <w:r w:rsidR="0050092F" w:rsidRPr="009C0DCA">
        <w:t xml:space="preserve"> </w:t>
      </w:r>
    </w:p>
    <w:p w:rsidR="00CE06FE" w:rsidRPr="009C0DCA" w:rsidRDefault="00CE06FE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Národní soukromé podniky</w:t>
      </w:r>
      <w:r w:rsidRPr="009C0DCA">
        <w:t xml:space="preserve"> (</w:t>
      </w:r>
      <w:proofErr w:type="gramStart"/>
      <w:r w:rsidRPr="009C0DCA">
        <w:t>S.11002</w:t>
      </w:r>
      <w:proofErr w:type="gramEnd"/>
      <w:r w:rsidRPr="009C0DCA">
        <w:t xml:space="preserve"> + S.12X02) zahrnují všechny nefinanční podniky, finanční instituce a </w:t>
      </w:r>
      <w:proofErr w:type="spellStart"/>
      <w:r w:rsidRPr="009C0DCA">
        <w:t>kvazikorporace</w:t>
      </w:r>
      <w:proofErr w:type="spellEnd"/>
      <w:r w:rsidRPr="009C0DCA">
        <w:t>, které jsou uznány za nezávislé právnické osoby a jsou tržními výrobci nebo poskytovateli služeb, jež nejsou pod kontrolou vládních nebo nerezidentských institucionálních jednotek.</w:t>
      </w:r>
    </w:p>
    <w:p w:rsidR="00CE06FE" w:rsidRPr="009C0DCA" w:rsidRDefault="00CE06FE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Podniky pod zahraniční kontrolou</w:t>
      </w:r>
      <w:r w:rsidRPr="009C0DCA">
        <w:t xml:space="preserve"> (</w:t>
      </w:r>
      <w:proofErr w:type="gramStart"/>
      <w:r w:rsidRPr="009C0DCA">
        <w:t>S.11003</w:t>
      </w:r>
      <w:proofErr w:type="gramEnd"/>
      <w:r w:rsidRPr="009C0DCA">
        <w:t xml:space="preserve"> + S.12X03) zahrnující všechny podniky, finanční instituce a </w:t>
      </w:r>
      <w:proofErr w:type="spellStart"/>
      <w:r w:rsidRPr="009C0DCA">
        <w:t>kvazikorporace</w:t>
      </w:r>
      <w:proofErr w:type="spellEnd"/>
      <w:r w:rsidRPr="009C0DCA">
        <w:t>, které jsou ovládány nerezidentskými (zahraničními) jednotkami</w:t>
      </w:r>
      <w:r w:rsidR="00E64B71" w:rsidRPr="009C0DCA">
        <w:rPr>
          <w:rStyle w:val="Znakapoznpodarou"/>
        </w:rPr>
        <w:footnoteReference w:id="10"/>
      </w:r>
      <w:r w:rsidRPr="009C0DCA">
        <w:t xml:space="preserve"> (zahraniční afilace). Nejčastěji jde o dceřiné společnosti nerezidentských (zahraničních) mateřských korporací.</w:t>
      </w:r>
    </w:p>
    <w:p w:rsidR="0069148C" w:rsidRPr="003F6D94" w:rsidRDefault="00D35F48" w:rsidP="00CA6237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t>Podle velikosti</w:t>
      </w:r>
      <w:r w:rsidRPr="003F6D94">
        <w:t xml:space="preserve"> – </w:t>
      </w:r>
      <w:r w:rsidR="00765392">
        <w:t>po</w:t>
      </w:r>
      <w:r w:rsidR="00E92248">
        <w:t xml:space="preserve">dniky jsou </w:t>
      </w:r>
      <w:r w:rsidR="00E905C1">
        <w:t xml:space="preserve">tříděny </w:t>
      </w:r>
      <w:r w:rsidR="00984EA2">
        <w:t xml:space="preserve">podle počtu zaměstnanců do </w:t>
      </w:r>
      <w:r w:rsidR="002C7240">
        <w:t xml:space="preserve">několika </w:t>
      </w:r>
      <w:r w:rsidR="00984EA2">
        <w:t>velikostních skupin</w:t>
      </w:r>
      <w:r w:rsidR="00C800A8">
        <w:t xml:space="preserve">: </w:t>
      </w:r>
      <w:r w:rsidR="00091308" w:rsidRPr="003B17A8">
        <w:rPr>
          <w:i/>
        </w:rPr>
        <w:t xml:space="preserve">mikro </w:t>
      </w:r>
      <w:r w:rsidR="0069148C" w:rsidRPr="003B17A8">
        <w:rPr>
          <w:i/>
        </w:rPr>
        <w:t>podniky</w:t>
      </w:r>
      <w:r w:rsidR="00DC4771">
        <w:t xml:space="preserve"> (</w:t>
      </w:r>
      <w:r w:rsidR="001F3951">
        <w:t>0 až</w:t>
      </w:r>
      <w:r w:rsidR="00E1493C">
        <w:t xml:space="preserve"> 9 zaměstnanc</w:t>
      </w:r>
      <w:r w:rsidR="00385513">
        <w:t>ů</w:t>
      </w:r>
      <w:r w:rsidR="00E1493C">
        <w:t>)</w:t>
      </w:r>
      <w:r w:rsidR="00091308" w:rsidRPr="00A945F6">
        <w:t xml:space="preserve">; </w:t>
      </w:r>
      <w:r w:rsidR="00CE06FE" w:rsidRPr="003B17A8">
        <w:rPr>
          <w:i/>
        </w:rPr>
        <w:t>malé podniky</w:t>
      </w:r>
      <w:r w:rsidR="00F2092E">
        <w:t xml:space="preserve"> (</w:t>
      </w:r>
      <w:r w:rsidR="00385513">
        <w:t>10</w:t>
      </w:r>
      <w:r w:rsidR="001F3951">
        <w:t xml:space="preserve"> až</w:t>
      </w:r>
      <w:r w:rsidR="00F2092E">
        <w:t xml:space="preserve"> </w:t>
      </w:r>
      <w:r w:rsidR="00385513">
        <w:t>49</w:t>
      </w:r>
      <w:r w:rsidR="00F2092E">
        <w:t xml:space="preserve"> zaměstnanc</w:t>
      </w:r>
      <w:r w:rsidR="00385513">
        <w:t>ů</w:t>
      </w:r>
      <w:r w:rsidR="00F2092E">
        <w:t>)</w:t>
      </w:r>
      <w:r w:rsidR="00B62E6F" w:rsidRPr="00A945F6">
        <w:t xml:space="preserve">; </w:t>
      </w:r>
      <w:r w:rsidRPr="003B17A8">
        <w:rPr>
          <w:i/>
        </w:rPr>
        <w:t>střední podniky</w:t>
      </w:r>
      <w:r w:rsidR="00F2092E">
        <w:t xml:space="preserve"> (</w:t>
      </w:r>
      <w:r w:rsidR="00385513">
        <w:t>5</w:t>
      </w:r>
      <w:r w:rsidR="001F3951">
        <w:t>0 až</w:t>
      </w:r>
      <w:r w:rsidR="00F2092E">
        <w:t xml:space="preserve"> </w:t>
      </w:r>
      <w:r w:rsidR="00385513">
        <w:t>249</w:t>
      </w:r>
      <w:r w:rsidR="00F2092E">
        <w:t xml:space="preserve"> zaměstnanc</w:t>
      </w:r>
      <w:r w:rsidR="00385513">
        <w:t>ů</w:t>
      </w:r>
      <w:r w:rsidR="00F2092E">
        <w:t>)</w:t>
      </w:r>
      <w:r w:rsidR="00B62E6F">
        <w:t xml:space="preserve">; </w:t>
      </w:r>
      <w:r w:rsidRPr="003B17A8">
        <w:rPr>
          <w:i/>
        </w:rPr>
        <w:t>velké podniky</w:t>
      </w:r>
      <w:r w:rsidR="00F2092E">
        <w:t xml:space="preserve"> (s </w:t>
      </w:r>
      <w:r w:rsidR="00816631">
        <w:t>250</w:t>
      </w:r>
      <w:r w:rsidR="00BE4C01">
        <w:t xml:space="preserve"> a více </w:t>
      </w:r>
      <w:r w:rsidR="00F2092E">
        <w:t>zaměstnanc</w:t>
      </w:r>
      <w:r w:rsidR="00862277">
        <w:t>ů</w:t>
      </w:r>
      <w:r w:rsidR="00F2092E">
        <w:t>).</w:t>
      </w:r>
    </w:p>
    <w:p w:rsidR="0087146F" w:rsidRDefault="0087146F" w:rsidP="009956C5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t>Podle převažující ekonomické činnosti</w:t>
      </w:r>
      <w:r w:rsidR="00B708A1" w:rsidRPr="006265C8">
        <w:t xml:space="preserve"> </w:t>
      </w:r>
      <w:r w:rsidR="00AF3791">
        <w:t>–</w:t>
      </w:r>
      <w:r w:rsidR="00B708A1" w:rsidRPr="006265C8">
        <w:t xml:space="preserve"> </w:t>
      </w:r>
      <w:r w:rsidR="00AF3791">
        <w:t xml:space="preserve">podniky jsou </w:t>
      </w:r>
      <w:r w:rsidRPr="003F6D94">
        <w:t>členěn</w:t>
      </w:r>
      <w:r w:rsidR="00AF3791">
        <w:t xml:space="preserve">y do skupin podle </w:t>
      </w:r>
      <w:r w:rsidR="006265C8">
        <w:t>české mutac</w:t>
      </w:r>
      <w:r w:rsidR="00985954">
        <w:t>e</w:t>
      </w:r>
      <w:r w:rsidR="006265C8">
        <w:t xml:space="preserve"> mezinárodní </w:t>
      </w:r>
      <w:r w:rsidR="00D6150F">
        <w:t>K</w:t>
      </w:r>
      <w:r w:rsidR="006265C8">
        <w:t>lasifikace</w:t>
      </w:r>
      <w:r w:rsidR="0072251D">
        <w:t xml:space="preserve"> ekonomických činností</w:t>
      </w:r>
      <w:r w:rsidR="00DC1BCB">
        <w:t xml:space="preserve"> (</w:t>
      </w:r>
      <w:r w:rsidRPr="003F6D94">
        <w:t>CZ-NACE)</w:t>
      </w:r>
      <w:r w:rsidR="00E2591A">
        <w:rPr>
          <w:rStyle w:val="Znakapoznpodarou"/>
        </w:rPr>
        <w:footnoteReference w:id="11"/>
      </w:r>
      <w:r w:rsidR="00A72D60">
        <w:t>.</w:t>
      </w:r>
    </w:p>
    <w:p w:rsidR="009956C5" w:rsidRPr="003F6D94" w:rsidRDefault="009956C5" w:rsidP="009956C5">
      <w:pPr>
        <w:ind w:left="426"/>
      </w:pPr>
      <w:r w:rsidRPr="003F6D94">
        <w:t xml:space="preserve">Při interpretaci údajů </w:t>
      </w:r>
      <w:r w:rsidR="0008357F">
        <w:t>o</w:t>
      </w:r>
      <w:r w:rsidRPr="003F6D94">
        <w:t xml:space="preserve"> převažující ekonomické činnosti sledovaných podniků je </w:t>
      </w:r>
      <w:r w:rsidR="00911B5D">
        <w:t xml:space="preserve">nutné </w:t>
      </w:r>
      <w:r w:rsidR="00540C34">
        <w:t xml:space="preserve">pamatovat na </w:t>
      </w:r>
      <w:r w:rsidRPr="003F6D94">
        <w:t xml:space="preserve">skutečnost, že jde o </w:t>
      </w:r>
      <w:r w:rsidRPr="00DA2BC7">
        <w:rPr>
          <w:u w:val="single"/>
        </w:rPr>
        <w:t>převažující činnost</w:t>
      </w:r>
      <w:r w:rsidRPr="003F6D94">
        <w:t xml:space="preserve"> sledovaných subjektů</w:t>
      </w:r>
      <w:r w:rsidR="0049791F">
        <w:t xml:space="preserve">. Ta </w:t>
      </w:r>
      <w:r w:rsidRPr="003F6D94">
        <w:t>se stanovuje na základ</w:t>
      </w:r>
      <w:r w:rsidR="000E725C">
        <w:t>ě ekonomické činnosti, která má největší podíl na</w:t>
      </w:r>
      <w:r w:rsidRPr="003F6D94">
        <w:t xml:space="preserve"> přidané hodnotě jednotky. Z tohoto důvodu se v některých případech může převažující ekonomická činnost sledovaných subjektů lišit od charakteru nebo činn</w:t>
      </w:r>
      <w:r w:rsidR="00CF444A">
        <w:t xml:space="preserve">osti </w:t>
      </w:r>
      <w:r w:rsidRPr="003F6D94">
        <w:t>prováděného VaV.</w:t>
      </w:r>
    </w:p>
    <w:p w:rsidR="0069148C" w:rsidRPr="003F6D94" w:rsidRDefault="0069148C" w:rsidP="00CA6237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t>Podle sídla</w:t>
      </w:r>
      <w:r w:rsidRPr="003F6D94">
        <w:t xml:space="preserve"> </w:t>
      </w:r>
      <w:r w:rsidR="00C05EDF">
        <w:t>–</w:t>
      </w:r>
      <w:r w:rsidR="00D947CC">
        <w:t xml:space="preserve"> </w:t>
      </w:r>
      <w:r w:rsidR="00C05EDF">
        <w:t xml:space="preserve">podniky </w:t>
      </w:r>
      <w:r w:rsidR="0046331E">
        <w:t xml:space="preserve">jsou členěny s ohledem </w:t>
      </w:r>
      <w:r w:rsidR="00E05523">
        <w:t xml:space="preserve">podle regionu jejich sídla (kraje či okresu). Oporou členění je </w:t>
      </w:r>
      <w:r w:rsidR="00D6150F">
        <w:t>K</w:t>
      </w:r>
      <w:r w:rsidR="00D56553" w:rsidRPr="003F6D94">
        <w:t xml:space="preserve">lasifikace </w:t>
      </w:r>
      <w:r w:rsidR="00107BDC">
        <w:t>územních statistických jednotek (CZ-</w:t>
      </w:r>
      <w:r w:rsidR="00D56553" w:rsidRPr="003F6D94">
        <w:t>NUTS</w:t>
      </w:r>
      <w:r w:rsidR="00107BDC">
        <w:t>)</w:t>
      </w:r>
      <w:r w:rsidR="002E252B">
        <w:t>.</w:t>
      </w:r>
      <w:r w:rsidR="00093FEE">
        <w:rPr>
          <w:rStyle w:val="Znakapoznpodarou"/>
        </w:rPr>
        <w:footnoteReference w:id="12"/>
      </w:r>
    </w:p>
    <w:p w:rsidR="00CB283C" w:rsidRPr="003F6D94" w:rsidRDefault="00F23114" w:rsidP="00983BDC">
      <w:pPr>
        <w:spacing w:after="240"/>
      </w:pPr>
      <w:r>
        <w:t>V</w:t>
      </w:r>
      <w:r w:rsidR="00D064DA">
        <w:t xml:space="preserve">ýše uvedená třídění </w:t>
      </w:r>
      <w:r w:rsidR="001A67C1">
        <w:t>js</w:t>
      </w:r>
      <w:r w:rsidR="008A55EF">
        <w:t xml:space="preserve">ou aplikována </w:t>
      </w:r>
      <w:r w:rsidR="00DD7EC9">
        <w:t>v</w:t>
      </w:r>
      <w:r w:rsidR="0069148C" w:rsidRPr="003F6D94">
        <w:t xml:space="preserve"> kombinac</w:t>
      </w:r>
      <w:r w:rsidR="00DD7EC9">
        <w:t>ích</w:t>
      </w:r>
      <w:r w:rsidR="0069148C" w:rsidRPr="003F6D94">
        <w:t xml:space="preserve">. </w:t>
      </w:r>
      <w:r w:rsidR="00376C78" w:rsidRPr="00F510B4">
        <w:t>V tomto ohledu je nutné</w:t>
      </w:r>
      <w:r w:rsidR="0069148C" w:rsidRPr="00F510B4">
        <w:t xml:space="preserve"> upozornit</w:t>
      </w:r>
      <w:r w:rsidR="00006E29" w:rsidRPr="00F510B4">
        <w:t xml:space="preserve"> na to</w:t>
      </w:r>
      <w:r w:rsidR="0069148C" w:rsidRPr="00F510B4">
        <w:t xml:space="preserve">, že </w:t>
      </w:r>
      <w:r w:rsidR="00E54EB0">
        <w:t>údaje o daňové</w:t>
      </w:r>
      <w:r w:rsidR="0087146F" w:rsidRPr="00F510B4">
        <w:t xml:space="preserve"> podpoře VaV</w:t>
      </w:r>
      <w:r w:rsidR="0069148C" w:rsidRPr="00F510B4">
        <w:t xml:space="preserve"> ne</w:t>
      </w:r>
      <w:r w:rsidR="000018EC" w:rsidRPr="00F510B4">
        <w:t xml:space="preserve">jsou publikovatelné </w:t>
      </w:r>
      <w:r w:rsidR="00E535F5" w:rsidRPr="00F510B4">
        <w:t>ve</w:t>
      </w:r>
      <w:r w:rsidR="0069148C" w:rsidRPr="00F510B4">
        <w:t xml:space="preserve"> všech </w:t>
      </w:r>
      <w:r w:rsidR="00E535F5" w:rsidRPr="00F510B4">
        <w:t xml:space="preserve">myslitelných </w:t>
      </w:r>
      <w:r w:rsidR="0069148C" w:rsidRPr="00F510B4">
        <w:t>třídění</w:t>
      </w:r>
      <w:r w:rsidR="00E535F5" w:rsidRPr="00F510B4">
        <w:t>ch</w:t>
      </w:r>
      <w:r w:rsidR="0069148C" w:rsidRPr="00F510B4">
        <w:t xml:space="preserve"> z důvodu ochrany individuálních údajů.</w:t>
      </w:r>
      <w:r w:rsidR="0069148C" w:rsidRPr="003F6D94">
        <w:t xml:space="preserve"> ČSÚ </w:t>
      </w:r>
      <w:r w:rsidR="00D7728C">
        <w:t xml:space="preserve">může </w:t>
      </w:r>
      <w:r w:rsidR="007871C3">
        <w:t xml:space="preserve">zajistit </w:t>
      </w:r>
      <w:r w:rsidR="00D7728C">
        <w:t xml:space="preserve">uživatelům dat </w:t>
      </w:r>
      <w:r w:rsidR="008678CE">
        <w:t>i</w:t>
      </w:r>
      <w:r w:rsidR="0069148C" w:rsidRPr="003F6D94">
        <w:t xml:space="preserve"> další třídění sledovaných ukazatelů přede</w:t>
      </w:r>
      <w:r w:rsidR="00B90C7A">
        <w:t>vším na základě údajů zanesených</w:t>
      </w:r>
      <w:r w:rsidR="0069148C" w:rsidRPr="003F6D94">
        <w:t xml:space="preserve"> v Registru ekonomických subjektů (např. právní forma, velikost subjektu atd.), ale i charakteristik získaných z jiných administrativních (IS </w:t>
      </w:r>
      <w:proofErr w:type="spellStart"/>
      <w:r w:rsidR="0069148C" w:rsidRPr="003F6D94">
        <w:t>VaVaI</w:t>
      </w:r>
      <w:proofErr w:type="spellEnd"/>
      <w:r w:rsidR="0069148C" w:rsidRPr="003F6D94">
        <w:t>, patentová databáze) nebo interních datových zdrojů</w:t>
      </w:r>
      <w:r w:rsidR="0087146F" w:rsidRPr="003F6D94">
        <w:t xml:space="preserve"> (</w:t>
      </w:r>
      <w:r w:rsidR="0007385B">
        <w:t xml:space="preserve">Šetření </w:t>
      </w:r>
      <w:r w:rsidR="0087146F" w:rsidRPr="003F6D94">
        <w:t>VTR 5-01, SBS atd.)</w:t>
      </w:r>
      <w:r w:rsidR="00D8136E" w:rsidRPr="003F6D94">
        <w:t>.</w:t>
      </w:r>
      <w:r w:rsidR="0087146F" w:rsidRPr="003F6D94">
        <w:t xml:space="preserve"> </w:t>
      </w:r>
    </w:p>
    <w:p w:rsidR="00A0061E" w:rsidRPr="003F6D94" w:rsidRDefault="00491103" w:rsidP="00651076">
      <w:pPr>
        <w:pStyle w:val="Nadpis2"/>
        <w:pageBreakBefore/>
        <w:spacing w:before="120"/>
      </w:pPr>
      <w:r>
        <w:lastRenderedPageBreak/>
        <w:t xml:space="preserve">2.3 </w:t>
      </w:r>
      <w:r w:rsidR="00C86039">
        <w:t xml:space="preserve">Další datové zdroje s doplňujícími informacemi </w:t>
      </w:r>
    </w:p>
    <w:p w:rsidR="007E1850" w:rsidRPr="003F6D94" w:rsidRDefault="00667CCE" w:rsidP="00420340">
      <w:pPr>
        <w:spacing w:after="240"/>
      </w:pPr>
      <w:r>
        <w:t>Data ze s</w:t>
      </w:r>
      <w:r w:rsidR="007E1850" w:rsidRPr="003F6D94">
        <w:t>tatistik</w:t>
      </w:r>
      <w:r>
        <w:t>y</w:t>
      </w:r>
      <w:r w:rsidR="004065B7">
        <w:t xml:space="preserve"> daňové</w:t>
      </w:r>
      <w:r w:rsidR="00CE06FE" w:rsidRPr="003F6D94">
        <w:t xml:space="preserve"> </w:t>
      </w:r>
      <w:r w:rsidR="007E1850" w:rsidRPr="003F6D94">
        <w:t xml:space="preserve">podpory </w:t>
      </w:r>
      <w:r w:rsidR="008E08A4" w:rsidRPr="003F6D94">
        <w:t>VaV</w:t>
      </w:r>
      <w:r w:rsidR="008B249E" w:rsidRPr="003F6D94">
        <w:t xml:space="preserve"> </w:t>
      </w:r>
      <w:r w:rsidR="00127D23">
        <w:t>jsou</w:t>
      </w:r>
      <w:r w:rsidR="007E1850" w:rsidRPr="003F6D94">
        <w:t xml:space="preserve"> </w:t>
      </w:r>
      <w:r w:rsidR="00504886">
        <w:t xml:space="preserve">v </w:t>
      </w:r>
      <w:r w:rsidR="00D925AF">
        <w:t xml:space="preserve">této </w:t>
      </w:r>
      <w:r w:rsidR="007E1850" w:rsidRPr="003F6D94">
        <w:t xml:space="preserve">publikaci </w:t>
      </w:r>
      <w:r w:rsidR="00506BE1">
        <w:t>doplněna</w:t>
      </w:r>
      <w:r w:rsidR="00BB2DE0">
        <w:t xml:space="preserve"> </w:t>
      </w:r>
      <w:r w:rsidR="008C344E">
        <w:t xml:space="preserve">informacemi z dalších </w:t>
      </w:r>
      <w:r w:rsidR="002867FF">
        <w:t xml:space="preserve">datových zdrojů </w:t>
      </w:r>
      <w:r w:rsidR="00432F47">
        <w:t xml:space="preserve">ve snaze dosáhnout </w:t>
      </w:r>
      <w:r w:rsidR="00A420FB">
        <w:t>celistvější</w:t>
      </w:r>
      <w:r w:rsidR="00432F47">
        <w:t>ho</w:t>
      </w:r>
      <w:r w:rsidR="00A420FB">
        <w:t xml:space="preserve"> </w:t>
      </w:r>
      <w:r w:rsidR="00527DE2">
        <w:t>pohledu</w:t>
      </w:r>
      <w:r w:rsidR="00A420FB">
        <w:t xml:space="preserve"> </w:t>
      </w:r>
      <w:r w:rsidR="00527DE2">
        <w:t xml:space="preserve">na </w:t>
      </w:r>
      <w:r w:rsidR="007E1850" w:rsidRPr="00531C4D">
        <w:t xml:space="preserve">financování </w:t>
      </w:r>
      <w:r w:rsidR="00FA2EEA" w:rsidRPr="00531C4D">
        <w:t xml:space="preserve">VaV </w:t>
      </w:r>
      <w:r w:rsidR="007E1850" w:rsidRPr="00531C4D">
        <w:t xml:space="preserve">na </w:t>
      </w:r>
      <w:r w:rsidR="005E32FF" w:rsidRPr="00531C4D">
        <w:t xml:space="preserve">území České republiky. </w:t>
      </w:r>
      <w:r w:rsidR="00531C4D" w:rsidRPr="009C0DCA">
        <w:t>Jedná se o data z Ročního šetření o výzkumu a vývoji (VTR 5-01).</w:t>
      </w:r>
      <w:r w:rsidR="00CE06FE" w:rsidRPr="009C0DCA">
        <w:t xml:space="preserve"> V tabulkové příloze jsou </w:t>
      </w:r>
      <w:r w:rsidR="00FE1AC8" w:rsidRPr="009C0DCA">
        <w:t xml:space="preserve">k popisu </w:t>
      </w:r>
      <w:r w:rsidR="000E559A" w:rsidRPr="009C0DCA">
        <w:t>přím</w:t>
      </w:r>
      <w:r w:rsidR="00FE1AC8" w:rsidRPr="009C0DCA">
        <w:t>é</w:t>
      </w:r>
      <w:r w:rsidR="008E5DD0">
        <w:t xml:space="preserve"> domácí a přímé</w:t>
      </w:r>
      <w:r w:rsidR="000E559A" w:rsidRPr="009C0DCA">
        <w:t xml:space="preserve"> zahranič</w:t>
      </w:r>
      <w:r w:rsidR="00FE1AC8" w:rsidRPr="009C0DCA">
        <w:t>ní veřejné</w:t>
      </w:r>
      <w:r w:rsidR="000E559A" w:rsidRPr="009C0DCA">
        <w:t xml:space="preserve"> podpor</w:t>
      </w:r>
      <w:r w:rsidR="00FE1AC8" w:rsidRPr="009C0DCA">
        <w:t>y</w:t>
      </w:r>
      <w:r w:rsidR="00B76E4A">
        <w:t xml:space="preserve"> VaV</w:t>
      </w:r>
      <w:r w:rsidR="00E42D81" w:rsidRPr="009C0DCA">
        <w:t xml:space="preserve"> </w:t>
      </w:r>
      <w:r w:rsidR="00FE1AC8" w:rsidRPr="009C0DCA">
        <w:t>využita</w:t>
      </w:r>
      <w:r w:rsidR="00E42D81" w:rsidRPr="009C0DCA">
        <w:t xml:space="preserve"> data z</w:t>
      </w:r>
      <w:r w:rsidR="00531C4D" w:rsidRPr="009C0DCA">
        <w:t> tohoto ročního šetření.</w:t>
      </w:r>
      <w:r w:rsidR="001602BC" w:rsidRPr="009C0DCA">
        <w:t xml:space="preserve"> Doplňkovým datovým zdrojem je statistika </w:t>
      </w:r>
      <w:r w:rsidR="004065B7">
        <w:t>státních rozpočtových výdajů na výzkum a vývoj</w:t>
      </w:r>
      <w:r w:rsidR="001602BC" w:rsidRPr="009C0DCA">
        <w:t xml:space="preserve"> (GBARD).</w:t>
      </w:r>
      <w:r w:rsidR="001602BC">
        <w:t xml:space="preserve"> </w:t>
      </w:r>
    </w:p>
    <w:p w:rsidR="007E1850" w:rsidRPr="0029722B" w:rsidRDefault="0029722B" w:rsidP="0029722B">
      <w:pPr>
        <w:pStyle w:val="Nadpis3"/>
        <w:spacing w:after="120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2.3.1 </w:t>
      </w:r>
      <w:r w:rsidR="007E1850" w:rsidRPr="0029722B">
        <w:rPr>
          <w:rStyle w:val="st"/>
          <w:sz w:val="24"/>
          <w:szCs w:val="24"/>
        </w:rPr>
        <w:t>Roční výkaz o výzkumu a vývoji</w:t>
      </w:r>
    </w:p>
    <w:p w:rsidR="007E1850" w:rsidRPr="003F6D94" w:rsidRDefault="007E1850" w:rsidP="002C02F4">
      <w:r w:rsidRPr="003F6D94">
        <w:t xml:space="preserve">Roční výkaz o výzkumu a vývoji </w:t>
      </w:r>
      <w:r w:rsidR="008352FC" w:rsidRPr="003F6D94">
        <w:t>(VTR 5-01)</w:t>
      </w:r>
      <w:r w:rsidRPr="003F6D94">
        <w:t xml:space="preserve"> </w:t>
      </w:r>
      <w:r w:rsidR="00780FBD">
        <w:t xml:space="preserve">slouží </w:t>
      </w:r>
      <w:r w:rsidR="00FD293E" w:rsidRPr="003F6D94">
        <w:t xml:space="preserve">ČSÚ </w:t>
      </w:r>
      <w:r w:rsidR="00E05569">
        <w:t>k</w:t>
      </w:r>
      <w:r w:rsidR="00083838">
        <w:t xml:space="preserve">e sběru dat </w:t>
      </w:r>
      <w:r w:rsidR="00961F67">
        <w:t>o</w:t>
      </w:r>
      <w:r w:rsidR="00083838">
        <w:t xml:space="preserve"> </w:t>
      </w:r>
      <w:r w:rsidR="00FD293E" w:rsidRPr="003F6D94">
        <w:t xml:space="preserve">stavu lidských a finančních zdrojů ve všech subjektech </w:t>
      </w:r>
      <w:r w:rsidR="00FD293E" w:rsidRPr="006245AC">
        <w:t>podnikatelského</w:t>
      </w:r>
      <w:r w:rsidR="00FD293E" w:rsidRPr="00504886">
        <w:t>,</w:t>
      </w:r>
      <w:r w:rsidR="00FD293E" w:rsidRPr="003F6D94">
        <w:t xml:space="preserve"> vládního, vysokoškolského a soukromého neziskového sektoru provádějících VaV jako svo</w:t>
      </w:r>
      <w:r w:rsidR="005E3315">
        <w:t>u</w:t>
      </w:r>
      <w:r w:rsidR="00FD293E" w:rsidRPr="003F6D94">
        <w:t xml:space="preserve"> hlavní či vedlejší ekonomickou činnost na území České republiky. </w:t>
      </w:r>
      <w:r w:rsidR="0039409D">
        <w:t>Z</w:t>
      </w:r>
      <w:r w:rsidR="00FD293E" w:rsidRPr="003F6D94">
        <w:t>ákladní</w:t>
      </w:r>
      <w:r w:rsidR="0039409D">
        <w:t>mi</w:t>
      </w:r>
      <w:r w:rsidR="00FD293E" w:rsidRPr="003F6D94">
        <w:t xml:space="preserve"> </w:t>
      </w:r>
      <w:r w:rsidR="00FE67C2">
        <w:t>zjiš</w:t>
      </w:r>
      <w:r w:rsidR="00D856B7">
        <w:t>ť</w:t>
      </w:r>
      <w:r w:rsidR="00FE67C2">
        <w:t xml:space="preserve">ovanými </w:t>
      </w:r>
      <w:r w:rsidR="00FD293E" w:rsidRPr="003F6D94">
        <w:t>charakteristik</w:t>
      </w:r>
      <w:r w:rsidR="0039409D">
        <w:t>ami</w:t>
      </w:r>
      <w:r w:rsidR="00FD293E" w:rsidRPr="003F6D94">
        <w:t xml:space="preserve"> </w:t>
      </w:r>
      <w:r w:rsidR="00BC54F1">
        <w:t>jsou</w:t>
      </w:r>
      <w:r w:rsidR="007F51D0">
        <w:t xml:space="preserve"> počty</w:t>
      </w:r>
      <w:r w:rsidR="00FD293E" w:rsidRPr="003F6D94">
        <w:t xml:space="preserve"> zaměstnanců VaV podle pracovní činnosti, vzdělání, pohlaví, věku či národnosti a </w:t>
      </w:r>
      <w:r w:rsidR="00FD293E" w:rsidRPr="003F6D94">
        <w:rPr>
          <w:b/>
        </w:rPr>
        <w:t>výdaj</w:t>
      </w:r>
      <w:r w:rsidR="002E7B2B">
        <w:rPr>
          <w:b/>
        </w:rPr>
        <w:t>e</w:t>
      </w:r>
      <w:r w:rsidR="00FD293E" w:rsidRPr="003F6D94">
        <w:rPr>
          <w:b/>
        </w:rPr>
        <w:t xml:space="preserve"> za VaV</w:t>
      </w:r>
      <w:r w:rsidR="00FD293E" w:rsidRPr="003F6D94">
        <w:t xml:space="preserve"> </w:t>
      </w:r>
      <w:r w:rsidR="00F6086B">
        <w:t xml:space="preserve">s rozlišením </w:t>
      </w:r>
      <w:r w:rsidR="00FD293E" w:rsidRPr="003F6D94">
        <w:t xml:space="preserve">druhu výdajů a </w:t>
      </w:r>
      <w:r w:rsidR="00FD293E" w:rsidRPr="00651076">
        <w:rPr>
          <w:b/>
        </w:rPr>
        <w:t xml:space="preserve">zdrojů </w:t>
      </w:r>
      <w:r w:rsidR="00FD293E" w:rsidRPr="003F6D94">
        <w:t xml:space="preserve">jejich </w:t>
      </w:r>
      <w:r w:rsidR="00FD293E" w:rsidRPr="003F6D94">
        <w:rPr>
          <w:b/>
        </w:rPr>
        <w:t>financování.</w:t>
      </w:r>
    </w:p>
    <w:p w:rsidR="00FD293E" w:rsidRPr="003F6D94" w:rsidRDefault="00FD293E" w:rsidP="002C02F4">
      <w:r w:rsidRPr="003F6D94">
        <w:t xml:space="preserve">Sběr údajů o lidských a peněžních vstupech </w:t>
      </w:r>
      <w:r w:rsidR="00AF5AB6">
        <w:t xml:space="preserve">určených na </w:t>
      </w:r>
      <w:r w:rsidR="0078449A">
        <w:t>a</w:t>
      </w:r>
      <w:r w:rsidRPr="003F6D94">
        <w:t>ktivit</w:t>
      </w:r>
      <w:r w:rsidR="0078449A">
        <w:t>y</w:t>
      </w:r>
      <w:r w:rsidR="009677AB">
        <w:t xml:space="preserve"> VaV</w:t>
      </w:r>
      <w:r w:rsidRPr="003F6D94">
        <w:t xml:space="preserve"> </w:t>
      </w:r>
      <w:r w:rsidR="00E149E6">
        <w:t>probíhá</w:t>
      </w:r>
      <w:r w:rsidRPr="003F6D94">
        <w:t xml:space="preserve"> na základě </w:t>
      </w:r>
      <w:r w:rsidR="00D87CEB" w:rsidRPr="00D87CEB">
        <w:rPr>
          <w:b/>
        </w:rPr>
        <w:t>nařízení Evropského parlamentu a Rady (EU) 2019</w:t>
      </w:r>
      <w:r w:rsidR="00D87CEB">
        <w:rPr>
          <w:b/>
        </w:rPr>
        <w:t xml:space="preserve">/2152 </w:t>
      </w:r>
      <w:r w:rsidR="00D87CEB" w:rsidRPr="00D87CEB">
        <w:rPr>
          <w:b/>
        </w:rPr>
        <w:t>o evropských podnikových statistikách</w:t>
      </w:r>
      <w:r w:rsidR="00D87CEB">
        <w:rPr>
          <w:b/>
        </w:rPr>
        <w:t xml:space="preserve">. </w:t>
      </w:r>
      <w:r w:rsidR="0071598A">
        <w:t xml:space="preserve">Zjišťování </w:t>
      </w:r>
      <w:r w:rsidR="005C406B">
        <w:t xml:space="preserve">uvedených statistik </w:t>
      </w:r>
      <w:r w:rsidR="002F37E3">
        <w:t>je tím</w:t>
      </w:r>
      <w:r w:rsidRPr="003F6D94">
        <w:t xml:space="preserve"> </w:t>
      </w:r>
      <w:r w:rsidRPr="003F6D94">
        <w:rPr>
          <w:b/>
        </w:rPr>
        <w:t xml:space="preserve">povinné </w:t>
      </w:r>
      <w:r w:rsidRPr="003F6D94">
        <w:t xml:space="preserve">pro všechny </w:t>
      </w:r>
      <w:r w:rsidR="00513BF8">
        <w:t xml:space="preserve">členské </w:t>
      </w:r>
      <w:r w:rsidR="00C46DD8">
        <w:t>země</w:t>
      </w:r>
      <w:r w:rsidRPr="003F6D94">
        <w:t xml:space="preserve"> EU. Sběr </w:t>
      </w:r>
      <w:r w:rsidR="001A6D01">
        <w:t>dat</w:t>
      </w:r>
      <w:r w:rsidRPr="003F6D94">
        <w:t xml:space="preserve"> </w:t>
      </w:r>
      <w:r w:rsidR="006F3369">
        <w:t xml:space="preserve">podléhá </w:t>
      </w:r>
      <w:r w:rsidRPr="003F6D94">
        <w:t>standardů</w:t>
      </w:r>
      <w:r w:rsidR="006F3369">
        <w:t>m</w:t>
      </w:r>
      <w:r w:rsidRPr="003F6D94">
        <w:t xml:space="preserve"> a doporučen</w:t>
      </w:r>
      <w:r w:rsidR="008A3AAE">
        <w:t>í</w:t>
      </w:r>
      <w:r w:rsidR="006F3369">
        <w:t>m</w:t>
      </w:r>
      <w:r w:rsidR="008A3AAE">
        <w:t xml:space="preserve"> Frascati manuálu</w:t>
      </w:r>
      <w:r w:rsidRPr="003F6D94">
        <w:t>.</w:t>
      </w:r>
    </w:p>
    <w:p w:rsidR="00FD293E" w:rsidRPr="003F6D94" w:rsidRDefault="00FD293E" w:rsidP="001F3DBB">
      <w:r w:rsidRPr="003F6D94">
        <w:t xml:space="preserve">Mezi základní charakteristiky sledované v oblasti statistiky celkových výdajů na VaV, ale i výdajů uskutečněných v jednotlivých sektorech a pracovištích VaV, patří </w:t>
      </w:r>
      <w:r w:rsidRPr="006245AC">
        <w:rPr>
          <w:b/>
        </w:rPr>
        <w:t>původ finančních zdrojů</w:t>
      </w:r>
      <w:r w:rsidRPr="003F6D94">
        <w:t xml:space="preserve"> určených na provádění VaV. ČSÚ dle doporučení uvedených ve Frascati manuálu rozlišuje </w:t>
      </w:r>
      <w:r w:rsidR="009A40FB">
        <w:t xml:space="preserve">ve výkazu šetření VTR 5-01 pro jednotky </w:t>
      </w:r>
      <w:r w:rsidRPr="003F6D94">
        <w:t xml:space="preserve">podnikatelského následující hlavní zdroje financování </w:t>
      </w:r>
      <w:r w:rsidR="003E3731">
        <w:t>jejic</w:t>
      </w:r>
      <w:r w:rsidRPr="003F6D94">
        <w:t>h VaV činnosti:</w:t>
      </w:r>
    </w:p>
    <w:p w:rsidR="00FD293E" w:rsidRPr="003F6D94" w:rsidRDefault="00FD293E" w:rsidP="001F3DBB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007D3F">
        <w:rPr>
          <w:b/>
        </w:rPr>
        <w:t>podnik</w:t>
      </w:r>
      <w:r w:rsidR="00651076">
        <w:rPr>
          <w:b/>
        </w:rPr>
        <w:t>ové</w:t>
      </w:r>
      <w:r w:rsidRPr="00007D3F">
        <w:rPr>
          <w:b/>
        </w:rPr>
        <w:t xml:space="preserve"> (soukromé) zdroje</w:t>
      </w:r>
      <w:r w:rsidRPr="003F6D94">
        <w:t>, které tvoří především interní zdroje vzniklé z podnikatelské činnosti sledovaných podniků určené na u nich prováděný VaV</w:t>
      </w:r>
      <w:r w:rsidR="00BA520D" w:rsidRPr="003F6D94">
        <w:t xml:space="preserve"> a dále příjmy z prodejů služeb VaV prováděného na zakázku pro jiný podnik a dále získané příspěvky a subvence (finanční transfer) na prováděný VaV od podniků nejčastěji působících v rámci stejné </w:t>
      </w:r>
      <w:r w:rsidR="004774E8" w:rsidRPr="003F6D94">
        <w:t xml:space="preserve">podnikové </w:t>
      </w:r>
      <w:r w:rsidR="00BA520D" w:rsidRPr="003F6D94">
        <w:t>skupiny.</w:t>
      </w:r>
    </w:p>
    <w:p w:rsidR="007E48C9" w:rsidRPr="003F6D94" w:rsidRDefault="007E48C9" w:rsidP="001F3DBB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3F6D94">
        <w:rPr>
          <w:b/>
        </w:rPr>
        <w:t xml:space="preserve">veřejné zdroje z ČR, </w:t>
      </w:r>
      <w:r w:rsidRPr="003F6D94">
        <w:t>které tvoří veškeré finanční prostředky (běžné i kapitálové) ze státního rozpočtu ČR, rozpočtů krajů a měst poskytnuté jako institucionální nebo účelová podpora za provedený VaV ve sledovaném roce na území ČR.</w:t>
      </w:r>
      <w:r w:rsidR="00925EA9" w:rsidRPr="003F6D94">
        <w:t xml:space="preserve"> V posledních letech mohly soukromé podniky využít pro svůj VaV </w:t>
      </w:r>
      <w:r w:rsidR="00454869">
        <w:t>veřejnou podporu z národních programů</w:t>
      </w:r>
      <w:r w:rsidR="0090234E">
        <w:t xml:space="preserve"> (např. </w:t>
      </w:r>
      <w:r w:rsidR="00951B94">
        <w:t>TRIO</w:t>
      </w:r>
      <w:r w:rsidR="00454869">
        <w:t>), které</w:t>
      </w:r>
      <w:r w:rsidR="00925EA9" w:rsidRPr="003F6D94">
        <w:t xml:space="preserve"> vyhlásilo M</w:t>
      </w:r>
      <w:r w:rsidR="00454869">
        <w:t>inisterstvo průmyslu a obchodu</w:t>
      </w:r>
      <w:r w:rsidR="00925EA9" w:rsidRPr="003F6D94">
        <w:t>. Podniky mohly také využít některý z programů vyhlášených Technologickou agenturou ČR (</w:t>
      </w:r>
      <w:r w:rsidR="00DE5304" w:rsidRPr="003F6D94">
        <w:t xml:space="preserve">např. </w:t>
      </w:r>
      <w:r w:rsidR="00951B94">
        <w:t>TREND</w:t>
      </w:r>
      <w:r w:rsidR="003716F8" w:rsidRPr="003F6D94">
        <w:t xml:space="preserve">, </w:t>
      </w:r>
      <w:r w:rsidR="00695FD2" w:rsidRPr="003F6D94">
        <w:t>Centra kompetence</w:t>
      </w:r>
      <w:r w:rsidR="00925EA9" w:rsidRPr="003F6D94">
        <w:t>) nebo MŠMT</w:t>
      </w:r>
      <w:r w:rsidR="00DE5304" w:rsidRPr="003F6D94">
        <w:t xml:space="preserve"> (např. EUREKA)</w:t>
      </w:r>
      <w:r w:rsidR="00651076">
        <w:t>.</w:t>
      </w:r>
    </w:p>
    <w:p w:rsidR="00BA520D" w:rsidRPr="003F6D94" w:rsidRDefault="00BA520D" w:rsidP="00B84723">
      <w:pPr>
        <w:ind w:left="426"/>
      </w:pPr>
      <w:r w:rsidRPr="006A5427">
        <w:t>Do veřejných zdrojů z</w:t>
      </w:r>
      <w:r w:rsidR="00651076" w:rsidRPr="006A5427">
        <w:t> </w:t>
      </w:r>
      <w:r w:rsidRPr="006A5427">
        <w:t>ČR</w:t>
      </w:r>
      <w:r w:rsidR="006A5427" w:rsidRPr="006A5427">
        <w:t xml:space="preserve"> </w:t>
      </w:r>
      <w:r w:rsidRPr="006A5427">
        <w:rPr>
          <w:b/>
          <w:u w:val="single"/>
        </w:rPr>
        <w:t>není zahrnuta</w:t>
      </w:r>
      <w:r w:rsidRPr="006A5427">
        <w:t xml:space="preserve"> </w:t>
      </w:r>
      <w:r w:rsidR="007944C1" w:rsidRPr="006A5427">
        <w:rPr>
          <w:b/>
        </w:rPr>
        <w:t>daňová</w:t>
      </w:r>
      <w:r w:rsidR="00DE5E6B" w:rsidRPr="006A5427">
        <w:rPr>
          <w:b/>
        </w:rPr>
        <w:t xml:space="preserve"> </w:t>
      </w:r>
      <w:r w:rsidRPr="006A5427">
        <w:rPr>
          <w:b/>
        </w:rPr>
        <w:t>podpora VaV</w:t>
      </w:r>
      <w:r w:rsidRPr="006A5427">
        <w:t xml:space="preserve"> provád</w:t>
      </w:r>
      <w:r w:rsidR="0071344A" w:rsidRPr="006A5427">
        <w:t>ěného v podnikatelském sektoru.</w:t>
      </w:r>
    </w:p>
    <w:p w:rsidR="007E48C9" w:rsidRPr="003F6D94" w:rsidRDefault="007E48C9" w:rsidP="00955AC7">
      <w:pPr>
        <w:pStyle w:val="Odstavecseseznamem"/>
        <w:numPr>
          <w:ilvl w:val="0"/>
          <w:numId w:val="34"/>
        </w:numPr>
        <w:spacing w:line="288" w:lineRule="auto"/>
        <w:ind w:left="426" w:hanging="284"/>
        <w:contextualSpacing w:val="0"/>
      </w:pPr>
      <w:r w:rsidRPr="003F6D94">
        <w:rPr>
          <w:b/>
        </w:rPr>
        <w:t>veřejné zahraniční zdroje</w:t>
      </w:r>
      <w:r w:rsidRPr="00C90A38">
        <w:t xml:space="preserve"> </w:t>
      </w:r>
      <w:r w:rsidR="00A17534" w:rsidRPr="00C90A38">
        <w:t>jsou</w:t>
      </w:r>
      <w:r w:rsidRPr="00C90A38">
        <w:t xml:space="preserve"> </w:t>
      </w:r>
      <w:r w:rsidRPr="003F6D94">
        <w:t xml:space="preserve">především příjmy ze strukturálních fondů EU použité na financování VaV </w:t>
      </w:r>
      <w:r w:rsidR="004E2E7E">
        <w:t xml:space="preserve">prováděného </w:t>
      </w:r>
      <w:r w:rsidRPr="003F6D94">
        <w:t>ve sledovaných subjektech prostřednictvím operačn</w:t>
      </w:r>
      <w:r w:rsidR="007C0B0F">
        <w:t>ích programů (především OP VVV</w:t>
      </w:r>
      <w:r w:rsidRPr="003F6D94">
        <w:t xml:space="preserve"> a OP PI</w:t>
      </w:r>
      <w:r w:rsidR="007C0B0F">
        <w:t>K</w:t>
      </w:r>
      <w:r w:rsidRPr="003F6D94">
        <w:t>)</w:t>
      </w:r>
      <w:r w:rsidR="0002501D">
        <w:t xml:space="preserve">. Dalšími zdroji </w:t>
      </w:r>
      <w:r w:rsidR="006245AC">
        <w:t xml:space="preserve">jsou </w:t>
      </w:r>
      <w:r w:rsidR="0002501D">
        <w:t>finance</w:t>
      </w:r>
      <w:r w:rsidR="00BE4F16">
        <w:t xml:space="preserve"> z</w:t>
      </w:r>
      <w:r w:rsidRPr="003F6D94">
        <w:t xml:space="preserve"> rozpočtu EU (jde především o výzkumné rámcové programy) a </w:t>
      </w:r>
      <w:r w:rsidR="001C5A89">
        <w:t xml:space="preserve">dalších </w:t>
      </w:r>
      <w:r w:rsidRPr="003F6D94">
        <w:t>mezinárodních, vládních a veřejných organizací (CERN, ILL, ESA, NATO, OECD, O</w:t>
      </w:r>
      <w:r w:rsidR="00BD149A" w:rsidRPr="003F6D94">
        <w:t>SN, WHO, Norské fondy/EHP aj.).</w:t>
      </w:r>
    </w:p>
    <w:p w:rsidR="00027D92" w:rsidRPr="003F6D94" w:rsidRDefault="00027D92" w:rsidP="005B0628">
      <w:pPr>
        <w:ind w:left="426"/>
      </w:pPr>
      <w:r w:rsidRPr="003F6D94">
        <w:t>Do veřejných zahraničních zdrojů jsou započítány i případné zúčtované prostředky z předfinancování projektů. K předfinancování, ať už ze státního rozpočtu ČR nebo z vlastních zdrojů či úvěrů sledovaných zpravodajských jednotek, dochází zejména v případě prostředků přislíbených z rozpočtu EU, ať už v rámci jednotlivých operačních programů financovaných ze strukturálních fondů nebo rámcových či jiných výzkumných programů EU určených na podporu VaV prováděného v ČR.</w:t>
      </w:r>
    </w:p>
    <w:p w:rsidR="006A5427" w:rsidRDefault="006A5427" w:rsidP="006A5427">
      <w:pPr>
        <w:spacing w:after="0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>Podrobnější informace k definicím pojmů,</w:t>
      </w:r>
      <w:r w:rsidRPr="003F6D94">
        <w:rPr>
          <w:rStyle w:val="st"/>
          <w:sz w:val="20"/>
          <w:szCs w:val="20"/>
        </w:rPr>
        <w:t xml:space="preserve"> </w:t>
      </w:r>
      <w:r>
        <w:rPr>
          <w:rStyle w:val="st"/>
          <w:sz w:val="20"/>
          <w:szCs w:val="20"/>
        </w:rPr>
        <w:t>vy</w:t>
      </w:r>
      <w:r w:rsidRPr="003F6D94">
        <w:rPr>
          <w:rStyle w:val="st"/>
          <w:sz w:val="20"/>
          <w:szCs w:val="20"/>
        </w:rPr>
        <w:t>užívan</w:t>
      </w:r>
      <w:r>
        <w:rPr>
          <w:rStyle w:val="st"/>
          <w:sz w:val="20"/>
          <w:szCs w:val="20"/>
        </w:rPr>
        <w:t xml:space="preserve">ých ve statistikách výzkum a vývoje jsou k dispozici na stránkách ČSÚ obsahující údaje z </w:t>
      </w:r>
      <w:r w:rsidRPr="00C705C6">
        <w:rPr>
          <w:rStyle w:val="st"/>
          <w:b/>
          <w:sz w:val="20"/>
          <w:szCs w:val="20"/>
        </w:rPr>
        <w:t>Ročního zjišťování o výzkumu a vývoji VTR 5-01</w:t>
      </w:r>
      <w:r>
        <w:rPr>
          <w:rStyle w:val="st"/>
          <w:sz w:val="20"/>
          <w:szCs w:val="20"/>
        </w:rPr>
        <w:t>, které metodicky vychází z doporučení uvedených ve FM 2015.</w:t>
      </w:r>
      <w:r>
        <w:rPr>
          <w:b/>
        </w:rPr>
        <w:t xml:space="preserve"> </w:t>
      </w:r>
      <w:r>
        <w:rPr>
          <w:rStyle w:val="st"/>
          <w:sz w:val="20"/>
          <w:szCs w:val="20"/>
        </w:rPr>
        <w:t>Více zde:</w:t>
      </w:r>
    </w:p>
    <w:p w:rsidR="00925EA9" w:rsidRPr="006A5427" w:rsidRDefault="00616048" w:rsidP="006A5427">
      <w:pPr>
        <w:spacing w:after="240"/>
        <w:rPr>
          <w:rStyle w:val="st"/>
          <w:b/>
          <w:color w:val="009BB4"/>
          <w:sz w:val="20"/>
          <w:szCs w:val="24"/>
        </w:rPr>
      </w:pPr>
      <w:hyperlink r:id="rId11" w:history="1">
        <w:r w:rsidR="006A5427" w:rsidRPr="006A5427">
          <w:rPr>
            <w:rStyle w:val="Hypertextovodkaz"/>
            <w:rFonts w:cs="Arial"/>
            <w:color w:val="009BB4"/>
            <w:szCs w:val="20"/>
          </w:rPr>
          <w:t>https://www.czso.cz/csu/czso/statistika_vyzkumu_a_vyvoje</w:t>
        </w:r>
      </w:hyperlink>
      <w:r w:rsidR="006A5427" w:rsidRPr="006A5427">
        <w:rPr>
          <w:rFonts w:cs="Arial"/>
          <w:color w:val="009BB4"/>
          <w:szCs w:val="20"/>
        </w:rPr>
        <w:t xml:space="preserve"> </w:t>
      </w:r>
    </w:p>
    <w:p w:rsidR="00925EA9" w:rsidRPr="0029722B" w:rsidRDefault="0029722B" w:rsidP="0029722B">
      <w:pPr>
        <w:pStyle w:val="Nadpis3"/>
        <w:spacing w:after="120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lastRenderedPageBreak/>
        <w:t xml:space="preserve">2.3.2 </w:t>
      </w:r>
      <w:r w:rsidR="00925EA9" w:rsidRPr="0029722B">
        <w:rPr>
          <w:rStyle w:val="st"/>
          <w:sz w:val="24"/>
          <w:szCs w:val="24"/>
        </w:rPr>
        <w:t>Stat</w:t>
      </w:r>
      <w:r w:rsidR="002C5962" w:rsidRPr="0029722B">
        <w:rPr>
          <w:rStyle w:val="st"/>
          <w:sz w:val="24"/>
          <w:szCs w:val="24"/>
        </w:rPr>
        <w:t xml:space="preserve">istika </w:t>
      </w:r>
      <w:r w:rsidR="00BC3037" w:rsidRPr="0029722B">
        <w:rPr>
          <w:rStyle w:val="st"/>
          <w:sz w:val="24"/>
          <w:szCs w:val="24"/>
        </w:rPr>
        <w:t>státních rozpočtových výdajů na výzkum a vývoj</w:t>
      </w:r>
    </w:p>
    <w:p w:rsidR="00F1001C" w:rsidRPr="003F6D94" w:rsidRDefault="00A104C9" w:rsidP="002C02F4">
      <w:pPr>
        <w:rPr>
          <w:rFonts w:eastAsia="MS Gothic"/>
        </w:rPr>
      </w:pPr>
      <w:r>
        <w:rPr>
          <w:rFonts w:eastAsia="MS Gothic"/>
        </w:rPr>
        <w:t xml:space="preserve">Mimo </w:t>
      </w:r>
      <w:r w:rsidR="00CD02EF">
        <w:rPr>
          <w:rFonts w:eastAsia="MS Gothic"/>
        </w:rPr>
        <w:t xml:space="preserve">ročního </w:t>
      </w:r>
      <w:r w:rsidR="009E3398">
        <w:rPr>
          <w:rFonts w:eastAsia="MS Gothic"/>
        </w:rPr>
        <w:t xml:space="preserve">výběrového </w:t>
      </w:r>
      <w:r w:rsidR="00E610ED">
        <w:rPr>
          <w:rFonts w:eastAsia="MS Gothic"/>
        </w:rPr>
        <w:t>š</w:t>
      </w:r>
      <w:r w:rsidR="00DC1B7E" w:rsidRPr="003F6D94">
        <w:rPr>
          <w:rFonts w:eastAsia="MS Gothic"/>
        </w:rPr>
        <w:t xml:space="preserve">etření o </w:t>
      </w:r>
      <w:r w:rsidR="00B8794E">
        <w:rPr>
          <w:rFonts w:eastAsia="MS Gothic"/>
        </w:rPr>
        <w:t>výzkumu a vývoji</w:t>
      </w:r>
      <w:r w:rsidR="00E610ED">
        <w:rPr>
          <w:rFonts w:eastAsia="MS Gothic"/>
        </w:rPr>
        <w:t xml:space="preserve"> (VTR 5-01)</w:t>
      </w:r>
      <w:r w:rsidR="00B8794E">
        <w:rPr>
          <w:rFonts w:eastAsia="MS Gothic"/>
        </w:rPr>
        <w:t xml:space="preserve"> </w:t>
      </w:r>
      <w:r w:rsidR="00B96AA5">
        <w:rPr>
          <w:rFonts w:eastAsia="MS Gothic"/>
        </w:rPr>
        <w:t>j</w:t>
      </w:r>
      <w:r w:rsidR="00DC1B7E" w:rsidRPr="003F6D94">
        <w:rPr>
          <w:rFonts w:eastAsia="MS Gothic"/>
        </w:rPr>
        <w:t xml:space="preserve">sou veřejné výdaje na VaV sledovány </w:t>
      </w:r>
      <w:r w:rsidR="00F42758">
        <w:rPr>
          <w:rFonts w:eastAsia="MS Gothic"/>
        </w:rPr>
        <w:t>i ve</w:t>
      </w:r>
      <w:r w:rsidR="00521EC9">
        <w:rPr>
          <w:rFonts w:eastAsia="MS Gothic"/>
        </w:rPr>
        <w:t xml:space="preserve"> </w:t>
      </w:r>
      <w:r w:rsidR="00DC1B7E" w:rsidRPr="003F6D94">
        <w:rPr>
          <w:rFonts w:eastAsia="MS Gothic"/>
        </w:rPr>
        <w:t>statisti</w:t>
      </w:r>
      <w:r w:rsidR="00C73BD1">
        <w:rPr>
          <w:rFonts w:eastAsia="MS Gothic"/>
        </w:rPr>
        <w:t>ce</w:t>
      </w:r>
      <w:r w:rsidR="00DC1B7E" w:rsidRPr="003F6D94">
        <w:rPr>
          <w:rFonts w:eastAsia="MS Gothic"/>
        </w:rPr>
        <w:t xml:space="preserve"> </w:t>
      </w:r>
      <w:r w:rsidR="00BC3037">
        <w:rPr>
          <w:rFonts w:eastAsia="MS Gothic"/>
          <w:b/>
        </w:rPr>
        <w:t>státních rozpočtových výdajů na výzkum a vývoj</w:t>
      </w:r>
      <w:r w:rsidR="00B52135" w:rsidRPr="003F6D94">
        <w:rPr>
          <w:rFonts w:eastAsia="MS Gothic"/>
        </w:rPr>
        <w:t xml:space="preserve"> </w:t>
      </w:r>
      <w:r w:rsidR="00600C8C">
        <w:rPr>
          <w:rFonts w:eastAsia="MS Gothic"/>
        </w:rPr>
        <w:t>(</w:t>
      </w:r>
      <w:r w:rsidR="00DC1B7E" w:rsidRPr="003F6D94">
        <w:rPr>
          <w:rFonts w:eastAsia="MS Gothic"/>
          <w:b/>
        </w:rPr>
        <w:t>GBARD</w:t>
      </w:r>
      <w:r w:rsidR="00600C8C">
        <w:rPr>
          <w:rFonts w:eastAsia="MS Gothic"/>
          <w:b/>
        </w:rPr>
        <w:t>)</w:t>
      </w:r>
      <w:r w:rsidR="00237129">
        <w:rPr>
          <w:rStyle w:val="Znakapoznpodarou"/>
        </w:rPr>
        <w:footnoteReference w:id="13"/>
      </w:r>
      <w:r w:rsidR="00563394">
        <w:rPr>
          <w:rFonts w:eastAsia="MS Gothic"/>
          <w:b/>
        </w:rPr>
        <w:t>. Zde jsou však</w:t>
      </w:r>
      <w:r w:rsidR="00A054C0">
        <w:rPr>
          <w:rFonts w:eastAsia="MS Gothic"/>
          <w:b/>
        </w:rPr>
        <w:t xml:space="preserve"> zachyceny </w:t>
      </w:r>
      <w:r w:rsidR="00DC1B7E" w:rsidRPr="003F6D94">
        <w:rPr>
          <w:rFonts w:eastAsia="MS Gothic"/>
          <w:b/>
        </w:rPr>
        <w:t>z pohledu poskytovatelů veřejné podpory</w:t>
      </w:r>
      <w:r w:rsidR="00DC1B7E" w:rsidRPr="003F6D94">
        <w:rPr>
          <w:rFonts w:eastAsia="MS Gothic"/>
        </w:rPr>
        <w:t xml:space="preserve">. </w:t>
      </w:r>
      <w:r w:rsidR="00FE6E68">
        <w:rPr>
          <w:rFonts w:eastAsia="MS Gothic"/>
        </w:rPr>
        <w:t>Statistika GBARD uplatňuje</w:t>
      </w:r>
      <w:r w:rsidR="00694CD2">
        <w:rPr>
          <w:rFonts w:eastAsia="MS Gothic"/>
        </w:rPr>
        <w:t xml:space="preserve"> odlišný přístup </w:t>
      </w:r>
      <w:r w:rsidR="00DC1B7E" w:rsidRPr="003F6D94">
        <w:rPr>
          <w:rFonts w:eastAsia="MS Gothic"/>
        </w:rPr>
        <w:t xml:space="preserve">než </w:t>
      </w:r>
      <w:r w:rsidR="00B52135" w:rsidRPr="003F6D94">
        <w:rPr>
          <w:rFonts w:eastAsia="MS Gothic"/>
        </w:rPr>
        <w:t xml:space="preserve">šetření </w:t>
      </w:r>
      <w:r w:rsidR="00DC1B7E" w:rsidRPr="003F6D94">
        <w:rPr>
          <w:rFonts w:eastAsia="MS Gothic"/>
        </w:rPr>
        <w:t>VTR</w:t>
      </w:r>
      <w:r w:rsidR="00355B3B">
        <w:rPr>
          <w:rFonts w:eastAsia="MS Gothic"/>
        </w:rPr>
        <w:t> </w:t>
      </w:r>
      <w:r w:rsidR="00DC1B7E" w:rsidRPr="003F6D94">
        <w:rPr>
          <w:rFonts w:eastAsia="MS Gothic"/>
        </w:rPr>
        <w:t>5</w:t>
      </w:r>
      <w:r w:rsidR="00355B3B">
        <w:rPr>
          <w:rFonts w:eastAsia="MS Gothic"/>
        </w:rPr>
        <w:noBreakHyphen/>
      </w:r>
      <w:r w:rsidR="00DC1B7E" w:rsidRPr="003F6D94">
        <w:rPr>
          <w:rFonts w:eastAsia="MS Gothic"/>
        </w:rPr>
        <w:t>01</w:t>
      </w:r>
      <w:r w:rsidR="00AE4331">
        <w:rPr>
          <w:rFonts w:eastAsia="MS Gothic"/>
        </w:rPr>
        <w:t xml:space="preserve">. </w:t>
      </w:r>
      <w:r w:rsidR="00124D17">
        <w:rPr>
          <w:rFonts w:eastAsia="MS Gothic"/>
        </w:rPr>
        <w:t>V</w:t>
      </w:r>
      <w:r w:rsidR="00DC1B7E" w:rsidRPr="003F6D94">
        <w:rPr>
          <w:rFonts w:eastAsia="MS Gothic"/>
        </w:rPr>
        <w:t xml:space="preserve">eřejné výdaje </w:t>
      </w:r>
      <w:r w:rsidR="00124D17">
        <w:rPr>
          <w:rFonts w:eastAsia="MS Gothic"/>
        </w:rPr>
        <w:t xml:space="preserve">v ní nejsou zachyceny </w:t>
      </w:r>
      <w:r w:rsidR="00DC1B7E" w:rsidRPr="003F6D94">
        <w:rPr>
          <w:rFonts w:eastAsia="MS Gothic"/>
        </w:rPr>
        <w:t xml:space="preserve">z pohledu </w:t>
      </w:r>
      <w:r w:rsidR="00681C45" w:rsidRPr="003F6D94">
        <w:rPr>
          <w:rFonts w:eastAsia="MS Gothic"/>
        </w:rPr>
        <w:t>příjemců (</w:t>
      </w:r>
      <w:r w:rsidR="00376381">
        <w:rPr>
          <w:rFonts w:eastAsia="MS Gothic"/>
        </w:rPr>
        <w:t>pracovišť provádějících VaV), zdrojem statistiky přímé veřejné podpory</w:t>
      </w:r>
      <w:r w:rsidR="00015928">
        <w:rPr>
          <w:rFonts w:eastAsia="MS Gothic"/>
        </w:rPr>
        <w:t xml:space="preserve"> VaV</w:t>
      </w:r>
      <w:r w:rsidR="00376381">
        <w:rPr>
          <w:rFonts w:eastAsia="MS Gothic"/>
        </w:rPr>
        <w:t xml:space="preserve"> </w:t>
      </w:r>
      <w:r w:rsidR="00DC1B7E" w:rsidRPr="003F6D94">
        <w:rPr>
          <w:rFonts w:eastAsia="MS Gothic"/>
        </w:rPr>
        <w:t xml:space="preserve">jsou administrativní </w:t>
      </w:r>
      <w:r w:rsidR="00F4335E">
        <w:rPr>
          <w:rFonts w:eastAsia="MS Gothic"/>
        </w:rPr>
        <w:t>data</w:t>
      </w:r>
      <w:r w:rsidR="00DC1B7E" w:rsidRPr="003F6D94">
        <w:rPr>
          <w:rFonts w:eastAsia="MS Gothic"/>
        </w:rPr>
        <w:t xml:space="preserve"> získan</w:t>
      </w:r>
      <w:r w:rsidR="00CD7F4B">
        <w:rPr>
          <w:rFonts w:eastAsia="MS Gothic"/>
        </w:rPr>
        <w:t>á</w:t>
      </w:r>
      <w:r w:rsidR="00DC1B7E" w:rsidRPr="003F6D94">
        <w:rPr>
          <w:rFonts w:eastAsia="MS Gothic"/>
        </w:rPr>
        <w:t xml:space="preserve"> z </w:t>
      </w:r>
      <w:r w:rsidR="00DC1B7E" w:rsidRPr="001150EF">
        <w:rPr>
          <w:rFonts w:eastAsia="MS Gothic"/>
          <w:b/>
        </w:rPr>
        <w:t>Infomačního systému vý</w:t>
      </w:r>
      <w:r w:rsidR="002A30A5" w:rsidRPr="001150EF">
        <w:rPr>
          <w:rFonts w:eastAsia="MS Gothic"/>
          <w:b/>
        </w:rPr>
        <w:t>zkumu, vývoje a inovací</w:t>
      </w:r>
      <w:r w:rsidR="00B22088" w:rsidRPr="003F6D94">
        <w:rPr>
          <w:rStyle w:val="Znakapoznpodarou"/>
          <w:rFonts w:cs="Arial"/>
          <w:szCs w:val="20"/>
        </w:rPr>
        <w:footnoteReference w:id="14"/>
      </w:r>
      <w:r w:rsidR="006D3E83">
        <w:rPr>
          <w:rFonts w:eastAsia="MS Gothic"/>
        </w:rPr>
        <w:t>. D</w:t>
      </w:r>
      <w:r w:rsidR="002A30A5" w:rsidRPr="003F6D94">
        <w:rPr>
          <w:rFonts w:eastAsia="MS Gothic"/>
        </w:rPr>
        <w:t xml:space="preserve">ále </w:t>
      </w:r>
      <w:r w:rsidR="006D3E83">
        <w:rPr>
          <w:rFonts w:eastAsia="MS Gothic"/>
        </w:rPr>
        <w:t xml:space="preserve">jsou využity </w:t>
      </w:r>
      <w:r w:rsidR="00A40A9B">
        <w:rPr>
          <w:rFonts w:eastAsia="MS Gothic"/>
        </w:rPr>
        <w:t>d</w:t>
      </w:r>
      <w:r w:rsidR="002A30A5" w:rsidRPr="003F6D94">
        <w:rPr>
          <w:rFonts w:eastAsia="MS Gothic"/>
        </w:rPr>
        <w:t>okumenty</w:t>
      </w:r>
      <w:r w:rsidR="00B52135" w:rsidRPr="003F6D94">
        <w:rPr>
          <w:rFonts w:eastAsia="MS Gothic"/>
        </w:rPr>
        <w:t xml:space="preserve"> o státním</w:t>
      </w:r>
      <w:r w:rsidR="00DC1B7E" w:rsidRPr="003F6D94">
        <w:rPr>
          <w:rFonts w:eastAsia="MS Gothic"/>
        </w:rPr>
        <w:t xml:space="preserve"> rozpočtu výzkumu, vývoje a inovací. </w:t>
      </w:r>
    </w:p>
    <w:p w:rsidR="00F85946" w:rsidRPr="003F6D94" w:rsidRDefault="0028287A" w:rsidP="002C02F4">
      <w:pPr>
        <w:tabs>
          <w:tab w:val="left" w:pos="1134"/>
        </w:tabs>
        <w:rPr>
          <w:b/>
          <w:i/>
        </w:rPr>
      </w:pPr>
      <w:r w:rsidRPr="003F6D94">
        <w:t>Administrativní údaje z Informačního systému výzkumu, vývoje a inovací umožňují</w:t>
      </w:r>
      <w:r w:rsidR="00B134BD">
        <w:t xml:space="preserve"> opět díky </w:t>
      </w:r>
      <w:r w:rsidR="00921133">
        <w:t xml:space="preserve">jejich </w:t>
      </w:r>
      <w:r w:rsidR="00F27CB7">
        <w:t xml:space="preserve">propojení s daty </w:t>
      </w:r>
      <w:r w:rsidRPr="003F6D94">
        <w:t>Registr</w:t>
      </w:r>
      <w:r w:rsidR="00F27CB7">
        <w:t>u</w:t>
      </w:r>
      <w:r w:rsidRPr="003F6D94">
        <w:t xml:space="preserve"> ekonomických subjektů </w:t>
      </w:r>
      <w:r w:rsidR="009F6187">
        <w:t>popis</w:t>
      </w:r>
      <w:r w:rsidR="00752BBC">
        <w:t>ovat</w:t>
      </w:r>
      <w:r w:rsidR="009F6187">
        <w:t xml:space="preserve"> </w:t>
      </w:r>
      <w:r w:rsidR="00944245">
        <w:t>přím</w:t>
      </w:r>
      <w:r w:rsidR="00D71C98">
        <w:t>ou</w:t>
      </w:r>
      <w:r w:rsidR="00944245">
        <w:t xml:space="preserve"> veřejnou podporu podnikového VaV</w:t>
      </w:r>
      <w:r w:rsidR="00403713">
        <w:t xml:space="preserve"> </w:t>
      </w:r>
      <w:r w:rsidRPr="003F6D94">
        <w:t xml:space="preserve">ve stejném členění </w:t>
      </w:r>
      <w:r w:rsidR="007C3629">
        <w:t xml:space="preserve">jako data </w:t>
      </w:r>
      <w:r w:rsidR="00BC3037">
        <w:t>daňové</w:t>
      </w:r>
      <w:r w:rsidRPr="003F6D94">
        <w:t xml:space="preserve"> podpory</w:t>
      </w:r>
      <w:r w:rsidR="00653090">
        <w:t xml:space="preserve"> VaV</w:t>
      </w:r>
      <w:r w:rsidR="00584A66" w:rsidRPr="003F6D94">
        <w:t xml:space="preserve">. </w:t>
      </w:r>
      <w:r w:rsidR="00427319">
        <w:t xml:space="preserve">Navíc mohou být členěna </w:t>
      </w:r>
      <w:r w:rsidR="003D3C7C" w:rsidRPr="003F6D94">
        <w:t xml:space="preserve">i </w:t>
      </w:r>
      <w:r w:rsidR="00584A66" w:rsidRPr="003F6D94">
        <w:t>podle progra</w:t>
      </w:r>
      <w:r w:rsidR="005C19D5">
        <w:t>mů vyhlašovaných poskytovateli.</w:t>
      </w:r>
    </w:p>
    <w:p w:rsidR="00B36297" w:rsidRPr="006A5427" w:rsidRDefault="00704AFC" w:rsidP="00AB65E6">
      <w:pPr>
        <w:spacing w:after="600"/>
        <w:jc w:val="left"/>
        <w:rPr>
          <w:color w:val="009BB4"/>
        </w:rPr>
      </w:pPr>
      <w:r w:rsidRPr="00D969DE">
        <w:rPr>
          <w:b/>
        </w:rPr>
        <w:t xml:space="preserve">Podrobnější informace </w:t>
      </w:r>
      <w:r w:rsidR="00825DF5">
        <w:rPr>
          <w:b/>
        </w:rPr>
        <w:t xml:space="preserve">o </w:t>
      </w:r>
      <w:r w:rsidR="00B63A01" w:rsidRPr="00D969DE">
        <w:rPr>
          <w:b/>
        </w:rPr>
        <w:t xml:space="preserve">statistice přímé veřejné podpory VaV </w:t>
      </w:r>
      <w:r w:rsidRPr="00D969DE">
        <w:rPr>
          <w:b/>
        </w:rPr>
        <w:t xml:space="preserve">jsou </w:t>
      </w:r>
      <w:r w:rsidR="005B3FD3" w:rsidRPr="00D969DE">
        <w:rPr>
          <w:b/>
        </w:rPr>
        <w:t xml:space="preserve">na </w:t>
      </w:r>
      <w:r w:rsidR="007F238B">
        <w:rPr>
          <w:b/>
        </w:rPr>
        <w:t xml:space="preserve">webových </w:t>
      </w:r>
      <w:r w:rsidRPr="00D969DE">
        <w:rPr>
          <w:b/>
        </w:rPr>
        <w:t>stránkách</w:t>
      </w:r>
      <w:r w:rsidR="005B3FD3" w:rsidRPr="00E36864">
        <w:rPr>
          <w:b/>
        </w:rPr>
        <w:t>:</w:t>
      </w:r>
      <w:r w:rsidR="006A5427">
        <w:rPr>
          <w:b/>
        </w:rPr>
        <w:t xml:space="preserve"> </w:t>
      </w:r>
      <w:hyperlink r:id="rId12" w:history="1">
        <w:r w:rsidR="00651076" w:rsidRPr="006A5427">
          <w:rPr>
            <w:rStyle w:val="Hypertextovodkaz"/>
            <w:color w:val="009BB4"/>
          </w:rPr>
          <w:t>https://www.czso.cz/csu/czso/statni-rozpoctove-vydaje-na-vyzkum-a-vyvoj</w:t>
        </w:r>
      </w:hyperlink>
    </w:p>
    <w:p w:rsidR="005E5260" w:rsidRDefault="005E5260" w:rsidP="005E5260">
      <w:pPr>
        <w:tabs>
          <w:tab w:val="left" w:pos="709"/>
        </w:tabs>
        <w:rPr>
          <w:rStyle w:val="st"/>
          <w:rFonts w:cs="Arial"/>
          <w:sz w:val="20"/>
          <w:szCs w:val="20"/>
        </w:rPr>
      </w:pPr>
    </w:p>
    <w:p w:rsidR="006A5427" w:rsidRDefault="006A5427">
      <w:pPr>
        <w:spacing w:after="0" w:line="240" w:lineRule="auto"/>
        <w:jc w:val="left"/>
        <w:rPr>
          <w:rStyle w:val="st"/>
          <w:rFonts w:eastAsia="MS Gothic"/>
          <w:b/>
          <w:bCs/>
          <w:color w:val="009BB4"/>
          <w:sz w:val="24"/>
          <w:szCs w:val="24"/>
        </w:rPr>
      </w:pPr>
      <w:r>
        <w:rPr>
          <w:rStyle w:val="st"/>
          <w:sz w:val="24"/>
          <w:szCs w:val="24"/>
        </w:rPr>
        <w:br w:type="page"/>
      </w:r>
    </w:p>
    <w:p w:rsidR="000A03DC" w:rsidRPr="00DF18F3" w:rsidRDefault="000A03DC" w:rsidP="0029722B">
      <w:pPr>
        <w:pStyle w:val="Nadpis2"/>
        <w:rPr>
          <w:rStyle w:val="st"/>
          <w:sz w:val="24"/>
          <w:szCs w:val="24"/>
        </w:rPr>
      </w:pPr>
      <w:r w:rsidRPr="00DF18F3">
        <w:rPr>
          <w:rStyle w:val="st"/>
          <w:sz w:val="24"/>
          <w:szCs w:val="24"/>
        </w:rPr>
        <w:lastRenderedPageBreak/>
        <w:t>Poznámky k údajům v tabulkách a grafech</w:t>
      </w:r>
    </w:p>
    <w:p w:rsidR="000A03DC" w:rsidRPr="003F6D94" w:rsidRDefault="000A03DC" w:rsidP="002C02F4">
      <w:pPr>
        <w:tabs>
          <w:tab w:val="left" w:pos="426"/>
        </w:tabs>
        <w:spacing w:after="0"/>
      </w:pPr>
      <w:r w:rsidRPr="003F6D94">
        <w:rPr>
          <w:bCs/>
        </w:rPr>
        <w:t>0</w:t>
      </w:r>
      <w:r w:rsidR="001A5B3B" w:rsidRPr="003F6D94">
        <w:rPr>
          <w:bCs/>
        </w:rPr>
        <w:tab/>
      </w:r>
      <w:r w:rsidRPr="003F6D94">
        <w:t xml:space="preserve">nula se používá </w:t>
      </w:r>
      <w:r w:rsidR="004F2159" w:rsidRPr="003F6D94">
        <w:t>k</w:t>
      </w:r>
      <w:r w:rsidRPr="003F6D94">
        <w:t xml:space="preserve"> označení číselných údajů menších než polovina zvolené měřící jednotky</w:t>
      </w:r>
    </w:p>
    <w:p w:rsidR="000A03DC" w:rsidRPr="003F6D94" w:rsidRDefault="000A03DC" w:rsidP="002C02F4">
      <w:pPr>
        <w:tabs>
          <w:tab w:val="left" w:pos="426"/>
        </w:tabs>
        <w:spacing w:after="0"/>
        <w:ind w:left="420" w:hanging="420"/>
      </w:pPr>
      <w:r w:rsidRPr="003F6D94">
        <w:rPr>
          <w:bCs/>
        </w:rPr>
        <w:t>-</w:t>
      </w:r>
      <w:r w:rsidR="00A23CF5" w:rsidRPr="003F6D94">
        <w:rPr>
          <w:bCs/>
        </w:rPr>
        <w:tab/>
      </w:r>
      <w:r w:rsidR="00247061" w:rsidRPr="003F6D94">
        <w:rPr>
          <w:bCs/>
        </w:rPr>
        <w:t xml:space="preserve">pomlčka značí, že </w:t>
      </w:r>
      <w:r w:rsidRPr="003F6D94">
        <w:t>údaj není k dispozici (</w:t>
      </w:r>
      <w:r w:rsidR="006039C1" w:rsidRPr="003F6D94">
        <w:t xml:space="preserve">údaj </w:t>
      </w:r>
      <w:r w:rsidR="001F030F" w:rsidRPr="003F6D94">
        <w:t>b</w:t>
      </w:r>
      <w:r w:rsidR="000C0A8D" w:rsidRPr="003F6D94">
        <w:t>yl</w:t>
      </w:r>
      <w:r w:rsidR="001F030F" w:rsidRPr="003F6D94">
        <w:t xml:space="preserve"> </w:t>
      </w:r>
      <w:r w:rsidRPr="003F6D94">
        <w:t xml:space="preserve">nespolehlivý, jev se </w:t>
      </w:r>
      <w:r w:rsidR="001F030F" w:rsidRPr="003F6D94">
        <w:t xml:space="preserve">nemusel </w:t>
      </w:r>
      <w:r w:rsidRPr="003F6D94">
        <w:t>vyskytova</w:t>
      </w:r>
      <w:r w:rsidR="001F030F" w:rsidRPr="003F6D94">
        <w:t>t</w:t>
      </w:r>
      <w:r w:rsidRPr="003F6D94">
        <w:t xml:space="preserve">, ukazatel </w:t>
      </w:r>
      <w:r w:rsidR="001F030F" w:rsidRPr="003F6D94">
        <w:t>nebyl zjišťován</w:t>
      </w:r>
      <w:r w:rsidRPr="003F6D94">
        <w:t xml:space="preserve">, </w:t>
      </w:r>
      <w:r w:rsidR="001F030F" w:rsidRPr="003F6D94">
        <w:t xml:space="preserve">šlo </w:t>
      </w:r>
      <w:r w:rsidR="00727C34" w:rsidRPr="003F6D94">
        <w:t xml:space="preserve">o </w:t>
      </w:r>
      <w:r w:rsidRPr="003F6D94">
        <w:t>individuální údaj)</w:t>
      </w:r>
    </w:p>
    <w:p w:rsidR="000A03DC" w:rsidRDefault="00A23CF5" w:rsidP="002C02F4">
      <w:pPr>
        <w:tabs>
          <w:tab w:val="left" w:pos="426"/>
        </w:tabs>
      </w:pPr>
      <w:r w:rsidRPr="003F6D94">
        <w:t>x</w:t>
      </w:r>
      <w:r w:rsidRPr="003F6D94">
        <w:tab/>
      </w:r>
      <w:r w:rsidR="00503ACA" w:rsidRPr="003F6D94">
        <w:t>ležatý křížek na místě čísla značí, že zápis není možný z logických důvodů</w:t>
      </w:r>
    </w:p>
    <w:p w:rsidR="00B528C1" w:rsidRPr="003F6D94" w:rsidRDefault="00B528C1" w:rsidP="002C02F4">
      <w:pPr>
        <w:tabs>
          <w:tab w:val="left" w:pos="426"/>
        </w:tabs>
      </w:pPr>
      <w:r>
        <w:t xml:space="preserve">. </w:t>
      </w:r>
      <w:r>
        <w:tab/>
        <w:t>údaj není k dispozici (mezinárodní srovnání)</w:t>
      </w:r>
    </w:p>
    <w:p w:rsidR="000A03DC" w:rsidRPr="003F6D94" w:rsidRDefault="00A23CF5" w:rsidP="002C02F4">
      <w:r w:rsidRPr="003F6D94">
        <w:t>v</w:t>
      </w:r>
      <w:r w:rsidR="000A03DC" w:rsidRPr="003F6D94">
        <w:t xml:space="preserve">ýpočty v tabulkách jsou prováděny </w:t>
      </w:r>
      <w:r w:rsidR="000A03DC" w:rsidRPr="003F6D94">
        <w:rPr>
          <w:bCs/>
        </w:rPr>
        <w:t>z </w:t>
      </w:r>
      <w:r w:rsidR="000A03DC" w:rsidRPr="003F6D94">
        <w:rPr>
          <w:bCs/>
          <w:u w:val="single"/>
        </w:rPr>
        <w:t>nezaokrouhlených údajů</w:t>
      </w:r>
    </w:p>
    <w:p w:rsidR="000A03DC" w:rsidRPr="003F6D94" w:rsidRDefault="000A03DC" w:rsidP="00AB65E6">
      <w:pPr>
        <w:spacing w:after="600"/>
      </w:pPr>
      <w:r w:rsidRPr="003F6D94">
        <w:t xml:space="preserve">úhrny (součty a mezisoučty) nemusí odpovídat součtu dílčích hodnot z důvodu </w:t>
      </w:r>
      <w:r w:rsidRPr="003F6D94">
        <w:rPr>
          <w:bCs/>
          <w:u w:val="single"/>
        </w:rPr>
        <w:t>zaokrouhl</w:t>
      </w:r>
      <w:r w:rsidR="00B84DCA" w:rsidRPr="003F6D94">
        <w:rPr>
          <w:bCs/>
          <w:u w:val="single"/>
        </w:rPr>
        <w:t>ení</w:t>
      </w:r>
    </w:p>
    <w:p w:rsidR="000A03DC" w:rsidRPr="00DF18F3" w:rsidRDefault="000A03DC" w:rsidP="0029722B">
      <w:pPr>
        <w:pStyle w:val="Nadpis2"/>
        <w:rPr>
          <w:rStyle w:val="st"/>
          <w:sz w:val="24"/>
          <w:szCs w:val="24"/>
        </w:rPr>
      </w:pPr>
      <w:r w:rsidRPr="00DF18F3">
        <w:rPr>
          <w:rStyle w:val="st"/>
          <w:sz w:val="24"/>
          <w:szCs w:val="24"/>
        </w:rPr>
        <w:t xml:space="preserve">Seznam </w:t>
      </w:r>
      <w:r w:rsidR="00270A16" w:rsidRPr="00DF18F3">
        <w:rPr>
          <w:rStyle w:val="st"/>
          <w:sz w:val="24"/>
          <w:szCs w:val="24"/>
        </w:rPr>
        <w:t xml:space="preserve">použitých </w:t>
      </w:r>
      <w:r w:rsidRPr="00DF18F3">
        <w:rPr>
          <w:rStyle w:val="st"/>
          <w:sz w:val="24"/>
          <w:szCs w:val="24"/>
        </w:rPr>
        <w:t>zkratek</w:t>
      </w:r>
    </w:p>
    <w:p w:rsidR="00E97044" w:rsidRPr="003F6D94" w:rsidRDefault="00E97044" w:rsidP="002C02F4">
      <w:pPr>
        <w:tabs>
          <w:tab w:val="left" w:pos="1134"/>
        </w:tabs>
        <w:spacing w:after="0"/>
      </w:pPr>
      <w:r w:rsidRPr="003F6D94">
        <w:t>CZ-NACE</w:t>
      </w:r>
      <w:r w:rsidR="000C5C4E" w:rsidRPr="003F6D94">
        <w:tab/>
      </w:r>
      <w:r w:rsidRPr="003F6D94">
        <w:t>Statistická klasifikace ekonomických činností</w:t>
      </w:r>
      <w:r w:rsidR="004B3CCC" w:rsidRPr="003F6D94">
        <w:t xml:space="preserve"> (národní verze)</w:t>
      </w:r>
    </w:p>
    <w:p w:rsidR="000A03DC" w:rsidRPr="003F6D94" w:rsidRDefault="00503ACA" w:rsidP="002C02F4">
      <w:pPr>
        <w:tabs>
          <w:tab w:val="left" w:pos="1134"/>
        </w:tabs>
        <w:spacing w:after="0"/>
      </w:pPr>
      <w:r w:rsidRPr="003F6D94">
        <w:t>Č</w:t>
      </w:r>
      <w:r w:rsidR="000A03DC" w:rsidRPr="003F6D94">
        <w:t>R</w:t>
      </w:r>
      <w:r w:rsidR="000C5C4E" w:rsidRPr="003F6D94">
        <w:tab/>
      </w:r>
      <w:r w:rsidR="000A03DC" w:rsidRPr="003F6D94">
        <w:t>Česká republika</w:t>
      </w:r>
    </w:p>
    <w:p w:rsidR="000A03DC" w:rsidRPr="003F6D94" w:rsidRDefault="000A03DC" w:rsidP="002C02F4">
      <w:pPr>
        <w:tabs>
          <w:tab w:val="left" w:pos="1134"/>
        </w:tabs>
        <w:spacing w:after="0"/>
      </w:pPr>
      <w:r w:rsidRPr="003F6D94">
        <w:t>ČSÚ</w:t>
      </w:r>
      <w:r w:rsidR="000C5C4E" w:rsidRPr="003F6D94">
        <w:tab/>
      </w:r>
      <w:r w:rsidRPr="003F6D94">
        <w:t>Český statistický úřad</w:t>
      </w:r>
    </w:p>
    <w:p w:rsidR="003A0D1B" w:rsidRPr="003F6D94" w:rsidRDefault="005F2B59" w:rsidP="002C02F4">
      <w:pPr>
        <w:tabs>
          <w:tab w:val="left" w:pos="1134"/>
        </w:tabs>
        <w:spacing w:after="0"/>
      </w:pPr>
      <w:r w:rsidRPr="003F6D94">
        <w:t>EU</w:t>
      </w:r>
      <w:r w:rsidRPr="003F6D94">
        <w:tab/>
      </w:r>
      <w:r w:rsidR="003A0D1B" w:rsidRPr="003F6D94">
        <w:t>Evropská unie</w:t>
      </w:r>
    </w:p>
    <w:p w:rsidR="007B175D" w:rsidRPr="003F6D94" w:rsidRDefault="00004169" w:rsidP="002C02F4">
      <w:pPr>
        <w:tabs>
          <w:tab w:val="left" w:pos="1134"/>
        </w:tabs>
        <w:spacing w:after="0"/>
        <w:ind w:left="1134" w:hanging="1134"/>
      </w:pPr>
      <w:r w:rsidRPr="003F6D94">
        <w:t>EUREKA</w:t>
      </w:r>
      <w:r w:rsidRPr="003F6D94">
        <w:tab/>
      </w:r>
      <w:r w:rsidR="0028287A" w:rsidRPr="003F6D94">
        <w:t>Program MŠMT na podporu účasti českých výzkumných institucí na koordinaci evropského výzkumu</w:t>
      </w:r>
    </w:p>
    <w:p w:rsidR="00E97044" w:rsidRPr="003F6D94" w:rsidRDefault="00004169" w:rsidP="002C02F4">
      <w:pPr>
        <w:tabs>
          <w:tab w:val="left" w:pos="1134"/>
        </w:tabs>
        <w:spacing w:after="0"/>
        <w:rPr>
          <w:bCs/>
        </w:rPr>
      </w:pPr>
      <w:r w:rsidRPr="003F6D94">
        <w:t>GAMA</w:t>
      </w:r>
      <w:r w:rsidRPr="003F6D94">
        <w:tab/>
      </w:r>
      <w:r w:rsidR="00E97044" w:rsidRPr="003F6D94">
        <w:t>Program aplikovaného výzkumu, experimentálního vývoje a inovací</w:t>
      </w:r>
      <w:r w:rsidR="00554544" w:rsidRPr="003F6D94">
        <w:t xml:space="preserve"> vyhlášený TA ČR</w:t>
      </w:r>
    </w:p>
    <w:p w:rsidR="007B175D" w:rsidRPr="003F6D94" w:rsidRDefault="007B175D" w:rsidP="002C02F4">
      <w:pPr>
        <w:tabs>
          <w:tab w:val="left" w:pos="1134"/>
        </w:tabs>
        <w:spacing w:after="0"/>
      </w:pPr>
      <w:r w:rsidRPr="003F6D94">
        <w:t>GTARD</w:t>
      </w:r>
      <w:r w:rsidR="00004169" w:rsidRPr="003F6D94">
        <w:tab/>
      </w:r>
      <w:r w:rsidR="00F55C8D">
        <w:t>Daňová</w:t>
      </w:r>
      <w:r w:rsidR="00554544" w:rsidRPr="003F6D94">
        <w:t xml:space="preserve"> podpora</w:t>
      </w:r>
      <w:r w:rsidRPr="003F6D94">
        <w:t xml:space="preserve"> VaV</w:t>
      </w:r>
      <w:r w:rsidR="00F55C8D">
        <w:t>, dříve n</w:t>
      </w:r>
      <w:r w:rsidR="00F55C8D" w:rsidRPr="003F6D94">
        <w:t>epřímá veřejná podpora VaV</w:t>
      </w:r>
    </w:p>
    <w:p w:rsidR="007B175D" w:rsidRPr="003F6D94" w:rsidRDefault="007B175D" w:rsidP="002C02F4">
      <w:pPr>
        <w:tabs>
          <w:tab w:val="left" w:pos="1134"/>
        </w:tabs>
        <w:spacing w:after="0"/>
        <w:rPr>
          <w:bCs/>
        </w:rPr>
      </w:pPr>
      <w:r w:rsidRPr="003F6D94">
        <w:rPr>
          <w:bCs/>
        </w:rPr>
        <w:t>GBARD</w:t>
      </w:r>
      <w:r w:rsidRPr="003F6D94">
        <w:rPr>
          <w:bCs/>
        </w:rPr>
        <w:tab/>
      </w:r>
      <w:r w:rsidR="00554544" w:rsidRPr="003F6D94">
        <w:rPr>
          <w:rFonts w:eastAsia="MS Gothic"/>
        </w:rPr>
        <w:t>S</w:t>
      </w:r>
      <w:r w:rsidRPr="003F6D94">
        <w:rPr>
          <w:rFonts w:eastAsia="MS Gothic"/>
        </w:rPr>
        <w:t>tátní rozpočtové výdaje a dotace na VaV</w:t>
      </w:r>
    </w:p>
    <w:p w:rsidR="003A0D1B" w:rsidRPr="003F6D94" w:rsidRDefault="003A0D1B" w:rsidP="002C02F4">
      <w:pPr>
        <w:tabs>
          <w:tab w:val="left" w:pos="1134"/>
        </w:tabs>
        <w:spacing w:after="0"/>
      </w:pPr>
      <w:r w:rsidRPr="003F6D94">
        <w:t>GFŘ</w:t>
      </w:r>
      <w:r w:rsidRPr="003F6D94">
        <w:tab/>
        <w:t>Generální finanční ředitelství</w:t>
      </w:r>
    </w:p>
    <w:p w:rsidR="000A03DC" w:rsidRPr="003F6D94" w:rsidRDefault="000A03DC" w:rsidP="002C02F4">
      <w:pPr>
        <w:tabs>
          <w:tab w:val="left" w:pos="1134"/>
        </w:tabs>
        <w:spacing w:after="0"/>
      </w:pPr>
      <w:r w:rsidRPr="003F6D94">
        <w:t>Kč</w:t>
      </w:r>
      <w:r w:rsidRPr="003F6D94">
        <w:tab/>
      </w:r>
      <w:r w:rsidR="00A225ED" w:rsidRPr="003F6D94">
        <w:t>Česká k</w:t>
      </w:r>
      <w:r w:rsidRPr="003F6D94">
        <w:t>oruna</w:t>
      </w:r>
    </w:p>
    <w:p w:rsidR="000A03DC" w:rsidRPr="003F6D94" w:rsidRDefault="000A03DC" w:rsidP="002C02F4">
      <w:pPr>
        <w:tabs>
          <w:tab w:val="left" w:pos="1134"/>
        </w:tabs>
        <w:spacing w:after="0"/>
      </w:pPr>
      <w:r w:rsidRPr="003F6D94">
        <w:t xml:space="preserve">mil. </w:t>
      </w:r>
      <w:r w:rsidRPr="003F6D94">
        <w:tab/>
      </w:r>
      <w:r w:rsidR="00152EA4" w:rsidRPr="003F6D94">
        <w:t>m</w:t>
      </w:r>
      <w:r w:rsidR="00524DE5" w:rsidRPr="003F6D94">
        <w:t>ilio</w:t>
      </w:r>
      <w:r w:rsidRPr="003F6D94">
        <w:t>n</w:t>
      </w:r>
      <w:r w:rsidR="00BD1F93" w:rsidRPr="003F6D94">
        <w:t xml:space="preserve"> </w:t>
      </w:r>
      <w:r w:rsidRPr="003F6D94">
        <w:t>/</w:t>
      </w:r>
      <w:r w:rsidR="00BD1F93" w:rsidRPr="003F6D94">
        <w:t xml:space="preserve"> </w:t>
      </w:r>
      <w:r w:rsidR="00820FF3" w:rsidRPr="003F6D94">
        <w:t>milion</w:t>
      </w:r>
      <w:r w:rsidRPr="003F6D94">
        <w:t>y</w:t>
      </w:r>
    </w:p>
    <w:p w:rsidR="00DE587B" w:rsidRPr="003F6D94" w:rsidRDefault="00DE587B" w:rsidP="002C02F4">
      <w:pPr>
        <w:tabs>
          <w:tab w:val="left" w:pos="1134"/>
        </w:tabs>
        <w:spacing w:after="0"/>
      </w:pPr>
      <w:r w:rsidRPr="003F6D94">
        <w:t>mld.</w:t>
      </w:r>
      <w:r w:rsidRPr="003F6D94">
        <w:tab/>
      </w:r>
      <w:r w:rsidR="00BD1F93" w:rsidRPr="003F6D94">
        <w:t>m</w:t>
      </w:r>
      <w:r w:rsidRPr="003F6D94">
        <w:t>iliarda</w:t>
      </w:r>
      <w:r w:rsidR="00BD1F93" w:rsidRPr="003F6D94">
        <w:t xml:space="preserve"> </w:t>
      </w:r>
      <w:r w:rsidRPr="003F6D94">
        <w:t>/</w:t>
      </w:r>
      <w:r w:rsidR="00BD1F93" w:rsidRPr="003F6D94">
        <w:t xml:space="preserve"> </w:t>
      </w:r>
      <w:r w:rsidRPr="003F6D94">
        <w:t>miliardy</w:t>
      </w:r>
    </w:p>
    <w:p w:rsidR="00B807AF" w:rsidRPr="003F6D94" w:rsidRDefault="00B807AF" w:rsidP="002C02F4">
      <w:pPr>
        <w:tabs>
          <w:tab w:val="left" w:pos="1134"/>
        </w:tabs>
        <w:spacing w:after="0"/>
      </w:pPr>
      <w:r w:rsidRPr="003F6D94">
        <w:t>MFČR</w:t>
      </w:r>
      <w:r w:rsidRPr="003F6D94">
        <w:tab/>
        <w:t>Ministerstvo financí České republiky</w:t>
      </w:r>
    </w:p>
    <w:p w:rsidR="007B175D" w:rsidRDefault="007B175D" w:rsidP="002C02F4">
      <w:pPr>
        <w:tabs>
          <w:tab w:val="left" w:pos="1134"/>
        </w:tabs>
        <w:spacing w:after="0"/>
      </w:pPr>
      <w:r w:rsidRPr="003F6D94">
        <w:t>MPO</w:t>
      </w:r>
      <w:r w:rsidRPr="003F6D94">
        <w:tab/>
        <w:t>Ministerstvo průmyslu a obchodu</w:t>
      </w:r>
    </w:p>
    <w:p w:rsidR="00DD2887" w:rsidRPr="003F6D94" w:rsidRDefault="00DD2887" w:rsidP="00AE0D5E">
      <w:pPr>
        <w:tabs>
          <w:tab w:val="left" w:pos="1134"/>
        </w:tabs>
        <w:spacing w:after="0"/>
        <w:ind w:left="1134" w:hanging="1134"/>
      </w:pPr>
      <w:r>
        <w:t>PPP</w:t>
      </w:r>
      <w:r>
        <w:tab/>
      </w:r>
      <w:proofErr w:type="spellStart"/>
      <w:r>
        <w:t>Purchasing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Parity</w:t>
      </w:r>
      <w:r w:rsidR="00B24171">
        <w:t xml:space="preserve"> – Parita kupní síly –</w:t>
      </w:r>
      <w:r w:rsidRPr="00C32486">
        <w:t xml:space="preserve"> vyjadřuje takový kurz mezi dvěma měnami, při němž si je možné v obou zemích koupit stejné množství zboží.  Číselně je to tedy počet jednotek národní měny, za který lze koupit stejné množství výrobků a služeb na výchozím vnitrostátním trhu (např. českém), jako za jednotku měny X (zde USD) na vnitrostátním trhu měny X (zde ve Spojených státech). Parita kupní síly měn tak umožňuje podstatně přesnější srovnání skutečné ekonomické úrovně, struktury a výkonnosti států než běžně používaný směnný kurz.</w:t>
      </w:r>
    </w:p>
    <w:p w:rsidR="007B175D" w:rsidRPr="003F6D94" w:rsidRDefault="007B175D" w:rsidP="002C02F4">
      <w:pPr>
        <w:tabs>
          <w:tab w:val="left" w:pos="1134"/>
        </w:tabs>
        <w:spacing w:after="0"/>
      </w:pPr>
      <w:r w:rsidRPr="003F6D94">
        <w:t>MŠMT</w:t>
      </w:r>
      <w:r w:rsidRPr="003F6D94">
        <w:tab/>
        <w:t xml:space="preserve">Ministerstvo školství, mládeže a tělovýchovy </w:t>
      </w:r>
    </w:p>
    <w:p w:rsidR="00DE587B" w:rsidRPr="003F6D94" w:rsidRDefault="00DE587B" w:rsidP="002C02F4">
      <w:pPr>
        <w:tabs>
          <w:tab w:val="left" w:pos="1134"/>
        </w:tabs>
        <w:spacing w:after="0"/>
      </w:pPr>
      <w:r w:rsidRPr="003F6D94">
        <w:t>NUTS</w:t>
      </w:r>
      <w:r w:rsidR="007B175D" w:rsidRPr="003F6D94">
        <w:tab/>
        <w:t>Klasifikaci územních statistických jednotek</w:t>
      </w:r>
    </w:p>
    <w:p w:rsidR="002B0B7D" w:rsidRPr="003F6D94" w:rsidRDefault="002B0B7D" w:rsidP="002C02F4">
      <w:pPr>
        <w:tabs>
          <w:tab w:val="left" w:pos="1134"/>
        </w:tabs>
        <w:spacing w:after="0"/>
      </w:pPr>
      <w:r w:rsidRPr="003F6D94">
        <w:t>OECD</w:t>
      </w:r>
      <w:r w:rsidRPr="003F6D94">
        <w:tab/>
        <w:t>Organizace pro hospodářskou spolupráci a rozvoj</w:t>
      </w:r>
    </w:p>
    <w:p w:rsidR="000A03DC" w:rsidRPr="003F6D94" w:rsidRDefault="000A03DC" w:rsidP="002C02F4">
      <w:pPr>
        <w:tabs>
          <w:tab w:val="left" w:pos="1134"/>
        </w:tabs>
        <w:spacing w:after="0"/>
      </w:pPr>
      <w:r w:rsidRPr="003F6D94">
        <w:t>Pozn.</w:t>
      </w:r>
      <w:r w:rsidRPr="003F6D94">
        <w:tab/>
      </w:r>
      <w:r w:rsidR="003716F8" w:rsidRPr="003F6D94">
        <w:t>P</w:t>
      </w:r>
      <w:r w:rsidRPr="003F6D94">
        <w:t>oznámka</w:t>
      </w:r>
    </w:p>
    <w:p w:rsidR="0028287A" w:rsidRPr="003F6D94" w:rsidRDefault="0028287A" w:rsidP="002C02F4">
      <w:pPr>
        <w:tabs>
          <w:tab w:val="left" w:pos="1134"/>
        </w:tabs>
        <w:spacing w:after="0"/>
      </w:pPr>
      <w:r w:rsidRPr="003F6D94">
        <w:t>RES</w:t>
      </w:r>
      <w:r w:rsidRPr="003F6D94">
        <w:tab/>
        <w:t>Registr ekonomických subjektů</w:t>
      </w:r>
    </w:p>
    <w:p w:rsidR="00554544" w:rsidRPr="003F6D94" w:rsidRDefault="00554544" w:rsidP="002C02F4">
      <w:pPr>
        <w:tabs>
          <w:tab w:val="left" w:pos="1134"/>
        </w:tabs>
        <w:spacing w:after="0"/>
        <w:rPr>
          <w:bCs/>
        </w:rPr>
      </w:pPr>
      <w:r w:rsidRPr="003F6D94">
        <w:t>SBS</w:t>
      </w:r>
      <w:r w:rsidRPr="003F6D94">
        <w:tab/>
        <w:t>Strukturální podnikové statistiky</w:t>
      </w:r>
    </w:p>
    <w:p w:rsidR="00554544" w:rsidRPr="003F6D94" w:rsidRDefault="00554544" w:rsidP="002C02F4">
      <w:pPr>
        <w:tabs>
          <w:tab w:val="left" w:pos="1134"/>
        </w:tabs>
        <w:spacing w:after="0"/>
      </w:pPr>
      <w:r w:rsidRPr="003F6D94">
        <w:t>TA ČR</w:t>
      </w:r>
      <w:r w:rsidRPr="003F6D94">
        <w:tab/>
        <w:t>Technologická agentura ČR</w:t>
      </w:r>
    </w:p>
    <w:p w:rsidR="00DE7E4D" w:rsidRDefault="00DE7E4D" w:rsidP="00EF7FAB">
      <w:pPr>
        <w:tabs>
          <w:tab w:val="left" w:pos="1134"/>
        </w:tabs>
        <w:spacing w:after="0"/>
      </w:pPr>
      <w:r>
        <w:t>TREND</w:t>
      </w:r>
      <w:r>
        <w:tab/>
        <w:t>Program vyhlášená Technologickou agenturou ČR</w:t>
      </w:r>
    </w:p>
    <w:p w:rsidR="00EF7FAB" w:rsidRPr="003F6D94" w:rsidRDefault="00EF7FAB" w:rsidP="00EF7FAB">
      <w:pPr>
        <w:tabs>
          <w:tab w:val="left" w:pos="1134"/>
        </w:tabs>
        <w:spacing w:after="0"/>
      </w:pPr>
      <w:r>
        <w:t>TRIO</w:t>
      </w:r>
      <w:r>
        <w:tab/>
      </w:r>
      <w:r w:rsidRPr="003F6D94">
        <w:t>Resortní program VaV vyhlášený MPO</w:t>
      </w:r>
      <w:r>
        <w:t xml:space="preserve"> pro období 2016–2022</w:t>
      </w:r>
    </w:p>
    <w:p w:rsidR="000A03DC" w:rsidRPr="003F6D94" w:rsidRDefault="000A03DC" w:rsidP="002C02F4">
      <w:pPr>
        <w:tabs>
          <w:tab w:val="left" w:pos="1134"/>
        </w:tabs>
        <w:spacing w:after="0"/>
      </w:pPr>
      <w:r w:rsidRPr="003F6D94">
        <w:t>VaV</w:t>
      </w:r>
      <w:r w:rsidRPr="003F6D94">
        <w:tab/>
      </w:r>
      <w:r w:rsidR="00554544" w:rsidRPr="003F6D94">
        <w:t>V</w:t>
      </w:r>
      <w:r w:rsidRPr="003F6D94">
        <w:t>ýzkum a vývoj</w:t>
      </w:r>
    </w:p>
    <w:p w:rsidR="00AB2D2E" w:rsidRPr="003F6D94" w:rsidRDefault="00AB2D2E" w:rsidP="002C02F4">
      <w:pPr>
        <w:tabs>
          <w:tab w:val="left" w:pos="1134"/>
        </w:tabs>
        <w:spacing w:after="0"/>
      </w:pPr>
      <w:proofErr w:type="spellStart"/>
      <w:r w:rsidRPr="003F6D94">
        <w:t>VaVaI</w:t>
      </w:r>
      <w:proofErr w:type="spellEnd"/>
      <w:r w:rsidRPr="003F6D94">
        <w:tab/>
        <w:t>Výzkum, vývoj a inovace</w:t>
      </w:r>
    </w:p>
    <w:p w:rsidR="00536CEA" w:rsidRDefault="000A03DC" w:rsidP="00A416A5">
      <w:pPr>
        <w:tabs>
          <w:tab w:val="left" w:pos="1134"/>
        </w:tabs>
        <w:spacing w:after="0"/>
        <w:jc w:val="left"/>
      </w:pPr>
      <w:r w:rsidRPr="003F6D94">
        <w:t>VTR 5-0</w:t>
      </w:r>
      <w:r w:rsidR="00A416A5">
        <w:t>1</w:t>
      </w:r>
      <w:r w:rsidR="00A416A5">
        <w:tab/>
        <w:t>Roční výkaz o výzkumu a vývoj</w:t>
      </w:r>
    </w:p>
    <w:p w:rsidR="00675588" w:rsidRPr="003F6D94" w:rsidRDefault="00B87856" w:rsidP="00F814FA">
      <w:pPr>
        <w:tabs>
          <w:tab w:val="left" w:pos="1134"/>
        </w:tabs>
        <w:spacing w:after="0"/>
        <w:jc w:val="left"/>
        <w:rPr>
          <w:rFonts w:cs="Arial"/>
          <w:szCs w:val="20"/>
        </w:rPr>
      </w:pPr>
      <w:r>
        <w:t>ZDP</w:t>
      </w:r>
      <w:r>
        <w:tab/>
        <w:t>Zákon</w:t>
      </w:r>
      <w:r w:rsidR="000B247B">
        <w:t xml:space="preserve"> o dani z</w:t>
      </w:r>
      <w:r w:rsidR="00945BCD">
        <w:t> </w:t>
      </w:r>
      <w:r w:rsidR="000B247B">
        <w:t>příjmu</w:t>
      </w:r>
      <w:r w:rsidR="00945BCD">
        <w:t xml:space="preserve"> </w:t>
      </w:r>
      <w:r w:rsidR="00945BCD" w:rsidRPr="00945BCD">
        <w:t>č. 586/1992 Sb.</w:t>
      </w:r>
    </w:p>
    <w:sectPr w:rsidR="00675588" w:rsidRPr="003F6D94" w:rsidSect="00DF02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418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48" w:rsidRDefault="00616048" w:rsidP="003F4F0F">
      <w:r>
        <w:separator/>
      </w:r>
    </w:p>
  </w:endnote>
  <w:endnote w:type="continuationSeparator" w:id="0">
    <w:p w:rsidR="00616048" w:rsidRDefault="00616048" w:rsidP="003F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A5" w:rsidRPr="00DE60CE" w:rsidRDefault="00280AA5" w:rsidP="003F4F0F">
    <w:pPr>
      <w:pStyle w:val="Zpat"/>
      <w:rPr>
        <w:rFonts w:ascii="Arial" w:hAnsi="Arial" w:cs="Arial"/>
        <w:sz w:val="16"/>
        <w:szCs w:val="16"/>
      </w:rPr>
    </w:pPr>
    <w:r w:rsidRPr="00DE60CE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7D65C38C" wp14:editId="440BBC1C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E60CE">
      <w:rPr>
        <w:rFonts w:ascii="Arial" w:hAnsi="Arial" w:cs="Arial"/>
        <w:sz w:val="16"/>
        <w:szCs w:val="16"/>
      </w:rPr>
      <w:fldChar w:fldCharType="begin"/>
    </w:r>
    <w:r w:rsidRPr="00DE60CE">
      <w:rPr>
        <w:rFonts w:ascii="Arial" w:hAnsi="Arial" w:cs="Arial"/>
        <w:sz w:val="16"/>
        <w:szCs w:val="16"/>
      </w:rPr>
      <w:instrText>PAGE   \* MERGEFORMAT</w:instrText>
    </w:r>
    <w:r w:rsidRPr="00DE60CE">
      <w:rPr>
        <w:rFonts w:ascii="Arial" w:hAnsi="Arial" w:cs="Arial"/>
        <w:sz w:val="16"/>
        <w:szCs w:val="16"/>
      </w:rPr>
      <w:fldChar w:fldCharType="separate"/>
    </w:r>
    <w:r w:rsidR="00873749">
      <w:rPr>
        <w:rFonts w:ascii="Arial" w:hAnsi="Arial" w:cs="Arial"/>
        <w:noProof/>
        <w:sz w:val="16"/>
        <w:szCs w:val="16"/>
      </w:rPr>
      <w:t>18</w:t>
    </w:r>
    <w:r w:rsidRPr="00DE60CE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2022</w:t>
    </w:r>
    <w:r w:rsidRPr="00DE60CE">
      <w:rPr>
        <w:rFonts w:ascii="Arial" w:hAnsi="Arial" w:cs="Arial"/>
        <w:sz w:val="16"/>
        <w:szCs w:val="16"/>
      </w:rPr>
      <w:tab/>
    </w:r>
    <w:r w:rsidRPr="00DE60CE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A5" w:rsidRDefault="00280AA5" w:rsidP="003F4F0F">
    <w:pPr>
      <w:pStyle w:val="Zpat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113C4788" wp14:editId="5090D936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0AA5" w:rsidRPr="00DE60CE" w:rsidRDefault="00280AA5" w:rsidP="00D47EE1">
    <w:pPr>
      <w:pStyle w:val="Zpat"/>
      <w:tabs>
        <w:tab w:val="clear" w:pos="9072"/>
        <w:tab w:val="left" w:pos="3996"/>
        <w:tab w:val="right" w:pos="9638"/>
      </w:tabs>
      <w:rPr>
        <w:rFonts w:ascii="Arial" w:hAnsi="Arial" w:cs="Arial"/>
        <w:sz w:val="16"/>
        <w:szCs w:val="16"/>
      </w:rPr>
    </w:pPr>
    <w:r>
      <w:tab/>
    </w:r>
    <w:r>
      <w:tab/>
    </w:r>
    <w:r>
      <w:rPr>
        <w:rFonts w:ascii="Arial" w:hAnsi="Arial" w:cs="Arial"/>
        <w:sz w:val="16"/>
        <w:szCs w:val="16"/>
      </w:rPr>
      <w:t>2022</w:t>
    </w:r>
    <w:r>
      <w:rPr>
        <w:rFonts w:ascii="Arial" w:hAnsi="Arial" w:cs="Arial"/>
        <w:sz w:val="16"/>
        <w:szCs w:val="16"/>
      </w:rPr>
      <w:tab/>
    </w:r>
    <w:r w:rsidRPr="00DE60CE">
      <w:rPr>
        <w:rFonts w:ascii="Arial" w:hAnsi="Arial" w:cs="Arial"/>
        <w:sz w:val="16"/>
        <w:szCs w:val="16"/>
      </w:rPr>
      <w:fldChar w:fldCharType="begin"/>
    </w:r>
    <w:r w:rsidRPr="00DE60CE">
      <w:rPr>
        <w:rFonts w:ascii="Arial" w:hAnsi="Arial" w:cs="Arial"/>
        <w:sz w:val="16"/>
        <w:szCs w:val="16"/>
      </w:rPr>
      <w:instrText>PAGE   \* MERGEFORMAT</w:instrText>
    </w:r>
    <w:r w:rsidRPr="00DE60CE">
      <w:rPr>
        <w:rFonts w:ascii="Arial" w:hAnsi="Arial" w:cs="Arial"/>
        <w:sz w:val="16"/>
        <w:szCs w:val="16"/>
      </w:rPr>
      <w:fldChar w:fldCharType="separate"/>
    </w:r>
    <w:r w:rsidR="00873749">
      <w:rPr>
        <w:rFonts w:ascii="Arial" w:hAnsi="Arial" w:cs="Arial"/>
        <w:noProof/>
        <w:sz w:val="16"/>
        <w:szCs w:val="16"/>
      </w:rPr>
      <w:t>17</w:t>
    </w:r>
    <w:r w:rsidRPr="00DE60CE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A5" w:rsidRDefault="00280A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48" w:rsidRDefault="00616048" w:rsidP="003F4F0F">
      <w:r>
        <w:separator/>
      </w:r>
    </w:p>
  </w:footnote>
  <w:footnote w:type="continuationSeparator" w:id="0">
    <w:p w:rsidR="00616048" w:rsidRDefault="00616048" w:rsidP="003F4F0F">
      <w:r>
        <w:continuationSeparator/>
      </w:r>
    </w:p>
  </w:footnote>
  <w:footnote w:id="1">
    <w:p w:rsidR="00280AA5" w:rsidRDefault="00280AA5">
      <w:pPr>
        <w:pStyle w:val="Textpoznpodarou"/>
      </w:pPr>
      <w:r w:rsidRPr="00673A4C">
        <w:rPr>
          <w:rStyle w:val="Znakapoznpodarou"/>
          <w:sz w:val="18"/>
        </w:rPr>
        <w:footnoteRef/>
      </w:r>
      <w:r w:rsidRPr="00673A4C">
        <w:rPr>
          <w:sz w:val="18"/>
        </w:rPr>
        <w:t xml:space="preserve"> </w:t>
      </w:r>
      <w:r>
        <w:rPr>
          <w:sz w:val="18"/>
        </w:rPr>
        <w:t>Někdy se používá i alternativní termín nepřímá veřejná podpora výzkumu a vývoje.</w:t>
      </w:r>
    </w:p>
  </w:footnote>
  <w:footnote w:id="2">
    <w:p w:rsidR="00280AA5" w:rsidRPr="000535F4" w:rsidRDefault="00280AA5" w:rsidP="007E56FF">
      <w:pPr>
        <w:pStyle w:val="Textpoznpodarou"/>
        <w:spacing w:after="40"/>
        <w:rPr>
          <w:rFonts w:cs="Arial"/>
          <w:sz w:val="18"/>
          <w:szCs w:val="18"/>
        </w:rPr>
      </w:pPr>
      <w:r w:rsidRPr="000535F4">
        <w:rPr>
          <w:rStyle w:val="Znakapoznpodarou"/>
          <w:sz w:val="18"/>
          <w:szCs w:val="18"/>
        </w:rPr>
        <w:footnoteRef/>
      </w:r>
      <w:r w:rsidRPr="000535F4">
        <w:rPr>
          <w:sz w:val="18"/>
          <w:szCs w:val="18"/>
        </w:rPr>
        <w:t xml:space="preserve"> </w:t>
      </w:r>
      <w:hyperlink r:id="rId1" w:history="1">
        <w:r w:rsidRPr="00737614">
          <w:rPr>
            <w:rStyle w:val="Hypertextovodkaz"/>
            <w:rFonts w:cs="Arial"/>
            <w:color w:val="009BB4"/>
            <w:sz w:val="18"/>
            <w:szCs w:val="18"/>
          </w:rPr>
          <w:t>https://www.mfcr.cz/cs/legislativa/financni-zpravodaj/2020/financni-zpravodaj-cislo-8-2020-38405</w:t>
        </w:r>
      </w:hyperlink>
      <w:r w:rsidRPr="000535F4">
        <w:rPr>
          <w:rFonts w:cs="Arial"/>
          <w:color w:val="009BB4"/>
          <w:sz w:val="18"/>
          <w:szCs w:val="18"/>
        </w:rPr>
        <w:t xml:space="preserve"> </w:t>
      </w:r>
    </w:p>
  </w:footnote>
  <w:footnote w:id="3">
    <w:p w:rsidR="00280AA5" w:rsidRPr="000535F4" w:rsidRDefault="00280AA5" w:rsidP="000535F4">
      <w:pPr>
        <w:pStyle w:val="Textpoznpodarou"/>
        <w:spacing w:after="40"/>
        <w:rPr>
          <w:sz w:val="18"/>
          <w:szCs w:val="18"/>
        </w:rPr>
      </w:pPr>
      <w:r w:rsidRPr="000535F4">
        <w:rPr>
          <w:rStyle w:val="Znakapoznpodarou"/>
          <w:sz w:val="18"/>
          <w:szCs w:val="18"/>
        </w:rPr>
        <w:footnoteRef/>
      </w:r>
      <w:r w:rsidRPr="000535F4">
        <w:rPr>
          <w:sz w:val="18"/>
          <w:szCs w:val="18"/>
        </w:rPr>
        <w:t xml:space="preserve"> </w:t>
      </w:r>
      <w:hyperlink r:id="rId2" w:history="1">
        <w:r w:rsidRPr="00737614">
          <w:rPr>
            <w:rStyle w:val="Hypertextovodkaz"/>
            <w:color w:val="009BB4"/>
            <w:sz w:val="18"/>
            <w:szCs w:val="18"/>
          </w:rPr>
          <w:t>https://vyzkum.gov.cz/FrontClanek.aspx?idsekce=954510</w:t>
        </w:r>
      </w:hyperlink>
      <w:r w:rsidRPr="00737614">
        <w:rPr>
          <w:color w:val="009BB4"/>
          <w:sz w:val="18"/>
          <w:szCs w:val="18"/>
        </w:rPr>
        <w:t xml:space="preserve"> </w:t>
      </w:r>
    </w:p>
  </w:footnote>
  <w:footnote w:id="4">
    <w:p w:rsidR="00280AA5" w:rsidRPr="000535F4" w:rsidRDefault="00280AA5" w:rsidP="000535F4">
      <w:pPr>
        <w:pStyle w:val="Textpoznpodarou"/>
        <w:spacing w:after="40"/>
        <w:rPr>
          <w:sz w:val="18"/>
          <w:szCs w:val="18"/>
        </w:rPr>
      </w:pPr>
      <w:r w:rsidRPr="000535F4">
        <w:rPr>
          <w:rStyle w:val="Znakapoznpodarou"/>
          <w:sz w:val="18"/>
          <w:szCs w:val="18"/>
        </w:rPr>
        <w:footnoteRef/>
      </w:r>
      <w:r w:rsidRPr="000535F4">
        <w:rPr>
          <w:sz w:val="18"/>
          <w:szCs w:val="18"/>
        </w:rPr>
        <w:t xml:space="preserve"> </w:t>
      </w:r>
      <w:hyperlink r:id="rId3" w:history="1">
        <w:r w:rsidRPr="00737614">
          <w:rPr>
            <w:rStyle w:val="Hypertextovodkaz"/>
            <w:color w:val="009BB4"/>
            <w:sz w:val="18"/>
            <w:szCs w:val="18"/>
          </w:rPr>
          <w:t>https://eur-lex.europa.eu/legal-content/CS/TXT/?uri=celex%3A32014R0651</w:t>
        </w:r>
      </w:hyperlink>
      <w:r w:rsidRPr="00737614">
        <w:rPr>
          <w:color w:val="009BB4"/>
          <w:sz w:val="18"/>
          <w:szCs w:val="18"/>
        </w:rPr>
        <w:t xml:space="preserve"> </w:t>
      </w:r>
    </w:p>
  </w:footnote>
  <w:footnote w:id="5">
    <w:p w:rsidR="00B12596" w:rsidRPr="00737614" w:rsidRDefault="00B12596">
      <w:pPr>
        <w:pStyle w:val="Textpoznpodarou"/>
        <w:rPr>
          <w:sz w:val="18"/>
          <w:szCs w:val="18"/>
        </w:rPr>
      </w:pPr>
      <w:r w:rsidRPr="00737614">
        <w:rPr>
          <w:rStyle w:val="Znakapoznpodarou"/>
          <w:sz w:val="18"/>
          <w:szCs w:val="18"/>
        </w:rPr>
        <w:footnoteRef/>
      </w:r>
      <w:r w:rsidRPr="00737614">
        <w:rPr>
          <w:sz w:val="18"/>
          <w:szCs w:val="18"/>
        </w:rPr>
        <w:t xml:space="preserve"> Vymezení výzkumu a vývoje ve výše uvedeném pokynu MF-17 z 5. května 2020 se částečně liší od definic a příkladů činností VaV uvedených ve Frascati manuálu 2015. Jde například o patentové a licenční práce či certifikaci výsledků VaV.</w:t>
      </w:r>
    </w:p>
  </w:footnote>
  <w:footnote w:id="6">
    <w:p w:rsidR="003321E3" w:rsidRPr="008D4737" w:rsidRDefault="003321E3" w:rsidP="003321E3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proofErr w:type="spellStart"/>
      <w:r w:rsidRPr="008D4737">
        <w:rPr>
          <w:rFonts w:cs="Arial"/>
          <w:i/>
          <w:sz w:val="18"/>
          <w:szCs w:val="18"/>
          <w:lang w:val="en-US"/>
        </w:rPr>
        <w:t>Frascati</w:t>
      </w:r>
      <w:proofErr w:type="spellEnd"/>
      <w:r w:rsidRPr="008D4737">
        <w:rPr>
          <w:rFonts w:cs="Arial"/>
          <w:i/>
          <w:sz w:val="18"/>
          <w:szCs w:val="18"/>
          <w:lang w:val="en-US"/>
        </w:rPr>
        <w:t xml:space="preserve"> Manual 2015: Guidelines for Collecting and Reporting Data on Research and Experimental Development</w:t>
      </w:r>
      <w:r w:rsidRPr="008D4737">
        <w:rPr>
          <w:rFonts w:cs="Arial"/>
          <w:sz w:val="18"/>
          <w:szCs w:val="18"/>
          <w:lang w:val="en-US"/>
        </w:rPr>
        <w:t xml:space="preserve">. </w:t>
      </w:r>
      <w:r w:rsidRPr="0039621D">
        <w:rPr>
          <w:rFonts w:cs="Arial"/>
          <w:sz w:val="18"/>
          <w:szCs w:val="18"/>
          <w:lang w:val="en-GB"/>
        </w:rPr>
        <w:t>The Measurement of Scientific, technological and Innovation Activities. OECD, 2015.</w:t>
      </w:r>
      <w:r w:rsidRPr="00E17BBA">
        <w:rPr>
          <w:rFonts w:cs="Arial"/>
          <w:sz w:val="18"/>
          <w:szCs w:val="18"/>
        </w:rPr>
        <w:t xml:space="preserve"> Paříž</w:t>
      </w:r>
      <w:r w:rsidRPr="0039621D">
        <w:rPr>
          <w:rFonts w:cs="Arial"/>
          <w:sz w:val="18"/>
          <w:szCs w:val="18"/>
          <w:lang w:val="en-GB"/>
        </w:rPr>
        <w:t>. ISBN 978-926423901 (PDF).</w:t>
      </w:r>
      <w:r w:rsidRPr="008D4737">
        <w:rPr>
          <w:rFonts w:cs="Arial"/>
          <w:sz w:val="18"/>
          <w:szCs w:val="18"/>
          <w:lang w:val="en-US"/>
        </w:rPr>
        <w:t xml:space="preserve"> </w:t>
      </w:r>
      <w:r w:rsidRPr="0039621D">
        <w:rPr>
          <w:rFonts w:cs="Arial"/>
          <w:sz w:val="18"/>
          <w:szCs w:val="18"/>
        </w:rPr>
        <w:t>Rovněž dostupné</w:t>
      </w:r>
      <w:r>
        <w:rPr>
          <w:rFonts w:cs="Arial"/>
          <w:sz w:val="18"/>
          <w:szCs w:val="18"/>
        </w:rPr>
        <w:t xml:space="preserve"> z:</w:t>
      </w:r>
      <w:r w:rsidRPr="008D4737">
        <w:rPr>
          <w:rFonts w:cs="Arial"/>
          <w:sz w:val="18"/>
          <w:szCs w:val="18"/>
          <w:lang w:val="en-US"/>
        </w:rPr>
        <w:t xml:space="preserve"> </w:t>
      </w:r>
      <w:hyperlink r:id="rId4" w:history="1">
        <w:r w:rsidR="00626221" w:rsidRPr="00626221">
          <w:rPr>
            <w:rStyle w:val="Hypertextovodkaz"/>
            <w:rFonts w:cs="Arial"/>
            <w:color w:val="009BB4"/>
            <w:sz w:val="18"/>
            <w:szCs w:val="18"/>
          </w:rPr>
          <w:t>www.oecd.org/sti/frascatimanual</w:t>
        </w:r>
      </w:hyperlink>
      <w:r w:rsidR="00626221" w:rsidRPr="00626221">
        <w:rPr>
          <w:rFonts w:cs="Arial"/>
          <w:color w:val="009BB4"/>
          <w:sz w:val="18"/>
          <w:szCs w:val="18"/>
        </w:rPr>
        <w:t xml:space="preserve"> </w:t>
      </w:r>
    </w:p>
  </w:footnote>
  <w:footnote w:id="7">
    <w:p w:rsidR="00280AA5" w:rsidRPr="008D4737" w:rsidRDefault="00280AA5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V souladu s §34 odst. 4 zákona č. 586/1992 Sb., o daních z příjmů je možné od základu daně odečíst 100 % již jednou daňově uznatelných výdajů na VaV. V souvislosti se změnou zákona o daních z příjmů má nově (od roku 2014) poplatník možnost </w:t>
      </w:r>
      <w:r w:rsidRPr="008D4737">
        <w:rPr>
          <w:rFonts w:cs="Arial"/>
          <w:sz w:val="18"/>
          <w:szCs w:val="18"/>
          <w:u w:val="single"/>
        </w:rPr>
        <w:t>navíc uplatnit 110 % z meziročního přírůstku výdajů na výzkum a vývoj</w:t>
      </w:r>
      <w:r w:rsidRPr="008D4737">
        <w:rPr>
          <w:rFonts w:cs="Arial"/>
          <w:sz w:val="18"/>
          <w:szCs w:val="18"/>
        </w:rPr>
        <w:t>.</w:t>
      </w:r>
    </w:p>
  </w:footnote>
  <w:footnote w:id="8">
    <w:p w:rsidR="00280AA5" w:rsidRPr="008D4737" w:rsidRDefault="00280AA5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Výše uvedená částka zároveň představuje ztrátu pro státní rozpočet. </w:t>
      </w:r>
    </w:p>
  </w:footnote>
  <w:footnote w:id="9">
    <w:p w:rsidR="00280AA5" w:rsidRPr="008D4737" w:rsidRDefault="00280AA5" w:rsidP="00685F85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Registr ekonomických subjektů (RES) je </w:t>
      </w:r>
      <w:r w:rsidRPr="008D4737">
        <w:rPr>
          <w:bCs/>
          <w:sz w:val="18"/>
          <w:szCs w:val="18"/>
        </w:rPr>
        <w:t>veřejným seznamem</w:t>
      </w:r>
      <w:r w:rsidRPr="008D4737">
        <w:rPr>
          <w:sz w:val="18"/>
          <w:szCs w:val="18"/>
        </w:rPr>
        <w:t xml:space="preserve">, který je veden podle </w:t>
      </w:r>
      <w:r w:rsidRPr="00E54EB0">
        <w:rPr>
          <w:sz w:val="18"/>
          <w:szCs w:val="18"/>
        </w:rPr>
        <w:t>§ 20 zákona č. 89/1995 Sb</w:t>
      </w:r>
      <w:r w:rsidRPr="008D4737">
        <w:rPr>
          <w:sz w:val="18"/>
          <w:szCs w:val="18"/>
        </w:rPr>
        <w:t xml:space="preserve">., o státní statistické službě. </w:t>
      </w:r>
      <w:r w:rsidRPr="008D4737">
        <w:rPr>
          <w:bCs/>
          <w:sz w:val="18"/>
          <w:szCs w:val="18"/>
        </w:rPr>
        <w:t>Ekonomickým subjektem</w:t>
      </w:r>
      <w:r w:rsidRPr="008D4737">
        <w:rPr>
          <w:sz w:val="18"/>
          <w:szCs w:val="18"/>
        </w:rPr>
        <w:t xml:space="preserve"> je každá právnická osoba, fyzická osoba s postavením podnikatele a organizační složka státu, která je účetní jednotkou.</w:t>
      </w:r>
    </w:p>
  </w:footnote>
  <w:footnote w:id="10">
    <w:p w:rsidR="00280AA5" w:rsidRPr="008D4737" w:rsidRDefault="00280AA5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Bývá označováno jako zahraniční afilace.</w:t>
      </w:r>
    </w:p>
  </w:footnote>
  <w:footnote w:id="11">
    <w:p w:rsidR="00280AA5" w:rsidRPr="008D4737" w:rsidRDefault="00280AA5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hyperlink r:id="rId5" w:history="1">
        <w:r w:rsidR="00D5084E" w:rsidRPr="00D5084E">
          <w:rPr>
            <w:rStyle w:val="Hypertextovodkaz"/>
            <w:color w:val="009BB4"/>
            <w:sz w:val="18"/>
            <w:szCs w:val="18"/>
          </w:rPr>
          <w:t>https://www.czso.cz/csu/czso/klasifikace_ekonomickych_cinnosti_cz_nace</w:t>
        </w:r>
      </w:hyperlink>
      <w:r w:rsidR="00D5084E" w:rsidRPr="00D5084E">
        <w:rPr>
          <w:color w:val="009BB4"/>
          <w:sz w:val="18"/>
          <w:szCs w:val="18"/>
        </w:rPr>
        <w:t xml:space="preserve"> </w:t>
      </w:r>
    </w:p>
  </w:footnote>
  <w:footnote w:id="12">
    <w:p w:rsidR="00280AA5" w:rsidRPr="008D4737" w:rsidRDefault="00280AA5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hyperlink r:id="rId6" w:history="1">
        <w:r w:rsidR="00D5084E" w:rsidRPr="00D5084E">
          <w:rPr>
            <w:rStyle w:val="Hypertextovodkaz"/>
            <w:color w:val="009BB4"/>
            <w:sz w:val="18"/>
            <w:szCs w:val="18"/>
          </w:rPr>
          <w:t>https://www.czso.cz/csu/czso/klasifikace-uzemnich-statistickych-jednotek-cz-nuts</w:t>
        </w:r>
      </w:hyperlink>
      <w:r w:rsidR="00D5084E" w:rsidRPr="00D5084E">
        <w:rPr>
          <w:color w:val="009BB4"/>
          <w:sz w:val="18"/>
          <w:szCs w:val="18"/>
        </w:rPr>
        <w:t xml:space="preserve"> </w:t>
      </w:r>
      <w:r w:rsidRPr="00D5084E">
        <w:rPr>
          <w:color w:val="009BB4"/>
        </w:rPr>
        <w:t xml:space="preserve"> </w:t>
      </w:r>
    </w:p>
  </w:footnote>
  <w:footnote w:id="13">
    <w:p w:rsidR="00280AA5" w:rsidRPr="007630F5" w:rsidRDefault="00280AA5" w:rsidP="00237129">
      <w:pPr>
        <w:spacing w:after="0"/>
        <w:rPr>
          <w:sz w:val="18"/>
          <w:szCs w:val="20"/>
        </w:rPr>
      </w:pPr>
      <w:r w:rsidRPr="007630F5">
        <w:rPr>
          <w:rStyle w:val="Znakapoznpodarou"/>
          <w:sz w:val="18"/>
          <w:szCs w:val="20"/>
        </w:rPr>
        <w:footnoteRef/>
      </w:r>
      <w:r w:rsidRPr="007630F5">
        <w:rPr>
          <w:sz w:val="18"/>
          <w:szCs w:val="20"/>
        </w:rPr>
        <w:t xml:space="preserve"> </w:t>
      </w:r>
      <w:r w:rsidRPr="007630F5">
        <w:rPr>
          <w:sz w:val="18"/>
          <w:szCs w:val="20"/>
          <w:lang w:val="en-GB"/>
        </w:rPr>
        <w:t xml:space="preserve">Government Budget Appropriations for Research and Development </w:t>
      </w:r>
      <w:r w:rsidRPr="007630F5">
        <w:rPr>
          <w:sz w:val="18"/>
          <w:szCs w:val="20"/>
        </w:rPr>
        <w:t>– GBARD</w:t>
      </w:r>
    </w:p>
  </w:footnote>
  <w:footnote w:id="14">
    <w:p w:rsidR="00280AA5" w:rsidRPr="008D4737" w:rsidRDefault="00280AA5" w:rsidP="00B22088">
      <w:pPr>
        <w:pStyle w:val="Textpoznpodarou"/>
        <w:spacing w:after="0"/>
        <w:rPr>
          <w:rFonts w:cs="Arial"/>
          <w:sz w:val="18"/>
          <w:szCs w:val="18"/>
        </w:rPr>
      </w:pPr>
      <w:r w:rsidRPr="007630F5">
        <w:rPr>
          <w:rStyle w:val="Znakapoznpodarou"/>
          <w:rFonts w:cs="Arial"/>
          <w:sz w:val="18"/>
        </w:rPr>
        <w:footnoteRef/>
      </w:r>
      <w:r w:rsidRPr="007630F5">
        <w:rPr>
          <w:rFonts w:cs="Arial"/>
          <w:sz w:val="18"/>
        </w:rPr>
        <w:t xml:space="preserve"> </w:t>
      </w:r>
      <w:r w:rsidRPr="007630F5">
        <w:rPr>
          <w:color w:val="009BB4"/>
          <w:sz w:val="18"/>
          <w:szCs w:val="24"/>
        </w:rPr>
        <w:t>https://www.isvavai.cz/</w:t>
      </w:r>
      <w:r w:rsidRPr="007630F5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A5" w:rsidRPr="005A660F" w:rsidRDefault="00280AA5" w:rsidP="003F4F0F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Daňová </w:t>
    </w:r>
    <w:r w:rsidRPr="00F46580">
      <w:rPr>
        <w:rFonts w:ascii="Arial" w:hAnsi="Arial" w:cs="Arial"/>
        <w:sz w:val="16"/>
        <w:szCs w:val="16"/>
      </w:rPr>
      <w:t>podpora výzkumu a vývoje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A5" w:rsidRPr="002B1A25" w:rsidRDefault="00280AA5" w:rsidP="003F4F0F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Daňová</w:t>
    </w:r>
    <w:r w:rsidRPr="00F46580">
      <w:rPr>
        <w:rFonts w:ascii="Arial" w:hAnsi="Arial" w:cs="Arial"/>
        <w:sz w:val="16"/>
        <w:szCs w:val="16"/>
      </w:rPr>
      <w:t xml:space="preserve"> podpora výzkumu a vývoje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A5" w:rsidRDefault="00280A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7BE"/>
    <w:multiLevelType w:val="hybridMultilevel"/>
    <w:tmpl w:val="1646D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7DE2"/>
    <w:multiLevelType w:val="hybridMultilevel"/>
    <w:tmpl w:val="50BE1820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664DB1"/>
    <w:multiLevelType w:val="hybridMultilevel"/>
    <w:tmpl w:val="03B6C20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E93BC2"/>
    <w:multiLevelType w:val="multilevel"/>
    <w:tmpl w:val="A066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C291D"/>
    <w:multiLevelType w:val="multilevel"/>
    <w:tmpl w:val="DEE8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A1711"/>
    <w:multiLevelType w:val="multilevel"/>
    <w:tmpl w:val="5A94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53D78"/>
    <w:multiLevelType w:val="hybridMultilevel"/>
    <w:tmpl w:val="C92EA4B2"/>
    <w:lvl w:ilvl="0" w:tplc="CB70FDD0">
      <w:start w:val="1"/>
      <w:numFmt w:val="bullet"/>
      <w:lvlText w:val="−"/>
      <w:lvlJc w:val="left"/>
      <w:pPr>
        <w:ind w:left="76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2DB0026"/>
    <w:multiLevelType w:val="hybridMultilevel"/>
    <w:tmpl w:val="114AAB4E"/>
    <w:lvl w:ilvl="0" w:tplc="6FAA63E2">
      <w:start w:val="1"/>
      <w:numFmt w:val="decimal"/>
      <w:lvlText w:val="%1."/>
      <w:lvlJc w:val="left"/>
      <w:pPr>
        <w:ind w:left="433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41DA4"/>
    <w:multiLevelType w:val="hybridMultilevel"/>
    <w:tmpl w:val="56B27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5637E"/>
    <w:multiLevelType w:val="hybridMultilevel"/>
    <w:tmpl w:val="439C4240"/>
    <w:lvl w:ilvl="0" w:tplc="4D062DBE">
      <w:start w:val="3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936C2"/>
    <w:multiLevelType w:val="multilevel"/>
    <w:tmpl w:val="458C6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C24D87"/>
    <w:multiLevelType w:val="hybridMultilevel"/>
    <w:tmpl w:val="35404F9E"/>
    <w:lvl w:ilvl="0" w:tplc="EA821036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E3519F1"/>
    <w:multiLevelType w:val="hybridMultilevel"/>
    <w:tmpl w:val="EB28249A"/>
    <w:lvl w:ilvl="0" w:tplc="181AF9F8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37B91"/>
    <w:multiLevelType w:val="hybridMultilevel"/>
    <w:tmpl w:val="7354CCF4"/>
    <w:lvl w:ilvl="0" w:tplc="CEECF0DE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65C6E"/>
    <w:multiLevelType w:val="multilevel"/>
    <w:tmpl w:val="5E4A94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F116F5"/>
    <w:multiLevelType w:val="multilevel"/>
    <w:tmpl w:val="E78C67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C3337F"/>
    <w:multiLevelType w:val="multilevel"/>
    <w:tmpl w:val="82CAEC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FD4212"/>
    <w:multiLevelType w:val="multilevel"/>
    <w:tmpl w:val="E730E3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DA09C8"/>
    <w:multiLevelType w:val="hybridMultilevel"/>
    <w:tmpl w:val="D5F6D94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A61FB5"/>
    <w:multiLevelType w:val="hybridMultilevel"/>
    <w:tmpl w:val="4C7451F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C517CD"/>
    <w:multiLevelType w:val="hybridMultilevel"/>
    <w:tmpl w:val="57BC60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26AA8"/>
    <w:multiLevelType w:val="hybridMultilevel"/>
    <w:tmpl w:val="3674637C"/>
    <w:lvl w:ilvl="0" w:tplc="25EC2B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-2389" w:hanging="360"/>
      </w:pPr>
    </w:lvl>
    <w:lvl w:ilvl="2" w:tplc="0405001B" w:tentative="1">
      <w:start w:val="1"/>
      <w:numFmt w:val="lowerRoman"/>
      <w:lvlText w:val="%3."/>
      <w:lvlJc w:val="right"/>
      <w:pPr>
        <w:ind w:left="-1669" w:hanging="180"/>
      </w:pPr>
    </w:lvl>
    <w:lvl w:ilvl="3" w:tplc="0405000F" w:tentative="1">
      <w:start w:val="1"/>
      <w:numFmt w:val="decimal"/>
      <w:lvlText w:val="%4."/>
      <w:lvlJc w:val="left"/>
      <w:pPr>
        <w:ind w:left="-949" w:hanging="360"/>
      </w:pPr>
    </w:lvl>
    <w:lvl w:ilvl="4" w:tplc="04050019" w:tentative="1">
      <w:start w:val="1"/>
      <w:numFmt w:val="lowerLetter"/>
      <w:lvlText w:val="%5."/>
      <w:lvlJc w:val="left"/>
      <w:pPr>
        <w:ind w:left="-229" w:hanging="360"/>
      </w:pPr>
    </w:lvl>
    <w:lvl w:ilvl="5" w:tplc="0405001B" w:tentative="1">
      <w:start w:val="1"/>
      <w:numFmt w:val="lowerRoman"/>
      <w:lvlText w:val="%6."/>
      <w:lvlJc w:val="right"/>
      <w:pPr>
        <w:ind w:left="491" w:hanging="180"/>
      </w:pPr>
    </w:lvl>
    <w:lvl w:ilvl="6" w:tplc="0405000F" w:tentative="1">
      <w:start w:val="1"/>
      <w:numFmt w:val="decimal"/>
      <w:lvlText w:val="%7."/>
      <w:lvlJc w:val="left"/>
      <w:pPr>
        <w:ind w:left="1211" w:hanging="360"/>
      </w:pPr>
    </w:lvl>
    <w:lvl w:ilvl="7" w:tplc="04050019" w:tentative="1">
      <w:start w:val="1"/>
      <w:numFmt w:val="lowerLetter"/>
      <w:lvlText w:val="%8."/>
      <w:lvlJc w:val="left"/>
      <w:pPr>
        <w:ind w:left="1931" w:hanging="360"/>
      </w:pPr>
    </w:lvl>
    <w:lvl w:ilvl="8" w:tplc="0405001B" w:tentative="1">
      <w:start w:val="1"/>
      <w:numFmt w:val="lowerRoman"/>
      <w:lvlText w:val="%9."/>
      <w:lvlJc w:val="right"/>
      <w:pPr>
        <w:ind w:left="2651" w:hanging="180"/>
      </w:pPr>
    </w:lvl>
  </w:abstractNum>
  <w:abstractNum w:abstractNumId="24" w15:restartNumberingAfterBreak="0">
    <w:nsid w:val="3DB0473E"/>
    <w:multiLevelType w:val="multilevel"/>
    <w:tmpl w:val="A0CC27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4D5D6F"/>
    <w:multiLevelType w:val="hybridMultilevel"/>
    <w:tmpl w:val="976CA802"/>
    <w:lvl w:ilvl="0" w:tplc="1E9A69CE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6" w15:restartNumberingAfterBreak="0">
    <w:nsid w:val="42D356C0"/>
    <w:multiLevelType w:val="hybridMultilevel"/>
    <w:tmpl w:val="53D8FC3A"/>
    <w:lvl w:ilvl="0" w:tplc="E49E288C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45E93319"/>
    <w:multiLevelType w:val="hybridMultilevel"/>
    <w:tmpl w:val="EAA07E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D4BFB"/>
    <w:multiLevelType w:val="hybridMultilevel"/>
    <w:tmpl w:val="50288A8E"/>
    <w:lvl w:ilvl="0" w:tplc="CB70FD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427F7"/>
    <w:multiLevelType w:val="hybridMultilevel"/>
    <w:tmpl w:val="82EC2258"/>
    <w:lvl w:ilvl="0" w:tplc="909E862A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 w15:restartNumberingAfterBreak="0">
    <w:nsid w:val="4E1420E2"/>
    <w:multiLevelType w:val="hybridMultilevel"/>
    <w:tmpl w:val="231AED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05554"/>
    <w:multiLevelType w:val="hybridMultilevel"/>
    <w:tmpl w:val="E87CA08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012AA1"/>
    <w:multiLevelType w:val="hybridMultilevel"/>
    <w:tmpl w:val="2B8CF13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55404F20"/>
    <w:multiLevelType w:val="hybridMultilevel"/>
    <w:tmpl w:val="9B98B7AE"/>
    <w:lvl w:ilvl="0" w:tplc="BFEA1C58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511AF"/>
    <w:multiLevelType w:val="hybridMultilevel"/>
    <w:tmpl w:val="9790D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1C5DA3"/>
    <w:multiLevelType w:val="hybridMultilevel"/>
    <w:tmpl w:val="F154DC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012582"/>
    <w:multiLevelType w:val="hybridMultilevel"/>
    <w:tmpl w:val="FA40F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17D98"/>
    <w:multiLevelType w:val="hybridMultilevel"/>
    <w:tmpl w:val="0E1ED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F1651"/>
    <w:multiLevelType w:val="hybridMultilevel"/>
    <w:tmpl w:val="9C5CE10A"/>
    <w:lvl w:ilvl="0" w:tplc="FCEEE804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9" w15:restartNumberingAfterBreak="0">
    <w:nsid w:val="66896496"/>
    <w:multiLevelType w:val="hybridMultilevel"/>
    <w:tmpl w:val="D4345F02"/>
    <w:lvl w:ilvl="0" w:tplc="8BDE2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E7D05"/>
    <w:multiLevelType w:val="hybridMultilevel"/>
    <w:tmpl w:val="09625C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2467B"/>
    <w:multiLevelType w:val="hybridMultilevel"/>
    <w:tmpl w:val="0010E6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E63A4"/>
    <w:multiLevelType w:val="multilevel"/>
    <w:tmpl w:val="9198EC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C03174"/>
    <w:multiLevelType w:val="hybridMultilevel"/>
    <w:tmpl w:val="F820A14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78282C"/>
    <w:multiLevelType w:val="hybridMultilevel"/>
    <w:tmpl w:val="93B28A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116F8"/>
    <w:multiLevelType w:val="hybridMultilevel"/>
    <w:tmpl w:val="CD7E125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CE353A"/>
    <w:multiLevelType w:val="hybridMultilevel"/>
    <w:tmpl w:val="6ADC13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A0FB3"/>
    <w:multiLevelType w:val="hybridMultilevel"/>
    <w:tmpl w:val="F33CF07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1"/>
  </w:num>
  <w:num w:numId="4">
    <w:abstractNumId w:val="7"/>
  </w:num>
  <w:num w:numId="5">
    <w:abstractNumId w:val="26"/>
  </w:num>
  <w:num w:numId="6">
    <w:abstractNumId w:val="23"/>
  </w:num>
  <w:num w:numId="7">
    <w:abstractNumId w:val="11"/>
  </w:num>
  <w:num w:numId="8">
    <w:abstractNumId w:val="14"/>
  </w:num>
  <w:num w:numId="9">
    <w:abstractNumId w:val="33"/>
  </w:num>
  <w:num w:numId="10">
    <w:abstractNumId w:val="15"/>
  </w:num>
  <w:num w:numId="11">
    <w:abstractNumId w:val="3"/>
  </w:num>
  <w:num w:numId="12">
    <w:abstractNumId w:val="5"/>
  </w:num>
  <w:num w:numId="13">
    <w:abstractNumId w:val="12"/>
  </w:num>
  <w:num w:numId="14">
    <w:abstractNumId w:val="42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16"/>
  </w:num>
  <w:num w:numId="20">
    <w:abstractNumId w:val="24"/>
  </w:num>
  <w:num w:numId="21">
    <w:abstractNumId w:val="27"/>
  </w:num>
  <w:num w:numId="22">
    <w:abstractNumId w:val="46"/>
  </w:num>
  <w:num w:numId="23">
    <w:abstractNumId w:val="41"/>
  </w:num>
  <w:num w:numId="24">
    <w:abstractNumId w:val="10"/>
  </w:num>
  <w:num w:numId="25">
    <w:abstractNumId w:val="36"/>
  </w:num>
  <w:num w:numId="26">
    <w:abstractNumId w:val="13"/>
  </w:num>
  <w:num w:numId="27">
    <w:abstractNumId w:val="47"/>
  </w:num>
  <w:num w:numId="28">
    <w:abstractNumId w:val="20"/>
  </w:num>
  <w:num w:numId="29">
    <w:abstractNumId w:val="43"/>
  </w:num>
  <w:num w:numId="30">
    <w:abstractNumId w:val="21"/>
  </w:num>
  <w:num w:numId="31">
    <w:abstractNumId w:val="22"/>
  </w:num>
  <w:num w:numId="32">
    <w:abstractNumId w:val="31"/>
  </w:num>
  <w:num w:numId="33">
    <w:abstractNumId w:val="30"/>
  </w:num>
  <w:num w:numId="34">
    <w:abstractNumId w:val="45"/>
  </w:num>
  <w:num w:numId="35">
    <w:abstractNumId w:val="25"/>
  </w:num>
  <w:num w:numId="36">
    <w:abstractNumId w:val="29"/>
  </w:num>
  <w:num w:numId="37">
    <w:abstractNumId w:val="38"/>
  </w:num>
  <w:num w:numId="38">
    <w:abstractNumId w:val="32"/>
  </w:num>
  <w:num w:numId="39">
    <w:abstractNumId w:val="6"/>
  </w:num>
  <w:num w:numId="40">
    <w:abstractNumId w:val="28"/>
  </w:num>
  <w:num w:numId="41">
    <w:abstractNumId w:val="39"/>
  </w:num>
  <w:num w:numId="42">
    <w:abstractNumId w:val="9"/>
  </w:num>
  <w:num w:numId="43">
    <w:abstractNumId w:val="8"/>
  </w:num>
  <w:num w:numId="44">
    <w:abstractNumId w:val="35"/>
  </w:num>
  <w:num w:numId="45">
    <w:abstractNumId w:val="34"/>
  </w:num>
  <w:num w:numId="46">
    <w:abstractNumId w:val="37"/>
  </w:num>
  <w:num w:numId="47">
    <w:abstractNumId w:val="0"/>
  </w:num>
  <w:num w:numId="48">
    <w:abstractNumId w:val="4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0A5B"/>
    <w:rsid w:val="00000BAC"/>
    <w:rsid w:val="00001523"/>
    <w:rsid w:val="000018EC"/>
    <w:rsid w:val="0000205F"/>
    <w:rsid w:val="00002C15"/>
    <w:rsid w:val="00002D6D"/>
    <w:rsid w:val="00003944"/>
    <w:rsid w:val="00003987"/>
    <w:rsid w:val="00003E53"/>
    <w:rsid w:val="00003E84"/>
    <w:rsid w:val="00004169"/>
    <w:rsid w:val="00004763"/>
    <w:rsid w:val="000049B0"/>
    <w:rsid w:val="00004C5A"/>
    <w:rsid w:val="00005162"/>
    <w:rsid w:val="000062F8"/>
    <w:rsid w:val="00006775"/>
    <w:rsid w:val="000067A3"/>
    <w:rsid w:val="00006826"/>
    <w:rsid w:val="00006E29"/>
    <w:rsid w:val="00006EF0"/>
    <w:rsid w:val="000071EB"/>
    <w:rsid w:val="000073D5"/>
    <w:rsid w:val="0000745B"/>
    <w:rsid w:val="0000767A"/>
    <w:rsid w:val="00007A06"/>
    <w:rsid w:val="00007D3F"/>
    <w:rsid w:val="00007FF5"/>
    <w:rsid w:val="00010702"/>
    <w:rsid w:val="000109DE"/>
    <w:rsid w:val="0001265A"/>
    <w:rsid w:val="000128D0"/>
    <w:rsid w:val="00012A52"/>
    <w:rsid w:val="000132EA"/>
    <w:rsid w:val="00013592"/>
    <w:rsid w:val="00013875"/>
    <w:rsid w:val="00013DC2"/>
    <w:rsid w:val="00014551"/>
    <w:rsid w:val="00014C85"/>
    <w:rsid w:val="00014D57"/>
    <w:rsid w:val="00015088"/>
    <w:rsid w:val="000158B9"/>
    <w:rsid w:val="00015928"/>
    <w:rsid w:val="0001603E"/>
    <w:rsid w:val="0001650F"/>
    <w:rsid w:val="00016CCE"/>
    <w:rsid w:val="00016F16"/>
    <w:rsid w:val="0001766E"/>
    <w:rsid w:val="00017A44"/>
    <w:rsid w:val="00017BB1"/>
    <w:rsid w:val="00017ED0"/>
    <w:rsid w:val="00020278"/>
    <w:rsid w:val="000206D6"/>
    <w:rsid w:val="00020B80"/>
    <w:rsid w:val="00020DEF"/>
    <w:rsid w:val="00020E53"/>
    <w:rsid w:val="000217D7"/>
    <w:rsid w:val="00022B9D"/>
    <w:rsid w:val="00023C0A"/>
    <w:rsid w:val="00023DB5"/>
    <w:rsid w:val="0002411E"/>
    <w:rsid w:val="00024BA1"/>
    <w:rsid w:val="00024FBA"/>
    <w:rsid w:val="0002501D"/>
    <w:rsid w:val="000259ED"/>
    <w:rsid w:val="00025B1C"/>
    <w:rsid w:val="00025B36"/>
    <w:rsid w:val="00025E2C"/>
    <w:rsid w:val="00026287"/>
    <w:rsid w:val="000268B2"/>
    <w:rsid w:val="00026B7E"/>
    <w:rsid w:val="00027C33"/>
    <w:rsid w:val="00027D92"/>
    <w:rsid w:val="0003114A"/>
    <w:rsid w:val="00031C64"/>
    <w:rsid w:val="00031D68"/>
    <w:rsid w:val="00031F52"/>
    <w:rsid w:val="0003234B"/>
    <w:rsid w:val="000323B6"/>
    <w:rsid w:val="00033C6F"/>
    <w:rsid w:val="00033F03"/>
    <w:rsid w:val="00034107"/>
    <w:rsid w:val="000350B2"/>
    <w:rsid w:val="000350E5"/>
    <w:rsid w:val="00036273"/>
    <w:rsid w:val="000365B5"/>
    <w:rsid w:val="000368A7"/>
    <w:rsid w:val="00036937"/>
    <w:rsid w:val="00036F28"/>
    <w:rsid w:val="0004000B"/>
    <w:rsid w:val="00040229"/>
    <w:rsid w:val="000414F6"/>
    <w:rsid w:val="0004158D"/>
    <w:rsid w:val="000415AA"/>
    <w:rsid w:val="00041EEC"/>
    <w:rsid w:val="00042644"/>
    <w:rsid w:val="000428C8"/>
    <w:rsid w:val="00042C3B"/>
    <w:rsid w:val="000437D7"/>
    <w:rsid w:val="00043B2A"/>
    <w:rsid w:val="00043F19"/>
    <w:rsid w:val="00044FF3"/>
    <w:rsid w:val="00045D02"/>
    <w:rsid w:val="00045D62"/>
    <w:rsid w:val="0004658D"/>
    <w:rsid w:val="000468A1"/>
    <w:rsid w:val="0004694F"/>
    <w:rsid w:val="00046976"/>
    <w:rsid w:val="00046A9C"/>
    <w:rsid w:val="00046DAC"/>
    <w:rsid w:val="000473A0"/>
    <w:rsid w:val="00047A30"/>
    <w:rsid w:val="00050296"/>
    <w:rsid w:val="00050610"/>
    <w:rsid w:val="00050E98"/>
    <w:rsid w:val="00051086"/>
    <w:rsid w:val="00051C4D"/>
    <w:rsid w:val="00051CAD"/>
    <w:rsid w:val="000535F4"/>
    <w:rsid w:val="00054267"/>
    <w:rsid w:val="00054F81"/>
    <w:rsid w:val="00056158"/>
    <w:rsid w:val="00056735"/>
    <w:rsid w:val="0005705C"/>
    <w:rsid w:val="0005739C"/>
    <w:rsid w:val="00057709"/>
    <w:rsid w:val="00057787"/>
    <w:rsid w:val="00057E16"/>
    <w:rsid w:val="0006135F"/>
    <w:rsid w:val="0006160F"/>
    <w:rsid w:val="00062168"/>
    <w:rsid w:val="0006238F"/>
    <w:rsid w:val="000629F1"/>
    <w:rsid w:val="00062A19"/>
    <w:rsid w:val="00062CFE"/>
    <w:rsid w:val="00062EC5"/>
    <w:rsid w:val="0006339D"/>
    <w:rsid w:val="000639A0"/>
    <w:rsid w:val="00063E83"/>
    <w:rsid w:val="000640A8"/>
    <w:rsid w:val="00064171"/>
    <w:rsid w:val="00064793"/>
    <w:rsid w:val="00064A2A"/>
    <w:rsid w:val="00065054"/>
    <w:rsid w:val="00065CAA"/>
    <w:rsid w:val="000663D4"/>
    <w:rsid w:val="00066625"/>
    <w:rsid w:val="000666C2"/>
    <w:rsid w:val="00066FC3"/>
    <w:rsid w:val="00067718"/>
    <w:rsid w:val="00067804"/>
    <w:rsid w:val="00067967"/>
    <w:rsid w:val="00067C7F"/>
    <w:rsid w:val="00067EFF"/>
    <w:rsid w:val="00070102"/>
    <w:rsid w:val="00070A7F"/>
    <w:rsid w:val="00071E62"/>
    <w:rsid w:val="00073022"/>
    <w:rsid w:val="0007385B"/>
    <w:rsid w:val="00073F1E"/>
    <w:rsid w:val="000742FC"/>
    <w:rsid w:val="000753D3"/>
    <w:rsid w:val="000757AE"/>
    <w:rsid w:val="000758F7"/>
    <w:rsid w:val="0007639F"/>
    <w:rsid w:val="0007662F"/>
    <w:rsid w:val="00076FBD"/>
    <w:rsid w:val="00077A2E"/>
    <w:rsid w:val="00080B27"/>
    <w:rsid w:val="00080CF9"/>
    <w:rsid w:val="00080E37"/>
    <w:rsid w:val="00080FC1"/>
    <w:rsid w:val="00081090"/>
    <w:rsid w:val="000817CD"/>
    <w:rsid w:val="00081AAC"/>
    <w:rsid w:val="00082307"/>
    <w:rsid w:val="0008257A"/>
    <w:rsid w:val="00083399"/>
    <w:rsid w:val="0008357F"/>
    <w:rsid w:val="00083838"/>
    <w:rsid w:val="00083E00"/>
    <w:rsid w:val="00083F9D"/>
    <w:rsid w:val="0008429F"/>
    <w:rsid w:val="000843D1"/>
    <w:rsid w:val="00084663"/>
    <w:rsid w:val="00084687"/>
    <w:rsid w:val="00085870"/>
    <w:rsid w:val="00086453"/>
    <w:rsid w:val="00086545"/>
    <w:rsid w:val="00086659"/>
    <w:rsid w:val="00086DD7"/>
    <w:rsid w:val="00087634"/>
    <w:rsid w:val="00087A0A"/>
    <w:rsid w:val="000900DA"/>
    <w:rsid w:val="00090203"/>
    <w:rsid w:val="00090863"/>
    <w:rsid w:val="000909CF"/>
    <w:rsid w:val="00090FED"/>
    <w:rsid w:val="00091308"/>
    <w:rsid w:val="0009177D"/>
    <w:rsid w:val="00092214"/>
    <w:rsid w:val="00092A39"/>
    <w:rsid w:val="00092F36"/>
    <w:rsid w:val="000932E5"/>
    <w:rsid w:val="00093B40"/>
    <w:rsid w:val="00093FEE"/>
    <w:rsid w:val="000940CD"/>
    <w:rsid w:val="00094456"/>
    <w:rsid w:val="000946D6"/>
    <w:rsid w:val="00094930"/>
    <w:rsid w:val="00094EE7"/>
    <w:rsid w:val="00095935"/>
    <w:rsid w:val="00096191"/>
    <w:rsid w:val="00096728"/>
    <w:rsid w:val="000976CE"/>
    <w:rsid w:val="00097D17"/>
    <w:rsid w:val="00097FE1"/>
    <w:rsid w:val="000A03DC"/>
    <w:rsid w:val="000A1183"/>
    <w:rsid w:val="000A186C"/>
    <w:rsid w:val="000A1CE8"/>
    <w:rsid w:val="000A21DF"/>
    <w:rsid w:val="000A2921"/>
    <w:rsid w:val="000A2D08"/>
    <w:rsid w:val="000A3F01"/>
    <w:rsid w:val="000A5610"/>
    <w:rsid w:val="000A5674"/>
    <w:rsid w:val="000A5FF5"/>
    <w:rsid w:val="000A6330"/>
    <w:rsid w:val="000A64AD"/>
    <w:rsid w:val="000A6648"/>
    <w:rsid w:val="000A6753"/>
    <w:rsid w:val="000A6CEE"/>
    <w:rsid w:val="000A7760"/>
    <w:rsid w:val="000A7B46"/>
    <w:rsid w:val="000A7C7B"/>
    <w:rsid w:val="000B0777"/>
    <w:rsid w:val="000B10E3"/>
    <w:rsid w:val="000B1F4E"/>
    <w:rsid w:val="000B20CE"/>
    <w:rsid w:val="000B247B"/>
    <w:rsid w:val="000B2502"/>
    <w:rsid w:val="000B29E3"/>
    <w:rsid w:val="000B3966"/>
    <w:rsid w:val="000B3A90"/>
    <w:rsid w:val="000B3AF1"/>
    <w:rsid w:val="000B3BB4"/>
    <w:rsid w:val="000B3DE2"/>
    <w:rsid w:val="000B3E99"/>
    <w:rsid w:val="000B51C8"/>
    <w:rsid w:val="000B5A10"/>
    <w:rsid w:val="000B64CF"/>
    <w:rsid w:val="000B6639"/>
    <w:rsid w:val="000B6F66"/>
    <w:rsid w:val="000B726E"/>
    <w:rsid w:val="000B761C"/>
    <w:rsid w:val="000B7919"/>
    <w:rsid w:val="000B7D21"/>
    <w:rsid w:val="000C0323"/>
    <w:rsid w:val="000C0A8D"/>
    <w:rsid w:val="000C1010"/>
    <w:rsid w:val="000C178C"/>
    <w:rsid w:val="000C1883"/>
    <w:rsid w:val="000C18DE"/>
    <w:rsid w:val="000C25AC"/>
    <w:rsid w:val="000C2875"/>
    <w:rsid w:val="000C3408"/>
    <w:rsid w:val="000C43A5"/>
    <w:rsid w:val="000C44EF"/>
    <w:rsid w:val="000C46A3"/>
    <w:rsid w:val="000C4ABE"/>
    <w:rsid w:val="000C4C65"/>
    <w:rsid w:val="000C55BE"/>
    <w:rsid w:val="000C5755"/>
    <w:rsid w:val="000C5C4E"/>
    <w:rsid w:val="000C5FBB"/>
    <w:rsid w:val="000C6511"/>
    <w:rsid w:val="000C6CAA"/>
    <w:rsid w:val="000C6CD1"/>
    <w:rsid w:val="000D0193"/>
    <w:rsid w:val="000D0B9E"/>
    <w:rsid w:val="000D0EBF"/>
    <w:rsid w:val="000D1347"/>
    <w:rsid w:val="000D14AC"/>
    <w:rsid w:val="000D1504"/>
    <w:rsid w:val="000D177D"/>
    <w:rsid w:val="000D17D8"/>
    <w:rsid w:val="000D17DA"/>
    <w:rsid w:val="000D1966"/>
    <w:rsid w:val="000D1A55"/>
    <w:rsid w:val="000D24A2"/>
    <w:rsid w:val="000D2F78"/>
    <w:rsid w:val="000D31B5"/>
    <w:rsid w:val="000D3573"/>
    <w:rsid w:val="000D429A"/>
    <w:rsid w:val="000D42BF"/>
    <w:rsid w:val="000D441E"/>
    <w:rsid w:val="000D4C3D"/>
    <w:rsid w:val="000D4CB7"/>
    <w:rsid w:val="000D4ED6"/>
    <w:rsid w:val="000D53BE"/>
    <w:rsid w:val="000D55EF"/>
    <w:rsid w:val="000D5C4F"/>
    <w:rsid w:val="000D6789"/>
    <w:rsid w:val="000D67FB"/>
    <w:rsid w:val="000D77B0"/>
    <w:rsid w:val="000E1264"/>
    <w:rsid w:val="000E276F"/>
    <w:rsid w:val="000E2BFF"/>
    <w:rsid w:val="000E2F2A"/>
    <w:rsid w:val="000E35BC"/>
    <w:rsid w:val="000E388F"/>
    <w:rsid w:val="000E4206"/>
    <w:rsid w:val="000E521D"/>
    <w:rsid w:val="000E559A"/>
    <w:rsid w:val="000E5E7F"/>
    <w:rsid w:val="000E63E0"/>
    <w:rsid w:val="000E6660"/>
    <w:rsid w:val="000E6934"/>
    <w:rsid w:val="000E6999"/>
    <w:rsid w:val="000E6C1D"/>
    <w:rsid w:val="000E6F1F"/>
    <w:rsid w:val="000E708C"/>
    <w:rsid w:val="000E725C"/>
    <w:rsid w:val="000E7A01"/>
    <w:rsid w:val="000F05B4"/>
    <w:rsid w:val="000F06CA"/>
    <w:rsid w:val="000F0B7C"/>
    <w:rsid w:val="000F0B9F"/>
    <w:rsid w:val="000F0F6F"/>
    <w:rsid w:val="000F13FC"/>
    <w:rsid w:val="000F1672"/>
    <w:rsid w:val="000F17C4"/>
    <w:rsid w:val="000F1D2E"/>
    <w:rsid w:val="000F2100"/>
    <w:rsid w:val="000F2663"/>
    <w:rsid w:val="000F37C6"/>
    <w:rsid w:val="000F3E6B"/>
    <w:rsid w:val="000F3E6C"/>
    <w:rsid w:val="000F41F1"/>
    <w:rsid w:val="000F4329"/>
    <w:rsid w:val="000F4851"/>
    <w:rsid w:val="000F610F"/>
    <w:rsid w:val="000F63D8"/>
    <w:rsid w:val="000F67BD"/>
    <w:rsid w:val="000F6A39"/>
    <w:rsid w:val="000F6F58"/>
    <w:rsid w:val="000F730F"/>
    <w:rsid w:val="00101A47"/>
    <w:rsid w:val="00101C28"/>
    <w:rsid w:val="00101CED"/>
    <w:rsid w:val="001028ED"/>
    <w:rsid w:val="00102B47"/>
    <w:rsid w:val="00103196"/>
    <w:rsid w:val="00103809"/>
    <w:rsid w:val="001041B8"/>
    <w:rsid w:val="00104C10"/>
    <w:rsid w:val="00104CFD"/>
    <w:rsid w:val="00105996"/>
    <w:rsid w:val="001059E6"/>
    <w:rsid w:val="00106096"/>
    <w:rsid w:val="00106267"/>
    <w:rsid w:val="001073B3"/>
    <w:rsid w:val="0010772E"/>
    <w:rsid w:val="00107BCA"/>
    <w:rsid w:val="00107BDC"/>
    <w:rsid w:val="001101BF"/>
    <w:rsid w:val="00110261"/>
    <w:rsid w:val="001103C6"/>
    <w:rsid w:val="00110719"/>
    <w:rsid w:val="001108EC"/>
    <w:rsid w:val="001111B2"/>
    <w:rsid w:val="001113CD"/>
    <w:rsid w:val="00111BF9"/>
    <w:rsid w:val="00111C8B"/>
    <w:rsid w:val="00111E02"/>
    <w:rsid w:val="00112097"/>
    <w:rsid w:val="0011324C"/>
    <w:rsid w:val="00113C0C"/>
    <w:rsid w:val="0011489B"/>
    <w:rsid w:val="00114A1E"/>
    <w:rsid w:val="001150EF"/>
    <w:rsid w:val="001157EE"/>
    <w:rsid w:val="001158C8"/>
    <w:rsid w:val="0011629F"/>
    <w:rsid w:val="00116D07"/>
    <w:rsid w:val="00117DAC"/>
    <w:rsid w:val="00117EB1"/>
    <w:rsid w:val="00120FCF"/>
    <w:rsid w:val="00121393"/>
    <w:rsid w:val="001215CE"/>
    <w:rsid w:val="00121613"/>
    <w:rsid w:val="00121B4E"/>
    <w:rsid w:val="00121F36"/>
    <w:rsid w:val="0012207F"/>
    <w:rsid w:val="001229F4"/>
    <w:rsid w:val="00122EE2"/>
    <w:rsid w:val="00123836"/>
    <w:rsid w:val="00123E38"/>
    <w:rsid w:val="001240CD"/>
    <w:rsid w:val="00124AF5"/>
    <w:rsid w:val="00124D17"/>
    <w:rsid w:val="00125D73"/>
    <w:rsid w:val="00125DA3"/>
    <w:rsid w:val="00125DA6"/>
    <w:rsid w:val="00126117"/>
    <w:rsid w:val="001261A0"/>
    <w:rsid w:val="00127250"/>
    <w:rsid w:val="001276E3"/>
    <w:rsid w:val="00127D23"/>
    <w:rsid w:val="00130731"/>
    <w:rsid w:val="00131450"/>
    <w:rsid w:val="0013176A"/>
    <w:rsid w:val="001323D8"/>
    <w:rsid w:val="00132420"/>
    <w:rsid w:val="001328BC"/>
    <w:rsid w:val="00134043"/>
    <w:rsid w:val="00134242"/>
    <w:rsid w:val="00134B99"/>
    <w:rsid w:val="00134D86"/>
    <w:rsid w:val="00135AD0"/>
    <w:rsid w:val="001362D0"/>
    <w:rsid w:val="0013665D"/>
    <w:rsid w:val="00136785"/>
    <w:rsid w:val="001405FA"/>
    <w:rsid w:val="00140911"/>
    <w:rsid w:val="00140A1B"/>
    <w:rsid w:val="00140CCD"/>
    <w:rsid w:val="00141447"/>
    <w:rsid w:val="001423BD"/>
    <w:rsid w:val="001425C3"/>
    <w:rsid w:val="00142C51"/>
    <w:rsid w:val="00142C5E"/>
    <w:rsid w:val="0014314F"/>
    <w:rsid w:val="00143212"/>
    <w:rsid w:val="00143292"/>
    <w:rsid w:val="00143373"/>
    <w:rsid w:val="00143453"/>
    <w:rsid w:val="0014358C"/>
    <w:rsid w:val="00143ABF"/>
    <w:rsid w:val="00143B97"/>
    <w:rsid w:val="00143D26"/>
    <w:rsid w:val="00144177"/>
    <w:rsid w:val="001441AB"/>
    <w:rsid w:val="001443ED"/>
    <w:rsid w:val="00144B3B"/>
    <w:rsid w:val="00145812"/>
    <w:rsid w:val="00145E2F"/>
    <w:rsid w:val="00145EE7"/>
    <w:rsid w:val="00146553"/>
    <w:rsid w:val="001466AE"/>
    <w:rsid w:val="00146745"/>
    <w:rsid w:val="00146CF7"/>
    <w:rsid w:val="001475F6"/>
    <w:rsid w:val="0014766F"/>
    <w:rsid w:val="0014783E"/>
    <w:rsid w:val="00147936"/>
    <w:rsid w:val="001479CB"/>
    <w:rsid w:val="00147A3D"/>
    <w:rsid w:val="00150289"/>
    <w:rsid w:val="0015062A"/>
    <w:rsid w:val="00150B40"/>
    <w:rsid w:val="00150FD4"/>
    <w:rsid w:val="0015128E"/>
    <w:rsid w:val="00152543"/>
    <w:rsid w:val="0015281B"/>
    <w:rsid w:val="00152E73"/>
    <w:rsid w:val="00152EA4"/>
    <w:rsid w:val="00153175"/>
    <w:rsid w:val="00153245"/>
    <w:rsid w:val="00153A5C"/>
    <w:rsid w:val="00153BF9"/>
    <w:rsid w:val="00154010"/>
    <w:rsid w:val="00154273"/>
    <w:rsid w:val="001544C2"/>
    <w:rsid w:val="001545A8"/>
    <w:rsid w:val="00154B01"/>
    <w:rsid w:val="00154D4D"/>
    <w:rsid w:val="00155181"/>
    <w:rsid w:val="00156403"/>
    <w:rsid w:val="00156A62"/>
    <w:rsid w:val="0015700C"/>
    <w:rsid w:val="00160187"/>
    <w:rsid w:val="001602BC"/>
    <w:rsid w:val="0016036D"/>
    <w:rsid w:val="00160F2D"/>
    <w:rsid w:val="001612F5"/>
    <w:rsid w:val="001615D0"/>
    <w:rsid w:val="001616CA"/>
    <w:rsid w:val="00161AF8"/>
    <w:rsid w:val="0016263F"/>
    <w:rsid w:val="001627CA"/>
    <w:rsid w:val="00163598"/>
    <w:rsid w:val="00163793"/>
    <w:rsid w:val="0016486C"/>
    <w:rsid w:val="00164A28"/>
    <w:rsid w:val="00164BF0"/>
    <w:rsid w:val="00166052"/>
    <w:rsid w:val="0016609C"/>
    <w:rsid w:val="00166AEA"/>
    <w:rsid w:val="00167413"/>
    <w:rsid w:val="00170071"/>
    <w:rsid w:val="00170142"/>
    <w:rsid w:val="0017026E"/>
    <w:rsid w:val="001704D3"/>
    <w:rsid w:val="00170ABD"/>
    <w:rsid w:val="00170BA1"/>
    <w:rsid w:val="00170FFC"/>
    <w:rsid w:val="001710ED"/>
    <w:rsid w:val="0017131F"/>
    <w:rsid w:val="00171425"/>
    <w:rsid w:val="001714F2"/>
    <w:rsid w:val="00171794"/>
    <w:rsid w:val="0017186D"/>
    <w:rsid w:val="00171DAA"/>
    <w:rsid w:val="0017231F"/>
    <w:rsid w:val="00172381"/>
    <w:rsid w:val="001728CE"/>
    <w:rsid w:val="001739F6"/>
    <w:rsid w:val="0017465B"/>
    <w:rsid w:val="0017466E"/>
    <w:rsid w:val="0017470F"/>
    <w:rsid w:val="00174C78"/>
    <w:rsid w:val="001758CB"/>
    <w:rsid w:val="00175ACB"/>
    <w:rsid w:val="00175E83"/>
    <w:rsid w:val="00175F65"/>
    <w:rsid w:val="00176846"/>
    <w:rsid w:val="001777BD"/>
    <w:rsid w:val="001777C8"/>
    <w:rsid w:val="00180515"/>
    <w:rsid w:val="001814CD"/>
    <w:rsid w:val="00182319"/>
    <w:rsid w:val="00182354"/>
    <w:rsid w:val="0018317A"/>
    <w:rsid w:val="0018384E"/>
    <w:rsid w:val="00184A37"/>
    <w:rsid w:val="00185010"/>
    <w:rsid w:val="0018673B"/>
    <w:rsid w:val="00186DF7"/>
    <w:rsid w:val="001873F6"/>
    <w:rsid w:val="001877B6"/>
    <w:rsid w:val="00187E92"/>
    <w:rsid w:val="001902ED"/>
    <w:rsid w:val="00190DC7"/>
    <w:rsid w:val="00192236"/>
    <w:rsid w:val="00192714"/>
    <w:rsid w:val="0019287C"/>
    <w:rsid w:val="00192EE3"/>
    <w:rsid w:val="00193143"/>
    <w:rsid w:val="00193481"/>
    <w:rsid w:val="001938F0"/>
    <w:rsid w:val="00193954"/>
    <w:rsid w:val="00193955"/>
    <w:rsid w:val="00193983"/>
    <w:rsid w:val="00194436"/>
    <w:rsid w:val="0019506E"/>
    <w:rsid w:val="00195544"/>
    <w:rsid w:val="001959B7"/>
    <w:rsid w:val="00195BDB"/>
    <w:rsid w:val="00196390"/>
    <w:rsid w:val="00196712"/>
    <w:rsid w:val="00196D62"/>
    <w:rsid w:val="00197202"/>
    <w:rsid w:val="001972D8"/>
    <w:rsid w:val="001974BF"/>
    <w:rsid w:val="0019766C"/>
    <w:rsid w:val="00197744"/>
    <w:rsid w:val="001A0421"/>
    <w:rsid w:val="001A10D9"/>
    <w:rsid w:val="001A13C3"/>
    <w:rsid w:val="001A1435"/>
    <w:rsid w:val="001A1647"/>
    <w:rsid w:val="001A17CD"/>
    <w:rsid w:val="001A1D4E"/>
    <w:rsid w:val="001A22F4"/>
    <w:rsid w:val="001A2B7A"/>
    <w:rsid w:val="001A2D0F"/>
    <w:rsid w:val="001A3A45"/>
    <w:rsid w:val="001A3BB4"/>
    <w:rsid w:val="001A3F1E"/>
    <w:rsid w:val="001A40EB"/>
    <w:rsid w:val="001A420B"/>
    <w:rsid w:val="001A4565"/>
    <w:rsid w:val="001A5129"/>
    <w:rsid w:val="001A51D6"/>
    <w:rsid w:val="001A552F"/>
    <w:rsid w:val="001A55D7"/>
    <w:rsid w:val="001A5B3B"/>
    <w:rsid w:val="001A6279"/>
    <w:rsid w:val="001A639B"/>
    <w:rsid w:val="001A6564"/>
    <w:rsid w:val="001A67C1"/>
    <w:rsid w:val="001A6D01"/>
    <w:rsid w:val="001A74B3"/>
    <w:rsid w:val="001A7C13"/>
    <w:rsid w:val="001A7D93"/>
    <w:rsid w:val="001B015B"/>
    <w:rsid w:val="001B02D0"/>
    <w:rsid w:val="001B035E"/>
    <w:rsid w:val="001B050F"/>
    <w:rsid w:val="001B0890"/>
    <w:rsid w:val="001B0AFE"/>
    <w:rsid w:val="001B1CD7"/>
    <w:rsid w:val="001B1F97"/>
    <w:rsid w:val="001B2554"/>
    <w:rsid w:val="001B2C11"/>
    <w:rsid w:val="001B2E2A"/>
    <w:rsid w:val="001B3110"/>
    <w:rsid w:val="001B3828"/>
    <w:rsid w:val="001B5638"/>
    <w:rsid w:val="001B5819"/>
    <w:rsid w:val="001B6126"/>
    <w:rsid w:val="001B6778"/>
    <w:rsid w:val="001B6A88"/>
    <w:rsid w:val="001B7022"/>
    <w:rsid w:val="001B75ED"/>
    <w:rsid w:val="001B7941"/>
    <w:rsid w:val="001B7D9E"/>
    <w:rsid w:val="001C0D60"/>
    <w:rsid w:val="001C1299"/>
    <w:rsid w:val="001C1440"/>
    <w:rsid w:val="001C1933"/>
    <w:rsid w:val="001C2778"/>
    <w:rsid w:val="001C3088"/>
    <w:rsid w:val="001C327F"/>
    <w:rsid w:val="001C439D"/>
    <w:rsid w:val="001C4626"/>
    <w:rsid w:val="001C50E4"/>
    <w:rsid w:val="001C5A89"/>
    <w:rsid w:val="001C5DF8"/>
    <w:rsid w:val="001C5EF8"/>
    <w:rsid w:val="001C6643"/>
    <w:rsid w:val="001C668B"/>
    <w:rsid w:val="001C6CEB"/>
    <w:rsid w:val="001C757B"/>
    <w:rsid w:val="001C7936"/>
    <w:rsid w:val="001D025E"/>
    <w:rsid w:val="001D0402"/>
    <w:rsid w:val="001D0653"/>
    <w:rsid w:val="001D0C33"/>
    <w:rsid w:val="001D1415"/>
    <w:rsid w:val="001D15C6"/>
    <w:rsid w:val="001D178F"/>
    <w:rsid w:val="001D1FFC"/>
    <w:rsid w:val="001D23C7"/>
    <w:rsid w:val="001D27EC"/>
    <w:rsid w:val="001D2C31"/>
    <w:rsid w:val="001D353E"/>
    <w:rsid w:val="001D3809"/>
    <w:rsid w:val="001D3DBC"/>
    <w:rsid w:val="001D54E9"/>
    <w:rsid w:val="001D55B1"/>
    <w:rsid w:val="001D58B7"/>
    <w:rsid w:val="001D61A0"/>
    <w:rsid w:val="001D6CB9"/>
    <w:rsid w:val="001D6DF6"/>
    <w:rsid w:val="001D6F4F"/>
    <w:rsid w:val="001D70F1"/>
    <w:rsid w:val="001D7B91"/>
    <w:rsid w:val="001E0360"/>
    <w:rsid w:val="001E0BB6"/>
    <w:rsid w:val="001E0EAE"/>
    <w:rsid w:val="001E169E"/>
    <w:rsid w:val="001E1960"/>
    <w:rsid w:val="001E1C08"/>
    <w:rsid w:val="001E1C44"/>
    <w:rsid w:val="001E28A3"/>
    <w:rsid w:val="001E2E1C"/>
    <w:rsid w:val="001E3293"/>
    <w:rsid w:val="001E3462"/>
    <w:rsid w:val="001E3AA4"/>
    <w:rsid w:val="001E3E09"/>
    <w:rsid w:val="001E5CBD"/>
    <w:rsid w:val="001E5F10"/>
    <w:rsid w:val="001E60E4"/>
    <w:rsid w:val="001E6321"/>
    <w:rsid w:val="001E6376"/>
    <w:rsid w:val="001E6601"/>
    <w:rsid w:val="001E7204"/>
    <w:rsid w:val="001E7497"/>
    <w:rsid w:val="001F030F"/>
    <w:rsid w:val="001F06A5"/>
    <w:rsid w:val="001F0924"/>
    <w:rsid w:val="001F0ACB"/>
    <w:rsid w:val="001F0D34"/>
    <w:rsid w:val="001F0E47"/>
    <w:rsid w:val="001F0E94"/>
    <w:rsid w:val="001F0F4F"/>
    <w:rsid w:val="001F10A8"/>
    <w:rsid w:val="001F12CC"/>
    <w:rsid w:val="001F14B3"/>
    <w:rsid w:val="001F18CB"/>
    <w:rsid w:val="001F199C"/>
    <w:rsid w:val="001F1A2B"/>
    <w:rsid w:val="001F1C30"/>
    <w:rsid w:val="001F1D38"/>
    <w:rsid w:val="001F2191"/>
    <w:rsid w:val="001F2BDE"/>
    <w:rsid w:val="001F2E9B"/>
    <w:rsid w:val="001F31BE"/>
    <w:rsid w:val="001F3555"/>
    <w:rsid w:val="001F38C5"/>
    <w:rsid w:val="001F3951"/>
    <w:rsid w:val="001F3B4A"/>
    <w:rsid w:val="001F3DBB"/>
    <w:rsid w:val="001F4263"/>
    <w:rsid w:val="001F432A"/>
    <w:rsid w:val="001F4597"/>
    <w:rsid w:val="001F4D15"/>
    <w:rsid w:val="001F4E53"/>
    <w:rsid w:val="001F654F"/>
    <w:rsid w:val="001F6BEE"/>
    <w:rsid w:val="001F6D0E"/>
    <w:rsid w:val="001F6FC6"/>
    <w:rsid w:val="00200034"/>
    <w:rsid w:val="00200850"/>
    <w:rsid w:val="00200C7E"/>
    <w:rsid w:val="00201095"/>
    <w:rsid w:val="00201371"/>
    <w:rsid w:val="002013DB"/>
    <w:rsid w:val="00201576"/>
    <w:rsid w:val="00202570"/>
    <w:rsid w:val="00202C23"/>
    <w:rsid w:val="00202F5D"/>
    <w:rsid w:val="002030BF"/>
    <w:rsid w:val="0020344B"/>
    <w:rsid w:val="00203BA2"/>
    <w:rsid w:val="0020449F"/>
    <w:rsid w:val="00204888"/>
    <w:rsid w:val="00204F87"/>
    <w:rsid w:val="0020532C"/>
    <w:rsid w:val="00205612"/>
    <w:rsid w:val="00205980"/>
    <w:rsid w:val="00205A71"/>
    <w:rsid w:val="0020650B"/>
    <w:rsid w:val="00206BAB"/>
    <w:rsid w:val="00207A19"/>
    <w:rsid w:val="00207C2E"/>
    <w:rsid w:val="00207DEB"/>
    <w:rsid w:val="00210EDF"/>
    <w:rsid w:val="002112FA"/>
    <w:rsid w:val="0021132C"/>
    <w:rsid w:val="00211760"/>
    <w:rsid w:val="0021189B"/>
    <w:rsid w:val="00211943"/>
    <w:rsid w:val="00211D7E"/>
    <w:rsid w:val="00211DB8"/>
    <w:rsid w:val="00212443"/>
    <w:rsid w:val="002125BC"/>
    <w:rsid w:val="002129A7"/>
    <w:rsid w:val="00212A3C"/>
    <w:rsid w:val="00212BFC"/>
    <w:rsid w:val="002136D2"/>
    <w:rsid w:val="00213963"/>
    <w:rsid w:val="00213AF0"/>
    <w:rsid w:val="00214C43"/>
    <w:rsid w:val="002157BF"/>
    <w:rsid w:val="00215FA2"/>
    <w:rsid w:val="0021621E"/>
    <w:rsid w:val="00216354"/>
    <w:rsid w:val="00216EB6"/>
    <w:rsid w:val="00217927"/>
    <w:rsid w:val="00217F1B"/>
    <w:rsid w:val="00220219"/>
    <w:rsid w:val="002202CE"/>
    <w:rsid w:val="00220687"/>
    <w:rsid w:val="002208CF"/>
    <w:rsid w:val="00220971"/>
    <w:rsid w:val="00220B6B"/>
    <w:rsid w:val="00220E62"/>
    <w:rsid w:val="0022139E"/>
    <w:rsid w:val="002216F1"/>
    <w:rsid w:val="0022198F"/>
    <w:rsid w:val="002230BF"/>
    <w:rsid w:val="002234AD"/>
    <w:rsid w:val="00223BAF"/>
    <w:rsid w:val="002250CD"/>
    <w:rsid w:val="002252E0"/>
    <w:rsid w:val="002255F6"/>
    <w:rsid w:val="00225C57"/>
    <w:rsid w:val="00226181"/>
    <w:rsid w:val="002275C2"/>
    <w:rsid w:val="00230206"/>
    <w:rsid w:val="00230CE0"/>
    <w:rsid w:val="00230EE7"/>
    <w:rsid w:val="002320A5"/>
    <w:rsid w:val="00232628"/>
    <w:rsid w:val="00232D40"/>
    <w:rsid w:val="00232FDA"/>
    <w:rsid w:val="0023311A"/>
    <w:rsid w:val="00233C09"/>
    <w:rsid w:val="00233E5D"/>
    <w:rsid w:val="00233F18"/>
    <w:rsid w:val="002346A3"/>
    <w:rsid w:val="002346F8"/>
    <w:rsid w:val="00235240"/>
    <w:rsid w:val="00236218"/>
    <w:rsid w:val="0023628C"/>
    <w:rsid w:val="002363DA"/>
    <w:rsid w:val="00236443"/>
    <w:rsid w:val="00236546"/>
    <w:rsid w:val="00237121"/>
    <w:rsid w:val="00237129"/>
    <w:rsid w:val="00237462"/>
    <w:rsid w:val="00237489"/>
    <w:rsid w:val="00240A22"/>
    <w:rsid w:val="0024116C"/>
    <w:rsid w:val="002420C5"/>
    <w:rsid w:val="0024246D"/>
    <w:rsid w:val="002425A8"/>
    <w:rsid w:val="00242B9B"/>
    <w:rsid w:val="00242FD0"/>
    <w:rsid w:val="002436BA"/>
    <w:rsid w:val="00243FD5"/>
    <w:rsid w:val="002442B5"/>
    <w:rsid w:val="002445A8"/>
    <w:rsid w:val="0024467C"/>
    <w:rsid w:val="00244A15"/>
    <w:rsid w:val="00244E40"/>
    <w:rsid w:val="00244FDA"/>
    <w:rsid w:val="00244FFB"/>
    <w:rsid w:val="00245732"/>
    <w:rsid w:val="00246752"/>
    <w:rsid w:val="00247061"/>
    <w:rsid w:val="0024708C"/>
    <w:rsid w:val="00247879"/>
    <w:rsid w:val="0024799E"/>
    <w:rsid w:val="00250259"/>
    <w:rsid w:val="0025030B"/>
    <w:rsid w:val="00250351"/>
    <w:rsid w:val="0025064A"/>
    <w:rsid w:val="00251C55"/>
    <w:rsid w:val="00253387"/>
    <w:rsid w:val="0025369C"/>
    <w:rsid w:val="00253F4C"/>
    <w:rsid w:val="00253F55"/>
    <w:rsid w:val="0025424A"/>
    <w:rsid w:val="002559CA"/>
    <w:rsid w:val="002561A8"/>
    <w:rsid w:val="00256333"/>
    <w:rsid w:val="00256C20"/>
    <w:rsid w:val="00257219"/>
    <w:rsid w:val="00257256"/>
    <w:rsid w:val="0025762A"/>
    <w:rsid w:val="00257B2A"/>
    <w:rsid w:val="00260758"/>
    <w:rsid w:val="00260AAC"/>
    <w:rsid w:val="00261022"/>
    <w:rsid w:val="00261C15"/>
    <w:rsid w:val="002620B2"/>
    <w:rsid w:val="00262DE2"/>
    <w:rsid w:val="00263C92"/>
    <w:rsid w:val="00263FF8"/>
    <w:rsid w:val="00264C0B"/>
    <w:rsid w:val="00264EC0"/>
    <w:rsid w:val="00264EE3"/>
    <w:rsid w:val="00264EFE"/>
    <w:rsid w:val="00264FB5"/>
    <w:rsid w:val="00265111"/>
    <w:rsid w:val="00265895"/>
    <w:rsid w:val="00265988"/>
    <w:rsid w:val="00265C6B"/>
    <w:rsid w:val="00265FE2"/>
    <w:rsid w:val="002662B6"/>
    <w:rsid w:val="00266352"/>
    <w:rsid w:val="0026686A"/>
    <w:rsid w:val="00266A16"/>
    <w:rsid w:val="002670C4"/>
    <w:rsid w:val="0026737D"/>
    <w:rsid w:val="00267FBF"/>
    <w:rsid w:val="0027020A"/>
    <w:rsid w:val="002704E6"/>
    <w:rsid w:val="00270946"/>
    <w:rsid w:val="00270A16"/>
    <w:rsid w:val="00270A89"/>
    <w:rsid w:val="002713BE"/>
    <w:rsid w:val="002713D7"/>
    <w:rsid w:val="00271C9A"/>
    <w:rsid w:val="00272AE5"/>
    <w:rsid w:val="00272CB1"/>
    <w:rsid w:val="0027386F"/>
    <w:rsid w:val="00274309"/>
    <w:rsid w:val="0027431A"/>
    <w:rsid w:val="00274C86"/>
    <w:rsid w:val="002752A1"/>
    <w:rsid w:val="0027567B"/>
    <w:rsid w:val="00275CBD"/>
    <w:rsid w:val="00275D6B"/>
    <w:rsid w:val="00275DC4"/>
    <w:rsid w:val="00276B63"/>
    <w:rsid w:val="00276D9A"/>
    <w:rsid w:val="002772DE"/>
    <w:rsid w:val="00277B21"/>
    <w:rsid w:val="00280759"/>
    <w:rsid w:val="00280AA5"/>
    <w:rsid w:val="00280CC5"/>
    <w:rsid w:val="00280DDF"/>
    <w:rsid w:val="00280F94"/>
    <w:rsid w:val="002810DB"/>
    <w:rsid w:val="002814D7"/>
    <w:rsid w:val="002817BF"/>
    <w:rsid w:val="00281815"/>
    <w:rsid w:val="002827CD"/>
    <w:rsid w:val="002827D9"/>
    <w:rsid w:val="0028287A"/>
    <w:rsid w:val="002829BA"/>
    <w:rsid w:val="00282A77"/>
    <w:rsid w:val="0028316C"/>
    <w:rsid w:val="00283ACE"/>
    <w:rsid w:val="002844DA"/>
    <w:rsid w:val="00284569"/>
    <w:rsid w:val="00284C59"/>
    <w:rsid w:val="00285055"/>
    <w:rsid w:val="00285F18"/>
    <w:rsid w:val="0028651F"/>
    <w:rsid w:val="002865A8"/>
    <w:rsid w:val="00286798"/>
    <w:rsid w:val="002867FF"/>
    <w:rsid w:val="00286C94"/>
    <w:rsid w:val="00286DD7"/>
    <w:rsid w:val="00287056"/>
    <w:rsid w:val="0028723F"/>
    <w:rsid w:val="00287774"/>
    <w:rsid w:val="0029007C"/>
    <w:rsid w:val="00290097"/>
    <w:rsid w:val="00290C0F"/>
    <w:rsid w:val="002925B4"/>
    <w:rsid w:val="00293D06"/>
    <w:rsid w:val="00293DA9"/>
    <w:rsid w:val="00293EA3"/>
    <w:rsid w:val="002941F0"/>
    <w:rsid w:val="00294C64"/>
    <w:rsid w:val="0029555F"/>
    <w:rsid w:val="00295694"/>
    <w:rsid w:val="002958E1"/>
    <w:rsid w:val="0029633E"/>
    <w:rsid w:val="00296571"/>
    <w:rsid w:val="002965A8"/>
    <w:rsid w:val="00296ED7"/>
    <w:rsid w:val="00297123"/>
    <w:rsid w:val="0029722B"/>
    <w:rsid w:val="00297709"/>
    <w:rsid w:val="002A0EC4"/>
    <w:rsid w:val="002A1045"/>
    <w:rsid w:val="002A1227"/>
    <w:rsid w:val="002A1824"/>
    <w:rsid w:val="002A1858"/>
    <w:rsid w:val="002A30A5"/>
    <w:rsid w:val="002A4211"/>
    <w:rsid w:val="002A425D"/>
    <w:rsid w:val="002A4D5F"/>
    <w:rsid w:val="002A4F13"/>
    <w:rsid w:val="002A5204"/>
    <w:rsid w:val="002A56AB"/>
    <w:rsid w:val="002A5DCB"/>
    <w:rsid w:val="002A65BD"/>
    <w:rsid w:val="002A6819"/>
    <w:rsid w:val="002A7861"/>
    <w:rsid w:val="002A7CEC"/>
    <w:rsid w:val="002B0275"/>
    <w:rsid w:val="002B0B7D"/>
    <w:rsid w:val="002B0BA0"/>
    <w:rsid w:val="002B1828"/>
    <w:rsid w:val="002B1989"/>
    <w:rsid w:val="002B1A25"/>
    <w:rsid w:val="002B1B30"/>
    <w:rsid w:val="002B2704"/>
    <w:rsid w:val="002B2D57"/>
    <w:rsid w:val="002B3E1F"/>
    <w:rsid w:val="002B46F4"/>
    <w:rsid w:val="002B4761"/>
    <w:rsid w:val="002B54C0"/>
    <w:rsid w:val="002B56E3"/>
    <w:rsid w:val="002B5770"/>
    <w:rsid w:val="002B5AB2"/>
    <w:rsid w:val="002B5D4E"/>
    <w:rsid w:val="002B5FD4"/>
    <w:rsid w:val="002B64F5"/>
    <w:rsid w:val="002B6523"/>
    <w:rsid w:val="002B7751"/>
    <w:rsid w:val="002B796A"/>
    <w:rsid w:val="002C01B1"/>
    <w:rsid w:val="002C02F4"/>
    <w:rsid w:val="002C0364"/>
    <w:rsid w:val="002C1551"/>
    <w:rsid w:val="002C1B56"/>
    <w:rsid w:val="002C1E1D"/>
    <w:rsid w:val="002C2974"/>
    <w:rsid w:val="002C2F1D"/>
    <w:rsid w:val="002C31D3"/>
    <w:rsid w:val="002C33BC"/>
    <w:rsid w:val="002C3789"/>
    <w:rsid w:val="002C38A2"/>
    <w:rsid w:val="002C3BF0"/>
    <w:rsid w:val="002C3BF3"/>
    <w:rsid w:val="002C43BD"/>
    <w:rsid w:val="002C48AC"/>
    <w:rsid w:val="002C57E7"/>
    <w:rsid w:val="002C5962"/>
    <w:rsid w:val="002C5D21"/>
    <w:rsid w:val="002C6AAC"/>
    <w:rsid w:val="002C6BCF"/>
    <w:rsid w:val="002C6C33"/>
    <w:rsid w:val="002C7240"/>
    <w:rsid w:val="002C7411"/>
    <w:rsid w:val="002C7893"/>
    <w:rsid w:val="002D04E1"/>
    <w:rsid w:val="002D0898"/>
    <w:rsid w:val="002D118C"/>
    <w:rsid w:val="002D1326"/>
    <w:rsid w:val="002D1818"/>
    <w:rsid w:val="002D185D"/>
    <w:rsid w:val="002D1F51"/>
    <w:rsid w:val="002D2299"/>
    <w:rsid w:val="002D2736"/>
    <w:rsid w:val="002D27B8"/>
    <w:rsid w:val="002D2A44"/>
    <w:rsid w:val="002D3188"/>
    <w:rsid w:val="002D31CA"/>
    <w:rsid w:val="002D33DA"/>
    <w:rsid w:val="002D3DF2"/>
    <w:rsid w:val="002D4653"/>
    <w:rsid w:val="002D47D8"/>
    <w:rsid w:val="002D4858"/>
    <w:rsid w:val="002D4997"/>
    <w:rsid w:val="002D526C"/>
    <w:rsid w:val="002D5503"/>
    <w:rsid w:val="002D55C1"/>
    <w:rsid w:val="002D5CD6"/>
    <w:rsid w:val="002D5DAB"/>
    <w:rsid w:val="002D6C84"/>
    <w:rsid w:val="002D7C93"/>
    <w:rsid w:val="002E0064"/>
    <w:rsid w:val="002E02A1"/>
    <w:rsid w:val="002E0742"/>
    <w:rsid w:val="002E1086"/>
    <w:rsid w:val="002E1322"/>
    <w:rsid w:val="002E1344"/>
    <w:rsid w:val="002E1696"/>
    <w:rsid w:val="002E1A39"/>
    <w:rsid w:val="002E1DBF"/>
    <w:rsid w:val="002E1E36"/>
    <w:rsid w:val="002E252B"/>
    <w:rsid w:val="002E2B2B"/>
    <w:rsid w:val="002E2BDC"/>
    <w:rsid w:val="002E3472"/>
    <w:rsid w:val="002E3A1E"/>
    <w:rsid w:val="002E4175"/>
    <w:rsid w:val="002E458D"/>
    <w:rsid w:val="002E4948"/>
    <w:rsid w:val="002E55E1"/>
    <w:rsid w:val="002E60FD"/>
    <w:rsid w:val="002E6BB7"/>
    <w:rsid w:val="002E7379"/>
    <w:rsid w:val="002E7670"/>
    <w:rsid w:val="002E7ADD"/>
    <w:rsid w:val="002E7B2B"/>
    <w:rsid w:val="002E7C9B"/>
    <w:rsid w:val="002F009C"/>
    <w:rsid w:val="002F065D"/>
    <w:rsid w:val="002F06EE"/>
    <w:rsid w:val="002F0986"/>
    <w:rsid w:val="002F0B8B"/>
    <w:rsid w:val="002F20CD"/>
    <w:rsid w:val="002F2959"/>
    <w:rsid w:val="002F2FBA"/>
    <w:rsid w:val="002F37E3"/>
    <w:rsid w:val="002F3C2A"/>
    <w:rsid w:val="002F42AF"/>
    <w:rsid w:val="002F473A"/>
    <w:rsid w:val="002F4840"/>
    <w:rsid w:val="002F6D9E"/>
    <w:rsid w:val="002F7610"/>
    <w:rsid w:val="002F77B1"/>
    <w:rsid w:val="002F79CB"/>
    <w:rsid w:val="0030070B"/>
    <w:rsid w:val="00300DA9"/>
    <w:rsid w:val="00300EAC"/>
    <w:rsid w:val="00300F02"/>
    <w:rsid w:val="0030106D"/>
    <w:rsid w:val="0030115C"/>
    <w:rsid w:val="00301C0F"/>
    <w:rsid w:val="003023E4"/>
    <w:rsid w:val="00302C66"/>
    <w:rsid w:val="003045E0"/>
    <w:rsid w:val="00304746"/>
    <w:rsid w:val="00304771"/>
    <w:rsid w:val="003051A9"/>
    <w:rsid w:val="00305DAE"/>
    <w:rsid w:val="0030627B"/>
    <w:rsid w:val="00306718"/>
    <w:rsid w:val="00306C5B"/>
    <w:rsid w:val="003071DA"/>
    <w:rsid w:val="003072A3"/>
    <w:rsid w:val="003072F3"/>
    <w:rsid w:val="003079A2"/>
    <w:rsid w:val="00307EF1"/>
    <w:rsid w:val="00310066"/>
    <w:rsid w:val="003103CB"/>
    <w:rsid w:val="003103E0"/>
    <w:rsid w:val="0031148A"/>
    <w:rsid w:val="003117CF"/>
    <w:rsid w:val="003121BF"/>
    <w:rsid w:val="0031271A"/>
    <w:rsid w:val="003130F7"/>
    <w:rsid w:val="003136F4"/>
    <w:rsid w:val="00313700"/>
    <w:rsid w:val="00313954"/>
    <w:rsid w:val="00313A98"/>
    <w:rsid w:val="003147E8"/>
    <w:rsid w:val="00314D34"/>
    <w:rsid w:val="00315085"/>
    <w:rsid w:val="0031544D"/>
    <w:rsid w:val="003156E7"/>
    <w:rsid w:val="003160DA"/>
    <w:rsid w:val="003165BA"/>
    <w:rsid w:val="00316817"/>
    <w:rsid w:val="00316AD5"/>
    <w:rsid w:val="00316C94"/>
    <w:rsid w:val="00316EF4"/>
    <w:rsid w:val="00317391"/>
    <w:rsid w:val="00317C5F"/>
    <w:rsid w:val="00317EBC"/>
    <w:rsid w:val="003209D6"/>
    <w:rsid w:val="003217B6"/>
    <w:rsid w:val="003217FC"/>
    <w:rsid w:val="00321E3E"/>
    <w:rsid w:val="00322252"/>
    <w:rsid w:val="003225F2"/>
    <w:rsid w:val="00323022"/>
    <w:rsid w:val="0032366F"/>
    <w:rsid w:val="003250C9"/>
    <w:rsid w:val="003251E3"/>
    <w:rsid w:val="003255CB"/>
    <w:rsid w:val="003257F5"/>
    <w:rsid w:val="00325971"/>
    <w:rsid w:val="003259CF"/>
    <w:rsid w:val="00325B31"/>
    <w:rsid w:val="00325DD0"/>
    <w:rsid w:val="00325E0E"/>
    <w:rsid w:val="003269A5"/>
    <w:rsid w:val="00326C5C"/>
    <w:rsid w:val="00326E7A"/>
    <w:rsid w:val="00326F4F"/>
    <w:rsid w:val="003274B4"/>
    <w:rsid w:val="003276A0"/>
    <w:rsid w:val="00327DB8"/>
    <w:rsid w:val="003302D8"/>
    <w:rsid w:val="00330372"/>
    <w:rsid w:val="00330AC6"/>
    <w:rsid w:val="00330C9C"/>
    <w:rsid w:val="00330E0E"/>
    <w:rsid w:val="00331AC3"/>
    <w:rsid w:val="00331CF1"/>
    <w:rsid w:val="00331F5B"/>
    <w:rsid w:val="003321E3"/>
    <w:rsid w:val="003325D8"/>
    <w:rsid w:val="00332A37"/>
    <w:rsid w:val="00332CDF"/>
    <w:rsid w:val="00333777"/>
    <w:rsid w:val="00333ABA"/>
    <w:rsid w:val="00334152"/>
    <w:rsid w:val="00334173"/>
    <w:rsid w:val="00334622"/>
    <w:rsid w:val="0033497F"/>
    <w:rsid w:val="00334F6B"/>
    <w:rsid w:val="003350C1"/>
    <w:rsid w:val="00335F36"/>
    <w:rsid w:val="0033607F"/>
    <w:rsid w:val="0033701D"/>
    <w:rsid w:val="0033719B"/>
    <w:rsid w:val="00337647"/>
    <w:rsid w:val="00337C80"/>
    <w:rsid w:val="00337FF8"/>
    <w:rsid w:val="0034071F"/>
    <w:rsid w:val="00342891"/>
    <w:rsid w:val="00342CCB"/>
    <w:rsid w:val="00342D7F"/>
    <w:rsid w:val="00342F33"/>
    <w:rsid w:val="00342FA4"/>
    <w:rsid w:val="003448B2"/>
    <w:rsid w:val="00344B20"/>
    <w:rsid w:val="0034565E"/>
    <w:rsid w:val="00345A98"/>
    <w:rsid w:val="00345FBE"/>
    <w:rsid w:val="00347557"/>
    <w:rsid w:val="00347A74"/>
    <w:rsid w:val="00347B49"/>
    <w:rsid w:val="00350538"/>
    <w:rsid w:val="00350682"/>
    <w:rsid w:val="00351292"/>
    <w:rsid w:val="00351439"/>
    <w:rsid w:val="00351DFE"/>
    <w:rsid w:val="00351E54"/>
    <w:rsid w:val="003521E4"/>
    <w:rsid w:val="0035267C"/>
    <w:rsid w:val="003528D4"/>
    <w:rsid w:val="0035345E"/>
    <w:rsid w:val="0035349A"/>
    <w:rsid w:val="00353D39"/>
    <w:rsid w:val="00354DB7"/>
    <w:rsid w:val="00355181"/>
    <w:rsid w:val="0035559D"/>
    <w:rsid w:val="003555D7"/>
    <w:rsid w:val="0035596E"/>
    <w:rsid w:val="00355A2C"/>
    <w:rsid w:val="00355B3B"/>
    <w:rsid w:val="00356188"/>
    <w:rsid w:val="003564B8"/>
    <w:rsid w:val="00356753"/>
    <w:rsid w:val="00356A61"/>
    <w:rsid w:val="00356AAA"/>
    <w:rsid w:val="00356ABD"/>
    <w:rsid w:val="00356D37"/>
    <w:rsid w:val="003574C0"/>
    <w:rsid w:val="003579E7"/>
    <w:rsid w:val="00357CC8"/>
    <w:rsid w:val="00357CCD"/>
    <w:rsid w:val="0036002A"/>
    <w:rsid w:val="00360D24"/>
    <w:rsid w:val="00361234"/>
    <w:rsid w:val="00361542"/>
    <w:rsid w:val="00361E4C"/>
    <w:rsid w:val="003626D8"/>
    <w:rsid w:val="0036281B"/>
    <w:rsid w:val="00362B0E"/>
    <w:rsid w:val="00362E29"/>
    <w:rsid w:val="00363D39"/>
    <w:rsid w:val="00364AA8"/>
    <w:rsid w:val="00364AE9"/>
    <w:rsid w:val="00364B7E"/>
    <w:rsid w:val="003653F5"/>
    <w:rsid w:val="003657F3"/>
    <w:rsid w:val="003670B3"/>
    <w:rsid w:val="00367752"/>
    <w:rsid w:val="003677DB"/>
    <w:rsid w:val="00371591"/>
    <w:rsid w:val="003716F8"/>
    <w:rsid w:val="00371E27"/>
    <w:rsid w:val="003722BF"/>
    <w:rsid w:val="0037234C"/>
    <w:rsid w:val="003723A4"/>
    <w:rsid w:val="00373A90"/>
    <w:rsid w:val="003740E7"/>
    <w:rsid w:val="003740E9"/>
    <w:rsid w:val="00374C97"/>
    <w:rsid w:val="0037506F"/>
    <w:rsid w:val="00375291"/>
    <w:rsid w:val="0037586A"/>
    <w:rsid w:val="003758B5"/>
    <w:rsid w:val="00375BEC"/>
    <w:rsid w:val="00375E4B"/>
    <w:rsid w:val="00375F90"/>
    <w:rsid w:val="00376381"/>
    <w:rsid w:val="00376C78"/>
    <w:rsid w:val="00376F0F"/>
    <w:rsid w:val="003772A1"/>
    <w:rsid w:val="0037736A"/>
    <w:rsid w:val="003802F1"/>
    <w:rsid w:val="00380D97"/>
    <w:rsid w:val="0038118F"/>
    <w:rsid w:val="003812BE"/>
    <w:rsid w:val="0038229A"/>
    <w:rsid w:val="003824D1"/>
    <w:rsid w:val="0038268D"/>
    <w:rsid w:val="00382A0F"/>
    <w:rsid w:val="00382D6B"/>
    <w:rsid w:val="003833EC"/>
    <w:rsid w:val="003837EC"/>
    <w:rsid w:val="00383D35"/>
    <w:rsid w:val="00385262"/>
    <w:rsid w:val="00385269"/>
    <w:rsid w:val="00385513"/>
    <w:rsid w:val="00385D98"/>
    <w:rsid w:val="00386839"/>
    <w:rsid w:val="00386A97"/>
    <w:rsid w:val="00386F3B"/>
    <w:rsid w:val="003879E8"/>
    <w:rsid w:val="00387E30"/>
    <w:rsid w:val="00390603"/>
    <w:rsid w:val="00390E9E"/>
    <w:rsid w:val="00390F21"/>
    <w:rsid w:val="0039120D"/>
    <w:rsid w:val="0039197C"/>
    <w:rsid w:val="00391D0A"/>
    <w:rsid w:val="00391E63"/>
    <w:rsid w:val="00392254"/>
    <w:rsid w:val="0039228B"/>
    <w:rsid w:val="00393002"/>
    <w:rsid w:val="0039320D"/>
    <w:rsid w:val="0039340C"/>
    <w:rsid w:val="00393436"/>
    <w:rsid w:val="0039379F"/>
    <w:rsid w:val="00393BE7"/>
    <w:rsid w:val="00393C6A"/>
    <w:rsid w:val="0039409D"/>
    <w:rsid w:val="00394507"/>
    <w:rsid w:val="00394874"/>
    <w:rsid w:val="00394AF0"/>
    <w:rsid w:val="00395150"/>
    <w:rsid w:val="003957A5"/>
    <w:rsid w:val="00395F3A"/>
    <w:rsid w:val="00395F71"/>
    <w:rsid w:val="0039621D"/>
    <w:rsid w:val="00396771"/>
    <w:rsid w:val="00396E7D"/>
    <w:rsid w:val="003972A8"/>
    <w:rsid w:val="00397E28"/>
    <w:rsid w:val="003A01AA"/>
    <w:rsid w:val="003A063A"/>
    <w:rsid w:val="003A0D1B"/>
    <w:rsid w:val="003A113C"/>
    <w:rsid w:val="003A2969"/>
    <w:rsid w:val="003A2B4D"/>
    <w:rsid w:val="003A357E"/>
    <w:rsid w:val="003A478C"/>
    <w:rsid w:val="003A4BEB"/>
    <w:rsid w:val="003A4EC6"/>
    <w:rsid w:val="003A51CB"/>
    <w:rsid w:val="003A5525"/>
    <w:rsid w:val="003A5692"/>
    <w:rsid w:val="003A6740"/>
    <w:rsid w:val="003A6935"/>
    <w:rsid w:val="003A6B38"/>
    <w:rsid w:val="003A7595"/>
    <w:rsid w:val="003A7922"/>
    <w:rsid w:val="003A7D53"/>
    <w:rsid w:val="003B037A"/>
    <w:rsid w:val="003B0794"/>
    <w:rsid w:val="003B07C1"/>
    <w:rsid w:val="003B0C33"/>
    <w:rsid w:val="003B0E07"/>
    <w:rsid w:val="003B1566"/>
    <w:rsid w:val="003B178D"/>
    <w:rsid w:val="003B17A8"/>
    <w:rsid w:val="003B19B3"/>
    <w:rsid w:val="003B1E85"/>
    <w:rsid w:val="003B24A7"/>
    <w:rsid w:val="003B29D7"/>
    <w:rsid w:val="003B2BAD"/>
    <w:rsid w:val="003B2C71"/>
    <w:rsid w:val="003B3B65"/>
    <w:rsid w:val="003B42C5"/>
    <w:rsid w:val="003B4B9D"/>
    <w:rsid w:val="003B5A32"/>
    <w:rsid w:val="003B5BA0"/>
    <w:rsid w:val="003B6158"/>
    <w:rsid w:val="003B63C4"/>
    <w:rsid w:val="003B65DC"/>
    <w:rsid w:val="003B7213"/>
    <w:rsid w:val="003B7434"/>
    <w:rsid w:val="003B7608"/>
    <w:rsid w:val="003B7DEB"/>
    <w:rsid w:val="003C064D"/>
    <w:rsid w:val="003C075E"/>
    <w:rsid w:val="003C07A7"/>
    <w:rsid w:val="003C0B2C"/>
    <w:rsid w:val="003C0E69"/>
    <w:rsid w:val="003C1288"/>
    <w:rsid w:val="003C1352"/>
    <w:rsid w:val="003C1490"/>
    <w:rsid w:val="003C1606"/>
    <w:rsid w:val="003C1864"/>
    <w:rsid w:val="003C1989"/>
    <w:rsid w:val="003C2F6F"/>
    <w:rsid w:val="003C2F7B"/>
    <w:rsid w:val="003C300B"/>
    <w:rsid w:val="003C3462"/>
    <w:rsid w:val="003C359D"/>
    <w:rsid w:val="003C36C6"/>
    <w:rsid w:val="003C3B1F"/>
    <w:rsid w:val="003C3ED6"/>
    <w:rsid w:val="003C3F7D"/>
    <w:rsid w:val="003C41F4"/>
    <w:rsid w:val="003C48B3"/>
    <w:rsid w:val="003C48BB"/>
    <w:rsid w:val="003C49DB"/>
    <w:rsid w:val="003C547F"/>
    <w:rsid w:val="003C620B"/>
    <w:rsid w:val="003C7492"/>
    <w:rsid w:val="003C7BD9"/>
    <w:rsid w:val="003D0267"/>
    <w:rsid w:val="003D0844"/>
    <w:rsid w:val="003D1C12"/>
    <w:rsid w:val="003D22DA"/>
    <w:rsid w:val="003D2414"/>
    <w:rsid w:val="003D2820"/>
    <w:rsid w:val="003D2BA3"/>
    <w:rsid w:val="003D2E6B"/>
    <w:rsid w:val="003D2E83"/>
    <w:rsid w:val="003D3C14"/>
    <w:rsid w:val="003D3C7C"/>
    <w:rsid w:val="003D3D33"/>
    <w:rsid w:val="003D3EC5"/>
    <w:rsid w:val="003D3FDF"/>
    <w:rsid w:val="003D432D"/>
    <w:rsid w:val="003D48F5"/>
    <w:rsid w:val="003D4938"/>
    <w:rsid w:val="003D5507"/>
    <w:rsid w:val="003D5814"/>
    <w:rsid w:val="003D5F99"/>
    <w:rsid w:val="003D632E"/>
    <w:rsid w:val="003D6330"/>
    <w:rsid w:val="003D635C"/>
    <w:rsid w:val="003D6C5F"/>
    <w:rsid w:val="003D7076"/>
    <w:rsid w:val="003D767C"/>
    <w:rsid w:val="003D794C"/>
    <w:rsid w:val="003D7A94"/>
    <w:rsid w:val="003E126A"/>
    <w:rsid w:val="003E1575"/>
    <w:rsid w:val="003E17C7"/>
    <w:rsid w:val="003E1BA4"/>
    <w:rsid w:val="003E2814"/>
    <w:rsid w:val="003E29E2"/>
    <w:rsid w:val="003E2BEE"/>
    <w:rsid w:val="003E2F56"/>
    <w:rsid w:val="003E3540"/>
    <w:rsid w:val="003E3731"/>
    <w:rsid w:val="003E3781"/>
    <w:rsid w:val="003E3FF4"/>
    <w:rsid w:val="003E4357"/>
    <w:rsid w:val="003E45F7"/>
    <w:rsid w:val="003E47A8"/>
    <w:rsid w:val="003E4F4A"/>
    <w:rsid w:val="003E5177"/>
    <w:rsid w:val="003E5F6B"/>
    <w:rsid w:val="003E6528"/>
    <w:rsid w:val="003E6A07"/>
    <w:rsid w:val="003E6DA0"/>
    <w:rsid w:val="003E7A4F"/>
    <w:rsid w:val="003E7BB8"/>
    <w:rsid w:val="003E7CEF"/>
    <w:rsid w:val="003E7F87"/>
    <w:rsid w:val="003F05BE"/>
    <w:rsid w:val="003F061A"/>
    <w:rsid w:val="003F0699"/>
    <w:rsid w:val="003F1B72"/>
    <w:rsid w:val="003F1D40"/>
    <w:rsid w:val="003F1DD5"/>
    <w:rsid w:val="003F20D5"/>
    <w:rsid w:val="003F2C63"/>
    <w:rsid w:val="003F313C"/>
    <w:rsid w:val="003F35D9"/>
    <w:rsid w:val="003F49D1"/>
    <w:rsid w:val="003F4DCF"/>
    <w:rsid w:val="003F4F0F"/>
    <w:rsid w:val="003F5D59"/>
    <w:rsid w:val="003F62AA"/>
    <w:rsid w:val="003F6D94"/>
    <w:rsid w:val="003F78FB"/>
    <w:rsid w:val="00400753"/>
    <w:rsid w:val="00400DE4"/>
    <w:rsid w:val="0040121C"/>
    <w:rsid w:val="004015BD"/>
    <w:rsid w:val="00401F46"/>
    <w:rsid w:val="00402545"/>
    <w:rsid w:val="00402980"/>
    <w:rsid w:val="00403190"/>
    <w:rsid w:val="0040347A"/>
    <w:rsid w:val="00403713"/>
    <w:rsid w:val="00403D9C"/>
    <w:rsid w:val="00403E0D"/>
    <w:rsid w:val="004057AA"/>
    <w:rsid w:val="00405949"/>
    <w:rsid w:val="00405B1F"/>
    <w:rsid w:val="004065B7"/>
    <w:rsid w:val="004068D7"/>
    <w:rsid w:val="00406DCE"/>
    <w:rsid w:val="004070A8"/>
    <w:rsid w:val="00407247"/>
    <w:rsid w:val="004078C5"/>
    <w:rsid w:val="00407906"/>
    <w:rsid w:val="00407952"/>
    <w:rsid w:val="00407D84"/>
    <w:rsid w:val="00410BE2"/>
    <w:rsid w:val="00410D5F"/>
    <w:rsid w:val="004110F5"/>
    <w:rsid w:val="004116C5"/>
    <w:rsid w:val="00411B1D"/>
    <w:rsid w:val="00411ED9"/>
    <w:rsid w:val="00412C19"/>
    <w:rsid w:val="00412D63"/>
    <w:rsid w:val="0041306A"/>
    <w:rsid w:val="00413B81"/>
    <w:rsid w:val="00413CFF"/>
    <w:rsid w:val="00413F73"/>
    <w:rsid w:val="00414077"/>
    <w:rsid w:val="00414240"/>
    <w:rsid w:val="004147FA"/>
    <w:rsid w:val="00414BF4"/>
    <w:rsid w:val="0041670A"/>
    <w:rsid w:val="00417092"/>
    <w:rsid w:val="004174C8"/>
    <w:rsid w:val="004178D8"/>
    <w:rsid w:val="00417B4D"/>
    <w:rsid w:val="00417E61"/>
    <w:rsid w:val="00420340"/>
    <w:rsid w:val="0042091A"/>
    <w:rsid w:val="0042112C"/>
    <w:rsid w:val="004215CD"/>
    <w:rsid w:val="00421812"/>
    <w:rsid w:val="004221C1"/>
    <w:rsid w:val="00422315"/>
    <w:rsid w:val="00422AC4"/>
    <w:rsid w:val="004235A3"/>
    <w:rsid w:val="004236B3"/>
    <w:rsid w:val="004245DC"/>
    <w:rsid w:val="00424D25"/>
    <w:rsid w:val="00424E0A"/>
    <w:rsid w:val="004251DA"/>
    <w:rsid w:val="00425406"/>
    <w:rsid w:val="00425596"/>
    <w:rsid w:val="00426007"/>
    <w:rsid w:val="00426B0F"/>
    <w:rsid w:val="00427030"/>
    <w:rsid w:val="00427185"/>
    <w:rsid w:val="00427319"/>
    <w:rsid w:val="004276A3"/>
    <w:rsid w:val="00427765"/>
    <w:rsid w:val="00427FC6"/>
    <w:rsid w:val="00431134"/>
    <w:rsid w:val="004311ED"/>
    <w:rsid w:val="004318E5"/>
    <w:rsid w:val="0043194A"/>
    <w:rsid w:val="00431B48"/>
    <w:rsid w:val="00431B5D"/>
    <w:rsid w:val="00431E74"/>
    <w:rsid w:val="00432081"/>
    <w:rsid w:val="004326BD"/>
    <w:rsid w:val="00432DFF"/>
    <w:rsid w:val="00432F47"/>
    <w:rsid w:val="00435439"/>
    <w:rsid w:val="00435744"/>
    <w:rsid w:val="00436001"/>
    <w:rsid w:val="00436048"/>
    <w:rsid w:val="00436680"/>
    <w:rsid w:val="004378B1"/>
    <w:rsid w:val="00437AF8"/>
    <w:rsid w:val="004403CF"/>
    <w:rsid w:val="0044057A"/>
    <w:rsid w:val="00441009"/>
    <w:rsid w:val="00442005"/>
    <w:rsid w:val="004423DA"/>
    <w:rsid w:val="00443325"/>
    <w:rsid w:val="004439C3"/>
    <w:rsid w:val="0044450D"/>
    <w:rsid w:val="00445057"/>
    <w:rsid w:val="00446664"/>
    <w:rsid w:val="00446E26"/>
    <w:rsid w:val="004479AD"/>
    <w:rsid w:val="004479C5"/>
    <w:rsid w:val="00447FC9"/>
    <w:rsid w:val="004512C0"/>
    <w:rsid w:val="00451DAA"/>
    <w:rsid w:val="00452AFA"/>
    <w:rsid w:val="00452F02"/>
    <w:rsid w:val="00453A0A"/>
    <w:rsid w:val="00453D53"/>
    <w:rsid w:val="0045411A"/>
    <w:rsid w:val="00454634"/>
    <w:rsid w:val="00454869"/>
    <w:rsid w:val="00454EB3"/>
    <w:rsid w:val="00454EC1"/>
    <w:rsid w:val="00454F6F"/>
    <w:rsid w:val="00455140"/>
    <w:rsid w:val="00455361"/>
    <w:rsid w:val="00455781"/>
    <w:rsid w:val="0045630F"/>
    <w:rsid w:val="00456CA1"/>
    <w:rsid w:val="00456EBB"/>
    <w:rsid w:val="004571EA"/>
    <w:rsid w:val="004576FE"/>
    <w:rsid w:val="00457DCC"/>
    <w:rsid w:val="00457FBC"/>
    <w:rsid w:val="0046073B"/>
    <w:rsid w:val="00460F79"/>
    <w:rsid w:val="00461706"/>
    <w:rsid w:val="00461ADE"/>
    <w:rsid w:val="00461F45"/>
    <w:rsid w:val="00462707"/>
    <w:rsid w:val="0046331E"/>
    <w:rsid w:val="004638EB"/>
    <w:rsid w:val="00463BD0"/>
    <w:rsid w:val="00464380"/>
    <w:rsid w:val="0046451A"/>
    <w:rsid w:val="00464761"/>
    <w:rsid w:val="004648C1"/>
    <w:rsid w:val="00464F7E"/>
    <w:rsid w:val="00465311"/>
    <w:rsid w:val="00465F5F"/>
    <w:rsid w:val="00466425"/>
    <w:rsid w:val="004665AF"/>
    <w:rsid w:val="00466831"/>
    <w:rsid w:val="00466D51"/>
    <w:rsid w:val="004670A8"/>
    <w:rsid w:val="0046775B"/>
    <w:rsid w:val="00470756"/>
    <w:rsid w:val="00470CEE"/>
    <w:rsid w:val="00471BBB"/>
    <w:rsid w:val="0047201D"/>
    <w:rsid w:val="00472334"/>
    <w:rsid w:val="00472688"/>
    <w:rsid w:val="00473671"/>
    <w:rsid w:val="004741CD"/>
    <w:rsid w:val="00474452"/>
    <w:rsid w:val="00475475"/>
    <w:rsid w:val="00475DA2"/>
    <w:rsid w:val="00476282"/>
    <w:rsid w:val="00476627"/>
    <w:rsid w:val="00476A85"/>
    <w:rsid w:val="004774E8"/>
    <w:rsid w:val="004779E1"/>
    <w:rsid w:val="00480162"/>
    <w:rsid w:val="00480372"/>
    <w:rsid w:val="004804E5"/>
    <w:rsid w:val="00480529"/>
    <w:rsid w:val="00480EDC"/>
    <w:rsid w:val="0048109D"/>
    <w:rsid w:val="0048139F"/>
    <w:rsid w:val="004818A4"/>
    <w:rsid w:val="00481B3C"/>
    <w:rsid w:val="00481DE5"/>
    <w:rsid w:val="00482D67"/>
    <w:rsid w:val="00482FCD"/>
    <w:rsid w:val="00483821"/>
    <w:rsid w:val="00483CCC"/>
    <w:rsid w:val="004851BE"/>
    <w:rsid w:val="004852A4"/>
    <w:rsid w:val="004863B2"/>
    <w:rsid w:val="00487E3A"/>
    <w:rsid w:val="00487FCD"/>
    <w:rsid w:val="004900DA"/>
    <w:rsid w:val="00490666"/>
    <w:rsid w:val="004906C2"/>
    <w:rsid w:val="00490D0F"/>
    <w:rsid w:val="00491103"/>
    <w:rsid w:val="004914EE"/>
    <w:rsid w:val="004929B5"/>
    <w:rsid w:val="004931EF"/>
    <w:rsid w:val="00493281"/>
    <w:rsid w:val="004932B2"/>
    <w:rsid w:val="00493A9C"/>
    <w:rsid w:val="00493E18"/>
    <w:rsid w:val="00493FE6"/>
    <w:rsid w:val="00494818"/>
    <w:rsid w:val="00495130"/>
    <w:rsid w:val="00495847"/>
    <w:rsid w:val="00495BE3"/>
    <w:rsid w:val="00496655"/>
    <w:rsid w:val="00496BA1"/>
    <w:rsid w:val="00497328"/>
    <w:rsid w:val="004975C6"/>
    <w:rsid w:val="004977A5"/>
    <w:rsid w:val="0049791F"/>
    <w:rsid w:val="00497D17"/>
    <w:rsid w:val="004A00EB"/>
    <w:rsid w:val="004A0999"/>
    <w:rsid w:val="004A0A54"/>
    <w:rsid w:val="004A1053"/>
    <w:rsid w:val="004A11CA"/>
    <w:rsid w:val="004A13D8"/>
    <w:rsid w:val="004A172E"/>
    <w:rsid w:val="004A1CCE"/>
    <w:rsid w:val="004A1DAF"/>
    <w:rsid w:val="004A28F3"/>
    <w:rsid w:val="004A38B8"/>
    <w:rsid w:val="004A3975"/>
    <w:rsid w:val="004A3EB1"/>
    <w:rsid w:val="004A4E44"/>
    <w:rsid w:val="004A5FC6"/>
    <w:rsid w:val="004A6777"/>
    <w:rsid w:val="004A6DDE"/>
    <w:rsid w:val="004A71CE"/>
    <w:rsid w:val="004A77A8"/>
    <w:rsid w:val="004A77DF"/>
    <w:rsid w:val="004A7979"/>
    <w:rsid w:val="004A7AF9"/>
    <w:rsid w:val="004A7E93"/>
    <w:rsid w:val="004B020B"/>
    <w:rsid w:val="004B06DD"/>
    <w:rsid w:val="004B11C6"/>
    <w:rsid w:val="004B2561"/>
    <w:rsid w:val="004B2AD8"/>
    <w:rsid w:val="004B2E8D"/>
    <w:rsid w:val="004B3899"/>
    <w:rsid w:val="004B3C72"/>
    <w:rsid w:val="004B3CCC"/>
    <w:rsid w:val="004B3F6A"/>
    <w:rsid w:val="004B4712"/>
    <w:rsid w:val="004B4917"/>
    <w:rsid w:val="004B4CE5"/>
    <w:rsid w:val="004B55B7"/>
    <w:rsid w:val="004B58AC"/>
    <w:rsid w:val="004B5F92"/>
    <w:rsid w:val="004B6B8B"/>
    <w:rsid w:val="004B73DE"/>
    <w:rsid w:val="004B74FA"/>
    <w:rsid w:val="004C0922"/>
    <w:rsid w:val="004C1850"/>
    <w:rsid w:val="004C1966"/>
    <w:rsid w:val="004C1FB6"/>
    <w:rsid w:val="004C20E8"/>
    <w:rsid w:val="004C2ABC"/>
    <w:rsid w:val="004C2E6C"/>
    <w:rsid w:val="004C30C3"/>
    <w:rsid w:val="004C3424"/>
    <w:rsid w:val="004C3867"/>
    <w:rsid w:val="004C39F0"/>
    <w:rsid w:val="004C3A10"/>
    <w:rsid w:val="004C418E"/>
    <w:rsid w:val="004C4319"/>
    <w:rsid w:val="004C47E1"/>
    <w:rsid w:val="004C4942"/>
    <w:rsid w:val="004C4BF5"/>
    <w:rsid w:val="004C4CD0"/>
    <w:rsid w:val="004C4EFF"/>
    <w:rsid w:val="004C5B5F"/>
    <w:rsid w:val="004C67B5"/>
    <w:rsid w:val="004C6A78"/>
    <w:rsid w:val="004C70DC"/>
    <w:rsid w:val="004C7AD7"/>
    <w:rsid w:val="004D0211"/>
    <w:rsid w:val="004D034C"/>
    <w:rsid w:val="004D08FE"/>
    <w:rsid w:val="004D0F73"/>
    <w:rsid w:val="004D134D"/>
    <w:rsid w:val="004D1CDE"/>
    <w:rsid w:val="004D286D"/>
    <w:rsid w:val="004D2C8B"/>
    <w:rsid w:val="004D3072"/>
    <w:rsid w:val="004D31C1"/>
    <w:rsid w:val="004D3A01"/>
    <w:rsid w:val="004D3A77"/>
    <w:rsid w:val="004D4037"/>
    <w:rsid w:val="004D451D"/>
    <w:rsid w:val="004D4570"/>
    <w:rsid w:val="004D4880"/>
    <w:rsid w:val="004D56B1"/>
    <w:rsid w:val="004D655A"/>
    <w:rsid w:val="004D6F2B"/>
    <w:rsid w:val="004D7138"/>
    <w:rsid w:val="004D73CB"/>
    <w:rsid w:val="004E0401"/>
    <w:rsid w:val="004E0807"/>
    <w:rsid w:val="004E0A94"/>
    <w:rsid w:val="004E0C6D"/>
    <w:rsid w:val="004E15B9"/>
    <w:rsid w:val="004E1973"/>
    <w:rsid w:val="004E2E7E"/>
    <w:rsid w:val="004E3005"/>
    <w:rsid w:val="004E3035"/>
    <w:rsid w:val="004E3936"/>
    <w:rsid w:val="004E3DEC"/>
    <w:rsid w:val="004E4191"/>
    <w:rsid w:val="004E41B5"/>
    <w:rsid w:val="004E46DF"/>
    <w:rsid w:val="004E476A"/>
    <w:rsid w:val="004E4D16"/>
    <w:rsid w:val="004E4FFB"/>
    <w:rsid w:val="004E5169"/>
    <w:rsid w:val="004E5602"/>
    <w:rsid w:val="004E5C31"/>
    <w:rsid w:val="004E5D45"/>
    <w:rsid w:val="004E5FE0"/>
    <w:rsid w:val="004E6565"/>
    <w:rsid w:val="004E68DB"/>
    <w:rsid w:val="004E6969"/>
    <w:rsid w:val="004E739E"/>
    <w:rsid w:val="004E7AE1"/>
    <w:rsid w:val="004F06F5"/>
    <w:rsid w:val="004F0A15"/>
    <w:rsid w:val="004F0AB5"/>
    <w:rsid w:val="004F1516"/>
    <w:rsid w:val="004F16EE"/>
    <w:rsid w:val="004F1797"/>
    <w:rsid w:val="004F2159"/>
    <w:rsid w:val="004F215E"/>
    <w:rsid w:val="004F2AE1"/>
    <w:rsid w:val="004F2D13"/>
    <w:rsid w:val="004F2D5F"/>
    <w:rsid w:val="004F2FA5"/>
    <w:rsid w:val="004F3087"/>
    <w:rsid w:val="004F33A0"/>
    <w:rsid w:val="004F33F7"/>
    <w:rsid w:val="004F3AD4"/>
    <w:rsid w:val="004F3C0D"/>
    <w:rsid w:val="004F462B"/>
    <w:rsid w:val="004F4873"/>
    <w:rsid w:val="004F4F11"/>
    <w:rsid w:val="004F4F7D"/>
    <w:rsid w:val="004F51C9"/>
    <w:rsid w:val="004F568A"/>
    <w:rsid w:val="004F5B21"/>
    <w:rsid w:val="004F667E"/>
    <w:rsid w:val="004F700D"/>
    <w:rsid w:val="004F70B6"/>
    <w:rsid w:val="00500846"/>
    <w:rsid w:val="00500923"/>
    <w:rsid w:val="0050092F"/>
    <w:rsid w:val="00501FAB"/>
    <w:rsid w:val="00502D0B"/>
    <w:rsid w:val="00502FE0"/>
    <w:rsid w:val="00503668"/>
    <w:rsid w:val="00503A24"/>
    <w:rsid w:val="00503A73"/>
    <w:rsid w:val="00503ACA"/>
    <w:rsid w:val="00504886"/>
    <w:rsid w:val="00504BEA"/>
    <w:rsid w:val="00504F4E"/>
    <w:rsid w:val="005053EF"/>
    <w:rsid w:val="00505A3D"/>
    <w:rsid w:val="00506563"/>
    <w:rsid w:val="00506B89"/>
    <w:rsid w:val="00506BE1"/>
    <w:rsid w:val="0051016A"/>
    <w:rsid w:val="005108C0"/>
    <w:rsid w:val="005109EE"/>
    <w:rsid w:val="0051105A"/>
    <w:rsid w:val="005116AE"/>
    <w:rsid w:val="00511798"/>
    <w:rsid w:val="00511873"/>
    <w:rsid w:val="005121C8"/>
    <w:rsid w:val="00512AD3"/>
    <w:rsid w:val="00512DE2"/>
    <w:rsid w:val="00513B7E"/>
    <w:rsid w:val="00513BF8"/>
    <w:rsid w:val="00514B70"/>
    <w:rsid w:val="00514E1A"/>
    <w:rsid w:val="0051506A"/>
    <w:rsid w:val="00515117"/>
    <w:rsid w:val="00515299"/>
    <w:rsid w:val="00515655"/>
    <w:rsid w:val="00515A86"/>
    <w:rsid w:val="00515D27"/>
    <w:rsid w:val="00515E3B"/>
    <w:rsid w:val="005161B9"/>
    <w:rsid w:val="005168CB"/>
    <w:rsid w:val="00516C32"/>
    <w:rsid w:val="00517049"/>
    <w:rsid w:val="005170DC"/>
    <w:rsid w:val="005175B3"/>
    <w:rsid w:val="00517B67"/>
    <w:rsid w:val="00517C8E"/>
    <w:rsid w:val="00517E91"/>
    <w:rsid w:val="00520088"/>
    <w:rsid w:val="00520C88"/>
    <w:rsid w:val="00520D35"/>
    <w:rsid w:val="00520DE9"/>
    <w:rsid w:val="0052101A"/>
    <w:rsid w:val="00521255"/>
    <w:rsid w:val="00521B41"/>
    <w:rsid w:val="00521D7D"/>
    <w:rsid w:val="00521EC9"/>
    <w:rsid w:val="005227FD"/>
    <w:rsid w:val="00522B3F"/>
    <w:rsid w:val="00522B79"/>
    <w:rsid w:val="005232EA"/>
    <w:rsid w:val="00523721"/>
    <w:rsid w:val="0052409E"/>
    <w:rsid w:val="0052453A"/>
    <w:rsid w:val="00524DE5"/>
    <w:rsid w:val="00525137"/>
    <w:rsid w:val="005251DD"/>
    <w:rsid w:val="0052577D"/>
    <w:rsid w:val="00525959"/>
    <w:rsid w:val="0052639A"/>
    <w:rsid w:val="005269AE"/>
    <w:rsid w:val="00526EDB"/>
    <w:rsid w:val="00527020"/>
    <w:rsid w:val="00527DE2"/>
    <w:rsid w:val="00527E28"/>
    <w:rsid w:val="0053033B"/>
    <w:rsid w:val="00530A59"/>
    <w:rsid w:val="00530EC6"/>
    <w:rsid w:val="00531881"/>
    <w:rsid w:val="00531A9D"/>
    <w:rsid w:val="00531C4D"/>
    <w:rsid w:val="0053226E"/>
    <w:rsid w:val="005325E6"/>
    <w:rsid w:val="0053309F"/>
    <w:rsid w:val="00533F4C"/>
    <w:rsid w:val="0053483A"/>
    <w:rsid w:val="00534E4C"/>
    <w:rsid w:val="00534F1F"/>
    <w:rsid w:val="00534FFE"/>
    <w:rsid w:val="005352AA"/>
    <w:rsid w:val="005358AE"/>
    <w:rsid w:val="005358DA"/>
    <w:rsid w:val="00535C2C"/>
    <w:rsid w:val="005360A0"/>
    <w:rsid w:val="00536759"/>
    <w:rsid w:val="00536C97"/>
    <w:rsid w:val="00536CEA"/>
    <w:rsid w:val="00537110"/>
    <w:rsid w:val="005375A7"/>
    <w:rsid w:val="00537971"/>
    <w:rsid w:val="00537A00"/>
    <w:rsid w:val="0054008C"/>
    <w:rsid w:val="00540091"/>
    <w:rsid w:val="00540555"/>
    <w:rsid w:val="00540798"/>
    <w:rsid w:val="00540C34"/>
    <w:rsid w:val="0054189B"/>
    <w:rsid w:val="00541913"/>
    <w:rsid w:val="00542276"/>
    <w:rsid w:val="005428AF"/>
    <w:rsid w:val="00542BA3"/>
    <w:rsid w:val="005432B4"/>
    <w:rsid w:val="00543366"/>
    <w:rsid w:val="00543559"/>
    <w:rsid w:val="0054366D"/>
    <w:rsid w:val="00543992"/>
    <w:rsid w:val="00543A8E"/>
    <w:rsid w:val="00543AB1"/>
    <w:rsid w:val="005449F2"/>
    <w:rsid w:val="00544F48"/>
    <w:rsid w:val="005451BD"/>
    <w:rsid w:val="00545978"/>
    <w:rsid w:val="00545AFD"/>
    <w:rsid w:val="00545CE0"/>
    <w:rsid w:val="00545EB8"/>
    <w:rsid w:val="00546350"/>
    <w:rsid w:val="00546D29"/>
    <w:rsid w:val="00547176"/>
    <w:rsid w:val="00547182"/>
    <w:rsid w:val="00547A35"/>
    <w:rsid w:val="00547C40"/>
    <w:rsid w:val="00550813"/>
    <w:rsid w:val="00550C2A"/>
    <w:rsid w:val="005510D3"/>
    <w:rsid w:val="00551851"/>
    <w:rsid w:val="00552021"/>
    <w:rsid w:val="00552947"/>
    <w:rsid w:val="005536B9"/>
    <w:rsid w:val="005538D5"/>
    <w:rsid w:val="00554544"/>
    <w:rsid w:val="005547E8"/>
    <w:rsid w:val="00555287"/>
    <w:rsid w:val="005553DE"/>
    <w:rsid w:val="0055542F"/>
    <w:rsid w:val="00555EE8"/>
    <w:rsid w:val="0055623F"/>
    <w:rsid w:val="005566DB"/>
    <w:rsid w:val="00557A33"/>
    <w:rsid w:val="00560003"/>
    <w:rsid w:val="00560156"/>
    <w:rsid w:val="00560664"/>
    <w:rsid w:val="0056078B"/>
    <w:rsid w:val="00560AA3"/>
    <w:rsid w:val="00560EF7"/>
    <w:rsid w:val="0056103D"/>
    <w:rsid w:val="00562A76"/>
    <w:rsid w:val="00563394"/>
    <w:rsid w:val="0056359D"/>
    <w:rsid w:val="00563FA0"/>
    <w:rsid w:val="00563FAA"/>
    <w:rsid w:val="005640E4"/>
    <w:rsid w:val="0056498F"/>
    <w:rsid w:val="00565180"/>
    <w:rsid w:val="0056548A"/>
    <w:rsid w:val="0056549B"/>
    <w:rsid w:val="0056587C"/>
    <w:rsid w:val="00565B52"/>
    <w:rsid w:val="0056608E"/>
    <w:rsid w:val="0056614D"/>
    <w:rsid w:val="0056641C"/>
    <w:rsid w:val="00566439"/>
    <w:rsid w:val="00566AAA"/>
    <w:rsid w:val="0056739F"/>
    <w:rsid w:val="005678BA"/>
    <w:rsid w:val="00567F1A"/>
    <w:rsid w:val="00567F55"/>
    <w:rsid w:val="00567F78"/>
    <w:rsid w:val="00570160"/>
    <w:rsid w:val="00570286"/>
    <w:rsid w:val="0057085E"/>
    <w:rsid w:val="00571197"/>
    <w:rsid w:val="0057192E"/>
    <w:rsid w:val="00571D93"/>
    <w:rsid w:val="0057208B"/>
    <w:rsid w:val="00572150"/>
    <w:rsid w:val="00572A0C"/>
    <w:rsid w:val="00572E66"/>
    <w:rsid w:val="005739F2"/>
    <w:rsid w:val="00574D0D"/>
    <w:rsid w:val="00574F7E"/>
    <w:rsid w:val="005753B1"/>
    <w:rsid w:val="005754E4"/>
    <w:rsid w:val="0057585C"/>
    <w:rsid w:val="005758D4"/>
    <w:rsid w:val="00575B02"/>
    <w:rsid w:val="00576362"/>
    <w:rsid w:val="00576FE4"/>
    <w:rsid w:val="00577318"/>
    <w:rsid w:val="00577321"/>
    <w:rsid w:val="0058016E"/>
    <w:rsid w:val="0058052C"/>
    <w:rsid w:val="00580B85"/>
    <w:rsid w:val="00580D41"/>
    <w:rsid w:val="005811F7"/>
    <w:rsid w:val="005821AF"/>
    <w:rsid w:val="005826BE"/>
    <w:rsid w:val="00582D33"/>
    <w:rsid w:val="00583A7E"/>
    <w:rsid w:val="00583F8C"/>
    <w:rsid w:val="00583FFD"/>
    <w:rsid w:val="00584857"/>
    <w:rsid w:val="005849FE"/>
    <w:rsid w:val="00584A66"/>
    <w:rsid w:val="0058576D"/>
    <w:rsid w:val="0058713A"/>
    <w:rsid w:val="005872D8"/>
    <w:rsid w:val="00587E0A"/>
    <w:rsid w:val="00587EA9"/>
    <w:rsid w:val="00590B56"/>
    <w:rsid w:val="00590EDC"/>
    <w:rsid w:val="0059103D"/>
    <w:rsid w:val="00591242"/>
    <w:rsid w:val="005915CC"/>
    <w:rsid w:val="00591B47"/>
    <w:rsid w:val="0059233D"/>
    <w:rsid w:val="005923DF"/>
    <w:rsid w:val="00592BE4"/>
    <w:rsid w:val="00593152"/>
    <w:rsid w:val="00593616"/>
    <w:rsid w:val="00593820"/>
    <w:rsid w:val="00593851"/>
    <w:rsid w:val="0059387C"/>
    <w:rsid w:val="005939B4"/>
    <w:rsid w:val="00593A9C"/>
    <w:rsid w:val="00594043"/>
    <w:rsid w:val="00594936"/>
    <w:rsid w:val="00594FB0"/>
    <w:rsid w:val="0059529C"/>
    <w:rsid w:val="00595DC7"/>
    <w:rsid w:val="00597087"/>
    <w:rsid w:val="0059708A"/>
    <w:rsid w:val="005977E9"/>
    <w:rsid w:val="005A09F2"/>
    <w:rsid w:val="005A1031"/>
    <w:rsid w:val="005A1623"/>
    <w:rsid w:val="005A1837"/>
    <w:rsid w:val="005A21E0"/>
    <w:rsid w:val="005A23B0"/>
    <w:rsid w:val="005A276D"/>
    <w:rsid w:val="005A2C38"/>
    <w:rsid w:val="005A2FC5"/>
    <w:rsid w:val="005A30F2"/>
    <w:rsid w:val="005A37E7"/>
    <w:rsid w:val="005A3847"/>
    <w:rsid w:val="005A5865"/>
    <w:rsid w:val="005A5899"/>
    <w:rsid w:val="005A5AC5"/>
    <w:rsid w:val="005A660F"/>
    <w:rsid w:val="005A6FB7"/>
    <w:rsid w:val="005A77F2"/>
    <w:rsid w:val="005B0208"/>
    <w:rsid w:val="005B02FF"/>
    <w:rsid w:val="005B0628"/>
    <w:rsid w:val="005B07D3"/>
    <w:rsid w:val="005B1168"/>
    <w:rsid w:val="005B147F"/>
    <w:rsid w:val="005B1853"/>
    <w:rsid w:val="005B1992"/>
    <w:rsid w:val="005B1B8A"/>
    <w:rsid w:val="005B2222"/>
    <w:rsid w:val="005B2EB6"/>
    <w:rsid w:val="005B343F"/>
    <w:rsid w:val="005B36D8"/>
    <w:rsid w:val="005B38AA"/>
    <w:rsid w:val="005B3B88"/>
    <w:rsid w:val="005B3FD3"/>
    <w:rsid w:val="005B4204"/>
    <w:rsid w:val="005B4212"/>
    <w:rsid w:val="005B42CD"/>
    <w:rsid w:val="005B4E4D"/>
    <w:rsid w:val="005B58BA"/>
    <w:rsid w:val="005B59C1"/>
    <w:rsid w:val="005B6347"/>
    <w:rsid w:val="005B63FC"/>
    <w:rsid w:val="005B64F2"/>
    <w:rsid w:val="005B7050"/>
    <w:rsid w:val="005B718E"/>
    <w:rsid w:val="005B7A7A"/>
    <w:rsid w:val="005B7D32"/>
    <w:rsid w:val="005C08CC"/>
    <w:rsid w:val="005C09DB"/>
    <w:rsid w:val="005C0F10"/>
    <w:rsid w:val="005C1751"/>
    <w:rsid w:val="005C189F"/>
    <w:rsid w:val="005C19D5"/>
    <w:rsid w:val="005C1DC1"/>
    <w:rsid w:val="005C2717"/>
    <w:rsid w:val="005C37B3"/>
    <w:rsid w:val="005C406B"/>
    <w:rsid w:val="005C42D5"/>
    <w:rsid w:val="005C4369"/>
    <w:rsid w:val="005C4548"/>
    <w:rsid w:val="005C4B29"/>
    <w:rsid w:val="005C4D86"/>
    <w:rsid w:val="005C5C7F"/>
    <w:rsid w:val="005C5CDF"/>
    <w:rsid w:val="005C5E53"/>
    <w:rsid w:val="005C6594"/>
    <w:rsid w:val="005C665F"/>
    <w:rsid w:val="005C7387"/>
    <w:rsid w:val="005D0867"/>
    <w:rsid w:val="005D16A4"/>
    <w:rsid w:val="005D20C4"/>
    <w:rsid w:val="005D290C"/>
    <w:rsid w:val="005D29E5"/>
    <w:rsid w:val="005D3058"/>
    <w:rsid w:val="005D3996"/>
    <w:rsid w:val="005D3BBC"/>
    <w:rsid w:val="005D3BE7"/>
    <w:rsid w:val="005D3E7F"/>
    <w:rsid w:val="005D4046"/>
    <w:rsid w:val="005D44A6"/>
    <w:rsid w:val="005D4807"/>
    <w:rsid w:val="005D51C2"/>
    <w:rsid w:val="005D5238"/>
    <w:rsid w:val="005D55CB"/>
    <w:rsid w:val="005D5802"/>
    <w:rsid w:val="005D5C56"/>
    <w:rsid w:val="005D5CA3"/>
    <w:rsid w:val="005D5E5F"/>
    <w:rsid w:val="005D73FA"/>
    <w:rsid w:val="005D74E7"/>
    <w:rsid w:val="005E002F"/>
    <w:rsid w:val="005E1372"/>
    <w:rsid w:val="005E2A43"/>
    <w:rsid w:val="005E2F1E"/>
    <w:rsid w:val="005E2FF6"/>
    <w:rsid w:val="005E32FF"/>
    <w:rsid w:val="005E3315"/>
    <w:rsid w:val="005E3777"/>
    <w:rsid w:val="005E3EC3"/>
    <w:rsid w:val="005E3F10"/>
    <w:rsid w:val="005E49FD"/>
    <w:rsid w:val="005E5184"/>
    <w:rsid w:val="005E5260"/>
    <w:rsid w:val="005E5841"/>
    <w:rsid w:val="005E5B41"/>
    <w:rsid w:val="005E5EBF"/>
    <w:rsid w:val="005E6CBD"/>
    <w:rsid w:val="005E6F1A"/>
    <w:rsid w:val="005E763D"/>
    <w:rsid w:val="005E7BA1"/>
    <w:rsid w:val="005F005F"/>
    <w:rsid w:val="005F0101"/>
    <w:rsid w:val="005F1092"/>
    <w:rsid w:val="005F1489"/>
    <w:rsid w:val="005F15CA"/>
    <w:rsid w:val="005F1824"/>
    <w:rsid w:val="005F2A70"/>
    <w:rsid w:val="005F2B59"/>
    <w:rsid w:val="005F2EF3"/>
    <w:rsid w:val="005F3893"/>
    <w:rsid w:val="005F3B4D"/>
    <w:rsid w:val="005F4296"/>
    <w:rsid w:val="005F451F"/>
    <w:rsid w:val="005F5310"/>
    <w:rsid w:val="005F542D"/>
    <w:rsid w:val="005F56BE"/>
    <w:rsid w:val="005F5904"/>
    <w:rsid w:val="005F5A23"/>
    <w:rsid w:val="005F5E8E"/>
    <w:rsid w:val="00600063"/>
    <w:rsid w:val="006001CD"/>
    <w:rsid w:val="00600C8C"/>
    <w:rsid w:val="00600F11"/>
    <w:rsid w:val="00601716"/>
    <w:rsid w:val="00601818"/>
    <w:rsid w:val="00601E2B"/>
    <w:rsid w:val="00601EDC"/>
    <w:rsid w:val="00602F57"/>
    <w:rsid w:val="00603264"/>
    <w:rsid w:val="0060342E"/>
    <w:rsid w:val="006039C1"/>
    <w:rsid w:val="00604307"/>
    <w:rsid w:val="00604666"/>
    <w:rsid w:val="0060487F"/>
    <w:rsid w:val="00605934"/>
    <w:rsid w:val="00605F96"/>
    <w:rsid w:val="00606610"/>
    <w:rsid w:val="00606D77"/>
    <w:rsid w:val="00607062"/>
    <w:rsid w:val="00607283"/>
    <w:rsid w:val="006072EF"/>
    <w:rsid w:val="006077DB"/>
    <w:rsid w:val="006078A8"/>
    <w:rsid w:val="006078F5"/>
    <w:rsid w:val="00610460"/>
    <w:rsid w:val="006109E5"/>
    <w:rsid w:val="00610DF0"/>
    <w:rsid w:val="00610EDF"/>
    <w:rsid w:val="00611119"/>
    <w:rsid w:val="00611201"/>
    <w:rsid w:val="00611726"/>
    <w:rsid w:val="006122C1"/>
    <w:rsid w:val="006122D2"/>
    <w:rsid w:val="0061265E"/>
    <w:rsid w:val="00613019"/>
    <w:rsid w:val="00613239"/>
    <w:rsid w:val="00613633"/>
    <w:rsid w:val="006149CB"/>
    <w:rsid w:val="00615455"/>
    <w:rsid w:val="006159A6"/>
    <w:rsid w:val="00615C91"/>
    <w:rsid w:val="00616048"/>
    <w:rsid w:val="00616630"/>
    <w:rsid w:val="00616C47"/>
    <w:rsid w:val="00617486"/>
    <w:rsid w:val="006179E9"/>
    <w:rsid w:val="00617B46"/>
    <w:rsid w:val="0062019D"/>
    <w:rsid w:val="006209F3"/>
    <w:rsid w:val="00620EE2"/>
    <w:rsid w:val="00621068"/>
    <w:rsid w:val="00621357"/>
    <w:rsid w:val="00621877"/>
    <w:rsid w:val="006218B6"/>
    <w:rsid w:val="00621B4D"/>
    <w:rsid w:val="0062202C"/>
    <w:rsid w:val="00622337"/>
    <w:rsid w:val="0062288E"/>
    <w:rsid w:val="00622E2A"/>
    <w:rsid w:val="00623113"/>
    <w:rsid w:val="00623850"/>
    <w:rsid w:val="00624093"/>
    <w:rsid w:val="00624159"/>
    <w:rsid w:val="00624574"/>
    <w:rsid w:val="006245AC"/>
    <w:rsid w:val="006257D8"/>
    <w:rsid w:val="00625EC1"/>
    <w:rsid w:val="0062613F"/>
    <w:rsid w:val="00626221"/>
    <w:rsid w:val="006265C8"/>
    <w:rsid w:val="00626715"/>
    <w:rsid w:val="00626889"/>
    <w:rsid w:val="00626D34"/>
    <w:rsid w:val="006272E2"/>
    <w:rsid w:val="00627D13"/>
    <w:rsid w:val="006314F5"/>
    <w:rsid w:val="00631767"/>
    <w:rsid w:val="006323AD"/>
    <w:rsid w:val="0063286C"/>
    <w:rsid w:val="00633016"/>
    <w:rsid w:val="006331C2"/>
    <w:rsid w:val="00633681"/>
    <w:rsid w:val="00633800"/>
    <w:rsid w:val="00633BA0"/>
    <w:rsid w:val="00633D51"/>
    <w:rsid w:val="0063432F"/>
    <w:rsid w:val="006343AA"/>
    <w:rsid w:val="00635127"/>
    <w:rsid w:val="00635AC8"/>
    <w:rsid w:val="00635B96"/>
    <w:rsid w:val="00635B9F"/>
    <w:rsid w:val="006367A1"/>
    <w:rsid w:val="00636CC5"/>
    <w:rsid w:val="00637245"/>
    <w:rsid w:val="006372CE"/>
    <w:rsid w:val="0063745A"/>
    <w:rsid w:val="006376EE"/>
    <w:rsid w:val="00637EEA"/>
    <w:rsid w:val="006404A7"/>
    <w:rsid w:val="00640655"/>
    <w:rsid w:val="006410BD"/>
    <w:rsid w:val="00641240"/>
    <w:rsid w:val="00641532"/>
    <w:rsid w:val="00641CA5"/>
    <w:rsid w:val="00641EF4"/>
    <w:rsid w:val="006422BF"/>
    <w:rsid w:val="0064268B"/>
    <w:rsid w:val="006431FB"/>
    <w:rsid w:val="00643EF0"/>
    <w:rsid w:val="00644069"/>
    <w:rsid w:val="00644A6A"/>
    <w:rsid w:val="00644B55"/>
    <w:rsid w:val="00644F44"/>
    <w:rsid w:val="006451E4"/>
    <w:rsid w:val="006451F0"/>
    <w:rsid w:val="00645556"/>
    <w:rsid w:val="0064634C"/>
    <w:rsid w:val="00646455"/>
    <w:rsid w:val="00646639"/>
    <w:rsid w:val="00647699"/>
    <w:rsid w:val="00647780"/>
    <w:rsid w:val="006479DA"/>
    <w:rsid w:val="006479DB"/>
    <w:rsid w:val="00650C77"/>
    <w:rsid w:val="00651076"/>
    <w:rsid w:val="00651871"/>
    <w:rsid w:val="006519CC"/>
    <w:rsid w:val="00651EF4"/>
    <w:rsid w:val="00651F65"/>
    <w:rsid w:val="00652647"/>
    <w:rsid w:val="0065266E"/>
    <w:rsid w:val="00653090"/>
    <w:rsid w:val="006549D8"/>
    <w:rsid w:val="00655A89"/>
    <w:rsid w:val="0065600F"/>
    <w:rsid w:val="006560AE"/>
    <w:rsid w:val="00656414"/>
    <w:rsid w:val="006567AE"/>
    <w:rsid w:val="006571A0"/>
    <w:rsid w:val="006574CC"/>
    <w:rsid w:val="0065768E"/>
    <w:rsid w:val="006578C1"/>
    <w:rsid w:val="00657B2F"/>
    <w:rsid w:val="00657E87"/>
    <w:rsid w:val="00657ED8"/>
    <w:rsid w:val="0066042C"/>
    <w:rsid w:val="006606AA"/>
    <w:rsid w:val="00660A08"/>
    <w:rsid w:val="00660C0F"/>
    <w:rsid w:val="0066194D"/>
    <w:rsid w:val="00661F99"/>
    <w:rsid w:val="00662212"/>
    <w:rsid w:val="006624B0"/>
    <w:rsid w:val="00662635"/>
    <w:rsid w:val="00662679"/>
    <w:rsid w:val="00662983"/>
    <w:rsid w:val="00662987"/>
    <w:rsid w:val="0066380A"/>
    <w:rsid w:val="00663BE1"/>
    <w:rsid w:val="00663C24"/>
    <w:rsid w:val="00663F1B"/>
    <w:rsid w:val="00665019"/>
    <w:rsid w:val="00665211"/>
    <w:rsid w:val="00667000"/>
    <w:rsid w:val="00667CCE"/>
    <w:rsid w:val="0067027E"/>
    <w:rsid w:val="006709E7"/>
    <w:rsid w:val="00670A13"/>
    <w:rsid w:val="00670A64"/>
    <w:rsid w:val="00670CA8"/>
    <w:rsid w:val="00670DB2"/>
    <w:rsid w:val="006710C9"/>
    <w:rsid w:val="0067138D"/>
    <w:rsid w:val="0067141D"/>
    <w:rsid w:val="00671495"/>
    <w:rsid w:val="0067179E"/>
    <w:rsid w:val="00671C06"/>
    <w:rsid w:val="0067248A"/>
    <w:rsid w:val="00672776"/>
    <w:rsid w:val="00673310"/>
    <w:rsid w:val="006734A4"/>
    <w:rsid w:val="00673A4C"/>
    <w:rsid w:val="00673B5A"/>
    <w:rsid w:val="00673CD6"/>
    <w:rsid w:val="00674524"/>
    <w:rsid w:val="00675588"/>
    <w:rsid w:val="00675DDF"/>
    <w:rsid w:val="00675E37"/>
    <w:rsid w:val="0067608A"/>
    <w:rsid w:val="00676213"/>
    <w:rsid w:val="006766EB"/>
    <w:rsid w:val="006767A9"/>
    <w:rsid w:val="00677662"/>
    <w:rsid w:val="0068068D"/>
    <w:rsid w:val="006807EA"/>
    <w:rsid w:val="00680C2D"/>
    <w:rsid w:val="00680DF3"/>
    <w:rsid w:val="00680F42"/>
    <w:rsid w:val="00681582"/>
    <w:rsid w:val="00681960"/>
    <w:rsid w:val="00681977"/>
    <w:rsid w:val="00681C24"/>
    <w:rsid w:val="00681C45"/>
    <w:rsid w:val="00681E2C"/>
    <w:rsid w:val="00681EC9"/>
    <w:rsid w:val="0068260E"/>
    <w:rsid w:val="00682617"/>
    <w:rsid w:val="00682824"/>
    <w:rsid w:val="00682CDA"/>
    <w:rsid w:val="00682DAA"/>
    <w:rsid w:val="00682E73"/>
    <w:rsid w:val="006832C0"/>
    <w:rsid w:val="00683955"/>
    <w:rsid w:val="00683C24"/>
    <w:rsid w:val="00684693"/>
    <w:rsid w:val="0068496C"/>
    <w:rsid w:val="00684C6E"/>
    <w:rsid w:val="00684F7B"/>
    <w:rsid w:val="0068525B"/>
    <w:rsid w:val="006853DD"/>
    <w:rsid w:val="00685BF6"/>
    <w:rsid w:val="00685CC3"/>
    <w:rsid w:val="00685F85"/>
    <w:rsid w:val="00687495"/>
    <w:rsid w:val="006877AA"/>
    <w:rsid w:val="00687A5E"/>
    <w:rsid w:val="00690827"/>
    <w:rsid w:val="00690FE7"/>
    <w:rsid w:val="0069136B"/>
    <w:rsid w:val="0069148C"/>
    <w:rsid w:val="006920BC"/>
    <w:rsid w:val="006920C3"/>
    <w:rsid w:val="006920F9"/>
    <w:rsid w:val="00692327"/>
    <w:rsid w:val="00692D4D"/>
    <w:rsid w:val="0069324C"/>
    <w:rsid w:val="00693B68"/>
    <w:rsid w:val="00693C50"/>
    <w:rsid w:val="006945E6"/>
    <w:rsid w:val="00694CD2"/>
    <w:rsid w:val="00694ED7"/>
    <w:rsid w:val="006959A5"/>
    <w:rsid w:val="00695AEB"/>
    <w:rsid w:val="00695BEF"/>
    <w:rsid w:val="00695FD2"/>
    <w:rsid w:val="0069634D"/>
    <w:rsid w:val="00696BCD"/>
    <w:rsid w:val="00696D7B"/>
    <w:rsid w:val="00696DC8"/>
    <w:rsid w:val="006973E4"/>
    <w:rsid w:val="0069770F"/>
    <w:rsid w:val="006977F6"/>
    <w:rsid w:val="00697A13"/>
    <w:rsid w:val="00697C62"/>
    <w:rsid w:val="00697F3E"/>
    <w:rsid w:val="006A109C"/>
    <w:rsid w:val="006A1183"/>
    <w:rsid w:val="006A1985"/>
    <w:rsid w:val="006A2454"/>
    <w:rsid w:val="006A3130"/>
    <w:rsid w:val="006A31DA"/>
    <w:rsid w:val="006A343E"/>
    <w:rsid w:val="006A34FE"/>
    <w:rsid w:val="006A4411"/>
    <w:rsid w:val="006A4AB4"/>
    <w:rsid w:val="006A4B4C"/>
    <w:rsid w:val="006A4DD9"/>
    <w:rsid w:val="006A4FCC"/>
    <w:rsid w:val="006A5427"/>
    <w:rsid w:val="006A6170"/>
    <w:rsid w:val="006A6369"/>
    <w:rsid w:val="006A6385"/>
    <w:rsid w:val="006A65A1"/>
    <w:rsid w:val="006A69A2"/>
    <w:rsid w:val="006A70BC"/>
    <w:rsid w:val="006A78C4"/>
    <w:rsid w:val="006B0F98"/>
    <w:rsid w:val="006B0FB9"/>
    <w:rsid w:val="006B1030"/>
    <w:rsid w:val="006B1A41"/>
    <w:rsid w:val="006B229E"/>
    <w:rsid w:val="006B26C8"/>
    <w:rsid w:val="006B2BCD"/>
    <w:rsid w:val="006B3043"/>
    <w:rsid w:val="006B3050"/>
    <w:rsid w:val="006B316C"/>
    <w:rsid w:val="006B420B"/>
    <w:rsid w:val="006B4AD3"/>
    <w:rsid w:val="006B51FF"/>
    <w:rsid w:val="006B5235"/>
    <w:rsid w:val="006B526B"/>
    <w:rsid w:val="006B55A7"/>
    <w:rsid w:val="006B5772"/>
    <w:rsid w:val="006B6647"/>
    <w:rsid w:val="006B6746"/>
    <w:rsid w:val="006B7227"/>
    <w:rsid w:val="006B7635"/>
    <w:rsid w:val="006B78D8"/>
    <w:rsid w:val="006B78DF"/>
    <w:rsid w:val="006B79DE"/>
    <w:rsid w:val="006B7F9C"/>
    <w:rsid w:val="006C0924"/>
    <w:rsid w:val="006C0EA6"/>
    <w:rsid w:val="006C1080"/>
    <w:rsid w:val="006C113F"/>
    <w:rsid w:val="006C1DF2"/>
    <w:rsid w:val="006C291F"/>
    <w:rsid w:val="006C308C"/>
    <w:rsid w:val="006C3BCB"/>
    <w:rsid w:val="006C3C9F"/>
    <w:rsid w:val="006C3F90"/>
    <w:rsid w:val="006C4DF9"/>
    <w:rsid w:val="006C50E1"/>
    <w:rsid w:val="006C540D"/>
    <w:rsid w:val="006C5B08"/>
    <w:rsid w:val="006C6054"/>
    <w:rsid w:val="006C738C"/>
    <w:rsid w:val="006D0150"/>
    <w:rsid w:val="006D01AD"/>
    <w:rsid w:val="006D0709"/>
    <w:rsid w:val="006D079D"/>
    <w:rsid w:val="006D0D80"/>
    <w:rsid w:val="006D100D"/>
    <w:rsid w:val="006D1B51"/>
    <w:rsid w:val="006D1CB5"/>
    <w:rsid w:val="006D23D5"/>
    <w:rsid w:val="006D29E8"/>
    <w:rsid w:val="006D2D1F"/>
    <w:rsid w:val="006D2F88"/>
    <w:rsid w:val="006D3143"/>
    <w:rsid w:val="006D326F"/>
    <w:rsid w:val="006D3C3E"/>
    <w:rsid w:val="006D3E83"/>
    <w:rsid w:val="006D4E75"/>
    <w:rsid w:val="006D4F38"/>
    <w:rsid w:val="006D566D"/>
    <w:rsid w:val="006D57D2"/>
    <w:rsid w:val="006D5CAC"/>
    <w:rsid w:val="006D5CE5"/>
    <w:rsid w:val="006D61F6"/>
    <w:rsid w:val="006D65CE"/>
    <w:rsid w:val="006D6625"/>
    <w:rsid w:val="006D6713"/>
    <w:rsid w:val="006D6896"/>
    <w:rsid w:val="006D6EB5"/>
    <w:rsid w:val="006D71D0"/>
    <w:rsid w:val="006D7504"/>
    <w:rsid w:val="006D7F8A"/>
    <w:rsid w:val="006E0546"/>
    <w:rsid w:val="006E167F"/>
    <w:rsid w:val="006E16CC"/>
    <w:rsid w:val="006E1CD8"/>
    <w:rsid w:val="006E1D63"/>
    <w:rsid w:val="006E25E7"/>
    <w:rsid w:val="006E279A"/>
    <w:rsid w:val="006E28C8"/>
    <w:rsid w:val="006E313B"/>
    <w:rsid w:val="006E3584"/>
    <w:rsid w:val="006E4647"/>
    <w:rsid w:val="006E484D"/>
    <w:rsid w:val="006E490F"/>
    <w:rsid w:val="006E4B3B"/>
    <w:rsid w:val="006E6595"/>
    <w:rsid w:val="006E7150"/>
    <w:rsid w:val="006E77D4"/>
    <w:rsid w:val="006F007D"/>
    <w:rsid w:val="006F017B"/>
    <w:rsid w:val="006F0D8F"/>
    <w:rsid w:val="006F0DB3"/>
    <w:rsid w:val="006F191A"/>
    <w:rsid w:val="006F1D47"/>
    <w:rsid w:val="006F1D69"/>
    <w:rsid w:val="006F223A"/>
    <w:rsid w:val="006F28F8"/>
    <w:rsid w:val="006F2CA3"/>
    <w:rsid w:val="006F3369"/>
    <w:rsid w:val="006F3EF2"/>
    <w:rsid w:val="006F40B9"/>
    <w:rsid w:val="006F4C74"/>
    <w:rsid w:val="006F7318"/>
    <w:rsid w:val="006F7585"/>
    <w:rsid w:val="006F75E7"/>
    <w:rsid w:val="006F799D"/>
    <w:rsid w:val="006F7A67"/>
    <w:rsid w:val="006F7BEC"/>
    <w:rsid w:val="00700E91"/>
    <w:rsid w:val="007011C1"/>
    <w:rsid w:val="00701E2D"/>
    <w:rsid w:val="0070222F"/>
    <w:rsid w:val="00702659"/>
    <w:rsid w:val="00702D46"/>
    <w:rsid w:val="007035A0"/>
    <w:rsid w:val="00704AFC"/>
    <w:rsid w:val="00704F00"/>
    <w:rsid w:val="00705179"/>
    <w:rsid w:val="007054BC"/>
    <w:rsid w:val="00705E78"/>
    <w:rsid w:val="00706084"/>
    <w:rsid w:val="00706AE8"/>
    <w:rsid w:val="007070B4"/>
    <w:rsid w:val="00707515"/>
    <w:rsid w:val="00707ACC"/>
    <w:rsid w:val="00710016"/>
    <w:rsid w:val="00710960"/>
    <w:rsid w:val="00710A84"/>
    <w:rsid w:val="00710AE0"/>
    <w:rsid w:val="007111CD"/>
    <w:rsid w:val="007115B9"/>
    <w:rsid w:val="007127C2"/>
    <w:rsid w:val="0071328E"/>
    <w:rsid w:val="0071344A"/>
    <w:rsid w:val="0071349D"/>
    <w:rsid w:val="00713599"/>
    <w:rsid w:val="00713786"/>
    <w:rsid w:val="0071486E"/>
    <w:rsid w:val="00714E60"/>
    <w:rsid w:val="007151FF"/>
    <w:rsid w:val="007154C7"/>
    <w:rsid w:val="00715629"/>
    <w:rsid w:val="0071598A"/>
    <w:rsid w:val="007161B8"/>
    <w:rsid w:val="00716EFE"/>
    <w:rsid w:val="00717019"/>
    <w:rsid w:val="007178D3"/>
    <w:rsid w:val="00717FA9"/>
    <w:rsid w:val="007205CE"/>
    <w:rsid w:val="007211F5"/>
    <w:rsid w:val="00721A73"/>
    <w:rsid w:val="00721CDC"/>
    <w:rsid w:val="0072251D"/>
    <w:rsid w:val="00722578"/>
    <w:rsid w:val="007225EC"/>
    <w:rsid w:val="007239D2"/>
    <w:rsid w:val="00723CD1"/>
    <w:rsid w:val="00724CA0"/>
    <w:rsid w:val="00724E5B"/>
    <w:rsid w:val="0072513D"/>
    <w:rsid w:val="00725275"/>
    <w:rsid w:val="00725F07"/>
    <w:rsid w:val="0072612F"/>
    <w:rsid w:val="00726608"/>
    <w:rsid w:val="00726F79"/>
    <w:rsid w:val="00727B3D"/>
    <w:rsid w:val="00727C18"/>
    <w:rsid w:val="00727C34"/>
    <w:rsid w:val="00730645"/>
    <w:rsid w:val="00730697"/>
    <w:rsid w:val="00730AE8"/>
    <w:rsid w:val="00730CB2"/>
    <w:rsid w:val="00730CB3"/>
    <w:rsid w:val="00731C12"/>
    <w:rsid w:val="00732476"/>
    <w:rsid w:val="007325E4"/>
    <w:rsid w:val="00733287"/>
    <w:rsid w:val="007337F1"/>
    <w:rsid w:val="00733953"/>
    <w:rsid w:val="00734AAC"/>
    <w:rsid w:val="00734F25"/>
    <w:rsid w:val="007350F7"/>
    <w:rsid w:val="00735477"/>
    <w:rsid w:val="00735584"/>
    <w:rsid w:val="007359A8"/>
    <w:rsid w:val="00737392"/>
    <w:rsid w:val="00737614"/>
    <w:rsid w:val="00737E6C"/>
    <w:rsid w:val="00741493"/>
    <w:rsid w:val="007419A8"/>
    <w:rsid w:val="00741E14"/>
    <w:rsid w:val="0074248B"/>
    <w:rsid w:val="0074297E"/>
    <w:rsid w:val="007429E0"/>
    <w:rsid w:val="00743BB7"/>
    <w:rsid w:val="007448FD"/>
    <w:rsid w:val="00744F50"/>
    <w:rsid w:val="00745B15"/>
    <w:rsid w:val="00746352"/>
    <w:rsid w:val="00746597"/>
    <w:rsid w:val="00747B4C"/>
    <w:rsid w:val="00747C7A"/>
    <w:rsid w:val="00747DCC"/>
    <w:rsid w:val="00750623"/>
    <w:rsid w:val="00750845"/>
    <w:rsid w:val="00750863"/>
    <w:rsid w:val="00750D40"/>
    <w:rsid w:val="0075203E"/>
    <w:rsid w:val="0075204E"/>
    <w:rsid w:val="00752180"/>
    <w:rsid w:val="007526AD"/>
    <w:rsid w:val="00752BBC"/>
    <w:rsid w:val="00752F9E"/>
    <w:rsid w:val="0075329A"/>
    <w:rsid w:val="0075363D"/>
    <w:rsid w:val="00753754"/>
    <w:rsid w:val="00754FBA"/>
    <w:rsid w:val="0075518E"/>
    <w:rsid w:val="00755A1B"/>
    <w:rsid w:val="00755AFC"/>
    <w:rsid w:val="00755B13"/>
    <w:rsid w:val="00755D3A"/>
    <w:rsid w:val="00756BA9"/>
    <w:rsid w:val="00756BF1"/>
    <w:rsid w:val="007570A8"/>
    <w:rsid w:val="0075739D"/>
    <w:rsid w:val="0076076C"/>
    <w:rsid w:val="007609C6"/>
    <w:rsid w:val="007614EA"/>
    <w:rsid w:val="00761692"/>
    <w:rsid w:val="00761B3D"/>
    <w:rsid w:val="00761CCD"/>
    <w:rsid w:val="007628FD"/>
    <w:rsid w:val="007630F5"/>
    <w:rsid w:val="00763296"/>
    <w:rsid w:val="0076348B"/>
    <w:rsid w:val="0076352C"/>
    <w:rsid w:val="00763F41"/>
    <w:rsid w:val="00764395"/>
    <w:rsid w:val="00764611"/>
    <w:rsid w:val="00764956"/>
    <w:rsid w:val="007649C5"/>
    <w:rsid w:val="00765317"/>
    <w:rsid w:val="00765392"/>
    <w:rsid w:val="007654B8"/>
    <w:rsid w:val="007654F4"/>
    <w:rsid w:val="007660AA"/>
    <w:rsid w:val="0076655A"/>
    <w:rsid w:val="00766D6D"/>
    <w:rsid w:val="0076737C"/>
    <w:rsid w:val="00767B7D"/>
    <w:rsid w:val="00770308"/>
    <w:rsid w:val="00770A0E"/>
    <w:rsid w:val="00770E3E"/>
    <w:rsid w:val="00771B95"/>
    <w:rsid w:val="00771FE2"/>
    <w:rsid w:val="00772D15"/>
    <w:rsid w:val="0077301B"/>
    <w:rsid w:val="00773215"/>
    <w:rsid w:val="00774DEB"/>
    <w:rsid w:val="00776527"/>
    <w:rsid w:val="00776FE1"/>
    <w:rsid w:val="007778E4"/>
    <w:rsid w:val="00777D0D"/>
    <w:rsid w:val="00780087"/>
    <w:rsid w:val="00780A3E"/>
    <w:rsid w:val="00780FBD"/>
    <w:rsid w:val="00781C04"/>
    <w:rsid w:val="007836CD"/>
    <w:rsid w:val="007839DA"/>
    <w:rsid w:val="0078449A"/>
    <w:rsid w:val="00785399"/>
    <w:rsid w:val="00785A63"/>
    <w:rsid w:val="00786294"/>
    <w:rsid w:val="0078690C"/>
    <w:rsid w:val="00786F44"/>
    <w:rsid w:val="007870B4"/>
    <w:rsid w:val="007871C3"/>
    <w:rsid w:val="007878DE"/>
    <w:rsid w:val="00790BAD"/>
    <w:rsid w:val="00791128"/>
    <w:rsid w:val="00791331"/>
    <w:rsid w:val="00791B78"/>
    <w:rsid w:val="00792A54"/>
    <w:rsid w:val="007936A3"/>
    <w:rsid w:val="0079382C"/>
    <w:rsid w:val="0079384B"/>
    <w:rsid w:val="00793BB1"/>
    <w:rsid w:val="00793EC8"/>
    <w:rsid w:val="007942F6"/>
    <w:rsid w:val="007944C1"/>
    <w:rsid w:val="00794E2B"/>
    <w:rsid w:val="00795256"/>
    <w:rsid w:val="007955D7"/>
    <w:rsid w:val="00795E49"/>
    <w:rsid w:val="007969BF"/>
    <w:rsid w:val="007975D0"/>
    <w:rsid w:val="007976B9"/>
    <w:rsid w:val="00797F5F"/>
    <w:rsid w:val="007A02AF"/>
    <w:rsid w:val="007A03D1"/>
    <w:rsid w:val="007A0DDE"/>
    <w:rsid w:val="007A1D16"/>
    <w:rsid w:val="007A3845"/>
    <w:rsid w:val="007A5120"/>
    <w:rsid w:val="007A67E9"/>
    <w:rsid w:val="007A7C45"/>
    <w:rsid w:val="007A7D52"/>
    <w:rsid w:val="007B003E"/>
    <w:rsid w:val="007B06EC"/>
    <w:rsid w:val="007B08F4"/>
    <w:rsid w:val="007B175D"/>
    <w:rsid w:val="007B185F"/>
    <w:rsid w:val="007B1E19"/>
    <w:rsid w:val="007B1EEA"/>
    <w:rsid w:val="007B25C9"/>
    <w:rsid w:val="007B2CF9"/>
    <w:rsid w:val="007B3957"/>
    <w:rsid w:val="007B49D1"/>
    <w:rsid w:val="007B517D"/>
    <w:rsid w:val="007B550A"/>
    <w:rsid w:val="007B5552"/>
    <w:rsid w:val="007B5A02"/>
    <w:rsid w:val="007B5C03"/>
    <w:rsid w:val="007B60BE"/>
    <w:rsid w:val="007B6387"/>
    <w:rsid w:val="007B6493"/>
    <w:rsid w:val="007B678A"/>
    <w:rsid w:val="007B79BE"/>
    <w:rsid w:val="007C0198"/>
    <w:rsid w:val="007C0786"/>
    <w:rsid w:val="007C0886"/>
    <w:rsid w:val="007C0B0F"/>
    <w:rsid w:val="007C15FA"/>
    <w:rsid w:val="007C2201"/>
    <w:rsid w:val="007C27C3"/>
    <w:rsid w:val="007C2E45"/>
    <w:rsid w:val="007C330F"/>
    <w:rsid w:val="007C358A"/>
    <w:rsid w:val="007C3629"/>
    <w:rsid w:val="007C3C87"/>
    <w:rsid w:val="007C3F6A"/>
    <w:rsid w:val="007C41AE"/>
    <w:rsid w:val="007C4771"/>
    <w:rsid w:val="007C4789"/>
    <w:rsid w:val="007C4F70"/>
    <w:rsid w:val="007C5875"/>
    <w:rsid w:val="007C63DD"/>
    <w:rsid w:val="007C687B"/>
    <w:rsid w:val="007C6B79"/>
    <w:rsid w:val="007C6BB3"/>
    <w:rsid w:val="007C7B9B"/>
    <w:rsid w:val="007C7CCF"/>
    <w:rsid w:val="007D00E1"/>
    <w:rsid w:val="007D0C06"/>
    <w:rsid w:val="007D140D"/>
    <w:rsid w:val="007D14D0"/>
    <w:rsid w:val="007D1869"/>
    <w:rsid w:val="007D1FB5"/>
    <w:rsid w:val="007D2144"/>
    <w:rsid w:val="007D2215"/>
    <w:rsid w:val="007D287A"/>
    <w:rsid w:val="007D28A7"/>
    <w:rsid w:val="007D2BCC"/>
    <w:rsid w:val="007D2CFE"/>
    <w:rsid w:val="007D2F2E"/>
    <w:rsid w:val="007D303A"/>
    <w:rsid w:val="007D343E"/>
    <w:rsid w:val="007D37BD"/>
    <w:rsid w:val="007D4CFD"/>
    <w:rsid w:val="007D4DD9"/>
    <w:rsid w:val="007D5296"/>
    <w:rsid w:val="007D54D6"/>
    <w:rsid w:val="007D5A06"/>
    <w:rsid w:val="007D5CED"/>
    <w:rsid w:val="007D61CB"/>
    <w:rsid w:val="007D6778"/>
    <w:rsid w:val="007D7375"/>
    <w:rsid w:val="007D79B4"/>
    <w:rsid w:val="007D7FDA"/>
    <w:rsid w:val="007E059D"/>
    <w:rsid w:val="007E0D5A"/>
    <w:rsid w:val="007E1850"/>
    <w:rsid w:val="007E1B8C"/>
    <w:rsid w:val="007E2CCC"/>
    <w:rsid w:val="007E2F4A"/>
    <w:rsid w:val="007E3399"/>
    <w:rsid w:val="007E341B"/>
    <w:rsid w:val="007E3C02"/>
    <w:rsid w:val="007E4880"/>
    <w:rsid w:val="007E48C9"/>
    <w:rsid w:val="007E4AAE"/>
    <w:rsid w:val="007E5042"/>
    <w:rsid w:val="007E56FF"/>
    <w:rsid w:val="007E58CB"/>
    <w:rsid w:val="007E5FF1"/>
    <w:rsid w:val="007E68AE"/>
    <w:rsid w:val="007E7517"/>
    <w:rsid w:val="007E7E61"/>
    <w:rsid w:val="007F0845"/>
    <w:rsid w:val="007F0913"/>
    <w:rsid w:val="007F0D31"/>
    <w:rsid w:val="007F146E"/>
    <w:rsid w:val="007F1EEC"/>
    <w:rsid w:val="007F238B"/>
    <w:rsid w:val="007F2B39"/>
    <w:rsid w:val="007F3978"/>
    <w:rsid w:val="007F39BE"/>
    <w:rsid w:val="007F3BA6"/>
    <w:rsid w:val="007F3BB5"/>
    <w:rsid w:val="007F4954"/>
    <w:rsid w:val="007F4F52"/>
    <w:rsid w:val="007F50EC"/>
    <w:rsid w:val="007F51D0"/>
    <w:rsid w:val="007F5A1B"/>
    <w:rsid w:val="007F5B14"/>
    <w:rsid w:val="007F600B"/>
    <w:rsid w:val="007F619A"/>
    <w:rsid w:val="007F678F"/>
    <w:rsid w:val="007F6CA7"/>
    <w:rsid w:val="007F7CA3"/>
    <w:rsid w:val="007F7CD2"/>
    <w:rsid w:val="007F7D2D"/>
    <w:rsid w:val="0080002C"/>
    <w:rsid w:val="00800266"/>
    <w:rsid w:val="008008CE"/>
    <w:rsid w:val="00800C83"/>
    <w:rsid w:val="00801121"/>
    <w:rsid w:val="008015FA"/>
    <w:rsid w:val="0080185D"/>
    <w:rsid w:val="00801D67"/>
    <w:rsid w:val="00801FF7"/>
    <w:rsid w:val="0080293A"/>
    <w:rsid w:val="00802C21"/>
    <w:rsid w:val="008030F9"/>
    <w:rsid w:val="008035E4"/>
    <w:rsid w:val="00803BBC"/>
    <w:rsid w:val="0080444E"/>
    <w:rsid w:val="008045BA"/>
    <w:rsid w:val="0080521C"/>
    <w:rsid w:val="00805421"/>
    <w:rsid w:val="0080559E"/>
    <w:rsid w:val="008058BF"/>
    <w:rsid w:val="00805926"/>
    <w:rsid w:val="0080593D"/>
    <w:rsid w:val="00805956"/>
    <w:rsid w:val="00805995"/>
    <w:rsid w:val="00805B07"/>
    <w:rsid w:val="00805CA0"/>
    <w:rsid w:val="00805CB0"/>
    <w:rsid w:val="00805CF1"/>
    <w:rsid w:val="00805E10"/>
    <w:rsid w:val="0080605A"/>
    <w:rsid w:val="00806355"/>
    <w:rsid w:val="008069A0"/>
    <w:rsid w:val="00806AE6"/>
    <w:rsid w:val="00806DE9"/>
    <w:rsid w:val="00807185"/>
    <w:rsid w:val="0080798E"/>
    <w:rsid w:val="00807E9C"/>
    <w:rsid w:val="0081002C"/>
    <w:rsid w:val="00810B3B"/>
    <w:rsid w:val="00810F2F"/>
    <w:rsid w:val="0081166B"/>
    <w:rsid w:val="008118AF"/>
    <w:rsid w:val="008118E4"/>
    <w:rsid w:val="00811C3D"/>
    <w:rsid w:val="00812CF0"/>
    <w:rsid w:val="008130AC"/>
    <w:rsid w:val="00813190"/>
    <w:rsid w:val="00814EA6"/>
    <w:rsid w:val="00814F73"/>
    <w:rsid w:val="00814F9B"/>
    <w:rsid w:val="0081532B"/>
    <w:rsid w:val="00815862"/>
    <w:rsid w:val="00815C78"/>
    <w:rsid w:val="00815F3E"/>
    <w:rsid w:val="00816631"/>
    <w:rsid w:val="00817398"/>
    <w:rsid w:val="008174AB"/>
    <w:rsid w:val="008204F8"/>
    <w:rsid w:val="00820C63"/>
    <w:rsid w:val="00820FF3"/>
    <w:rsid w:val="00821003"/>
    <w:rsid w:val="0082145B"/>
    <w:rsid w:val="0082189D"/>
    <w:rsid w:val="00821A94"/>
    <w:rsid w:val="00821FF6"/>
    <w:rsid w:val="00822457"/>
    <w:rsid w:val="00823609"/>
    <w:rsid w:val="008236C3"/>
    <w:rsid w:val="00823E49"/>
    <w:rsid w:val="00824040"/>
    <w:rsid w:val="00824458"/>
    <w:rsid w:val="00824602"/>
    <w:rsid w:val="00825DF5"/>
    <w:rsid w:val="00826745"/>
    <w:rsid w:val="008267C4"/>
    <w:rsid w:val="00826E6B"/>
    <w:rsid w:val="0082732E"/>
    <w:rsid w:val="00827433"/>
    <w:rsid w:val="00827655"/>
    <w:rsid w:val="008276FA"/>
    <w:rsid w:val="008278AB"/>
    <w:rsid w:val="00827990"/>
    <w:rsid w:val="008300ED"/>
    <w:rsid w:val="00830D19"/>
    <w:rsid w:val="00830DCD"/>
    <w:rsid w:val="0083143E"/>
    <w:rsid w:val="0083159F"/>
    <w:rsid w:val="00831F00"/>
    <w:rsid w:val="00832030"/>
    <w:rsid w:val="00832450"/>
    <w:rsid w:val="00832EF6"/>
    <w:rsid w:val="00833EA4"/>
    <w:rsid w:val="008346B1"/>
    <w:rsid w:val="00834E97"/>
    <w:rsid w:val="00834F41"/>
    <w:rsid w:val="00834FAA"/>
    <w:rsid w:val="008352FC"/>
    <w:rsid w:val="00835661"/>
    <w:rsid w:val="00836086"/>
    <w:rsid w:val="00836A6E"/>
    <w:rsid w:val="008373A5"/>
    <w:rsid w:val="00837665"/>
    <w:rsid w:val="00837AF2"/>
    <w:rsid w:val="008401EF"/>
    <w:rsid w:val="00840DD1"/>
    <w:rsid w:val="00841063"/>
    <w:rsid w:val="008415D4"/>
    <w:rsid w:val="00841B01"/>
    <w:rsid w:val="00841EA5"/>
    <w:rsid w:val="00842E41"/>
    <w:rsid w:val="00842EF2"/>
    <w:rsid w:val="008430BE"/>
    <w:rsid w:val="0084317E"/>
    <w:rsid w:val="0084488B"/>
    <w:rsid w:val="00844F09"/>
    <w:rsid w:val="0084560E"/>
    <w:rsid w:val="00845BA2"/>
    <w:rsid w:val="00846175"/>
    <w:rsid w:val="008461CD"/>
    <w:rsid w:val="00846AAB"/>
    <w:rsid w:val="008472D4"/>
    <w:rsid w:val="00847B1D"/>
    <w:rsid w:val="00850C97"/>
    <w:rsid w:val="00850D69"/>
    <w:rsid w:val="008510D0"/>
    <w:rsid w:val="008511B6"/>
    <w:rsid w:val="00851731"/>
    <w:rsid w:val="00851E7D"/>
    <w:rsid w:val="008521C0"/>
    <w:rsid w:val="008525F4"/>
    <w:rsid w:val="00852974"/>
    <w:rsid w:val="00852C2D"/>
    <w:rsid w:val="00852D0E"/>
    <w:rsid w:val="00852E15"/>
    <w:rsid w:val="008538DA"/>
    <w:rsid w:val="00853E08"/>
    <w:rsid w:val="00854BC6"/>
    <w:rsid w:val="00854C05"/>
    <w:rsid w:val="00855C5F"/>
    <w:rsid w:val="00855D77"/>
    <w:rsid w:val="00855FB3"/>
    <w:rsid w:val="00855FC1"/>
    <w:rsid w:val="008563A5"/>
    <w:rsid w:val="008565D1"/>
    <w:rsid w:val="00856E3B"/>
    <w:rsid w:val="00857260"/>
    <w:rsid w:val="008572E4"/>
    <w:rsid w:val="00857AE6"/>
    <w:rsid w:val="0086028D"/>
    <w:rsid w:val="0086074D"/>
    <w:rsid w:val="00860852"/>
    <w:rsid w:val="00860AF8"/>
    <w:rsid w:val="00860E85"/>
    <w:rsid w:val="00860EAB"/>
    <w:rsid w:val="008615A9"/>
    <w:rsid w:val="008616C8"/>
    <w:rsid w:val="008618C5"/>
    <w:rsid w:val="00861C27"/>
    <w:rsid w:val="00862277"/>
    <w:rsid w:val="00862B72"/>
    <w:rsid w:val="00862C91"/>
    <w:rsid w:val="008630C3"/>
    <w:rsid w:val="00863143"/>
    <w:rsid w:val="008631AE"/>
    <w:rsid w:val="008638A0"/>
    <w:rsid w:val="008639C0"/>
    <w:rsid w:val="008639ED"/>
    <w:rsid w:val="00863D57"/>
    <w:rsid w:val="00863E68"/>
    <w:rsid w:val="00864927"/>
    <w:rsid w:val="008653CC"/>
    <w:rsid w:val="00865A3F"/>
    <w:rsid w:val="00865CBE"/>
    <w:rsid w:val="00865CCE"/>
    <w:rsid w:val="00865E79"/>
    <w:rsid w:val="008667C8"/>
    <w:rsid w:val="008669D4"/>
    <w:rsid w:val="0086778D"/>
    <w:rsid w:val="00867814"/>
    <w:rsid w:val="008678CE"/>
    <w:rsid w:val="00870555"/>
    <w:rsid w:val="00870F19"/>
    <w:rsid w:val="0087146F"/>
    <w:rsid w:val="00871849"/>
    <w:rsid w:val="0087190A"/>
    <w:rsid w:val="0087237E"/>
    <w:rsid w:val="00872AF3"/>
    <w:rsid w:val="00872EE1"/>
    <w:rsid w:val="00873063"/>
    <w:rsid w:val="00873749"/>
    <w:rsid w:val="00874492"/>
    <w:rsid w:val="00874498"/>
    <w:rsid w:val="0087584D"/>
    <w:rsid w:val="00875D2F"/>
    <w:rsid w:val="00876086"/>
    <w:rsid w:val="0087617B"/>
    <w:rsid w:val="00880404"/>
    <w:rsid w:val="00880913"/>
    <w:rsid w:val="00880BA5"/>
    <w:rsid w:val="00880C95"/>
    <w:rsid w:val="00881296"/>
    <w:rsid w:val="00881C9B"/>
    <w:rsid w:val="008825BC"/>
    <w:rsid w:val="00882C04"/>
    <w:rsid w:val="008834D4"/>
    <w:rsid w:val="00883F73"/>
    <w:rsid w:val="00883F88"/>
    <w:rsid w:val="008842EA"/>
    <w:rsid w:val="008851F3"/>
    <w:rsid w:val="008854AA"/>
    <w:rsid w:val="008857B9"/>
    <w:rsid w:val="00886218"/>
    <w:rsid w:val="008877F9"/>
    <w:rsid w:val="008902D8"/>
    <w:rsid w:val="00890C97"/>
    <w:rsid w:val="00890D8F"/>
    <w:rsid w:val="00890EE8"/>
    <w:rsid w:val="008913D3"/>
    <w:rsid w:val="0089211E"/>
    <w:rsid w:val="008937CB"/>
    <w:rsid w:val="00893962"/>
    <w:rsid w:val="00893A99"/>
    <w:rsid w:val="0089400D"/>
    <w:rsid w:val="008945A4"/>
    <w:rsid w:val="0089503D"/>
    <w:rsid w:val="00895B65"/>
    <w:rsid w:val="008969CA"/>
    <w:rsid w:val="008976B7"/>
    <w:rsid w:val="008A0150"/>
    <w:rsid w:val="008A0BDC"/>
    <w:rsid w:val="008A160B"/>
    <w:rsid w:val="008A1825"/>
    <w:rsid w:val="008A1F6D"/>
    <w:rsid w:val="008A1FFD"/>
    <w:rsid w:val="008A25BC"/>
    <w:rsid w:val="008A2719"/>
    <w:rsid w:val="008A296A"/>
    <w:rsid w:val="008A2A77"/>
    <w:rsid w:val="008A3126"/>
    <w:rsid w:val="008A31DC"/>
    <w:rsid w:val="008A3AAE"/>
    <w:rsid w:val="008A4409"/>
    <w:rsid w:val="008A4421"/>
    <w:rsid w:val="008A4657"/>
    <w:rsid w:val="008A4A88"/>
    <w:rsid w:val="008A5550"/>
    <w:rsid w:val="008A55EF"/>
    <w:rsid w:val="008A5659"/>
    <w:rsid w:val="008A5856"/>
    <w:rsid w:val="008A7877"/>
    <w:rsid w:val="008B008C"/>
    <w:rsid w:val="008B07DE"/>
    <w:rsid w:val="008B17DC"/>
    <w:rsid w:val="008B1E89"/>
    <w:rsid w:val="008B21F4"/>
    <w:rsid w:val="008B249E"/>
    <w:rsid w:val="008B2742"/>
    <w:rsid w:val="008B2A29"/>
    <w:rsid w:val="008B2F62"/>
    <w:rsid w:val="008B3116"/>
    <w:rsid w:val="008B3316"/>
    <w:rsid w:val="008B3FB7"/>
    <w:rsid w:val="008B4209"/>
    <w:rsid w:val="008B4288"/>
    <w:rsid w:val="008B44AC"/>
    <w:rsid w:val="008B466E"/>
    <w:rsid w:val="008B545B"/>
    <w:rsid w:val="008B6C04"/>
    <w:rsid w:val="008B6CE5"/>
    <w:rsid w:val="008B6D93"/>
    <w:rsid w:val="008B70C1"/>
    <w:rsid w:val="008B70E9"/>
    <w:rsid w:val="008B7743"/>
    <w:rsid w:val="008B7C02"/>
    <w:rsid w:val="008B7F81"/>
    <w:rsid w:val="008C0003"/>
    <w:rsid w:val="008C0BAC"/>
    <w:rsid w:val="008C0E88"/>
    <w:rsid w:val="008C0F76"/>
    <w:rsid w:val="008C1A57"/>
    <w:rsid w:val="008C1B7D"/>
    <w:rsid w:val="008C295A"/>
    <w:rsid w:val="008C344E"/>
    <w:rsid w:val="008C5842"/>
    <w:rsid w:val="008C60B9"/>
    <w:rsid w:val="008C6145"/>
    <w:rsid w:val="008C617C"/>
    <w:rsid w:val="008C6262"/>
    <w:rsid w:val="008C73A3"/>
    <w:rsid w:val="008D0258"/>
    <w:rsid w:val="008D0346"/>
    <w:rsid w:val="008D0996"/>
    <w:rsid w:val="008D0B69"/>
    <w:rsid w:val="008D0F40"/>
    <w:rsid w:val="008D1298"/>
    <w:rsid w:val="008D1612"/>
    <w:rsid w:val="008D1AF4"/>
    <w:rsid w:val="008D21D4"/>
    <w:rsid w:val="008D264B"/>
    <w:rsid w:val="008D2A16"/>
    <w:rsid w:val="008D2B9C"/>
    <w:rsid w:val="008D32CE"/>
    <w:rsid w:val="008D33A8"/>
    <w:rsid w:val="008D3CE3"/>
    <w:rsid w:val="008D414C"/>
    <w:rsid w:val="008D4737"/>
    <w:rsid w:val="008D5692"/>
    <w:rsid w:val="008D5860"/>
    <w:rsid w:val="008D5EF6"/>
    <w:rsid w:val="008D60AA"/>
    <w:rsid w:val="008D62DD"/>
    <w:rsid w:val="008D6421"/>
    <w:rsid w:val="008D6FE4"/>
    <w:rsid w:val="008D752A"/>
    <w:rsid w:val="008D7CD2"/>
    <w:rsid w:val="008E03FC"/>
    <w:rsid w:val="008E05B6"/>
    <w:rsid w:val="008E08A4"/>
    <w:rsid w:val="008E1366"/>
    <w:rsid w:val="008E14DD"/>
    <w:rsid w:val="008E1D62"/>
    <w:rsid w:val="008E25EC"/>
    <w:rsid w:val="008E31FF"/>
    <w:rsid w:val="008E355D"/>
    <w:rsid w:val="008E3A9D"/>
    <w:rsid w:val="008E42CF"/>
    <w:rsid w:val="008E4853"/>
    <w:rsid w:val="008E5356"/>
    <w:rsid w:val="008E5438"/>
    <w:rsid w:val="008E5DD0"/>
    <w:rsid w:val="008E6017"/>
    <w:rsid w:val="008E6828"/>
    <w:rsid w:val="008E745F"/>
    <w:rsid w:val="008E784C"/>
    <w:rsid w:val="008E7EFE"/>
    <w:rsid w:val="008F0343"/>
    <w:rsid w:val="008F037A"/>
    <w:rsid w:val="008F08F9"/>
    <w:rsid w:val="008F0AB7"/>
    <w:rsid w:val="008F0DEF"/>
    <w:rsid w:val="008F0FD2"/>
    <w:rsid w:val="008F1339"/>
    <w:rsid w:val="008F1F6E"/>
    <w:rsid w:val="008F2899"/>
    <w:rsid w:val="008F2DFF"/>
    <w:rsid w:val="008F2FE6"/>
    <w:rsid w:val="008F3242"/>
    <w:rsid w:val="008F362C"/>
    <w:rsid w:val="008F5169"/>
    <w:rsid w:val="008F5DCD"/>
    <w:rsid w:val="008F6162"/>
    <w:rsid w:val="008F654E"/>
    <w:rsid w:val="008F664D"/>
    <w:rsid w:val="008F6CB4"/>
    <w:rsid w:val="008F6E80"/>
    <w:rsid w:val="008F6FCE"/>
    <w:rsid w:val="008F78D1"/>
    <w:rsid w:val="008F7A7C"/>
    <w:rsid w:val="0090016E"/>
    <w:rsid w:val="009003A8"/>
    <w:rsid w:val="00900B83"/>
    <w:rsid w:val="009011DF"/>
    <w:rsid w:val="0090164F"/>
    <w:rsid w:val="00901ADF"/>
    <w:rsid w:val="0090234E"/>
    <w:rsid w:val="0090272D"/>
    <w:rsid w:val="00902EFF"/>
    <w:rsid w:val="00904120"/>
    <w:rsid w:val="00904517"/>
    <w:rsid w:val="009046C2"/>
    <w:rsid w:val="009048BF"/>
    <w:rsid w:val="00904B8D"/>
    <w:rsid w:val="00904C2E"/>
    <w:rsid w:val="00904DDC"/>
    <w:rsid w:val="00905432"/>
    <w:rsid w:val="00905CF3"/>
    <w:rsid w:val="00906960"/>
    <w:rsid w:val="00906AF8"/>
    <w:rsid w:val="00906D69"/>
    <w:rsid w:val="009070FC"/>
    <w:rsid w:val="009076A9"/>
    <w:rsid w:val="0090771B"/>
    <w:rsid w:val="00907E83"/>
    <w:rsid w:val="00910271"/>
    <w:rsid w:val="00910398"/>
    <w:rsid w:val="00910BD4"/>
    <w:rsid w:val="00911B5D"/>
    <w:rsid w:val="00913387"/>
    <w:rsid w:val="00913A8C"/>
    <w:rsid w:val="009148F3"/>
    <w:rsid w:val="00914F05"/>
    <w:rsid w:val="00914F4D"/>
    <w:rsid w:val="00915080"/>
    <w:rsid w:val="0091528A"/>
    <w:rsid w:val="00916769"/>
    <w:rsid w:val="009177DD"/>
    <w:rsid w:val="009206D6"/>
    <w:rsid w:val="009209DB"/>
    <w:rsid w:val="00921133"/>
    <w:rsid w:val="00921463"/>
    <w:rsid w:val="00921B3F"/>
    <w:rsid w:val="00921C4C"/>
    <w:rsid w:val="00921D98"/>
    <w:rsid w:val="00921F14"/>
    <w:rsid w:val="009223B9"/>
    <w:rsid w:val="009229B1"/>
    <w:rsid w:val="00922DD6"/>
    <w:rsid w:val="009247F0"/>
    <w:rsid w:val="009249C8"/>
    <w:rsid w:val="00924B05"/>
    <w:rsid w:val="00925239"/>
    <w:rsid w:val="00925438"/>
    <w:rsid w:val="009257AD"/>
    <w:rsid w:val="00925BF0"/>
    <w:rsid w:val="00925EA9"/>
    <w:rsid w:val="00925F41"/>
    <w:rsid w:val="009260E8"/>
    <w:rsid w:val="009269B8"/>
    <w:rsid w:val="009272C9"/>
    <w:rsid w:val="00927480"/>
    <w:rsid w:val="00927DEC"/>
    <w:rsid w:val="00927E07"/>
    <w:rsid w:val="00927F31"/>
    <w:rsid w:val="00930123"/>
    <w:rsid w:val="00930185"/>
    <w:rsid w:val="009304BC"/>
    <w:rsid w:val="00930829"/>
    <w:rsid w:val="00930A37"/>
    <w:rsid w:val="00930A66"/>
    <w:rsid w:val="00930D2C"/>
    <w:rsid w:val="009317EC"/>
    <w:rsid w:val="009338E5"/>
    <w:rsid w:val="00933A21"/>
    <w:rsid w:val="00933EA9"/>
    <w:rsid w:val="00934CF9"/>
    <w:rsid w:val="00935CF6"/>
    <w:rsid w:val="00936618"/>
    <w:rsid w:val="00936B83"/>
    <w:rsid w:val="00936FF5"/>
    <w:rsid w:val="0093753B"/>
    <w:rsid w:val="009375C6"/>
    <w:rsid w:val="00937937"/>
    <w:rsid w:val="00940F96"/>
    <w:rsid w:val="0094156A"/>
    <w:rsid w:val="009420F2"/>
    <w:rsid w:val="00942494"/>
    <w:rsid w:val="00942F08"/>
    <w:rsid w:val="00943C18"/>
    <w:rsid w:val="00944245"/>
    <w:rsid w:val="0094427A"/>
    <w:rsid w:val="00944345"/>
    <w:rsid w:val="00944D53"/>
    <w:rsid w:val="00944FA8"/>
    <w:rsid w:val="00945189"/>
    <w:rsid w:val="00945495"/>
    <w:rsid w:val="00945877"/>
    <w:rsid w:val="00945BCD"/>
    <w:rsid w:val="00946B68"/>
    <w:rsid w:val="00946DD1"/>
    <w:rsid w:val="009473B3"/>
    <w:rsid w:val="00947706"/>
    <w:rsid w:val="00947D84"/>
    <w:rsid w:val="00947DEE"/>
    <w:rsid w:val="00950DF5"/>
    <w:rsid w:val="00950FA1"/>
    <w:rsid w:val="0095130F"/>
    <w:rsid w:val="00951539"/>
    <w:rsid w:val="009517BC"/>
    <w:rsid w:val="00951B94"/>
    <w:rsid w:val="00952983"/>
    <w:rsid w:val="0095322F"/>
    <w:rsid w:val="00953CD9"/>
    <w:rsid w:val="00953E7C"/>
    <w:rsid w:val="00954D4C"/>
    <w:rsid w:val="00954F53"/>
    <w:rsid w:val="00955134"/>
    <w:rsid w:val="00955555"/>
    <w:rsid w:val="00955AC7"/>
    <w:rsid w:val="00955B8B"/>
    <w:rsid w:val="00956558"/>
    <w:rsid w:val="0095686D"/>
    <w:rsid w:val="00956BF9"/>
    <w:rsid w:val="00957309"/>
    <w:rsid w:val="00957D2F"/>
    <w:rsid w:val="00957EAF"/>
    <w:rsid w:val="0096030E"/>
    <w:rsid w:val="0096033F"/>
    <w:rsid w:val="0096039A"/>
    <w:rsid w:val="009607EF"/>
    <w:rsid w:val="00960870"/>
    <w:rsid w:val="009609A9"/>
    <w:rsid w:val="00961061"/>
    <w:rsid w:val="00961A9E"/>
    <w:rsid w:val="00961B2B"/>
    <w:rsid w:val="00961F67"/>
    <w:rsid w:val="0096207E"/>
    <w:rsid w:val="00962331"/>
    <w:rsid w:val="0096241C"/>
    <w:rsid w:val="00962424"/>
    <w:rsid w:val="00962503"/>
    <w:rsid w:val="009628FE"/>
    <w:rsid w:val="00962CB5"/>
    <w:rsid w:val="009636E2"/>
    <w:rsid w:val="00963B19"/>
    <w:rsid w:val="00963E6F"/>
    <w:rsid w:val="00963F00"/>
    <w:rsid w:val="0096405E"/>
    <w:rsid w:val="009641BC"/>
    <w:rsid w:val="0096422F"/>
    <w:rsid w:val="009648F7"/>
    <w:rsid w:val="00964D22"/>
    <w:rsid w:val="00964DBE"/>
    <w:rsid w:val="009658CA"/>
    <w:rsid w:val="00965C14"/>
    <w:rsid w:val="009665BE"/>
    <w:rsid w:val="0096694B"/>
    <w:rsid w:val="00966D2E"/>
    <w:rsid w:val="0096729E"/>
    <w:rsid w:val="00967368"/>
    <w:rsid w:val="0096737D"/>
    <w:rsid w:val="0096775A"/>
    <w:rsid w:val="009677AB"/>
    <w:rsid w:val="00970056"/>
    <w:rsid w:val="009700FD"/>
    <w:rsid w:val="009706AA"/>
    <w:rsid w:val="00970C89"/>
    <w:rsid w:val="0097154B"/>
    <w:rsid w:val="00971BF9"/>
    <w:rsid w:val="00972911"/>
    <w:rsid w:val="00972F89"/>
    <w:rsid w:val="00973152"/>
    <w:rsid w:val="00973177"/>
    <w:rsid w:val="009732CD"/>
    <w:rsid w:val="0097337A"/>
    <w:rsid w:val="00973766"/>
    <w:rsid w:val="00973CEF"/>
    <w:rsid w:val="00974620"/>
    <w:rsid w:val="00974923"/>
    <w:rsid w:val="00976040"/>
    <w:rsid w:val="00976310"/>
    <w:rsid w:val="009765DE"/>
    <w:rsid w:val="00976D15"/>
    <w:rsid w:val="00980277"/>
    <w:rsid w:val="00980785"/>
    <w:rsid w:val="009817BB"/>
    <w:rsid w:val="00981887"/>
    <w:rsid w:val="009822EA"/>
    <w:rsid w:val="00982E44"/>
    <w:rsid w:val="00983040"/>
    <w:rsid w:val="00983115"/>
    <w:rsid w:val="00983BDC"/>
    <w:rsid w:val="00984070"/>
    <w:rsid w:val="00984135"/>
    <w:rsid w:val="00984EA2"/>
    <w:rsid w:val="009856CA"/>
    <w:rsid w:val="009857DD"/>
    <w:rsid w:val="00985954"/>
    <w:rsid w:val="00985E54"/>
    <w:rsid w:val="00985ED4"/>
    <w:rsid w:val="00986693"/>
    <w:rsid w:val="009869A7"/>
    <w:rsid w:val="00986B8D"/>
    <w:rsid w:val="00986ECC"/>
    <w:rsid w:val="00987261"/>
    <w:rsid w:val="00987E97"/>
    <w:rsid w:val="00990101"/>
    <w:rsid w:val="009903AE"/>
    <w:rsid w:val="00991F1D"/>
    <w:rsid w:val="0099242E"/>
    <w:rsid w:val="0099265C"/>
    <w:rsid w:val="00992675"/>
    <w:rsid w:val="00992D09"/>
    <w:rsid w:val="00992E36"/>
    <w:rsid w:val="00993440"/>
    <w:rsid w:val="00993C2C"/>
    <w:rsid w:val="009942B9"/>
    <w:rsid w:val="00994616"/>
    <w:rsid w:val="009948A3"/>
    <w:rsid w:val="00994D1A"/>
    <w:rsid w:val="009956C5"/>
    <w:rsid w:val="00995D29"/>
    <w:rsid w:val="0099658D"/>
    <w:rsid w:val="00996B68"/>
    <w:rsid w:val="0099715E"/>
    <w:rsid w:val="00997755"/>
    <w:rsid w:val="00997A9D"/>
    <w:rsid w:val="009A17D4"/>
    <w:rsid w:val="009A2932"/>
    <w:rsid w:val="009A36DA"/>
    <w:rsid w:val="009A3973"/>
    <w:rsid w:val="009A40FB"/>
    <w:rsid w:val="009A5806"/>
    <w:rsid w:val="009A5B0D"/>
    <w:rsid w:val="009A5FEB"/>
    <w:rsid w:val="009A6764"/>
    <w:rsid w:val="009A681C"/>
    <w:rsid w:val="009A7070"/>
    <w:rsid w:val="009A7143"/>
    <w:rsid w:val="009A7655"/>
    <w:rsid w:val="009A76E0"/>
    <w:rsid w:val="009B0511"/>
    <w:rsid w:val="009B0A95"/>
    <w:rsid w:val="009B1166"/>
    <w:rsid w:val="009B13A7"/>
    <w:rsid w:val="009B17BF"/>
    <w:rsid w:val="009B2493"/>
    <w:rsid w:val="009B3865"/>
    <w:rsid w:val="009B44A0"/>
    <w:rsid w:val="009B4573"/>
    <w:rsid w:val="009B5331"/>
    <w:rsid w:val="009B64E0"/>
    <w:rsid w:val="009B6FD3"/>
    <w:rsid w:val="009C0DCA"/>
    <w:rsid w:val="009C123C"/>
    <w:rsid w:val="009C134B"/>
    <w:rsid w:val="009C1535"/>
    <w:rsid w:val="009C2217"/>
    <w:rsid w:val="009C22C8"/>
    <w:rsid w:val="009C2992"/>
    <w:rsid w:val="009C3A34"/>
    <w:rsid w:val="009C3B7E"/>
    <w:rsid w:val="009C3E65"/>
    <w:rsid w:val="009C4389"/>
    <w:rsid w:val="009C4B2B"/>
    <w:rsid w:val="009C4E6D"/>
    <w:rsid w:val="009C520A"/>
    <w:rsid w:val="009C5965"/>
    <w:rsid w:val="009C5BC6"/>
    <w:rsid w:val="009C5DE9"/>
    <w:rsid w:val="009C6195"/>
    <w:rsid w:val="009C61E9"/>
    <w:rsid w:val="009C62A9"/>
    <w:rsid w:val="009C64A1"/>
    <w:rsid w:val="009C69E0"/>
    <w:rsid w:val="009C7605"/>
    <w:rsid w:val="009C7C03"/>
    <w:rsid w:val="009D0132"/>
    <w:rsid w:val="009D2799"/>
    <w:rsid w:val="009D2B8F"/>
    <w:rsid w:val="009D2BBA"/>
    <w:rsid w:val="009D3BA3"/>
    <w:rsid w:val="009D41BB"/>
    <w:rsid w:val="009D45E6"/>
    <w:rsid w:val="009D5047"/>
    <w:rsid w:val="009D541B"/>
    <w:rsid w:val="009D614B"/>
    <w:rsid w:val="009D655D"/>
    <w:rsid w:val="009D7513"/>
    <w:rsid w:val="009D77C0"/>
    <w:rsid w:val="009E0B3D"/>
    <w:rsid w:val="009E199E"/>
    <w:rsid w:val="009E1F24"/>
    <w:rsid w:val="009E2132"/>
    <w:rsid w:val="009E226D"/>
    <w:rsid w:val="009E285D"/>
    <w:rsid w:val="009E29D5"/>
    <w:rsid w:val="009E2BED"/>
    <w:rsid w:val="009E3398"/>
    <w:rsid w:val="009E3721"/>
    <w:rsid w:val="009E37BB"/>
    <w:rsid w:val="009E39B0"/>
    <w:rsid w:val="009E4482"/>
    <w:rsid w:val="009E450F"/>
    <w:rsid w:val="009E4B50"/>
    <w:rsid w:val="009E4EA8"/>
    <w:rsid w:val="009E57A8"/>
    <w:rsid w:val="009E5A94"/>
    <w:rsid w:val="009E65B8"/>
    <w:rsid w:val="009E6743"/>
    <w:rsid w:val="009E74BD"/>
    <w:rsid w:val="009E7E6E"/>
    <w:rsid w:val="009E7ED3"/>
    <w:rsid w:val="009F1BC2"/>
    <w:rsid w:val="009F3FC8"/>
    <w:rsid w:val="009F4BA1"/>
    <w:rsid w:val="009F4CD4"/>
    <w:rsid w:val="009F50D3"/>
    <w:rsid w:val="009F5200"/>
    <w:rsid w:val="009F5367"/>
    <w:rsid w:val="009F5485"/>
    <w:rsid w:val="009F5488"/>
    <w:rsid w:val="009F6187"/>
    <w:rsid w:val="009F6D46"/>
    <w:rsid w:val="009F78BC"/>
    <w:rsid w:val="009F7A96"/>
    <w:rsid w:val="009F7BBF"/>
    <w:rsid w:val="009F7FC0"/>
    <w:rsid w:val="00A0061E"/>
    <w:rsid w:val="00A009CC"/>
    <w:rsid w:val="00A00D25"/>
    <w:rsid w:val="00A01EE8"/>
    <w:rsid w:val="00A025E0"/>
    <w:rsid w:val="00A02A6A"/>
    <w:rsid w:val="00A03B26"/>
    <w:rsid w:val="00A03C87"/>
    <w:rsid w:val="00A043E2"/>
    <w:rsid w:val="00A04648"/>
    <w:rsid w:val="00A04B68"/>
    <w:rsid w:val="00A04D13"/>
    <w:rsid w:val="00A04EE7"/>
    <w:rsid w:val="00A054C0"/>
    <w:rsid w:val="00A05CC2"/>
    <w:rsid w:val="00A067A8"/>
    <w:rsid w:val="00A069B6"/>
    <w:rsid w:val="00A06FFA"/>
    <w:rsid w:val="00A077AB"/>
    <w:rsid w:val="00A07D7E"/>
    <w:rsid w:val="00A10395"/>
    <w:rsid w:val="00A104C9"/>
    <w:rsid w:val="00A10522"/>
    <w:rsid w:val="00A10723"/>
    <w:rsid w:val="00A10784"/>
    <w:rsid w:val="00A10D66"/>
    <w:rsid w:val="00A11622"/>
    <w:rsid w:val="00A11754"/>
    <w:rsid w:val="00A1290F"/>
    <w:rsid w:val="00A12C92"/>
    <w:rsid w:val="00A13FAE"/>
    <w:rsid w:val="00A146C9"/>
    <w:rsid w:val="00A14C12"/>
    <w:rsid w:val="00A154D2"/>
    <w:rsid w:val="00A159A4"/>
    <w:rsid w:val="00A15DB4"/>
    <w:rsid w:val="00A1648A"/>
    <w:rsid w:val="00A164CF"/>
    <w:rsid w:val="00A16823"/>
    <w:rsid w:val="00A16C4D"/>
    <w:rsid w:val="00A16D63"/>
    <w:rsid w:val="00A17480"/>
    <w:rsid w:val="00A17534"/>
    <w:rsid w:val="00A1799B"/>
    <w:rsid w:val="00A17A54"/>
    <w:rsid w:val="00A2015F"/>
    <w:rsid w:val="00A20A7F"/>
    <w:rsid w:val="00A2110C"/>
    <w:rsid w:val="00A21A2E"/>
    <w:rsid w:val="00A21DB7"/>
    <w:rsid w:val="00A21FA7"/>
    <w:rsid w:val="00A221CE"/>
    <w:rsid w:val="00A225ED"/>
    <w:rsid w:val="00A22EC4"/>
    <w:rsid w:val="00A23067"/>
    <w:rsid w:val="00A239D1"/>
    <w:rsid w:val="00A23CF5"/>
    <w:rsid w:val="00A23E43"/>
    <w:rsid w:val="00A250CB"/>
    <w:rsid w:val="00A25249"/>
    <w:rsid w:val="00A26085"/>
    <w:rsid w:val="00A261BE"/>
    <w:rsid w:val="00A26421"/>
    <w:rsid w:val="00A265D4"/>
    <w:rsid w:val="00A266A5"/>
    <w:rsid w:val="00A27197"/>
    <w:rsid w:val="00A2747B"/>
    <w:rsid w:val="00A27501"/>
    <w:rsid w:val="00A27B09"/>
    <w:rsid w:val="00A3052C"/>
    <w:rsid w:val="00A31688"/>
    <w:rsid w:val="00A319C2"/>
    <w:rsid w:val="00A31C1F"/>
    <w:rsid w:val="00A32455"/>
    <w:rsid w:val="00A3258C"/>
    <w:rsid w:val="00A33358"/>
    <w:rsid w:val="00A336E0"/>
    <w:rsid w:val="00A33820"/>
    <w:rsid w:val="00A33BB6"/>
    <w:rsid w:val="00A33F09"/>
    <w:rsid w:val="00A33F34"/>
    <w:rsid w:val="00A34D2E"/>
    <w:rsid w:val="00A35393"/>
    <w:rsid w:val="00A35763"/>
    <w:rsid w:val="00A3580E"/>
    <w:rsid w:val="00A36A97"/>
    <w:rsid w:val="00A40A9B"/>
    <w:rsid w:val="00A40CF7"/>
    <w:rsid w:val="00A4133B"/>
    <w:rsid w:val="00A416A5"/>
    <w:rsid w:val="00A4170C"/>
    <w:rsid w:val="00A420B9"/>
    <w:rsid w:val="00A420FB"/>
    <w:rsid w:val="00A421FA"/>
    <w:rsid w:val="00A4294D"/>
    <w:rsid w:val="00A446F9"/>
    <w:rsid w:val="00A44787"/>
    <w:rsid w:val="00A449C9"/>
    <w:rsid w:val="00A44BA5"/>
    <w:rsid w:val="00A459EC"/>
    <w:rsid w:val="00A45A79"/>
    <w:rsid w:val="00A46B9D"/>
    <w:rsid w:val="00A46DE0"/>
    <w:rsid w:val="00A47111"/>
    <w:rsid w:val="00A471A5"/>
    <w:rsid w:val="00A47263"/>
    <w:rsid w:val="00A477BC"/>
    <w:rsid w:val="00A47BEB"/>
    <w:rsid w:val="00A5027A"/>
    <w:rsid w:val="00A50EEE"/>
    <w:rsid w:val="00A514DD"/>
    <w:rsid w:val="00A5167C"/>
    <w:rsid w:val="00A51E15"/>
    <w:rsid w:val="00A51FAA"/>
    <w:rsid w:val="00A52033"/>
    <w:rsid w:val="00A5244B"/>
    <w:rsid w:val="00A53220"/>
    <w:rsid w:val="00A533A6"/>
    <w:rsid w:val="00A53A7B"/>
    <w:rsid w:val="00A53EB0"/>
    <w:rsid w:val="00A54060"/>
    <w:rsid w:val="00A54332"/>
    <w:rsid w:val="00A543C6"/>
    <w:rsid w:val="00A544E5"/>
    <w:rsid w:val="00A5472A"/>
    <w:rsid w:val="00A54A61"/>
    <w:rsid w:val="00A54ADA"/>
    <w:rsid w:val="00A55819"/>
    <w:rsid w:val="00A55FAB"/>
    <w:rsid w:val="00A56914"/>
    <w:rsid w:val="00A57F17"/>
    <w:rsid w:val="00A60185"/>
    <w:rsid w:val="00A603A2"/>
    <w:rsid w:val="00A60C3E"/>
    <w:rsid w:val="00A6190F"/>
    <w:rsid w:val="00A61B91"/>
    <w:rsid w:val="00A61D9F"/>
    <w:rsid w:val="00A62CE1"/>
    <w:rsid w:val="00A63804"/>
    <w:rsid w:val="00A649D6"/>
    <w:rsid w:val="00A64A81"/>
    <w:rsid w:val="00A65BF9"/>
    <w:rsid w:val="00A65CD2"/>
    <w:rsid w:val="00A6642F"/>
    <w:rsid w:val="00A66586"/>
    <w:rsid w:val="00A66658"/>
    <w:rsid w:val="00A6681B"/>
    <w:rsid w:val="00A66C6F"/>
    <w:rsid w:val="00A67367"/>
    <w:rsid w:val="00A67794"/>
    <w:rsid w:val="00A67964"/>
    <w:rsid w:val="00A67A14"/>
    <w:rsid w:val="00A67DD9"/>
    <w:rsid w:val="00A67F76"/>
    <w:rsid w:val="00A67FD0"/>
    <w:rsid w:val="00A71165"/>
    <w:rsid w:val="00A712E8"/>
    <w:rsid w:val="00A71383"/>
    <w:rsid w:val="00A71B8A"/>
    <w:rsid w:val="00A71C5C"/>
    <w:rsid w:val="00A72593"/>
    <w:rsid w:val="00A72932"/>
    <w:rsid w:val="00A72D2A"/>
    <w:rsid w:val="00A72D60"/>
    <w:rsid w:val="00A733C3"/>
    <w:rsid w:val="00A74E0E"/>
    <w:rsid w:val="00A751B8"/>
    <w:rsid w:val="00A758D2"/>
    <w:rsid w:val="00A75964"/>
    <w:rsid w:val="00A75CD9"/>
    <w:rsid w:val="00A75E40"/>
    <w:rsid w:val="00A762B2"/>
    <w:rsid w:val="00A76A73"/>
    <w:rsid w:val="00A76D36"/>
    <w:rsid w:val="00A770FB"/>
    <w:rsid w:val="00A779F8"/>
    <w:rsid w:val="00A77CC5"/>
    <w:rsid w:val="00A77DB6"/>
    <w:rsid w:val="00A8117B"/>
    <w:rsid w:val="00A81BA5"/>
    <w:rsid w:val="00A82F2F"/>
    <w:rsid w:val="00A8313F"/>
    <w:rsid w:val="00A83B25"/>
    <w:rsid w:val="00A84298"/>
    <w:rsid w:val="00A84EFC"/>
    <w:rsid w:val="00A857C0"/>
    <w:rsid w:val="00A85E4D"/>
    <w:rsid w:val="00A86177"/>
    <w:rsid w:val="00A862EA"/>
    <w:rsid w:val="00A8727D"/>
    <w:rsid w:val="00A8791C"/>
    <w:rsid w:val="00A87C69"/>
    <w:rsid w:val="00A90334"/>
    <w:rsid w:val="00A90646"/>
    <w:rsid w:val="00A9111C"/>
    <w:rsid w:val="00A91A50"/>
    <w:rsid w:val="00A91ADE"/>
    <w:rsid w:val="00A92221"/>
    <w:rsid w:val="00A92A4E"/>
    <w:rsid w:val="00A92DF1"/>
    <w:rsid w:val="00A93537"/>
    <w:rsid w:val="00A9434E"/>
    <w:rsid w:val="00A945F6"/>
    <w:rsid w:val="00A9460A"/>
    <w:rsid w:val="00A94E20"/>
    <w:rsid w:val="00A94F41"/>
    <w:rsid w:val="00A95531"/>
    <w:rsid w:val="00A955C4"/>
    <w:rsid w:val="00A959BF"/>
    <w:rsid w:val="00A9623E"/>
    <w:rsid w:val="00A969F7"/>
    <w:rsid w:val="00A97646"/>
    <w:rsid w:val="00A97C04"/>
    <w:rsid w:val="00AA043E"/>
    <w:rsid w:val="00AA0468"/>
    <w:rsid w:val="00AA133D"/>
    <w:rsid w:val="00AA1390"/>
    <w:rsid w:val="00AA18DF"/>
    <w:rsid w:val="00AA1FF0"/>
    <w:rsid w:val="00AA2060"/>
    <w:rsid w:val="00AA217B"/>
    <w:rsid w:val="00AA28AB"/>
    <w:rsid w:val="00AA2A2C"/>
    <w:rsid w:val="00AA396F"/>
    <w:rsid w:val="00AA4ED0"/>
    <w:rsid w:val="00AA5266"/>
    <w:rsid w:val="00AA5421"/>
    <w:rsid w:val="00AA54AC"/>
    <w:rsid w:val="00AA559A"/>
    <w:rsid w:val="00AA583B"/>
    <w:rsid w:val="00AA6FF6"/>
    <w:rsid w:val="00AA719E"/>
    <w:rsid w:val="00AA776B"/>
    <w:rsid w:val="00AA79F6"/>
    <w:rsid w:val="00AA7EC1"/>
    <w:rsid w:val="00AA7F92"/>
    <w:rsid w:val="00AB155C"/>
    <w:rsid w:val="00AB166E"/>
    <w:rsid w:val="00AB1B50"/>
    <w:rsid w:val="00AB24E9"/>
    <w:rsid w:val="00AB2AF1"/>
    <w:rsid w:val="00AB2D2E"/>
    <w:rsid w:val="00AB2F0A"/>
    <w:rsid w:val="00AB389B"/>
    <w:rsid w:val="00AB4031"/>
    <w:rsid w:val="00AB4107"/>
    <w:rsid w:val="00AB41DE"/>
    <w:rsid w:val="00AB4EB5"/>
    <w:rsid w:val="00AB51C1"/>
    <w:rsid w:val="00AB57B8"/>
    <w:rsid w:val="00AB656A"/>
    <w:rsid w:val="00AB65E6"/>
    <w:rsid w:val="00AB7318"/>
    <w:rsid w:val="00AB7942"/>
    <w:rsid w:val="00AB7996"/>
    <w:rsid w:val="00AC05D2"/>
    <w:rsid w:val="00AC07FC"/>
    <w:rsid w:val="00AC0831"/>
    <w:rsid w:val="00AC10DF"/>
    <w:rsid w:val="00AC1495"/>
    <w:rsid w:val="00AC1E3D"/>
    <w:rsid w:val="00AC23F9"/>
    <w:rsid w:val="00AC2997"/>
    <w:rsid w:val="00AC2A36"/>
    <w:rsid w:val="00AC3DC2"/>
    <w:rsid w:val="00AC3FD1"/>
    <w:rsid w:val="00AC43E0"/>
    <w:rsid w:val="00AC50D4"/>
    <w:rsid w:val="00AC5FDC"/>
    <w:rsid w:val="00AC6088"/>
    <w:rsid w:val="00AC61C2"/>
    <w:rsid w:val="00AC62CF"/>
    <w:rsid w:val="00AC7556"/>
    <w:rsid w:val="00AC7E44"/>
    <w:rsid w:val="00AC7F36"/>
    <w:rsid w:val="00AD0C6D"/>
    <w:rsid w:val="00AD0D7B"/>
    <w:rsid w:val="00AD143C"/>
    <w:rsid w:val="00AD1A0F"/>
    <w:rsid w:val="00AD1CFF"/>
    <w:rsid w:val="00AD1FFC"/>
    <w:rsid w:val="00AD231A"/>
    <w:rsid w:val="00AD2DC5"/>
    <w:rsid w:val="00AD306C"/>
    <w:rsid w:val="00AD39CC"/>
    <w:rsid w:val="00AD3B5C"/>
    <w:rsid w:val="00AD3CE8"/>
    <w:rsid w:val="00AD3EEC"/>
    <w:rsid w:val="00AD4184"/>
    <w:rsid w:val="00AD41FE"/>
    <w:rsid w:val="00AD4843"/>
    <w:rsid w:val="00AD4AC9"/>
    <w:rsid w:val="00AD4D81"/>
    <w:rsid w:val="00AD4DA8"/>
    <w:rsid w:val="00AD52A8"/>
    <w:rsid w:val="00AD585D"/>
    <w:rsid w:val="00AD6BE9"/>
    <w:rsid w:val="00AD6D1C"/>
    <w:rsid w:val="00AD6DB4"/>
    <w:rsid w:val="00AD6EE1"/>
    <w:rsid w:val="00AE05BD"/>
    <w:rsid w:val="00AE0618"/>
    <w:rsid w:val="00AE0D5E"/>
    <w:rsid w:val="00AE0F4A"/>
    <w:rsid w:val="00AE1300"/>
    <w:rsid w:val="00AE1781"/>
    <w:rsid w:val="00AE194B"/>
    <w:rsid w:val="00AE20A4"/>
    <w:rsid w:val="00AE21FE"/>
    <w:rsid w:val="00AE22BD"/>
    <w:rsid w:val="00AE2426"/>
    <w:rsid w:val="00AE295B"/>
    <w:rsid w:val="00AE37C5"/>
    <w:rsid w:val="00AE3A2E"/>
    <w:rsid w:val="00AE4331"/>
    <w:rsid w:val="00AE44E5"/>
    <w:rsid w:val="00AE4D2C"/>
    <w:rsid w:val="00AE4DB9"/>
    <w:rsid w:val="00AE5DF5"/>
    <w:rsid w:val="00AE63F9"/>
    <w:rsid w:val="00AE6D96"/>
    <w:rsid w:val="00AE71DF"/>
    <w:rsid w:val="00AE7661"/>
    <w:rsid w:val="00AE77A9"/>
    <w:rsid w:val="00AF064E"/>
    <w:rsid w:val="00AF0D71"/>
    <w:rsid w:val="00AF0DCB"/>
    <w:rsid w:val="00AF0F2D"/>
    <w:rsid w:val="00AF181E"/>
    <w:rsid w:val="00AF2291"/>
    <w:rsid w:val="00AF2A64"/>
    <w:rsid w:val="00AF2E38"/>
    <w:rsid w:val="00AF317C"/>
    <w:rsid w:val="00AF3791"/>
    <w:rsid w:val="00AF43FA"/>
    <w:rsid w:val="00AF44B8"/>
    <w:rsid w:val="00AF4542"/>
    <w:rsid w:val="00AF49E2"/>
    <w:rsid w:val="00AF4C10"/>
    <w:rsid w:val="00AF5365"/>
    <w:rsid w:val="00AF5AB6"/>
    <w:rsid w:val="00AF5FBF"/>
    <w:rsid w:val="00AF6734"/>
    <w:rsid w:val="00AF6B13"/>
    <w:rsid w:val="00AF7378"/>
    <w:rsid w:val="00AF78A8"/>
    <w:rsid w:val="00AF7F5A"/>
    <w:rsid w:val="00B00E2A"/>
    <w:rsid w:val="00B0154E"/>
    <w:rsid w:val="00B021B0"/>
    <w:rsid w:val="00B021DC"/>
    <w:rsid w:val="00B0293A"/>
    <w:rsid w:val="00B02ADE"/>
    <w:rsid w:val="00B031D4"/>
    <w:rsid w:val="00B033C3"/>
    <w:rsid w:val="00B04A1A"/>
    <w:rsid w:val="00B04C40"/>
    <w:rsid w:val="00B05BAF"/>
    <w:rsid w:val="00B05D09"/>
    <w:rsid w:val="00B06005"/>
    <w:rsid w:val="00B06377"/>
    <w:rsid w:val="00B0698B"/>
    <w:rsid w:val="00B0753E"/>
    <w:rsid w:val="00B075A8"/>
    <w:rsid w:val="00B07D9A"/>
    <w:rsid w:val="00B07FE9"/>
    <w:rsid w:val="00B10473"/>
    <w:rsid w:val="00B11501"/>
    <w:rsid w:val="00B12045"/>
    <w:rsid w:val="00B12489"/>
    <w:rsid w:val="00B12596"/>
    <w:rsid w:val="00B13110"/>
    <w:rsid w:val="00B132A5"/>
    <w:rsid w:val="00B134BD"/>
    <w:rsid w:val="00B13594"/>
    <w:rsid w:val="00B13782"/>
    <w:rsid w:val="00B14013"/>
    <w:rsid w:val="00B141E9"/>
    <w:rsid w:val="00B143AB"/>
    <w:rsid w:val="00B144FE"/>
    <w:rsid w:val="00B14655"/>
    <w:rsid w:val="00B14972"/>
    <w:rsid w:val="00B14A5E"/>
    <w:rsid w:val="00B15091"/>
    <w:rsid w:val="00B1676F"/>
    <w:rsid w:val="00B169F0"/>
    <w:rsid w:val="00B17156"/>
    <w:rsid w:val="00B175B2"/>
    <w:rsid w:val="00B1763C"/>
    <w:rsid w:val="00B177DE"/>
    <w:rsid w:val="00B17D92"/>
    <w:rsid w:val="00B17DD1"/>
    <w:rsid w:val="00B17E71"/>
    <w:rsid w:val="00B17F80"/>
    <w:rsid w:val="00B17FDE"/>
    <w:rsid w:val="00B20DE2"/>
    <w:rsid w:val="00B21AC5"/>
    <w:rsid w:val="00B22088"/>
    <w:rsid w:val="00B22AD5"/>
    <w:rsid w:val="00B22F44"/>
    <w:rsid w:val="00B23207"/>
    <w:rsid w:val="00B235A9"/>
    <w:rsid w:val="00B23C2C"/>
    <w:rsid w:val="00B24171"/>
    <w:rsid w:val="00B2432E"/>
    <w:rsid w:val="00B246A9"/>
    <w:rsid w:val="00B258FE"/>
    <w:rsid w:val="00B25F29"/>
    <w:rsid w:val="00B26489"/>
    <w:rsid w:val="00B264D7"/>
    <w:rsid w:val="00B270DA"/>
    <w:rsid w:val="00B27718"/>
    <w:rsid w:val="00B27976"/>
    <w:rsid w:val="00B31CAE"/>
    <w:rsid w:val="00B320C5"/>
    <w:rsid w:val="00B32B8B"/>
    <w:rsid w:val="00B32DDB"/>
    <w:rsid w:val="00B3327A"/>
    <w:rsid w:val="00B332E3"/>
    <w:rsid w:val="00B336B5"/>
    <w:rsid w:val="00B33853"/>
    <w:rsid w:val="00B33C76"/>
    <w:rsid w:val="00B34B8E"/>
    <w:rsid w:val="00B34C21"/>
    <w:rsid w:val="00B34D26"/>
    <w:rsid w:val="00B34D2C"/>
    <w:rsid w:val="00B34DAB"/>
    <w:rsid w:val="00B3521B"/>
    <w:rsid w:val="00B3529F"/>
    <w:rsid w:val="00B354B6"/>
    <w:rsid w:val="00B35954"/>
    <w:rsid w:val="00B35B2F"/>
    <w:rsid w:val="00B360DE"/>
    <w:rsid w:val="00B36297"/>
    <w:rsid w:val="00B36A9E"/>
    <w:rsid w:val="00B37622"/>
    <w:rsid w:val="00B37C2C"/>
    <w:rsid w:val="00B37F83"/>
    <w:rsid w:val="00B4079B"/>
    <w:rsid w:val="00B40B84"/>
    <w:rsid w:val="00B40EB9"/>
    <w:rsid w:val="00B41A0A"/>
    <w:rsid w:val="00B41BA3"/>
    <w:rsid w:val="00B42915"/>
    <w:rsid w:val="00B42DC0"/>
    <w:rsid w:val="00B43764"/>
    <w:rsid w:val="00B4463A"/>
    <w:rsid w:val="00B449C1"/>
    <w:rsid w:val="00B44B64"/>
    <w:rsid w:val="00B44F7E"/>
    <w:rsid w:val="00B45197"/>
    <w:rsid w:val="00B46BBF"/>
    <w:rsid w:val="00B4762B"/>
    <w:rsid w:val="00B47754"/>
    <w:rsid w:val="00B478FE"/>
    <w:rsid w:val="00B508DA"/>
    <w:rsid w:val="00B50C8B"/>
    <w:rsid w:val="00B5124C"/>
    <w:rsid w:val="00B52135"/>
    <w:rsid w:val="00B522AA"/>
    <w:rsid w:val="00B528C1"/>
    <w:rsid w:val="00B52C5A"/>
    <w:rsid w:val="00B52E24"/>
    <w:rsid w:val="00B53944"/>
    <w:rsid w:val="00B53E68"/>
    <w:rsid w:val="00B547A8"/>
    <w:rsid w:val="00B55082"/>
    <w:rsid w:val="00B561B1"/>
    <w:rsid w:val="00B561B9"/>
    <w:rsid w:val="00B56944"/>
    <w:rsid w:val="00B5722E"/>
    <w:rsid w:val="00B574EB"/>
    <w:rsid w:val="00B57EF4"/>
    <w:rsid w:val="00B60C5A"/>
    <w:rsid w:val="00B613E4"/>
    <w:rsid w:val="00B61659"/>
    <w:rsid w:val="00B6177B"/>
    <w:rsid w:val="00B61F2C"/>
    <w:rsid w:val="00B62606"/>
    <w:rsid w:val="00B62E6F"/>
    <w:rsid w:val="00B63094"/>
    <w:rsid w:val="00B63A01"/>
    <w:rsid w:val="00B643E3"/>
    <w:rsid w:val="00B64F2A"/>
    <w:rsid w:val="00B65FA7"/>
    <w:rsid w:val="00B6608F"/>
    <w:rsid w:val="00B67438"/>
    <w:rsid w:val="00B676F9"/>
    <w:rsid w:val="00B67D22"/>
    <w:rsid w:val="00B70349"/>
    <w:rsid w:val="00B708A1"/>
    <w:rsid w:val="00B712A5"/>
    <w:rsid w:val="00B713CA"/>
    <w:rsid w:val="00B7146C"/>
    <w:rsid w:val="00B71A2F"/>
    <w:rsid w:val="00B7212D"/>
    <w:rsid w:val="00B72137"/>
    <w:rsid w:val="00B7267A"/>
    <w:rsid w:val="00B72BBB"/>
    <w:rsid w:val="00B732B2"/>
    <w:rsid w:val="00B737B5"/>
    <w:rsid w:val="00B743DD"/>
    <w:rsid w:val="00B745E6"/>
    <w:rsid w:val="00B747E6"/>
    <w:rsid w:val="00B74CA1"/>
    <w:rsid w:val="00B74D85"/>
    <w:rsid w:val="00B75270"/>
    <w:rsid w:val="00B75466"/>
    <w:rsid w:val="00B765A7"/>
    <w:rsid w:val="00B76D1E"/>
    <w:rsid w:val="00B76E4A"/>
    <w:rsid w:val="00B774CD"/>
    <w:rsid w:val="00B804F8"/>
    <w:rsid w:val="00B807AF"/>
    <w:rsid w:val="00B80DFC"/>
    <w:rsid w:val="00B80FA6"/>
    <w:rsid w:val="00B81CAF"/>
    <w:rsid w:val="00B83079"/>
    <w:rsid w:val="00B83A47"/>
    <w:rsid w:val="00B84723"/>
    <w:rsid w:val="00B848E3"/>
    <w:rsid w:val="00B849FD"/>
    <w:rsid w:val="00B84DCA"/>
    <w:rsid w:val="00B84EDB"/>
    <w:rsid w:val="00B8531B"/>
    <w:rsid w:val="00B85586"/>
    <w:rsid w:val="00B858DD"/>
    <w:rsid w:val="00B85B4F"/>
    <w:rsid w:val="00B86AA3"/>
    <w:rsid w:val="00B86B50"/>
    <w:rsid w:val="00B86D42"/>
    <w:rsid w:val="00B87149"/>
    <w:rsid w:val="00B87222"/>
    <w:rsid w:val="00B87430"/>
    <w:rsid w:val="00B87580"/>
    <w:rsid w:val="00B876C0"/>
    <w:rsid w:val="00B87856"/>
    <w:rsid w:val="00B8794E"/>
    <w:rsid w:val="00B90513"/>
    <w:rsid w:val="00B90C7A"/>
    <w:rsid w:val="00B90D3F"/>
    <w:rsid w:val="00B91263"/>
    <w:rsid w:val="00B913A5"/>
    <w:rsid w:val="00B91520"/>
    <w:rsid w:val="00B91E6C"/>
    <w:rsid w:val="00B92676"/>
    <w:rsid w:val="00B93BC4"/>
    <w:rsid w:val="00B93C53"/>
    <w:rsid w:val="00B940E4"/>
    <w:rsid w:val="00B94C4F"/>
    <w:rsid w:val="00B95140"/>
    <w:rsid w:val="00B95725"/>
    <w:rsid w:val="00B957AA"/>
    <w:rsid w:val="00B95940"/>
    <w:rsid w:val="00B95B09"/>
    <w:rsid w:val="00B9624F"/>
    <w:rsid w:val="00B96670"/>
    <w:rsid w:val="00B96A40"/>
    <w:rsid w:val="00B96AA5"/>
    <w:rsid w:val="00B96E42"/>
    <w:rsid w:val="00B9791E"/>
    <w:rsid w:val="00B97E08"/>
    <w:rsid w:val="00B97EF3"/>
    <w:rsid w:val="00BA0481"/>
    <w:rsid w:val="00BA0A11"/>
    <w:rsid w:val="00BA0F35"/>
    <w:rsid w:val="00BA1262"/>
    <w:rsid w:val="00BA18B6"/>
    <w:rsid w:val="00BA239D"/>
    <w:rsid w:val="00BA2DFF"/>
    <w:rsid w:val="00BA31F6"/>
    <w:rsid w:val="00BA32A6"/>
    <w:rsid w:val="00BA3418"/>
    <w:rsid w:val="00BA3657"/>
    <w:rsid w:val="00BA39C1"/>
    <w:rsid w:val="00BA3A5F"/>
    <w:rsid w:val="00BA43A1"/>
    <w:rsid w:val="00BA44C3"/>
    <w:rsid w:val="00BA4770"/>
    <w:rsid w:val="00BA520D"/>
    <w:rsid w:val="00BA5329"/>
    <w:rsid w:val="00BA59F0"/>
    <w:rsid w:val="00BA5B6E"/>
    <w:rsid w:val="00BA5F93"/>
    <w:rsid w:val="00BA60B9"/>
    <w:rsid w:val="00BA684F"/>
    <w:rsid w:val="00BA6C5D"/>
    <w:rsid w:val="00BA6D9E"/>
    <w:rsid w:val="00BA7341"/>
    <w:rsid w:val="00BA7680"/>
    <w:rsid w:val="00BA7720"/>
    <w:rsid w:val="00BA783D"/>
    <w:rsid w:val="00BB0A0E"/>
    <w:rsid w:val="00BB1811"/>
    <w:rsid w:val="00BB1FB4"/>
    <w:rsid w:val="00BB2DE0"/>
    <w:rsid w:val="00BB34A6"/>
    <w:rsid w:val="00BB3505"/>
    <w:rsid w:val="00BB3AC8"/>
    <w:rsid w:val="00BB3B2E"/>
    <w:rsid w:val="00BB3E3A"/>
    <w:rsid w:val="00BB491A"/>
    <w:rsid w:val="00BB4983"/>
    <w:rsid w:val="00BB4B5D"/>
    <w:rsid w:val="00BB50D0"/>
    <w:rsid w:val="00BB52C7"/>
    <w:rsid w:val="00BB5651"/>
    <w:rsid w:val="00BB5CA1"/>
    <w:rsid w:val="00BB5D3C"/>
    <w:rsid w:val="00BB600B"/>
    <w:rsid w:val="00BB6728"/>
    <w:rsid w:val="00BB6799"/>
    <w:rsid w:val="00BB68C8"/>
    <w:rsid w:val="00BB6DD9"/>
    <w:rsid w:val="00BB7674"/>
    <w:rsid w:val="00BB79E7"/>
    <w:rsid w:val="00BB7B43"/>
    <w:rsid w:val="00BC0953"/>
    <w:rsid w:val="00BC1057"/>
    <w:rsid w:val="00BC15AC"/>
    <w:rsid w:val="00BC1C40"/>
    <w:rsid w:val="00BC1E95"/>
    <w:rsid w:val="00BC20AA"/>
    <w:rsid w:val="00BC21CD"/>
    <w:rsid w:val="00BC2667"/>
    <w:rsid w:val="00BC27EC"/>
    <w:rsid w:val="00BC3037"/>
    <w:rsid w:val="00BC3825"/>
    <w:rsid w:val="00BC3EAA"/>
    <w:rsid w:val="00BC54F1"/>
    <w:rsid w:val="00BC5965"/>
    <w:rsid w:val="00BC6AC1"/>
    <w:rsid w:val="00BC705F"/>
    <w:rsid w:val="00BC71C7"/>
    <w:rsid w:val="00BC784E"/>
    <w:rsid w:val="00BC7F9A"/>
    <w:rsid w:val="00BD0104"/>
    <w:rsid w:val="00BD04C0"/>
    <w:rsid w:val="00BD0E37"/>
    <w:rsid w:val="00BD149A"/>
    <w:rsid w:val="00BD1E3D"/>
    <w:rsid w:val="00BD1F93"/>
    <w:rsid w:val="00BD20FD"/>
    <w:rsid w:val="00BD2260"/>
    <w:rsid w:val="00BD34C6"/>
    <w:rsid w:val="00BD366B"/>
    <w:rsid w:val="00BD378C"/>
    <w:rsid w:val="00BD3852"/>
    <w:rsid w:val="00BD440C"/>
    <w:rsid w:val="00BD47C9"/>
    <w:rsid w:val="00BD5231"/>
    <w:rsid w:val="00BD5376"/>
    <w:rsid w:val="00BD5697"/>
    <w:rsid w:val="00BD5CC0"/>
    <w:rsid w:val="00BD6D50"/>
    <w:rsid w:val="00BD713B"/>
    <w:rsid w:val="00BD7AFE"/>
    <w:rsid w:val="00BD7BC0"/>
    <w:rsid w:val="00BE0470"/>
    <w:rsid w:val="00BE0D50"/>
    <w:rsid w:val="00BE1B51"/>
    <w:rsid w:val="00BE1D60"/>
    <w:rsid w:val="00BE2014"/>
    <w:rsid w:val="00BE2714"/>
    <w:rsid w:val="00BE2976"/>
    <w:rsid w:val="00BE2E1E"/>
    <w:rsid w:val="00BE2F5E"/>
    <w:rsid w:val="00BE32AC"/>
    <w:rsid w:val="00BE3C16"/>
    <w:rsid w:val="00BE4C01"/>
    <w:rsid w:val="00BE4F16"/>
    <w:rsid w:val="00BE5452"/>
    <w:rsid w:val="00BE5539"/>
    <w:rsid w:val="00BE55C0"/>
    <w:rsid w:val="00BE5610"/>
    <w:rsid w:val="00BE58BB"/>
    <w:rsid w:val="00BE6135"/>
    <w:rsid w:val="00BE61B3"/>
    <w:rsid w:val="00BE6A8E"/>
    <w:rsid w:val="00BE6CCD"/>
    <w:rsid w:val="00BE6D74"/>
    <w:rsid w:val="00BE7735"/>
    <w:rsid w:val="00BE7D8F"/>
    <w:rsid w:val="00BE7DA4"/>
    <w:rsid w:val="00BF084F"/>
    <w:rsid w:val="00BF09A3"/>
    <w:rsid w:val="00BF1395"/>
    <w:rsid w:val="00BF17CA"/>
    <w:rsid w:val="00BF1934"/>
    <w:rsid w:val="00BF1ACB"/>
    <w:rsid w:val="00BF2180"/>
    <w:rsid w:val="00BF27B1"/>
    <w:rsid w:val="00BF29C3"/>
    <w:rsid w:val="00BF2F3A"/>
    <w:rsid w:val="00BF324F"/>
    <w:rsid w:val="00BF34AC"/>
    <w:rsid w:val="00BF3779"/>
    <w:rsid w:val="00BF3A28"/>
    <w:rsid w:val="00BF3C1F"/>
    <w:rsid w:val="00BF40AB"/>
    <w:rsid w:val="00BF428B"/>
    <w:rsid w:val="00BF4880"/>
    <w:rsid w:val="00BF4D79"/>
    <w:rsid w:val="00BF523B"/>
    <w:rsid w:val="00BF55AB"/>
    <w:rsid w:val="00BF5985"/>
    <w:rsid w:val="00BF5AA6"/>
    <w:rsid w:val="00BF6A12"/>
    <w:rsid w:val="00BF728A"/>
    <w:rsid w:val="00C004CD"/>
    <w:rsid w:val="00C0085D"/>
    <w:rsid w:val="00C01237"/>
    <w:rsid w:val="00C013A9"/>
    <w:rsid w:val="00C01A53"/>
    <w:rsid w:val="00C01BB8"/>
    <w:rsid w:val="00C01E7D"/>
    <w:rsid w:val="00C023F6"/>
    <w:rsid w:val="00C02753"/>
    <w:rsid w:val="00C029A2"/>
    <w:rsid w:val="00C02DD6"/>
    <w:rsid w:val="00C02EDE"/>
    <w:rsid w:val="00C03303"/>
    <w:rsid w:val="00C03739"/>
    <w:rsid w:val="00C047FD"/>
    <w:rsid w:val="00C04B70"/>
    <w:rsid w:val="00C058F6"/>
    <w:rsid w:val="00C05A58"/>
    <w:rsid w:val="00C05E7A"/>
    <w:rsid w:val="00C05EDF"/>
    <w:rsid w:val="00C06451"/>
    <w:rsid w:val="00C06F01"/>
    <w:rsid w:val="00C07472"/>
    <w:rsid w:val="00C07F4C"/>
    <w:rsid w:val="00C10680"/>
    <w:rsid w:val="00C108F8"/>
    <w:rsid w:val="00C11121"/>
    <w:rsid w:val="00C12AA6"/>
    <w:rsid w:val="00C12ABD"/>
    <w:rsid w:val="00C12F2D"/>
    <w:rsid w:val="00C13711"/>
    <w:rsid w:val="00C13D3E"/>
    <w:rsid w:val="00C1417B"/>
    <w:rsid w:val="00C14C1A"/>
    <w:rsid w:val="00C14F1F"/>
    <w:rsid w:val="00C15311"/>
    <w:rsid w:val="00C1654D"/>
    <w:rsid w:val="00C16594"/>
    <w:rsid w:val="00C16837"/>
    <w:rsid w:val="00C1758F"/>
    <w:rsid w:val="00C17653"/>
    <w:rsid w:val="00C178BF"/>
    <w:rsid w:val="00C20A0D"/>
    <w:rsid w:val="00C2130B"/>
    <w:rsid w:val="00C213EC"/>
    <w:rsid w:val="00C21A91"/>
    <w:rsid w:val="00C21C7D"/>
    <w:rsid w:val="00C21F94"/>
    <w:rsid w:val="00C23027"/>
    <w:rsid w:val="00C23D9B"/>
    <w:rsid w:val="00C2468C"/>
    <w:rsid w:val="00C26023"/>
    <w:rsid w:val="00C26260"/>
    <w:rsid w:val="00C2669B"/>
    <w:rsid w:val="00C271D4"/>
    <w:rsid w:val="00C27565"/>
    <w:rsid w:val="00C277DC"/>
    <w:rsid w:val="00C30249"/>
    <w:rsid w:val="00C307C1"/>
    <w:rsid w:val="00C30A22"/>
    <w:rsid w:val="00C30AB6"/>
    <w:rsid w:val="00C311CA"/>
    <w:rsid w:val="00C31993"/>
    <w:rsid w:val="00C319C7"/>
    <w:rsid w:val="00C31CD1"/>
    <w:rsid w:val="00C31DCC"/>
    <w:rsid w:val="00C32486"/>
    <w:rsid w:val="00C32BEE"/>
    <w:rsid w:val="00C32CA7"/>
    <w:rsid w:val="00C32D87"/>
    <w:rsid w:val="00C332D1"/>
    <w:rsid w:val="00C33504"/>
    <w:rsid w:val="00C3352D"/>
    <w:rsid w:val="00C34AE9"/>
    <w:rsid w:val="00C356D7"/>
    <w:rsid w:val="00C36300"/>
    <w:rsid w:val="00C364B9"/>
    <w:rsid w:val="00C36C5C"/>
    <w:rsid w:val="00C376B7"/>
    <w:rsid w:val="00C37948"/>
    <w:rsid w:val="00C40DA5"/>
    <w:rsid w:val="00C41877"/>
    <w:rsid w:val="00C41BEC"/>
    <w:rsid w:val="00C42C92"/>
    <w:rsid w:val="00C44062"/>
    <w:rsid w:val="00C44926"/>
    <w:rsid w:val="00C45446"/>
    <w:rsid w:val="00C45A2C"/>
    <w:rsid w:val="00C45E28"/>
    <w:rsid w:val="00C45EF8"/>
    <w:rsid w:val="00C463A9"/>
    <w:rsid w:val="00C466D5"/>
    <w:rsid w:val="00C469D5"/>
    <w:rsid w:val="00C46DD8"/>
    <w:rsid w:val="00C47981"/>
    <w:rsid w:val="00C47A51"/>
    <w:rsid w:val="00C47BC5"/>
    <w:rsid w:val="00C47C21"/>
    <w:rsid w:val="00C50544"/>
    <w:rsid w:val="00C50CCB"/>
    <w:rsid w:val="00C5133B"/>
    <w:rsid w:val="00C515DD"/>
    <w:rsid w:val="00C51696"/>
    <w:rsid w:val="00C51D3E"/>
    <w:rsid w:val="00C52125"/>
    <w:rsid w:val="00C52BAE"/>
    <w:rsid w:val="00C52EBA"/>
    <w:rsid w:val="00C53308"/>
    <w:rsid w:val="00C53887"/>
    <w:rsid w:val="00C53991"/>
    <w:rsid w:val="00C53CCD"/>
    <w:rsid w:val="00C543EF"/>
    <w:rsid w:val="00C54E98"/>
    <w:rsid w:val="00C5526B"/>
    <w:rsid w:val="00C55B69"/>
    <w:rsid w:val="00C56365"/>
    <w:rsid w:val="00C56492"/>
    <w:rsid w:val="00C56968"/>
    <w:rsid w:val="00C56A53"/>
    <w:rsid w:val="00C56DA6"/>
    <w:rsid w:val="00C56DDB"/>
    <w:rsid w:val="00C57735"/>
    <w:rsid w:val="00C57D22"/>
    <w:rsid w:val="00C6043F"/>
    <w:rsid w:val="00C605EB"/>
    <w:rsid w:val="00C60845"/>
    <w:rsid w:val="00C60F4B"/>
    <w:rsid w:val="00C60FC3"/>
    <w:rsid w:val="00C60FE0"/>
    <w:rsid w:val="00C61678"/>
    <w:rsid w:val="00C62B11"/>
    <w:rsid w:val="00C62B8F"/>
    <w:rsid w:val="00C63040"/>
    <w:rsid w:val="00C635DA"/>
    <w:rsid w:val="00C66128"/>
    <w:rsid w:val="00C66D20"/>
    <w:rsid w:val="00C66D25"/>
    <w:rsid w:val="00C66F7F"/>
    <w:rsid w:val="00C67030"/>
    <w:rsid w:val="00C67AFE"/>
    <w:rsid w:val="00C67EC1"/>
    <w:rsid w:val="00C70089"/>
    <w:rsid w:val="00C700C5"/>
    <w:rsid w:val="00C705C6"/>
    <w:rsid w:val="00C70B7C"/>
    <w:rsid w:val="00C7139F"/>
    <w:rsid w:val="00C715D2"/>
    <w:rsid w:val="00C71A7D"/>
    <w:rsid w:val="00C71BC7"/>
    <w:rsid w:val="00C71C41"/>
    <w:rsid w:val="00C72103"/>
    <w:rsid w:val="00C721A9"/>
    <w:rsid w:val="00C729C9"/>
    <w:rsid w:val="00C73429"/>
    <w:rsid w:val="00C73A71"/>
    <w:rsid w:val="00C73BD1"/>
    <w:rsid w:val="00C73EBF"/>
    <w:rsid w:val="00C73F2A"/>
    <w:rsid w:val="00C73FF7"/>
    <w:rsid w:val="00C7406C"/>
    <w:rsid w:val="00C75024"/>
    <w:rsid w:val="00C767F3"/>
    <w:rsid w:val="00C7733C"/>
    <w:rsid w:val="00C774BB"/>
    <w:rsid w:val="00C7777A"/>
    <w:rsid w:val="00C7796A"/>
    <w:rsid w:val="00C800A8"/>
    <w:rsid w:val="00C8061A"/>
    <w:rsid w:val="00C80708"/>
    <w:rsid w:val="00C80B62"/>
    <w:rsid w:val="00C80BCC"/>
    <w:rsid w:val="00C80D1B"/>
    <w:rsid w:val="00C80F90"/>
    <w:rsid w:val="00C81019"/>
    <w:rsid w:val="00C81118"/>
    <w:rsid w:val="00C820B0"/>
    <w:rsid w:val="00C84AD2"/>
    <w:rsid w:val="00C84E7E"/>
    <w:rsid w:val="00C853D8"/>
    <w:rsid w:val="00C85411"/>
    <w:rsid w:val="00C8555B"/>
    <w:rsid w:val="00C86039"/>
    <w:rsid w:val="00C866FE"/>
    <w:rsid w:val="00C86C49"/>
    <w:rsid w:val="00C87539"/>
    <w:rsid w:val="00C87605"/>
    <w:rsid w:val="00C87801"/>
    <w:rsid w:val="00C87990"/>
    <w:rsid w:val="00C87B46"/>
    <w:rsid w:val="00C903FE"/>
    <w:rsid w:val="00C90A38"/>
    <w:rsid w:val="00C90CF4"/>
    <w:rsid w:val="00C9101A"/>
    <w:rsid w:val="00C91774"/>
    <w:rsid w:val="00C92660"/>
    <w:rsid w:val="00C92818"/>
    <w:rsid w:val="00C92A5D"/>
    <w:rsid w:val="00C930B3"/>
    <w:rsid w:val="00C93389"/>
    <w:rsid w:val="00C95805"/>
    <w:rsid w:val="00C958DA"/>
    <w:rsid w:val="00C95A39"/>
    <w:rsid w:val="00C95B18"/>
    <w:rsid w:val="00C95B77"/>
    <w:rsid w:val="00C95DDC"/>
    <w:rsid w:val="00C95E3D"/>
    <w:rsid w:val="00C95EF1"/>
    <w:rsid w:val="00C96460"/>
    <w:rsid w:val="00C96557"/>
    <w:rsid w:val="00C967D2"/>
    <w:rsid w:val="00C96820"/>
    <w:rsid w:val="00C96A1D"/>
    <w:rsid w:val="00C9720A"/>
    <w:rsid w:val="00C97707"/>
    <w:rsid w:val="00C977D7"/>
    <w:rsid w:val="00C97F3F"/>
    <w:rsid w:val="00CA0381"/>
    <w:rsid w:val="00CA07BD"/>
    <w:rsid w:val="00CA0C7F"/>
    <w:rsid w:val="00CA0C96"/>
    <w:rsid w:val="00CA0CB0"/>
    <w:rsid w:val="00CA15F1"/>
    <w:rsid w:val="00CA2DD6"/>
    <w:rsid w:val="00CA301D"/>
    <w:rsid w:val="00CA3231"/>
    <w:rsid w:val="00CA35BA"/>
    <w:rsid w:val="00CA4582"/>
    <w:rsid w:val="00CA4967"/>
    <w:rsid w:val="00CA558C"/>
    <w:rsid w:val="00CA55F2"/>
    <w:rsid w:val="00CA5868"/>
    <w:rsid w:val="00CA5AF6"/>
    <w:rsid w:val="00CA6237"/>
    <w:rsid w:val="00CB00CF"/>
    <w:rsid w:val="00CB1532"/>
    <w:rsid w:val="00CB182D"/>
    <w:rsid w:val="00CB1FC6"/>
    <w:rsid w:val="00CB2126"/>
    <w:rsid w:val="00CB283C"/>
    <w:rsid w:val="00CB29D1"/>
    <w:rsid w:val="00CB3A1E"/>
    <w:rsid w:val="00CB42C2"/>
    <w:rsid w:val="00CB507F"/>
    <w:rsid w:val="00CB50C6"/>
    <w:rsid w:val="00CB5529"/>
    <w:rsid w:val="00CB5A6C"/>
    <w:rsid w:val="00CB5A88"/>
    <w:rsid w:val="00CB5C43"/>
    <w:rsid w:val="00CB62F8"/>
    <w:rsid w:val="00CB6938"/>
    <w:rsid w:val="00CB6B8A"/>
    <w:rsid w:val="00CB6DAD"/>
    <w:rsid w:val="00CB7093"/>
    <w:rsid w:val="00CB728A"/>
    <w:rsid w:val="00CB762F"/>
    <w:rsid w:val="00CB79D1"/>
    <w:rsid w:val="00CB7C52"/>
    <w:rsid w:val="00CB7E4F"/>
    <w:rsid w:val="00CC0243"/>
    <w:rsid w:val="00CC0FC5"/>
    <w:rsid w:val="00CC1506"/>
    <w:rsid w:val="00CC17C6"/>
    <w:rsid w:val="00CC1887"/>
    <w:rsid w:val="00CC2111"/>
    <w:rsid w:val="00CC264F"/>
    <w:rsid w:val="00CC2CA7"/>
    <w:rsid w:val="00CC38DB"/>
    <w:rsid w:val="00CC3B3E"/>
    <w:rsid w:val="00CC4021"/>
    <w:rsid w:val="00CC40BE"/>
    <w:rsid w:val="00CC42BB"/>
    <w:rsid w:val="00CC4892"/>
    <w:rsid w:val="00CC4F46"/>
    <w:rsid w:val="00CC5730"/>
    <w:rsid w:val="00CC5CCD"/>
    <w:rsid w:val="00CC5D6D"/>
    <w:rsid w:val="00CC5D9D"/>
    <w:rsid w:val="00CC6C7A"/>
    <w:rsid w:val="00CC72BB"/>
    <w:rsid w:val="00CC7383"/>
    <w:rsid w:val="00CD0029"/>
    <w:rsid w:val="00CD02EF"/>
    <w:rsid w:val="00CD0821"/>
    <w:rsid w:val="00CD09F8"/>
    <w:rsid w:val="00CD0C52"/>
    <w:rsid w:val="00CD106F"/>
    <w:rsid w:val="00CD1C15"/>
    <w:rsid w:val="00CD2C87"/>
    <w:rsid w:val="00CD2F79"/>
    <w:rsid w:val="00CD320A"/>
    <w:rsid w:val="00CD3A7A"/>
    <w:rsid w:val="00CD3C89"/>
    <w:rsid w:val="00CD45BE"/>
    <w:rsid w:val="00CD58BC"/>
    <w:rsid w:val="00CD5BD2"/>
    <w:rsid w:val="00CD7180"/>
    <w:rsid w:val="00CD7644"/>
    <w:rsid w:val="00CD7BE9"/>
    <w:rsid w:val="00CD7F4B"/>
    <w:rsid w:val="00CE00F3"/>
    <w:rsid w:val="00CE06FE"/>
    <w:rsid w:val="00CE0F58"/>
    <w:rsid w:val="00CE1019"/>
    <w:rsid w:val="00CE12B5"/>
    <w:rsid w:val="00CE1C1A"/>
    <w:rsid w:val="00CE276E"/>
    <w:rsid w:val="00CE2A32"/>
    <w:rsid w:val="00CE35FE"/>
    <w:rsid w:val="00CE38E5"/>
    <w:rsid w:val="00CE4C65"/>
    <w:rsid w:val="00CE5967"/>
    <w:rsid w:val="00CE6768"/>
    <w:rsid w:val="00CE69D5"/>
    <w:rsid w:val="00CE6BEE"/>
    <w:rsid w:val="00CE6E98"/>
    <w:rsid w:val="00CE7CE6"/>
    <w:rsid w:val="00CF0062"/>
    <w:rsid w:val="00CF02EA"/>
    <w:rsid w:val="00CF185C"/>
    <w:rsid w:val="00CF1AA4"/>
    <w:rsid w:val="00CF1DC1"/>
    <w:rsid w:val="00CF1E05"/>
    <w:rsid w:val="00CF1E2A"/>
    <w:rsid w:val="00CF21E3"/>
    <w:rsid w:val="00CF27A0"/>
    <w:rsid w:val="00CF2F19"/>
    <w:rsid w:val="00CF316C"/>
    <w:rsid w:val="00CF3764"/>
    <w:rsid w:val="00CF3C73"/>
    <w:rsid w:val="00CF4065"/>
    <w:rsid w:val="00CF42AF"/>
    <w:rsid w:val="00CF444A"/>
    <w:rsid w:val="00CF45F0"/>
    <w:rsid w:val="00CF4634"/>
    <w:rsid w:val="00CF47FD"/>
    <w:rsid w:val="00CF4ED8"/>
    <w:rsid w:val="00CF51EC"/>
    <w:rsid w:val="00CF5C9E"/>
    <w:rsid w:val="00CF667F"/>
    <w:rsid w:val="00CF6E11"/>
    <w:rsid w:val="00CF6E52"/>
    <w:rsid w:val="00CF7BEB"/>
    <w:rsid w:val="00CF7DE3"/>
    <w:rsid w:val="00D0003C"/>
    <w:rsid w:val="00D0038E"/>
    <w:rsid w:val="00D0065D"/>
    <w:rsid w:val="00D00D90"/>
    <w:rsid w:val="00D0124A"/>
    <w:rsid w:val="00D0159F"/>
    <w:rsid w:val="00D01FC6"/>
    <w:rsid w:val="00D02152"/>
    <w:rsid w:val="00D0247B"/>
    <w:rsid w:val="00D02A33"/>
    <w:rsid w:val="00D03438"/>
    <w:rsid w:val="00D03F48"/>
    <w:rsid w:val="00D040DD"/>
    <w:rsid w:val="00D04404"/>
    <w:rsid w:val="00D045D0"/>
    <w:rsid w:val="00D04814"/>
    <w:rsid w:val="00D04817"/>
    <w:rsid w:val="00D04839"/>
    <w:rsid w:val="00D04A5D"/>
    <w:rsid w:val="00D04D70"/>
    <w:rsid w:val="00D053F3"/>
    <w:rsid w:val="00D064DA"/>
    <w:rsid w:val="00D06BB8"/>
    <w:rsid w:val="00D06BBA"/>
    <w:rsid w:val="00D07821"/>
    <w:rsid w:val="00D104F4"/>
    <w:rsid w:val="00D108A6"/>
    <w:rsid w:val="00D10E5A"/>
    <w:rsid w:val="00D10ED1"/>
    <w:rsid w:val="00D112F1"/>
    <w:rsid w:val="00D11517"/>
    <w:rsid w:val="00D11A8D"/>
    <w:rsid w:val="00D11D3C"/>
    <w:rsid w:val="00D13328"/>
    <w:rsid w:val="00D13710"/>
    <w:rsid w:val="00D13906"/>
    <w:rsid w:val="00D13B2C"/>
    <w:rsid w:val="00D14012"/>
    <w:rsid w:val="00D1421A"/>
    <w:rsid w:val="00D143C5"/>
    <w:rsid w:val="00D151C1"/>
    <w:rsid w:val="00D15A54"/>
    <w:rsid w:val="00D15F84"/>
    <w:rsid w:val="00D16834"/>
    <w:rsid w:val="00D17493"/>
    <w:rsid w:val="00D17E6A"/>
    <w:rsid w:val="00D202E3"/>
    <w:rsid w:val="00D20A6B"/>
    <w:rsid w:val="00D21909"/>
    <w:rsid w:val="00D21B16"/>
    <w:rsid w:val="00D23446"/>
    <w:rsid w:val="00D23BDC"/>
    <w:rsid w:val="00D24989"/>
    <w:rsid w:val="00D24E53"/>
    <w:rsid w:val="00D24E59"/>
    <w:rsid w:val="00D253DC"/>
    <w:rsid w:val="00D267E2"/>
    <w:rsid w:val="00D26C60"/>
    <w:rsid w:val="00D27BAA"/>
    <w:rsid w:val="00D30694"/>
    <w:rsid w:val="00D31B66"/>
    <w:rsid w:val="00D32536"/>
    <w:rsid w:val="00D326FF"/>
    <w:rsid w:val="00D33188"/>
    <w:rsid w:val="00D3391B"/>
    <w:rsid w:val="00D33C44"/>
    <w:rsid w:val="00D34887"/>
    <w:rsid w:val="00D3533E"/>
    <w:rsid w:val="00D35F48"/>
    <w:rsid w:val="00D3685E"/>
    <w:rsid w:val="00D36F45"/>
    <w:rsid w:val="00D37BBE"/>
    <w:rsid w:val="00D401D0"/>
    <w:rsid w:val="00D4021A"/>
    <w:rsid w:val="00D407B8"/>
    <w:rsid w:val="00D4082D"/>
    <w:rsid w:val="00D40EB6"/>
    <w:rsid w:val="00D41101"/>
    <w:rsid w:val="00D41110"/>
    <w:rsid w:val="00D41AF1"/>
    <w:rsid w:val="00D4241C"/>
    <w:rsid w:val="00D42EE1"/>
    <w:rsid w:val="00D42EF9"/>
    <w:rsid w:val="00D43FC4"/>
    <w:rsid w:val="00D444BD"/>
    <w:rsid w:val="00D4539A"/>
    <w:rsid w:val="00D46277"/>
    <w:rsid w:val="00D47409"/>
    <w:rsid w:val="00D4746D"/>
    <w:rsid w:val="00D47EE1"/>
    <w:rsid w:val="00D50475"/>
    <w:rsid w:val="00D506C4"/>
    <w:rsid w:val="00D5084E"/>
    <w:rsid w:val="00D50894"/>
    <w:rsid w:val="00D509E2"/>
    <w:rsid w:val="00D519AC"/>
    <w:rsid w:val="00D51DDB"/>
    <w:rsid w:val="00D52F5C"/>
    <w:rsid w:val="00D5396B"/>
    <w:rsid w:val="00D54787"/>
    <w:rsid w:val="00D54B03"/>
    <w:rsid w:val="00D54F07"/>
    <w:rsid w:val="00D553BD"/>
    <w:rsid w:val="00D5563F"/>
    <w:rsid w:val="00D558E8"/>
    <w:rsid w:val="00D55D3A"/>
    <w:rsid w:val="00D55F58"/>
    <w:rsid w:val="00D56553"/>
    <w:rsid w:val="00D57D9C"/>
    <w:rsid w:val="00D604A4"/>
    <w:rsid w:val="00D607B4"/>
    <w:rsid w:val="00D60C38"/>
    <w:rsid w:val="00D60D6D"/>
    <w:rsid w:val="00D6138A"/>
    <w:rsid w:val="00D6150F"/>
    <w:rsid w:val="00D62646"/>
    <w:rsid w:val="00D62683"/>
    <w:rsid w:val="00D62884"/>
    <w:rsid w:val="00D62D84"/>
    <w:rsid w:val="00D6375B"/>
    <w:rsid w:val="00D63A3B"/>
    <w:rsid w:val="00D63A6D"/>
    <w:rsid w:val="00D64B4E"/>
    <w:rsid w:val="00D6509C"/>
    <w:rsid w:val="00D651BD"/>
    <w:rsid w:val="00D65397"/>
    <w:rsid w:val="00D65772"/>
    <w:rsid w:val="00D65A27"/>
    <w:rsid w:val="00D65D98"/>
    <w:rsid w:val="00D671EC"/>
    <w:rsid w:val="00D676A9"/>
    <w:rsid w:val="00D70102"/>
    <w:rsid w:val="00D70113"/>
    <w:rsid w:val="00D7019F"/>
    <w:rsid w:val="00D702B3"/>
    <w:rsid w:val="00D70546"/>
    <w:rsid w:val="00D7078A"/>
    <w:rsid w:val="00D70E67"/>
    <w:rsid w:val="00D71C98"/>
    <w:rsid w:val="00D71EAA"/>
    <w:rsid w:val="00D7252B"/>
    <w:rsid w:val="00D72B5F"/>
    <w:rsid w:val="00D72BBC"/>
    <w:rsid w:val="00D72C5F"/>
    <w:rsid w:val="00D72D69"/>
    <w:rsid w:val="00D7324B"/>
    <w:rsid w:val="00D7330E"/>
    <w:rsid w:val="00D73788"/>
    <w:rsid w:val="00D73A7C"/>
    <w:rsid w:val="00D73A82"/>
    <w:rsid w:val="00D73F7E"/>
    <w:rsid w:val="00D754F2"/>
    <w:rsid w:val="00D7579B"/>
    <w:rsid w:val="00D75D5B"/>
    <w:rsid w:val="00D75FBA"/>
    <w:rsid w:val="00D7728C"/>
    <w:rsid w:val="00D778A7"/>
    <w:rsid w:val="00D77A36"/>
    <w:rsid w:val="00D80203"/>
    <w:rsid w:val="00D802C0"/>
    <w:rsid w:val="00D80AF4"/>
    <w:rsid w:val="00D80B0B"/>
    <w:rsid w:val="00D8136E"/>
    <w:rsid w:val="00D814E8"/>
    <w:rsid w:val="00D81FA6"/>
    <w:rsid w:val="00D82D7F"/>
    <w:rsid w:val="00D83769"/>
    <w:rsid w:val="00D83A64"/>
    <w:rsid w:val="00D842B4"/>
    <w:rsid w:val="00D843F7"/>
    <w:rsid w:val="00D84A79"/>
    <w:rsid w:val="00D856B7"/>
    <w:rsid w:val="00D85D0A"/>
    <w:rsid w:val="00D85F3E"/>
    <w:rsid w:val="00D867C9"/>
    <w:rsid w:val="00D86F90"/>
    <w:rsid w:val="00D875B3"/>
    <w:rsid w:val="00D87A8C"/>
    <w:rsid w:val="00D87CEB"/>
    <w:rsid w:val="00D87F49"/>
    <w:rsid w:val="00D90393"/>
    <w:rsid w:val="00D90839"/>
    <w:rsid w:val="00D909DE"/>
    <w:rsid w:val="00D914D3"/>
    <w:rsid w:val="00D915C2"/>
    <w:rsid w:val="00D917B8"/>
    <w:rsid w:val="00D91BA6"/>
    <w:rsid w:val="00D9207B"/>
    <w:rsid w:val="00D92168"/>
    <w:rsid w:val="00D925AF"/>
    <w:rsid w:val="00D9320F"/>
    <w:rsid w:val="00D939AF"/>
    <w:rsid w:val="00D93A85"/>
    <w:rsid w:val="00D93DD3"/>
    <w:rsid w:val="00D947CC"/>
    <w:rsid w:val="00D94B8F"/>
    <w:rsid w:val="00D9565D"/>
    <w:rsid w:val="00D965EF"/>
    <w:rsid w:val="00D969DE"/>
    <w:rsid w:val="00D96BCA"/>
    <w:rsid w:val="00D9702A"/>
    <w:rsid w:val="00D97673"/>
    <w:rsid w:val="00D97A8D"/>
    <w:rsid w:val="00DA0E48"/>
    <w:rsid w:val="00DA139E"/>
    <w:rsid w:val="00DA2413"/>
    <w:rsid w:val="00DA2538"/>
    <w:rsid w:val="00DA2BC7"/>
    <w:rsid w:val="00DA2FDD"/>
    <w:rsid w:val="00DA30AE"/>
    <w:rsid w:val="00DA3149"/>
    <w:rsid w:val="00DA345A"/>
    <w:rsid w:val="00DA34BF"/>
    <w:rsid w:val="00DA3D45"/>
    <w:rsid w:val="00DA43A4"/>
    <w:rsid w:val="00DA4417"/>
    <w:rsid w:val="00DA482B"/>
    <w:rsid w:val="00DA4844"/>
    <w:rsid w:val="00DA5DC9"/>
    <w:rsid w:val="00DA67CD"/>
    <w:rsid w:val="00DA6989"/>
    <w:rsid w:val="00DA75ED"/>
    <w:rsid w:val="00DA7E1B"/>
    <w:rsid w:val="00DB0C6A"/>
    <w:rsid w:val="00DB0D04"/>
    <w:rsid w:val="00DB13FC"/>
    <w:rsid w:val="00DB178F"/>
    <w:rsid w:val="00DB1943"/>
    <w:rsid w:val="00DB238B"/>
    <w:rsid w:val="00DB2397"/>
    <w:rsid w:val="00DB25D5"/>
    <w:rsid w:val="00DB28F6"/>
    <w:rsid w:val="00DB39E2"/>
    <w:rsid w:val="00DB3BA9"/>
    <w:rsid w:val="00DB3CD8"/>
    <w:rsid w:val="00DB44DC"/>
    <w:rsid w:val="00DB482F"/>
    <w:rsid w:val="00DB6F7C"/>
    <w:rsid w:val="00DC05D8"/>
    <w:rsid w:val="00DC069A"/>
    <w:rsid w:val="00DC0ACF"/>
    <w:rsid w:val="00DC0ADC"/>
    <w:rsid w:val="00DC17B1"/>
    <w:rsid w:val="00DC1B7E"/>
    <w:rsid w:val="00DC1BCB"/>
    <w:rsid w:val="00DC2831"/>
    <w:rsid w:val="00DC2E68"/>
    <w:rsid w:val="00DC3154"/>
    <w:rsid w:val="00DC396E"/>
    <w:rsid w:val="00DC3BBA"/>
    <w:rsid w:val="00DC3CC7"/>
    <w:rsid w:val="00DC4771"/>
    <w:rsid w:val="00DC4B27"/>
    <w:rsid w:val="00DC52AB"/>
    <w:rsid w:val="00DC55F2"/>
    <w:rsid w:val="00DC5756"/>
    <w:rsid w:val="00DC57C8"/>
    <w:rsid w:val="00DC5B3B"/>
    <w:rsid w:val="00DC5EDF"/>
    <w:rsid w:val="00DC6156"/>
    <w:rsid w:val="00DC63CA"/>
    <w:rsid w:val="00DC73DD"/>
    <w:rsid w:val="00DC7CE0"/>
    <w:rsid w:val="00DC7F5F"/>
    <w:rsid w:val="00DD031C"/>
    <w:rsid w:val="00DD03B5"/>
    <w:rsid w:val="00DD07EF"/>
    <w:rsid w:val="00DD0E70"/>
    <w:rsid w:val="00DD1018"/>
    <w:rsid w:val="00DD1BD7"/>
    <w:rsid w:val="00DD1F4A"/>
    <w:rsid w:val="00DD25A1"/>
    <w:rsid w:val="00DD25C5"/>
    <w:rsid w:val="00DD2657"/>
    <w:rsid w:val="00DD2887"/>
    <w:rsid w:val="00DD2BEA"/>
    <w:rsid w:val="00DD3777"/>
    <w:rsid w:val="00DD38EB"/>
    <w:rsid w:val="00DD3BD4"/>
    <w:rsid w:val="00DD3DAD"/>
    <w:rsid w:val="00DD3F9F"/>
    <w:rsid w:val="00DD45E9"/>
    <w:rsid w:val="00DD4AC7"/>
    <w:rsid w:val="00DD5ADE"/>
    <w:rsid w:val="00DD62B8"/>
    <w:rsid w:val="00DD64DD"/>
    <w:rsid w:val="00DD693B"/>
    <w:rsid w:val="00DD695D"/>
    <w:rsid w:val="00DD6B25"/>
    <w:rsid w:val="00DD7047"/>
    <w:rsid w:val="00DD741F"/>
    <w:rsid w:val="00DD7498"/>
    <w:rsid w:val="00DD75E0"/>
    <w:rsid w:val="00DD787B"/>
    <w:rsid w:val="00DD7BF2"/>
    <w:rsid w:val="00DD7EC9"/>
    <w:rsid w:val="00DE0791"/>
    <w:rsid w:val="00DE1FC0"/>
    <w:rsid w:val="00DE205A"/>
    <w:rsid w:val="00DE27E8"/>
    <w:rsid w:val="00DE3FC7"/>
    <w:rsid w:val="00DE41CD"/>
    <w:rsid w:val="00DE450F"/>
    <w:rsid w:val="00DE4886"/>
    <w:rsid w:val="00DE4A51"/>
    <w:rsid w:val="00DE4A80"/>
    <w:rsid w:val="00DE4AE2"/>
    <w:rsid w:val="00DE5206"/>
    <w:rsid w:val="00DE5304"/>
    <w:rsid w:val="00DE539E"/>
    <w:rsid w:val="00DE54E1"/>
    <w:rsid w:val="00DE5672"/>
    <w:rsid w:val="00DE587B"/>
    <w:rsid w:val="00DE5AD6"/>
    <w:rsid w:val="00DE5C8F"/>
    <w:rsid w:val="00DE5E6B"/>
    <w:rsid w:val="00DE5F59"/>
    <w:rsid w:val="00DE60CE"/>
    <w:rsid w:val="00DE620A"/>
    <w:rsid w:val="00DE6629"/>
    <w:rsid w:val="00DE66BB"/>
    <w:rsid w:val="00DE6E53"/>
    <w:rsid w:val="00DE6FE0"/>
    <w:rsid w:val="00DE708D"/>
    <w:rsid w:val="00DE7E4D"/>
    <w:rsid w:val="00DE7EAF"/>
    <w:rsid w:val="00DE7FEE"/>
    <w:rsid w:val="00DF023A"/>
    <w:rsid w:val="00DF03E2"/>
    <w:rsid w:val="00DF1241"/>
    <w:rsid w:val="00DF1398"/>
    <w:rsid w:val="00DF18F3"/>
    <w:rsid w:val="00DF263A"/>
    <w:rsid w:val="00DF279E"/>
    <w:rsid w:val="00DF29E8"/>
    <w:rsid w:val="00DF2A8A"/>
    <w:rsid w:val="00DF348E"/>
    <w:rsid w:val="00DF3CED"/>
    <w:rsid w:val="00DF3F1A"/>
    <w:rsid w:val="00DF41CD"/>
    <w:rsid w:val="00DF4695"/>
    <w:rsid w:val="00DF4F45"/>
    <w:rsid w:val="00DF53ED"/>
    <w:rsid w:val="00DF5610"/>
    <w:rsid w:val="00DF5AAC"/>
    <w:rsid w:val="00DF5D00"/>
    <w:rsid w:val="00DF65B1"/>
    <w:rsid w:val="00DF6C41"/>
    <w:rsid w:val="00DF711A"/>
    <w:rsid w:val="00DF7E65"/>
    <w:rsid w:val="00E000CF"/>
    <w:rsid w:val="00E006A6"/>
    <w:rsid w:val="00E00765"/>
    <w:rsid w:val="00E00872"/>
    <w:rsid w:val="00E00F38"/>
    <w:rsid w:val="00E017C5"/>
    <w:rsid w:val="00E01B81"/>
    <w:rsid w:val="00E01C0E"/>
    <w:rsid w:val="00E027C7"/>
    <w:rsid w:val="00E029E5"/>
    <w:rsid w:val="00E02A46"/>
    <w:rsid w:val="00E02F4A"/>
    <w:rsid w:val="00E03099"/>
    <w:rsid w:val="00E033B3"/>
    <w:rsid w:val="00E041C8"/>
    <w:rsid w:val="00E04694"/>
    <w:rsid w:val="00E04D44"/>
    <w:rsid w:val="00E05330"/>
    <w:rsid w:val="00E05426"/>
    <w:rsid w:val="00E05523"/>
    <w:rsid w:val="00E05569"/>
    <w:rsid w:val="00E05752"/>
    <w:rsid w:val="00E057F2"/>
    <w:rsid w:val="00E05C11"/>
    <w:rsid w:val="00E05E0D"/>
    <w:rsid w:val="00E05EC7"/>
    <w:rsid w:val="00E05FFC"/>
    <w:rsid w:val="00E06E84"/>
    <w:rsid w:val="00E07450"/>
    <w:rsid w:val="00E07819"/>
    <w:rsid w:val="00E07A69"/>
    <w:rsid w:val="00E07EF4"/>
    <w:rsid w:val="00E106F6"/>
    <w:rsid w:val="00E1118A"/>
    <w:rsid w:val="00E11327"/>
    <w:rsid w:val="00E1183B"/>
    <w:rsid w:val="00E11DD2"/>
    <w:rsid w:val="00E12D30"/>
    <w:rsid w:val="00E130E8"/>
    <w:rsid w:val="00E138EC"/>
    <w:rsid w:val="00E13EFE"/>
    <w:rsid w:val="00E14754"/>
    <w:rsid w:val="00E148C9"/>
    <w:rsid w:val="00E148CD"/>
    <w:rsid w:val="00E1493C"/>
    <w:rsid w:val="00E149E6"/>
    <w:rsid w:val="00E14AF8"/>
    <w:rsid w:val="00E14D18"/>
    <w:rsid w:val="00E14FC0"/>
    <w:rsid w:val="00E158E3"/>
    <w:rsid w:val="00E15CC0"/>
    <w:rsid w:val="00E1653B"/>
    <w:rsid w:val="00E165D2"/>
    <w:rsid w:val="00E16CAE"/>
    <w:rsid w:val="00E17207"/>
    <w:rsid w:val="00E17569"/>
    <w:rsid w:val="00E17BBA"/>
    <w:rsid w:val="00E17FFB"/>
    <w:rsid w:val="00E2012C"/>
    <w:rsid w:val="00E201E2"/>
    <w:rsid w:val="00E2065B"/>
    <w:rsid w:val="00E2110D"/>
    <w:rsid w:val="00E21A78"/>
    <w:rsid w:val="00E22082"/>
    <w:rsid w:val="00E22396"/>
    <w:rsid w:val="00E225E2"/>
    <w:rsid w:val="00E230B1"/>
    <w:rsid w:val="00E2329C"/>
    <w:rsid w:val="00E23992"/>
    <w:rsid w:val="00E239CE"/>
    <w:rsid w:val="00E247BC"/>
    <w:rsid w:val="00E248A3"/>
    <w:rsid w:val="00E24E3C"/>
    <w:rsid w:val="00E253C0"/>
    <w:rsid w:val="00E25551"/>
    <w:rsid w:val="00E257B0"/>
    <w:rsid w:val="00E2591A"/>
    <w:rsid w:val="00E25D78"/>
    <w:rsid w:val="00E26F11"/>
    <w:rsid w:val="00E270BF"/>
    <w:rsid w:val="00E27777"/>
    <w:rsid w:val="00E27DDE"/>
    <w:rsid w:val="00E300B4"/>
    <w:rsid w:val="00E303F7"/>
    <w:rsid w:val="00E30C67"/>
    <w:rsid w:val="00E30F7E"/>
    <w:rsid w:val="00E31B6F"/>
    <w:rsid w:val="00E3245E"/>
    <w:rsid w:val="00E32A90"/>
    <w:rsid w:val="00E32AE7"/>
    <w:rsid w:val="00E32BA0"/>
    <w:rsid w:val="00E32FA0"/>
    <w:rsid w:val="00E3309E"/>
    <w:rsid w:val="00E337E0"/>
    <w:rsid w:val="00E33D7D"/>
    <w:rsid w:val="00E33EAE"/>
    <w:rsid w:val="00E340F9"/>
    <w:rsid w:val="00E3503D"/>
    <w:rsid w:val="00E36864"/>
    <w:rsid w:val="00E3735A"/>
    <w:rsid w:val="00E374F0"/>
    <w:rsid w:val="00E37DA7"/>
    <w:rsid w:val="00E4064E"/>
    <w:rsid w:val="00E40E72"/>
    <w:rsid w:val="00E411CA"/>
    <w:rsid w:val="00E4146A"/>
    <w:rsid w:val="00E42283"/>
    <w:rsid w:val="00E42396"/>
    <w:rsid w:val="00E42D81"/>
    <w:rsid w:val="00E430F6"/>
    <w:rsid w:val="00E43D8B"/>
    <w:rsid w:val="00E43DC5"/>
    <w:rsid w:val="00E44950"/>
    <w:rsid w:val="00E44D95"/>
    <w:rsid w:val="00E451F9"/>
    <w:rsid w:val="00E4553F"/>
    <w:rsid w:val="00E45644"/>
    <w:rsid w:val="00E45A38"/>
    <w:rsid w:val="00E45CA4"/>
    <w:rsid w:val="00E45DF1"/>
    <w:rsid w:val="00E45F0C"/>
    <w:rsid w:val="00E4724E"/>
    <w:rsid w:val="00E504C3"/>
    <w:rsid w:val="00E50606"/>
    <w:rsid w:val="00E50CFD"/>
    <w:rsid w:val="00E524C2"/>
    <w:rsid w:val="00E5296E"/>
    <w:rsid w:val="00E52A35"/>
    <w:rsid w:val="00E52C3A"/>
    <w:rsid w:val="00E534EB"/>
    <w:rsid w:val="00E535F5"/>
    <w:rsid w:val="00E53613"/>
    <w:rsid w:val="00E544D1"/>
    <w:rsid w:val="00E5471D"/>
    <w:rsid w:val="00E54EB0"/>
    <w:rsid w:val="00E54ED6"/>
    <w:rsid w:val="00E5692B"/>
    <w:rsid w:val="00E56D60"/>
    <w:rsid w:val="00E56EF6"/>
    <w:rsid w:val="00E57564"/>
    <w:rsid w:val="00E57597"/>
    <w:rsid w:val="00E57AB1"/>
    <w:rsid w:val="00E57C15"/>
    <w:rsid w:val="00E604B5"/>
    <w:rsid w:val="00E60BDE"/>
    <w:rsid w:val="00E60E7C"/>
    <w:rsid w:val="00E610ED"/>
    <w:rsid w:val="00E6176C"/>
    <w:rsid w:val="00E6216D"/>
    <w:rsid w:val="00E625D7"/>
    <w:rsid w:val="00E62BCF"/>
    <w:rsid w:val="00E62E06"/>
    <w:rsid w:val="00E63376"/>
    <w:rsid w:val="00E6341D"/>
    <w:rsid w:val="00E63BB8"/>
    <w:rsid w:val="00E641A2"/>
    <w:rsid w:val="00E64B71"/>
    <w:rsid w:val="00E651DE"/>
    <w:rsid w:val="00E65FCD"/>
    <w:rsid w:val="00E67739"/>
    <w:rsid w:val="00E67D4B"/>
    <w:rsid w:val="00E67DC3"/>
    <w:rsid w:val="00E70DFE"/>
    <w:rsid w:val="00E71A58"/>
    <w:rsid w:val="00E71C13"/>
    <w:rsid w:val="00E71D4A"/>
    <w:rsid w:val="00E71DC2"/>
    <w:rsid w:val="00E73AFB"/>
    <w:rsid w:val="00E75779"/>
    <w:rsid w:val="00E75DEB"/>
    <w:rsid w:val="00E76687"/>
    <w:rsid w:val="00E77BD7"/>
    <w:rsid w:val="00E806E9"/>
    <w:rsid w:val="00E80884"/>
    <w:rsid w:val="00E814D0"/>
    <w:rsid w:val="00E81604"/>
    <w:rsid w:val="00E81CEB"/>
    <w:rsid w:val="00E81E1F"/>
    <w:rsid w:val="00E81EA7"/>
    <w:rsid w:val="00E82D49"/>
    <w:rsid w:val="00E82D69"/>
    <w:rsid w:val="00E8356F"/>
    <w:rsid w:val="00E83A11"/>
    <w:rsid w:val="00E83C1F"/>
    <w:rsid w:val="00E8494E"/>
    <w:rsid w:val="00E84B31"/>
    <w:rsid w:val="00E8544D"/>
    <w:rsid w:val="00E8588B"/>
    <w:rsid w:val="00E85D0A"/>
    <w:rsid w:val="00E861F2"/>
    <w:rsid w:val="00E87568"/>
    <w:rsid w:val="00E9010D"/>
    <w:rsid w:val="00E9028C"/>
    <w:rsid w:val="00E9053F"/>
    <w:rsid w:val="00E905C1"/>
    <w:rsid w:val="00E910A6"/>
    <w:rsid w:val="00E91424"/>
    <w:rsid w:val="00E91D89"/>
    <w:rsid w:val="00E92248"/>
    <w:rsid w:val="00E925B9"/>
    <w:rsid w:val="00E939B3"/>
    <w:rsid w:val="00E9539D"/>
    <w:rsid w:val="00E959C9"/>
    <w:rsid w:val="00E96B9D"/>
    <w:rsid w:val="00E96D49"/>
    <w:rsid w:val="00E97044"/>
    <w:rsid w:val="00E97060"/>
    <w:rsid w:val="00E9792D"/>
    <w:rsid w:val="00EA0C68"/>
    <w:rsid w:val="00EA1410"/>
    <w:rsid w:val="00EA25AA"/>
    <w:rsid w:val="00EA2938"/>
    <w:rsid w:val="00EA2A21"/>
    <w:rsid w:val="00EA3918"/>
    <w:rsid w:val="00EA426E"/>
    <w:rsid w:val="00EA42A1"/>
    <w:rsid w:val="00EA436A"/>
    <w:rsid w:val="00EA44EB"/>
    <w:rsid w:val="00EA4FAD"/>
    <w:rsid w:val="00EA5690"/>
    <w:rsid w:val="00EA6DF9"/>
    <w:rsid w:val="00EA7444"/>
    <w:rsid w:val="00EA763A"/>
    <w:rsid w:val="00EA7A3D"/>
    <w:rsid w:val="00EA7C36"/>
    <w:rsid w:val="00EA7C53"/>
    <w:rsid w:val="00EB0682"/>
    <w:rsid w:val="00EB0744"/>
    <w:rsid w:val="00EB0AD4"/>
    <w:rsid w:val="00EB0F76"/>
    <w:rsid w:val="00EB0FB0"/>
    <w:rsid w:val="00EB1AE6"/>
    <w:rsid w:val="00EB20CE"/>
    <w:rsid w:val="00EB20EE"/>
    <w:rsid w:val="00EB2376"/>
    <w:rsid w:val="00EB25C2"/>
    <w:rsid w:val="00EB2BB4"/>
    <w:rsid w:val="00EB2D1D"/>
    <w:rsid w:val="00EB3473"/>
    <w:rsid w:val="00EB3B7D"/>
    <w:rsid w:val="00EB3E53"/>
    <w:rsid w:val="00EB5885"/>
    <w:rsid w:val="00EB6008"/>
    <w:rsid w:val="00EB66B7"/>
    <w:rsid w:val="00EB688A"/>
    <w:rsid w:val="00EB6BC1"/>
    <w:rsid w:val="00EB7005"/>
    <w:rsid w:val="00EB73E7"/>
    <w:rsid w:val="00EB7784"/>
    <w:rsid w:val="00EB7F5D"/>
    <w:rsid w:val="00EC02CD"/>
    <w:rsid w:val="00EC0C7B"/>
    <w:rsid w:val="00EC1266"/>
    <w:rsid w:val="00EC2AE8"/>
    <w:rsid w:val="00EC3171"/>
    <w:rsid w:val="00EC47C9"/>
    <w:rsid w:val="00EC4A32"/>
    <w:rsid w:val="00EC5731"/>
    <w:rsid w:val="00EC5E58"/>
    <w:rsid w:val="00EC7486"/>
    <w:rsid w:val="00EC770F"/>
    <w:rsid w:val="00ED07C7"/>
    <w:rsid w:val="00ED0CC0"/>
    <w:rsid w:val="00ED12EB"/>
    <w:rsid w:val="00ED18ED"/>
    <w:rsid w:val="00ED1982"/>
    <w:rsid w:val="00ED2300"/>
    <w:rsid w:val="00ED26B4"/>
    <w:rsid w:val="00ED3556"/>
    <w:rsid w:val="00ED368C"/>
    <w:rsid w:val="00ED3D04"/>
    <w:rsid w:val="00ED3FD2"/>
    <w:rsid w:val="00ED422B"/>
    <w:rsid w:val="00ED48F5"/>
    <w:rsid w:val="00ED4AE3"/>
    <w:rsid w:val="00ED51B1"/>
    <w:rsid w:val="00ED5AE2"/>
    <w:rsid w:val="00ED5BFD"/>
    <w:rsid w:val="00ED68F6"/>
    <w:rsid w:val="00ED708A"/>
    <w:rsid w:val="00ED7D6C"/>
    <w:rsid w:val="00ED7EFB"/>
    <w:rsid w:val="00EE00DD"/>
    <w:rsid w:val="00EE01F9"/>
    <w:rsid w:val="00EE1D93"/>
    <w:rsid w:val="00EE215B"/>
    <w:rsid w:val="00EE2365"/>
    <w:rsid w:val="00EE2719"/>
    <w:rsid w:val="00EE2ADC"/>
    <w:rsid w:val="00EE2D9B"/>
    <w:rsid w:val="00EE3145"/>
    <w:rsid w:val="00EE352C"/>
    <w:rsid w:val="00EE35D6"/>
    <w:rsid w:val="00EE3781"/>
    <w:rsid w:val="00EE3823"/>
    <w:rsid w:val="00EE3E78"/>
    <w:rsid w:val="00EE4047"/>
    <w:rsid w:val="00EE4207"/>
    <w:rsid w:val="00EE4445"/>
    <w:rsid w:val="00EE4C49"/>
    <w:rsid w:val="00EE514B"/>
    <w:rsid w:val="00EE51A1"/>
    <w:rsid w:val="00EE52FC"/>
    <w:rsid w:val="00EE5A03"/>
    <w:rsid w:val="00EE5D5A"/>
    <w:rsid w:val="00EE6AA5"/>
    <w:rsid w:val="00EE70F4"/>
    <w:rsid w:val="00EE76CA"/>
    <w:rsid w:val="00EF049B"/>
    <w:rsid w:val="00EF05A6"/>
    <w:rsid w:val="00EF0F1A"/>
    <w:rsid w:val="00EF1403"/>
    <w:rsid w:val="00EF1F5A"/>
    <w:rsid w:val="00EF267A"/>
    <w:rsid w:val="00EF2803"/>
    <w:rsid w:val="00EF2FC3"/>
    <w:rsid w:val="00EF37DD"/>
    <w:rsid w:val="00EF472B"/>
    <w:rsid w:val="00EF48D8"/>
    <w:rsid w:val="00EF50BA"/>
    <w:rsid w:val="00EF5921"/>
    <w:rsid w:val="00EF64F6"/>
    <w:rsid w:val="00EF7699"/>
    <w:rsid w:val="00EF7BDE"/>
    <w:rsid w:val="00EF7FAB"/>
    <w:rsid w:val="00F025AB"/>
    <w:rsid w:val="00F026D4"/>
    <w:rsid w:val="00F02C17"/>
    <w:rsid w:val="00F02E9C"/>
    <w:rsid w:val="00F0320B"/>
    <w:rsid w:val="00F03809"/>
    <w:rsid w:val="00F0386D"/>
    <w:rsid w:val="00F04811"/>
    <w:rsid w:val="00F0488C"/>
    <w:rsid w:val="00F04F3C"/>
    <w:rsid w:val="00F05998"/>
    <w:rsid w:val="00F06326"/>
    <w:rsid w:val="00F06D1A"/>
    <w:rsid w:val="00F1001C"/>
    <w:rsid w:val="00F10B2B"/>
    <w:rsid w:val="00F1177F"/>
    <w:rsid w:val="00F11D2C"/>
    <w:rsid w:val="00F12A1B"/>
    <w:rsid w:val="00F12A7E"/>
    <w:rsid w:val="00F12A8F"/>
    <w:rsid w:val="00F12D74"/>
    <w:rsid w:val="00F12F42"/>
    <w:rsid w:val="00F1372C"/>
    <w:rsid w:val="00F139ED"/>
    <w:rsid w:val="00F141D3"/>
    <w:rsid w:val="00F14535"/>
    <w:rsid w:val="00F149CD"/>
    <w:rsid w:val="00F15237"/>
    <w:rsid w:val="00F153CD"/>
    <w:rsid w:val="00F15403"/>
    <w:rsid w:val="00F15488"/>
    <w:rsid w:val="00F15BEF"/>
    <w:rsid w:val="00F167C2"/>
    <w:rsid w:val="00F17551"/>
    <w:rsid w:val="00F17D73"/>
    <w:rsid w:val="00F17D9A"/>
    <w:rsid w:val="00F17E05"/>
    <w:rsid w:val="00F2092E"/>
    <w:rsid w:val="00F20E35"/>
    <w:rsid w:val="00F2149D"/>
    <w:rsid w:val="00F2193C"/>
    <w:rsid w:val="00F21CB1"/>
    <w:rsid w:val="00F22A48"/>
    <w:rsid w:val="00F22E88"/>
    <w:rsid w:val="00F22E95"/>
    <w:rsid w:val="00F23114"/>
    <w:rsid w:val="00F2356A"/>
    <w:rsid w:val="00F23BB2"/>
    <w:rsid w:val="00F23FAC"/>
    <w:rsid w:val="00F2435A"/>
    <w:rsid w:val="00F2439A"/>
    <w:rsid w:val="00F24805"/>
    <w:rsid w:val="00F24FAA"/>
    <w:rsid w:val="00F2532B"/>
    <w:rsid w:val="00F25828"/>
    <w:rsid w:val="00F25D4F"/>
    <w:rsid w:val="00F26073"/>
    <w:rsid w:val="00F26446"/>
    <w:rsid w:val="00F26634"/>
    <w:rsid w:val="00F26673"/>
    <w:rsid w:val="00F27CB7"/>
    <w:rsid w:val="00F27EBE"/>
    <w:rsid w:val="00F3008D"/>
    <w:rsid w:val="00F300DC"/>
    <w:rsid w:val="00F3094B"/>
    <w:rsid w:val="00F30D8A"/>
    <w:rsid w:val="00F31759"/>
    <w:rsid w:val="00F319DD"/>
    <w:rsid w:val="00F31F20"/>
    <w:rsid w:val="00F3206C"/>
    <w:rsid w:val="00F32D6A"/>
    <w:rsid w:val="00F33170"/>
    <w:rsid w:val="00F3364D"/>
    <w:rsid w:val="00F33CEC"/>
    <w:rsid w:val="00F344E1"/>
    <w:rsid w:val="00F35998"/>
    <w:rsid w:val="00F35BEC"/>
    <w:rsid w:val="00F35CC0"/>
    <w:rsid w:val="00F368D3"/>
    <w:rsid w:val="00F36F5F"/>
    <w:rsid w:val="00F37D7E"/>
    <w:rsid w:val="00F4097F"/>
    <w:rsid w:val="00F40C44"/>
    <w:rsid w:val="00F41A6E"/>
    <w:rsid w:val="00F42408"/>
    <w:rsid w:val="00F42431"/>
    <w:rsid w:val="00F42758"/>
    <w:rsid w:val="00F427BB"/>
    <w:rsid w:val="00F42852"/>
    <w:rsid w:val="00F42DEA"/>
    <w:rsid w:val="00F42F9A"/>
    <w:rsid w:val="00F4335E"/>
    <w:rsid w:val="00F438AD"/>
    <w:rsid w:val="00F44543"/>
    <w:rsid w:val="00F44B9C"/>
    <w:rsid w:val="00F45085"/>
    <w:rsid w:val="00F456B9"/>
    <w:rsid w:val="00F45834"/>
    <w:rsid w:val="00F46700"/>
    <w:rsid w:val="00F46C02"/>
    <w:rsid w:val="00F47D51"/>
    <w:rsid w:val="00F50393"/>
    <w:rsid w:val="00F510B4"/>
    <w:rsid w:val="00F51681"/>
    <w:rsid w:val="00F51961"/>
    <w:rsid w:val="00F52C64"/>
    <w:rsid w:val="00F52D6D"/>
    <w:rsid w:val="00F53524"/>
    <w:rsid w:val="00F5393A"/>
    <w:rsid w:val="00F53EA2"/>
    <w:rsid w:val="00F54318"/>
    <w:rsid w:val="00F5438F"/>
    <w:rsid w:val="00F54C1F"/>
    <w:rsid w:val="00F55492"/>
    <w:rsid w:val="00F55C8D"/>
    <w:rsid w:val="00F560E1"/>
    <w:rsid w:val="00F561F7"/>
    <w:rsid w:val="00F56246"/>
    <w:rsid w:val="00F566A3"/>
    <w:rsid w:val="00F569A1"/>
    <w:rsid w:val="00F572CF"/>
    <w:rsid w:val="00F5744B"/>
    <w:rsid w:val="00F5744D"/>
    <w:rsid w:val="00F605E6"/>
    <w:rsid w:val="00F6086B"/>
    <w:rsid w:val="00F60BA5"/>
    <w:rsid w:val="00F60F74"/>
    <w:rsid w:val="00F61360"/>
    <w:rsid w:val="00F61837"/>
    <w:rsid w:val="00F61E03"/>
    <w:rsid w:val="00F61F37"/>
    <w:rsid w:val="00F6212C"/>
    <w:rsid w:val="00F6215A"/>
    <w:rsid w:val="00F628F7"/>
    <w:rsid w:val="00F63DDE"/>
    <w:rsid w:val="00F63FB7"/>
    <w:rsid w:val="00F644C3"/>
    <w:rsid w:val="00F64B6E"/>
    <w:rsid w:val="00F65146"/>
    <w:rsid w:val="00F652A7"/>
    <w:rsid w:val="00F66800"/>
    <w:rsid w:val="00F6784C"/>
    <w:rsid w:val="00F67B23"/>
    <w:rsid w:val="00F70FC9"/>
    <w:rsid w:val="00F716FE"/>
    <w:rsid w:val="00F72983"/>
    <w:rsid w:val="00F72A84"/>
    <w:rsid w:val="00F73A0C"/>
    <w:rsid w:val="00F73C63"/>
    <w:rsid w:val="00F73DCF"/>
    <w:rsid w:val="00F75050"/>
    <w:rsid w:val="00F77DF4"/>
    <w:rsid w:val="00F80155"/>
    <w:rsid w:val="00F80A2E"/>
    <w:rsid w:val="00F810B2"/>
    <w:rsid w:val="00F814FA"/>
    <w:rsid w:val="00F81C92"/>
    <w:rsid w:val="00F81D8C"/>
    <w:rsid w:val="00F825BA"/>
    <w:rsid w:val="00F826B0"/>
    <w:rsid w:val="00F82D33"/>
    <w:rsid w:val="00F82F51"/>
    <w:rsid w:val="00F82FA3"/>
    <w:rsid w:val="00F833C2"/>
    <w:rsid w:val="00F8413A"/>
    <w:rsid w:val="00F8472B"/>
    <w:rsid w:val="00F847E7"/>
    <w:rsid w:val="00F84972"/>
    <w:rsid w:val="00F85216"/>
    <w:rsid w:val="00F852F4"/>
    <w:rsid w:val="00F85946"/>
    <w:rsid w:val="00F8660D"/>
    <w:rsid w:val="00F866F3"/>
    <w:rsid w:val="00F879A8"/>
    <w:rsid w:val="00F904C4"/>
    <w:rsid w:val="00F90530"/>
    <w:rsid w:val="00F90555"/>
    <w:rsid w:val="00F9075A"/>
    <w:rsid w:val="00F91F19"/>
    <w:rsid w:val="00F9210A"/>
    <w:rsid w:val="00F9251C"/>
    <w:rsid w:val="00F927EA"/>
    <w:rsid w:val="00F92CD2"/>
    <w:rsid w:val="00F92CE1"/>
    <w:rsid w:val="00F93687"/>
    <w:rsid w:val="00F93727"/>
    <w:rsid w:val="00F93B6E"/>
    <w:rsid w:val="00F93C6D"/>
    <w:rsid w:val="00F94994"/>
    <w:rsid w:val="00F950E0"/>
    <w:rsid w:val="00F95421"/>
    <w:rsid w:val="00F95893"/>
    <w:rsid w:val="00F959EB"/>
    <w:rsid w:val="00F95CA3"/>
    <w:rsid w:val="00F96192"/>
    <w:rsid w:val="00F9656C"/>
    <w:rsid w:val="00F9678A"/>
    <w:rsid w:val="00F9691B"/>
    <w:rsid w:val="00F96F73"/>
    <w:rsid w:val="00F977A4"/>
    <w:rsid w:val="00FA14AF"/>
    <w:rsid w:val="00FA16AA"/>
    <w:rsid w:val="00FA183D"/>
    <w:rsid w:val="00FA2301"/>
    <w:rsid w:val="00FA25A8"/>
    <w:rsid w:val="00FA2AF0"/>
    <w:rsid w:val="00FA2EEA"/>
    <w:rsid w:val="00FA2F8D"/>
    <w:rsid w:val="00FA36AE"/>
    <w:rsid w:val="00FA450B"/>
    <w:rsid w:val="00FA488A"/>
    <w:rsid w:val="00FA502C"/>
    <w:rsid w:val="00FA58E3"/>
    <w:rsid w:val="00FA62C4"/>
    <w:rsid w:val="00FA64D5"/>
    <w:rsid w:val="00FA67EE"/>
    <w:rsid w:val="00FA71E8"/>
    <w:rsid w:val="00FA77DD"/>
    <w:rsid w:val="00FA787E"/>
    <w:rsid w:val="00FA7C7A"/>
    <w:rsid w:val="00FA7D67"/>
    <w:rsid w:val="00FB03D4"/>
    <w:rsid w:val="00FB0990"/>
    <w:rsid w:val="00FB0B9D"/>
    <w:rsid w:val="00FB0DB3"/>
    <w:rsid w:val="00FB0E6A"/>
    <w:rsid w:val="00FB1007"/>
    <w:rsid w:val="00FB1058"/>
    <w:rsid w:val="00FB259D"/>
    <w:rsid w:val="00FB32A3"/>
    <w:rsid w:val="00FB4235"/>
    <w:rsid w:val="00FB439F"/>
    <w:rsid w:val="00FB43CA"/>
    <w:rsid w:val="00FB4F7D"/>
    <w:rsid w:val="00FB5360"/>
    <w:rsid w:val="00FB538E"/>
    <w:rsid w:val="00FB57C8"/>
    <w:rsid w:val="00FB67CE"/>
    <w:rsid w:val="00FB7B73"/>
    <w:rsid w:val="00FB7CCE"/>
    <w:rsid w:val="00FC075C"/>
    <w:rsid w:val="00FC0E58"/>
    <w:rsid w:val="00FC0E5F"/>
    <w:rsid w:val="00FC0F67"/>
    <w:rsid w:val="00FC106C"/>
    <w:rsid w:val="00FC1308"/>
    <w:rsid w:val="00FC1372"/>
    <w:rsid w:val="00FC15FD"/>
    <w:rsid w:val="00FC19B1"/>
    <w:rsid w:val="00FC1D98"/>
    <w:rsid w:val="00FC270A"/>
    <w:rsid w:val="00FC2D3D"/>
    <w:rsid w:val="00FC30AF"/>
    <w:rsid w:val="00FC3496"/>
    <w:rsid w:val="00FC37FF"/>
    <w:rsid w:val="00FC3B0F"/>
    <w:rsid w:val="00FC56DE"/>
    <w:rsid w:val="00FC58DB"/>
    <w:rsid w:val="00FC670D"/>
    <w:rsid w:val="00FC74D4"/>
    <w:rsid w:val="00FC799F"/>
    <w:rsid w:val="00FC79E1"/>
    <w:rsid w:val="00FD0283"/>
    <w:rsid w:val="00FD0369"/>
    <w:rsid w:val="00FD099A"/>
    <w:rsid w:val="00FD0A0A"/>
    <w:rsid w:val="00FD0FB7"/>
    <w:rsid w:val="00FD1A8C"/>
    <w:rsid w:val="00FD1ABB"/>
    <w:rsid w:val="00FD26C0"/>
    <w:rsid w:val="00FD293E"/>
    <w:rsid w:val="00FD29E1"/>
    <w:rsid w:val="00FD32DD"/>
    <w:rsid w:val="00FD4FF9"/>
    <w:rsid w:val="00FD552E"/>
    <w:rsid w:val="00FD5A80"/>
    <w:rsid w:val="00FD625E"/>
    <w:rsid w:val="00FD63DE"/>
    <w:rsid w:val="00FD6591"/>
    <w:rsid w:val="00FD66A2"/>
    <w:rsid w:val="00FD681D"/>
    <w:rsid w:val="00FD6E72"/>
    <w:rsid w:val="00FD6FF9"/>
    <w:rsid w:val="00FD7302"/>
    <w:rsid w:val="00FE0934"/>
    <w:rsid w:val="00FE09F2"/>
    <w:rsid w:val="00FE13E6"/>
    <w:rsid w:val="00FE1AC8"/>
    <w:rsid w:val="00FE1BAF"/>
    <w:rsid w:val="00FE1C86"/>
    <w:rsid w:val="00FE1DBB"/>
    <w:rsid w:val="00FE2075"/>
    <w:rsid w:val="00FE29B3"/>
    <w:rsid w:val="00FE2F78"/>
    <w:rsid w:val="00FE3263"/>
    <w:rsid w:val="00FE33C1"/>
    <w:rsid w:val="00FE3726"/>
    <w:rsid w:val="00FE4690"/>
    <w:rsid w:val="00FE67C2"/>
    <w:rsid w:val="00FE691E"/>
    <w:rsid w:val="00FE6DE1"/>
    <w:rsid w:val="00FE6E68"/>
    <w:rsid w:val="00FE7A5F"/>
    <w:rsid w:val="00FE7C8A"/>
    <w:rsid w:val="00FE7F87"/>
    <w:rsid w:val="00FF142F"/>
    <w:rsid w:val="00FF24C6"/>
    <w:rsid w:val="00FF373A"/>
    <w:rsid w:val="00FF3BF1"/>
    <w:rsid w:val="00FF4852"/>
    <w:rsid w:val="00FF4B47"/>
    <w:rsid w:val="00FF4C8A"/>
    <w:rsid w:val="00FF5065"/>
    <w:rsid w:val="00FF536A"/>
    <w:rsid w:val="00FF61CA"/>
    <w:rsid w:val="00FF7025"/>
    <w:rsid w:val="00FF76DF"/>
    <w:rsid w:val="00FF7825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F7090B2E-4A5A-4359-9A9F-141E7700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436"/>
    <w:pPr>
      <w:spacing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53033B"/>
    <w:pPr>
      <w:keepNext/>
      <w:keepLines/>
      <w:spacing w:after="24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link w:val="Nadpis2Char"/>
    <w:uiPriority w:val="9"/>
    <w:qFormat/>
    <w:rsid w:val="0053033B"/>
    <w:pPr>
      <w:keepNext/>
      <w:keepLines/>
      <w:spacing w:after="120" w:line="288" w:lineRule="auto"/>
      <w:jc w:val="both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5B02FF"/>
    <w:pPr>
      <w:keepNext/>
      <w:keepLines/>
      <w:spacing w:line="288" w:lineRule="auto"/>
      <w:jc w:val="both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53033B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53033B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5B02FF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53033B"/>
    <w:rPr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945A4"/>
  </w:style>
  <w:style w:type="character" w:styleId="Zstupntext">
    <w:name w:val="Placeholder Text"/>
    <w:basedOn w:val="Standardnpsmoodstavce"/>
    <w:uiPriority w:val="99"/>
    <w:unhideWhenUsed/>
    <w:rsid w:val="00C62B11"/>
    <w:rPr>
      <w:color w:val="808080"/>
    </w:rPr>
  </w:style>
  <w:style w:type="character" w:customStyle="1" w:styleId="Mention">
    <w:name w:val="Mention"/>
    <w:basedOn w:val="Standardnpsmoodstavce"/>
    <w:uiPriority w:val="99"/>
    <w:semiHidden/>
    <w:unhideWhenUsed/>
    <w:rsid w:val="000C17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7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8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9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5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414">
          <w:marLeft w:val="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414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innovation/tax-incentives-RD-innovatio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statni-rozpoctove-vydaje-na-vyzkum-a-vyvo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statistika_vyzkumu_a_vyvoj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ecd.org/sti/rd-tax-stats.ht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ecd.org/innovation/tax-incentives-RD-innovation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CS/TXT/?uri=celex%3A32014R0651" TargetMode="External"/><Relationship Id="rId2" Type="http://schemas.openxmlformats.org/officeDocument/2006/relationships/hyperlink" Target="https://vyzkum.gov.cz/FrontClanek.aspx?idsekce=954510" TargetMode="External"/><Relationship Id="rId1" Type="http://schemas.openxmlformats.org/officeDocument/2006/relationships/hyperlink" Target="https://www.mfcr.cz/cs/legislativa/financni-zpravodaj/2020/financni-zpravodaj-cislo-8-2020-38405" TargetMode="External"/><Relationship Id="rId6" Type="http://schemas.openxmlformats.org/officeDocument/2006/relationships/hyperlink" Target="https://www.czso.cz/csu/czso/klasifikace-uzemnich-statistickych-jednotek-cz-nuts" TargetMode="External"/><Relationship Id="rId5" Type="http://schemas.openxmlformats.org/officeDocument/2006/relationships/hyperlink" Target="https://www.czso.cz/csu/czso/klasifikace_ekonomickych_cinnosti_cz_nace" TargetMode="External"/><Relationship Id="rId4" Type="http://schemas.openxmlformats.org/officeDocument/2006/relationships/hyperlink" Target="http://www.oecd.org/sti/frascatimanu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F983-1553-4B51-91DD-8F18F7A4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4</TotalTime>
  <Pages>11</Pages>
  <Words>4736</Words>
  <Characters>27947</Characters>
  <Application>Microsoft Office Word</Application>
  <DocSecurity>0</DocSecurity>
  <Lines>232</Lines>
  <Paragraphs>65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 Václav</cp:lastModifiedBy>
  <cp:revision>3</cp:revision>
  <cp:lastPrinted>2021-04-13T08:22:00Z</cp:lastPrinted>
  <dcterms:created xsi:type="dcterms:W3CDTF">2024-04-03T09:25:00Z</dcterms:created>
  <dcterms:modified xsi:type="dcterms:W3CDTF">2024-04-03T09:28:00Z</dcterms:modified>
</cp:coreProperties>
</file>