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3CDC" w14:textId="77777777" w:rsidR="003477D7" w:rsidRPr="00083782" w:rsidRDefault="003477D7" w:rsidP="00083782">
      <w:pPr>
        <w:pStyle w:val="Nadpis1"/>
        <w:spacing w:after="240"/>
        <w:rPr>
          <w:caps/>
        </w:rPr>
      </w:pPr>
      <w:r w:rsidRPr="00083782">
        <w:rPr>
          <w:caps/>
        </w:rPr>
        <w:t>Metodika</w:t>
      </w:r>
      <w:r w:rsidR="00083782" w:rsidRPr="00083782">
        <w:rPr>
          <w:caps/>
        </w:rPr>
        <w:t xml:space="preserve"> výpočtu</w:t>
      </w:r>
      <w:r w:rsidRPr="00083782">
        <w:rPr>
          <w:caps/>
        </w:rPr>
        <w:t xml:space="preserve"> </w:t>
      </w:r>
      <w:r w:rsidR="00EE0073" w:rsidRPr="00083782">
        <w:rPr>
          <w:caps/>
        </w:rPr>
        <w:t>úmrtnostních tabulek</w:t>
      </w:r>
    </w:p>
    <w:p w14:paraId="14FDAED9" w14:textId="77777777" w:rsidR="003477D7" w:rsidRDefault="003477D7" w:rsidP="00083782">
      <w:pPr>
        <w:pStyle w:val="Nadpis2"/>
        <w:spacing w:after="160"/>
      </w:pPr>
      <w:r>
        <w:t>Základní metodické poznámky</w:t>
      </w:r>
    </w:p>
    <w:p w14:paraId="63297606" w14:textId="77777777" w:rsidR="00800AF0" w:rsidRDefault="003477D7" w:rsidP="00083782">
      <w:pPr>
        <w:spacing w:after="160"/>
        <w:rPr>
          <w:rFonts w:cs="Arial"/>
        </w:rPr>
      </w:pPr>
      <w:r>
        <w:rPr>
          <w:rFonts w:cs="Arial"/>
        </w:rPr>
        <w:t>Podrobné úmrtnostní tabulky jsou založeny na III. hlavních souborech demografických událostí. Vstupní pravděpodobnosti úmrtí jsou vypočteny nepřímou metodou, tj. odvozeny z pozorovaných specifických měr úmrtnosti (</w:t>
      </w:r>
      <w:r>
        <w:rPr>
          <w:rFonts w:cs="Arial"/>
          <w:iCs/>
        </w:rPr>
        <w:t>viz níže</w:t>
      </w:r>
      <w:r>
        <w:rPr>
          <w:rFonts w:cs="Arial"/>
        </w:rPr>
        <w:t xml:space="preserve">). </w:t>
      </w:r>
      <w:r w:rsidR="00800AF0">
        <w:rPr>
          <w:rFonts w:cs="Arial"/>
        </w:rPr>
        <w:t xml:space="preserve">Tabulky jsou podrobné, tj. s jednoletým věkovým intervalem, s nejvyšším věkovým intervalem 105 a více let. Jsou počítány odděleně pro muže a ženy. </w:t>
      </w:r>
    </w:p>
    <w:p w14:paraId="48A1B10D" w14:textId="77777777" w:rsidR="00800AF0" w:rsidRDefault="00800AF0" w:rsidP="00083782">
      <w:pPr>
        <w:spacing w:after="160"/>
        <w:rPr>
          <w:rFonts w:cs="Arial"/>
        </w:rPr>
      </w:pPr>
      <w:bookmarkStart w:id="0" w:name="_Toc444112497"/>
      <w:r w:rsidRPr="00800AF0">
        <w:rPr>
          <w:rFonts w:cs="Arial"/>
        </w:rPr>
        <w:t>S ohledem na vyloučení nahodilých výkyvů jsou</w:t>
      </w:r>
      <w:r w:rsidR="00267D3C">
        <w:rPr>
          <w:rFonts w:cs="Arial"/>
        </w:rPr>
        <w:t xml:space="preserve"> úmrtnostní</w:t>
      </w:r>
      <w:r w:rsidRPr="00800AF0">
        <w:rPr>
          <w:rFonts w:cs="Arial"/>
        </w:rPr>
        <w:t xml:space="preserve"> tabulky </w:t>
      </w:r>
      <w:r w:rsidR="00414862">
        <w:rPr>
          <w:rFonts w:cs="Arial"/>
        </w:rPr>
        <w:t xml:space="preserve">pro </w:t>
      </w:r>
      <w:r w:rsidRPr="00DA729C">
        <w:rPr>
          <w:rFonts w:cs="Arial"/>
        </w:rPr>
        <w:t xml:space="preserve">kraje </w:t>
      </w:r>
      <w:r w:rsidR="00DA729C" w:rsidRPr="00DA729C">
        <w:rPr>
          <w:rFonts w:cs="Arial"/>
          <w:bCs/>
        </w:rPr>
        <w:t>(NUTS 3)</w:t>
      </w:r>
      <w:r w:rsidR="00DA729C">
        <w:rPr>
          <w:rFonts w:cs="Arial"/>
          <w:b/>
          <w:bCs/>
        </w:rPr>
        <w:t xml:space="preserve"> </w:t>
      </w:r>
      <w:r w:rsidRPr="00800AF0">
        <w:rPr>
          <w:rFonts w:cs="Arial"/>
        </w:rPr>
        <w:t>zpracovány za dvouleté kalendářní období a úmrtnostní tabulky za okresy</w:t>
      </w:r>
      <w:r w:rsidR="00267D3C">
        <w:rPr>
          <w:rFonts w:cs="Arial"/>
        </w:rPr>
        <w:t xml:space="preserve"> </w:t>
      </w:r>
      <w:r w:rsidR="00A35A0B">
        <w:rPr>
          <w:rFonts w:cs="Arial"/>
        </w:rPr>
        <w:t xml:space="preserve">a </w:t>
      </w:r>
      <w:r w:rsidR="00267D3C">
        <w:rPr>
          <w:rFonts w:cs="Arial"/>
        </w:rPr>
        <w:t>správní obvody obcí s rozšířenou působností (</w:t>
      </w:r>
      <w:r w:rsidR="00A35A0B">
        <w:rPr>
          <w:rFonts w:cs="Arial"/>
        </w:rPr>
        <w:t>SO ORP</w:t>
      </w:r>
      <w:r w:rsidR="00267D3C">
        <w:rPr>
          <w:rFonts w:cs="Arial"/>
        </w:rPr>
        <w:t>)</w:t>
      </w:r>
      <w:r w:rsidR="00A35A0B">
        <w:rPr>
          <w:rFonts w:cs="Arial"/>
        </w:rPr>
        <w:t xml:space="preserve"> </w:t>
      </w:r>
      <w:r w:rsidRPr="00800AF0">
        <w:rPr>
          <w:rFonts w:cs="Arial"/>
        </w:rPr>
        <w:t xml:space="preserve">za pětileté kalendářní období. Přesto nízké počty zemřelých a použitá (časově i prostorově jednotná) metodika vyrovnávání a modelování měr úmrtnosti mohou stát za výkyvy v časové řadě. </w:t>
      </w:r>
    </w:p>
    <w:p w14:paraId="7E1216A3" w14:textId="77777777" w:rsidR="00800AF0" w:rsidRDefault="00800AF0" w:rsidP="00083782">
      <w:pPr>
        <w:spacing w:after="160"/>
        <w:rPr>
          <w:rFonts w:cs="Arial"/>
        </w:rPr>
      </w:pPr>
      <w:r w:rsidRPr="00800AF0">
        <w:rPr>
          <w:rFonts w:cs="Arial"/>
        </w:rPr>
        <w:t xml:space="preserve">Základními vstupními daty </w:t>
      </w:r>
      <w:r w:rsidR="00EE0073">
        <w:rPr>
          <w:rFonts w:cs="Arial"/>
        </w:rPr>
        <w:t>jsou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údaje o počtu zemřelých a středním stavu obyvatel daného věku a pohlaví v daném roce, kterými ČSÚ disponuje a používá ve svých výstupech. Do výpočtu přitom </w:t>
      </w:r>
      <w:r w:rsidR="00EE0073">
        <w:rPr>
          <w:rFonts w:cs="Arial"/>
        </w:rPr>
        <w:t>vstupují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vstupní data pouze do jednotky věku, pro kterou </w:t>
      </w:r>
      <w:r w:rsidR="002B4B73">
        <w:rPr>
          <w:rFonts w:cs="Arial"/>
        </w:rPr>
        <w:t>je</w:t>
      </w:r>
      <w:r w:rsidR="002B4B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dostupný údaj jak o počtu zemřelých, tak o středním stavu obyvatel (například </w:t>
      </w:r>
      <w:r w:rsidR="002B4B73">
        <w:rPr>
          <w:rFonts w:cs="Arial"/>
        </w:rPr>
        <w:t>pro</w:t>
      </w:r>
      <w:r w:rsidRPr="00800AF0">
        <w:rPr>
          <w:rFonts w:cs="Arial"/>
        </w:rPr>
        <w:t xml:space="preserve"> období </w:t>
      </w:r>
      <w:r w:rsidR="002B4B73">
        <w:rPr>
          <w:rFonts w:cs="Arial"/>
        </w:rPr>
        <w:t xml:space="preserve">let </w:t>
      </w:r>
      <w:r w:rsidRPr="00800AF0">
        <w:rPr>
          <w:rFonts w:cs="Arial"/>
        </w:rPr>
        <w:t xml:space="preserve">1920–1924 byly </w:t>
      </w:r>
      <w:r w:rsidR="00ED62B7">
        <w:rPr>
          <w:rFonts w:cs="Arial"/>
        </w:rPr>
        <w:t xml:space="preserve">jako </w:t>
      </w:r>
      <w:r w:rsidRPr="00800AF0">
        <w:rPr>
          <w:rFonts w:cs="Arial"/>
        </w:rPr>
        <w:t>vstup</w:t>
      </w:r>
      <w:r w:rsidR="00ED62B7">
        <w:rPr>
          <w:rFonts w:cs="Arial"/>
        </w:rPr>
        <w:t>y</w:t>
      </w:r>
      <w:r w:rsidRPr="00800AF0">
        <w:rPr>
          <w:rFonts w:cs="Arial"/>
        </w:rPr>
        <w:t xml:space="preserve"> </w:t>
      </w:r>
      <w:r w:rsidR="00ED62B7">
        <w:rPr>
          <w:rFonts w:cs="Arial"/>
        </w:rPr>
        <w:t xml:space="preserve">využity </w:t>
      </w:r>
      <w:r w:rsidRPr="00800AF0">
        <w:rPr>
          <w:rFonts w:cs="Arial"/>
        </w:rPr>
        <w:t xml:space="preserve">údaje </w:t>
      </w:r>
      <w:r w:rsidR="00ED62B7">
        <w:rPr>
          <w:rFonts w:cs="Arial"/>
        </w:rPr>
        <w:t xml:space="preserve">pouze </w:t>
      </w:r>
      <w:r w:rsidRPr="00800AF0">
        <w:rPr>
          <w:rFonts w:cs="Arial"/>
        </w:rPr>
        <w:t>pro věky 0–94 let včetně). Vstupní data vždy odpovída</w:t>
      </w:r>
      <w:r w:rsidR="002B4B73">
        <w:rPr>
          <w:rFonts w:cs="Arial"/>
        </w:rPr>
        <w:t>jí</w:t>
      </w:r>
      <w:r w:rsidRPr="00800AF0">
        <w:rPr>
          <w:rFonts w:cs="Arial"/>
        </w:rPr>
        <w:t xml:space="preserve"> územnímu členění platnému k 1. 1. daného roku události</w:t>
      </w:r>
      <w:r>
        <w:rPr>
          <w:rFonts w:cs="Arial"/>
        </w:rPr>
        <w:t>.</w:t>
      </w:r>
    </w:p>
    <w:p w14:paraId="16FB6008" w14:textId="77777777" w:rsidR="002B4B73" w:rsidRPr="000A4B53" w:rsidRDefault="002B4B73" w:rsidP="00A03B8D">
      <w:pPr>
        <w:rPr>
          <w:b/>
          <w:szCs w:val="20"/>
        </w:rPr>
      </w:pPr>
      <w:r>
        <w:rPr>
          <w:szCs w:val="20"/>
        </w:rPr>
        <w:t>Český statistický úřad využívá zde popsanou metodiku zpracování úmrtnostních tabulek od roku 2018</w:t>
      </w:r>
      <w:r w:rsidR="00ED62B7">
        <w:rPr>
          <w:szCs w:val="20"/>
        </w:rPr>
        <w:t xml:space="preserve"> (počínaje zpracováním údajů za rok 2017)</w:t>
      </w:r>
      <w:r>
        <w:rPr>
          <w:szCs w:val="20"/>
        </w:rPr>
        <w:t xml:space="preserve">. Pro sledování dynamiky vývoje úmrtnosti </w:t>
      </w:r>
      <w:r w:rsidR="00DE6F6F">
        <w:rPr>
          <w:szCs w:val="20"/>
        </w:rPr>
        <w:t xml:space="preserve">však </w:t>
      </w:r>
      <w:r>
        <w:rPr>
          <w:szCs w:val="20"/>
        </w:rPr>
        <w:t>byl</w:t>
      </w:r>
      <w:r w:rsidR="00ED62B7">
        <w:rPr>
          <w:szCs w:val="20"/>
        </w:rPr>
        <w:t xml:space="preserve"> na podzim</w:t>
      </w:r>
      <w:r>
        <w:rPr>
          <w:szCs w:val="20"/>
        </w:rPr>
        <w:t xml:space="preserve"> </w:t>
      </w:r>
      <w:r w:rsidR="00ED62B7">
        <w:rPr>
          <w:szCs w:val="20"/>
        </w:rPr>
        <w:t>roku</w:t>
      </w:r>
      <w:r>
        <w:rPr>
          <w:szCs w:val="20"/>
        </w:rPr>
        <w:t xml:space="preserve"> 2018 </w:t>
      </w:r>
      <w:r w:rsidR="00ED62B7">
        <w:rPr>
          <w:szCs w:val="20"/>
        </w:rPr>
        <w:t xml:space="preserve">proveden shodnou metodikou také </w:t>
      </w:r>
      <w:r>
        <w:rPr>
          <w:szCs w:val="20"/>
        </w:rPr>
        <w:t xml:space="preserve">retrospektivní </w:t>
      </w:r>
      <w:r w:rsidR="00ED62B7">
        <w:rPr>
          <w:szCs w:val="20"/>
        </w:rPr>
        <w:t>výpočet</w:t>
      </w:r>
      <w:r>
        <w:rPr>
          <w:szCs w:val="20"/>
        </w:rPr>
        <w:t xml:space="preserve"> </w:t>
      </w:r>
      <w:r w:rsidR="00ED62B7">
        <w:rPr>
          <w:szCs w:val="20"/>
        </w:rPr>
        <w:t>ú</w:t>
      </w:r>
      <w:r>
        <w:rPr>
          <w:szCs w:val="20"/>
        </w:rPr>
        <w:t>mrtnostních tabulek</w:t>
      </w:r>
      <w:r w:rsidR="00ED62B7">
        <w:rPr>
          <w:szCs w:val="20"/>
        </w:rPr>
        <w:t xml:space="preserve"> v časové řadě, a to od roku 1920 v případě úmrtnostních </w:t>
      </w:r>
      <w:r w:rsidR="00ED62B7" w:rsidRPr="00EC2264">
        <w:rPr>
          <w:rFonts w:cs="Arial"/>
        </w:rPr>
        <w:t>tabulek</w:t>
      </w:r>
      <w:r w:rsidR="00ED62B7">
        <w:rPr>
          <w:szCs w:val="20"/>
        </w:rPr>
        <w:t xml:space="preserve"> pro celou Českou republiku, resp. od roku 2001 v případě úmrtnostních tabulek za regiony soudržnosti, kraje a okresy. </w:t>
      </w:r>
      <w:r w:rsidR="00DE6F6F">
        <w:rPr>
          <w:szCs w:val="20"/>
        </w:rPr>
        <w:t>Tyto retrospektivní tabulky byly vydány v publikaci Úmrtnostní tabulky v časové řadě (ČSÚ, 2018).</w:t>
      </w:r>
      <w:r w:rsidR="00ED62B7">
        <w:rPr>
          <w:szCs w:val="20"/>
        </w:rPr>
        <w:t xml:space="preserve"> </w:t>
      </w:r>
    </w:p>
    <w:p w14:paraId="449FCD47" w14:textId="77777777" w:rsidR="003477D7" w:rsidRPr="00A03B8D" w:rsidRDefault="003477D7" w:rsidP="00083782">
      <w:pPr>
        <w:pStyle w:val="Nadpis3"/>
        <w:spacing w:after="160"/>
        <w:rPr>
          <w:sz w:val="28"/>
          <w:szCs w:val="28"/>
        </w:rPr>
      </w:pPr>
      <w:r w:rsidRPr="00A03B8D">
        <w:rPr>
          <w:sz w:val="28"/>
          <w:szCs w:val="28"/>
        </w:rPr>
        <w:t>Ukazatele úmrtnostních tabulek</w:t>
      </w:r>
    </w:p>
    <w:p w14:paraId="4192E360" w14:textId="3BB49588" w:rsidR="003477D7" w:rsidRPr="00704A5B" w:rsidRDefault="003477D7" w:rsidP="00083782">
      <w:pPr>
        <w:spacing w:after="160"/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zemřelých </w:t>
      </w:r>
      <w:r w:rsidRPr="00EA602F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EA602F">
        <w:rPr>
          <w:rFonts w:cs="Arial"/>
          <w:iCs/>
        </w:rPr>
        <w:t>)</w:t>
      </w:r>
      <w:r w:rsidRPr="00EA602F">
        <w:rPr>
          <w:rFonts w:cs="Arial"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14:paraId="3B29B7C3" w14:textId="10E0CF6F" w:rsidR="003477D7" w:rsidRDefault="003477D7" w:rsidP="00083782">
      <w:pPr>
        <w:spacing w:after="16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obyvatel </w:t>
      </w:r>
      <w:r w:rsidRPr="00EA602F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EA602F">
        <w:rPr>
          <w:rFonts w:cs="Arial"/>
          <w:iCs/>
        </w:rPr>
        <w:t>)</w:t>
      </w:r>
      <w:r>
        <w:rPr>
          <w:rFonts w:cs="Arial"/>
        </w:rPr>
        <w:t xml:space="preserve"> uvádí střední stav obyvatel ve věku </w:t>
      </w:r>
      <m:oMath>
        <m:r>
          <w:rPr>
            <w:rFonts w:ascii="Cambria Math" w:hAnsi="Cambria Math" w:cs="Arial"/>
          </w:rPr>
          <m:t>x</m:t>
        </m:r>
      </m:oMath>
      <w:r w:rsidR="00C543D8">
        <w:rPr>
          <w:rFonts w:cs="Arial"/>
        </w:rPr>
        <w:t>, resp. v případě víceletých období uvádí součet středních stavů v příslušných letech</w:t>
      </w:r>
      <w:r>
        <w:rPr>
          <w:rFonts w:cs="Arial"/>
        </w:rPr>
        <w:t xml:space="preserve">. </w:t>
      </w:r>
      <w:r w:rsidR="009C6B01">
        <w:rPr>
          <w:rFonts w:cs="Arial"/>
        </w:rPr>
        <w:t>V případě tabule</w:t>
      </w:r>
      <w:r w:rsidR="00DA403C">
        <w:rPr>
          <w:rFonts w:cs="Arial"/>
        </w:rPr>
        <w:t>k</w:t>
      </w:r>
      <w:r w:rsidR="009C6B01">
        <w:rPr>
          <w:rFonts w:cs="Arial"/>
        </w:rPr>
        <w:t xml:space="preserve"> za ČR, regiony soudržnosti, kraje a okresy</w:t>
      </w:r>
      <w:r w:rsidR="00DA403C">
        <w:rPr>
          <w:rFonts w:cs="Arial"/>
        </w:rPr>
        <w:t xml:space="preserve"> je s</w:t>
      </w:r>
      <w:r>
        <w:rPr>
          <w:rFonts w:cs="Arial"/>
        </w:rPr>
        <w:t>třední stav definován jako bilancovaný počet obyvatel k 1. 7. daného roku.</w:t>
      </w:r>
      <w:r w:rsidR="00A35A0B">
        <w:rPr>
          <w:rFonts w:cs="Arial"/>
        </w:rPr>
        <w:t xml:space="preserve"> </w:t>
      </w:r>
      <w:r w:rsidR="00A35A0B" w:rsidRPr="00A35A0B">
        <w:rPr>
          <w:rFonts w:cs="Arial"/>
        </w:rPr>
        <w:t>V případě tabulek za SO ORP je střední stav vypočten jako průměr počátečního a koncového stavu daného roku.</w:t>
      </w:r>
    </w:p>
    <w:p w14:paraId="4A7B7E2B" w14:textId="000667C3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ravděpodobnost úmrtí </w:t>
      </w:r>
      <w:r w:rsidRPr="00EA602F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EA602F">
        <w:rPr>
          <w:rFonts w:cs="Arial"/>
          <w:iCs/>
        </w:rPr>
        <w:t>)</w:t>
      </w:r>
      <w:r w:rsidRPr="00EA602F">
        <w:rPr>
          <w:rFonts w:cs="Arial"/>
        </w:rPr>
        <w:t xml:space="preserve"> </w:t>
      </w:r>
      <w:r>
        <w:rPr>
          <w:rFonts w:cs="Arial"/>
        </w:rPr>
        <w:t xml:space="preserve">vyjadřuje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14:paraId="68A3C7B4" w14:textId="22B629CC" w:rsidR="008E6077" w:rsidRPr="0036046F" w:rsidRDefault="005E4AC4" w:rsidP="008E60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q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  <m:r>
          <w:rPr>
            <w:rFonts w:ascii="Cambria Math" w:hAnsi="Cambria Math" w:cs="Arial"/>
            <w:lang w:val="en-GB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Arial"/>
                <w:lang w:val="en-GB"/>
              </w:rPr>
              <m:t>1+(1-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 w:cs="Arial"/>
                <w:lang w:val="en-GB"/>
              </w:rPr>
              <m:t>)∙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lang w:val="en-GB"/>
                  </w:rPr>
                  <m:t>x</m:t>
                </m:r>
              </m:sub>
            </m:sSub>
          </m:den>
        </m:f>
      </m:oMath>
      <w:r w:rsidR="00CF6CB0">
        <w:rPr>
          <w:rFonts w:cs="Arial"/>
          <w:lang w:val="en-GB"/>
        </w:rPr>
        <w:t xml:space="preserve"> </w:t>
      </w:r>
    </w:p>
    <w:p w14:paraId="7852A11F" w14:textId="37FC7BEA" w:rsidR="003477D7" w:rsidRPr="005D1303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14:paraId="14FC162E" w14:textId="0D28D6F5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EA602F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EA602F">
        <w:rPr>
          <w:rFonts w:cs="Arial"/>
          <w:iCs/>
        </w:rPr>
        <w:t>)</w:t>
      </w:r>
      <w:r>
        <w:rPr>
          <w:rFonts w:cs="Arial"/>
        </w:rPr>
        <w:t xml:space="preserve"> je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=100 000</m:t>
        </m:r>
      </m:oMath>
      <w:r>
        <w:rPr>
          <w:rFonts w:cs="Arial"/>
        </w:rPr>
        <w:t>) při zachování řádu úmrtnosti sledovaného období:</w:t>
      </w:r>
    </w:p>
    <w:p w14:paraId="25EB9630" w14:textId="72408D98" w:rsidR="00F5627F" w:rsidRPr="00933A45" w:rsidRDefault="005E4AC4" w:rsidP="003963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e>
          </m:d>
        </m:oMath>
      </m:oMathPara>
    </w:p>
    <w:p w14:paraId="59ED811C" w14:textId="76DCC85A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zemřelých </w:t>
      </w:r>
      <w:r w:rsidRPr="00EA602F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EA602F">
        <w:rPr>
          <w:rFonts w:cs="Arial"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14:paraId="077EE891" w14:textId="354F3B5C" w:rsidR="00F5627F" w:rsidRDefault="005E4AC4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</m:oMath>
      </m:oMathPara>
    </w:p>
    <w:p w14:paraId="6D5EC355" w14:textId="77777777" w:rsidR="00DF7D4A" w:rsidRPr="00B21224" w:rsidRDefault="00DF7D4A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</w:rPr>
      </w:pPr>
    </w:p>
    <w:p w14:paraId="2AACAA8A" w14:textId="6D2BDDD1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lastRenderedPageBreak/>
        <w:t>T</w:t>
      </w:r>
      <w:r w:rsidRPr="00213C0A">
        <w:rPr>
          <w:rFonts w:cs="Arial"/>
          <w:b/>
          <w:iCs/>
        </w:rPr>
        <w:t xml:space="preserve">abulkový počet žijících </w:t>
      </w:r>
      <w:r w:rsidRPr="0039639E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39639E">
        <w:rPr>
          <w:rFonts w:cs="Arial"/>
          <w:iCs/>
        </w:rPr>
        <w:t>)</w:t>
      </w:r>
      <w:r>
        <w:rPr>
          <w:rFonts w:cs="Arial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14:paraId="3D173BE3" w14:textId="33094F55" w:rsidR="003477D7" w:rsidRDefault="005E4AC4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3477D7">
        <w:rPr>
          <w:rFonts w:cs="Arial"/>
          <w:sz w:val="24"/>
        </w:rPr>
        <w:tab/>
      </w:r>
    </w:p>
    <w:p w14:paraId="3F613F71" w14:textId="5A92A575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 xml:space="preserve">omocný ukazatel </w:t>
      </w:r>
      <w:r w:rsidRPr="0039639E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39639E">
        <w:rPr>
          <w:rFonts w:cs="Arial"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14:paraId="10CBB2F0" w14:textId="237C3C75" w:rsidR="00C84C6C" w:rsidRDefault="005E4AC4" w:rsidP="003963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</m:nary>
      </m:oMath>
      <w:r w:rsidR="00CF6CB0">
        <w:rPr>
          <w:rFonts w:cs="Arial"/>
        </w:rPr>
        <w:t xml:space="preserve"> </w:t>
      </w:r>
    </w:p>
    <w:p w14:paraId="719C4F57" w14:textId="76151D55"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 xml:space="preserve">naděje dožití </w:t>
      </w:r>
      <w:r w:rsidRPr="0039639E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39639E">
        <w:rPr>
          <w:rFonts w:cs="Arial"/>
          <w:iCs/>
        </w:rPr>
        <w:t>)</w:t>
      </w:r>
      <w:r>
        <w:rPr>
          <w:rFonts w:cs="Arial"/>
        </w:rPr>
        <w:t xml:space="preserve"> udává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>-letá osoba při zachování úmrtnostních poměrů daného období. Jedná se o syntetický ukazatel, který odráží úmrtnostní poměry ve všech věkových skupinách.</w:t>
      </w:r>
    </w:p>
    <w:p w14:paraId="149CB89D" w14:textId="578A8AEF" w:rsidR="002A3C4F" w:rsidRDefault="005E4AC4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e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39639E">
        <w:rPr>
          <w:szCs w:val="20"/>
        </w:rPr>
        <w:t xml:space="preserve"> </w:t>
      </w:r>
      <w:r w:rsidR="003477D7" w:rsidRPr="00C37FA8">
        <w:rPr>
          <w:sz w:val="24"/>
        </w:rPr>
        <w:tab/>
      </w:r>
    </w:p>
    <w:p w14:paraId="5B632A30" w14:textId="77777777" w:rsidR="003477D7" w:rsidRDefault="003477D7" w:rsidP="00A03B8D">
      <w:pPr>
        <w:pStyle w:val="Nadpis2"/>
        <w:spacing w:before="240" w:after="160"/>
      </w:pPr>
      <w:r w:rsidRPr="00C84C6C">
        <w:t>Podrobný postup konstrukce úmrtnostní tabulky</w:t>
      </w:r>
    </w:p>
    <w:p w14:paraId="06565466" w14:textId="77777777" w:rsidR="003477D7" w:rsidRPr="00CF6CB0" w:rsidRDefault="003477D7" w:rsidP="00083782">
      <w:pPr>
        <w:pStyle w:val="Nadpis3"/>
        <w:numPr>
          <w:ilvl w:val="0"/>
          <w:numId w:val="22"/>
        </w:numPr>
        <w:spacing w:after="160"/>
        <w:ind w:left="425" w:hanging="425"/>
      </w:pPr>
      <w:r w:rsidRPr="00CF6CB0">
        <w:t>Zpracování vstupních dat</w:t>
      </w:r>
    </w:p>
    <w:p w14:paraId="38F0822E" w14:textId="77777777" w:rsidR="003477D7" w:rsidRPr="00CF6CB0" w:rsidRDefault="003477D7" w:rsidP="00083782">
      <w:pPr>
        <w:pStyle w:val="Zkladntextodsazen"/>
        <w:widowControl w:val="0"/>
        <w:numPr>
          <w:ilvl w:val="0"/>
          <w:numId w:val="1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425" w:hanging="425"/>
      </w:pPr>
      <w:r w:rsidRPr="00CF6CB0">
        <w:rPr>
          <w:b/>
        </w:rPr>
        <w:t>Výpočet pozorovaných měr úmrtnosti</w:t>
      </w:r>
    </w:p>
    <w:p w14:paraId="7DBEF03B" w14:textId="15B5E5A0" w:rsidR="003477D7" w:rsidRDefault="003477D7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14:paraId="2112F940" w14:textId="31EE8272" w:rsidR="00C84C6C" w:rsidRPr="005242E5" w:rsidRDefault="005E4AC4" w:rsidP="0002278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jc w:val="center"/>
        <w:rPr>
          <w:rFonts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ČR,  region soudržnosti</m:t>
                </m:r>
              </m:sup>
            </m:sSubSup>
          </m:e>
        </m:sPre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1.7.(t)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CF6CB0">
        <w:rPr>
          <w:rFonts w:cs="Arial"/>
        </w:rPr>
        <w:t xml:space="preserve"> </w:t>
      </w:r>
    </w:p>
    <w:p w14:paraId="6FF0E2CA" w14:textId="2A75A4EA" w:rsidR="005242E5" w:rsidRPr="00910547" w:rsidRDefault="005E4AC4" w:rsidP="0002278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jc w:val="center"/>
        <w:rPr>
          <w:rFonts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t-1,t</m:t>
            </m:r>
          </m:sub>
          <m:sup>
            <m:r>
              <w:rPr>
                <w:rFonts w:ascii="Cambria Math" w:hAnsi="Cambria Math" w:cs="Arial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kraj</m:t>
                </m:r>
              </m:sup>
            </m:sSubSup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t-1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</m:sSubSup>
                      </m:e>
                    </m:sPre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1.7.(t-1)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1.7.(t)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</m:sSubSup>
                      </m:e>
                    </m:sPre>
                  </m:e>
                </m:sPre>
              </m:den>
            </m:f>
          </m:e>
        </m:sPre>
      </m:oMath>
      <w:r w:rsidR="00CF6CB0">
        <w:rPr>
          <w:rFonts w:cs="Arial"/>
        </w:rPr>
        <w:t xml:space="preserve"> </w:t>
      </w:r>
    </w:p>
    <w:p w14:paraId="073957B9" w14:textId="213105A2" w:rsidR="003477D7" w:rsidRPr="00A35A0B" w:rsidRDefault="005E4AC4" w:rsidP="0002278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jc w:val="center"/>
        <w:rPr>
          <w:rFonts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okres</m:t>
                </m:r>
              </m:sup>
            </m:sSubSup>
          </m:e>
        </m:sPre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1.7.(t)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den>
        </m:f>
      </m:oMath>
      <w:r w:rsidR="00CF6CB0">
        <w:rPr>
          <w:rFonts w:cs="Arial"/>
        </w:rPr>
        <w:t xml:space="preserve"> </w:t>
      </w:r>
    </w:p>
    <w:p w14:paraId="3DE6FCE5" w14:textId="70AC9D5B" w:rsidR="00A35A0B" w:rsidRDefault="005E4AC4" w:rsidP="0002278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jc w:val="center"/>
        <w:rPr>
          <w:rFonts w:cs="Arial"/>
          <w:i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SO ORP</m:t>
            </m:r>
          </m:sup>
        </m:sSub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/>
              <m:e>
                <m:r>
                  <w:rPr>
                    <w:rFonts w:ascii="Cambria Math" w:hAnsi="Cambria Math" w:cs="Arial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1.1.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</m:d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31.12.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t</m:t>
                                </m:r>
                              </m:e>
                            </m:d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sup>
                            </m:sSubSup>
                          </m:e>
                        </m:sPre>
                      </m:e>
                    </m:sPre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)</m:t>
                </m:r>
              </m:e>
            </m:nary>
          </m:den>
        </m:f>
      </m:oMath>
      <w:r w:rsidR="00CF6CB0">
        <w:rPr>
          <w:rFonts w:cs="Arial"/>
          <w:i/>
        </w:rPr>
        <w:t xml:space="preserve"> </w:t>
      </w:r>
    </w:p>
    <w:p w14:paraId="6180A8DE" w14:textId="77777777" w:rsidR="003477D7" w:rsidRPr="00A03B8D" w:rsidRDefault="003477D7" w:rsidP="00A03B8D">
      <w:pPr>
        <w:pStyle w:val="Zkladntextodsazen"/>
        <w:widowControl w:val="0"/>
        <w:numPr>
          <w:ilvl w:val="0"/>
          <w:numId w:val="1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240" w:after="160"/>
        <w:ind w:left="425" w:hanging="425"/>
      </w:pPr>
      <w:r w:rsidRPr="00A03B8D">
        <w:rPr>
          <w:b/>
        </w:rPr>
        <w:t>Vyrovnání pozorovaných měr úmrtnosti</w:t>
      </w:r>
    </w:p>
    <w:p w14:paraId="1FDB3806" w14:textId="32F18FCB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t xml:space="preserve"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P-spliny, někdy označováno jako metoda P-GAM (Eilers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>ředpokládá Poissonovo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tzn. </w:t>
      </w:r>
      <w:r w:rsidRPr="001D231C">
        <w:t>nižší počty zemřelých jsou vyhlazovány více než vysoké počty zemřelých, kde je tak zachována vý</w:t>
      </w:r>
      <w:r>
        <w:t>znamnost původního jevu/trendu.</w:t>
      </w:r>
    </w:p>
    <w:p w14:paraId="3800FCD2" w14:textId="77777777" w:rsidR="003477D7" w:rsidRPr="00A03B8D" w:rsidRDefault="003477D7" w:rsidP="00083782">
      <w:pPr>
        <w:pStyle w:val="Zkladntextodsazen"/>
        <w:widowControl w:val="0"/>
        <w:numPr>
          <w:ilvl w:val="0"/>
          <w:numId w:val="1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425" w:hanging="425"/>
      </w:pPr>
      <w:r w:rsidRPr="00A03B8D">
        <w:rPr>
          <w:b/>
        </w:rPr>
        <w:t>Modelování úmrtnosti ve vysokém věku</w:t>
      </w:r>
    </w:p>
    <w:p w14:paraId="18EFD870" w14:textId="7E44098B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</w:t>
      </w:r>
      <w:r w:rsidRPr="00C956E7">
        <w:rPr>
          <w:i/>
        </w:rPr>
        <w:t>force of mortality</w:t>
      </w:r>
      <w:r>
        <w:t xml:space="preserve"> (někdy překládáno jako síla úmrtnosti), značenou</w:t>
      </w:r>
      <w:r w:rsidR="0002278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>. V praxi se předpokládá, že při monotónním nárůstu funkce úmrtnosti s věkem přibližně platí následující vztah mezi sílou a mírou úmrtnosti v daném věku (Thatcher a kol., 1998):</w:t>
      </w:r>
    </w:p>
    <w:p w14:paraId="444EF37D" w14:textId="4825AEE8" w:rsidR="00910547" w:rsidRDefault="005E4AC4" w:rsidP="0002278E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x+0,5</m:t>
            </m:r>
          </m:sub>
        </m:sSub>
      </m:oMath>
      <w:r w:rsidR="0002278E">
        <w:t xml:space="preserve"> </w:t>
      </w:r>
    </w:p>
    <w:p w14:paraId="23DFE218" w14:textId="77777777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</w:t>
      </w:r>
      <w:r>
        <w:lastRenderedPageBreak/>
        <w:t xml:space="preserve">Konkrétně jde o model, který poprvé použil </w:t>
      </w:r>
      <w:r w:rsidRPr="005E0E2D">
        <w:t>Kannis</w:t>
      </w:r>
      <w:r>
        <w:t>to</w:t>
      </w:r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14:paraId="6201C0E4" w14:textId="540BCFE2" w:rsidR="00DF7D4A" w:rsidRDefault="005E4AC4" w:rsidP="00DF7D4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/>
              </w:rPr>
              <m:t>1+α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βx</m:t>
                </m:r>
              </m:sup>
            </m:sSup>
          </m:den>
        </m:f>
        <m:r>
          <w:rPr>
            <w:rFonts w:ascii="Cambria Math" w:hAnsi="Cambria Math"/>
          </w:rPr>
          <m:t>+c</m:t>
        </m:r>
      </m:oMath>
      <w:r w:rsidR="00CF6CB0">
        <w:t xml:space="preserve"> </w:t>
      </w:r>
    </w:p>
    <w:p w14:paraId="7367FE98" w14:textId="02CEACBD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C6752D">
        <w:t>kde</w:t>
      </w:r>
      <w:r w:rsidR="00A23C81">
        <w:t xml:space="preserve"> </w:t>
      </w:r>
      <m:oMath>
        <m:r>
          <w:rPr>
            <w:rFonts w:ascii="Cambria Math" w:hAnsi="Cambria Math"/>
            <w:lang w:val="en-GB"/>
          </w:rPr>
          <m:t>x</m:t>
        </m:r>
      </m:oMath>
      <w:r w:rsidRPr="00C6752D">
        <w:t xml:space="preserve"> je věk a</w:t>
      </w:r>
      <w:r w:rsidR="00A23C81">
        <w:t xml:space="preserve"> </w:t>
      </w:r>
      <m:oMath>
        <m:r>
          <w:rPr>
            <w:rFonts w:ascii="Cambria Math" w:hAnsi="Cambria Math"/>
            <w:lang w:val="en-GB"/>
          </w:rPr>
          <m:t>α</m:t>
        </m:r>
      </m:oMath>
      <w:r w:rsidR="00A23C81" w:rsidRPr="00A23C81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β</m:t>
        </m:r>
      </m:oMath>
      <w:r w:rsidR="00A23C81" w:rsidRPr="00A23C81">
        <w:rPr>
          <w:lang w:val="en-GB"/>
        </w:rPr>
        <w:t xml:space="preserve"> </w:t>
      </w:r>
      <w:r w:rsidRPr="00A23C81">
        <w:t>jsou</w:t>
      </w:r>
      <w:r w:rsidRPr="00C6752D">
        <w:t xml:space="preserve"> jednotlivé parametry</w:t>
      </w:r>
      <w:r w:rsidR="00A23C81">
        <w:t>,</w:t>
      </w:r>
      <w:r w:rsidRPr="00C6752D">
        <w:t xml:space="preserve"> </w:t>
      </w:r>
      <m:oMath>
        <m:r>
          <w:rPr>
            <w:rFonts w:ascii="Cambria Math" w:hAnsi="Cambria Math"/>
          </w:rPr>
          <m:t>c</m:t>
        </m:r>
      </m:oMath>
      <w:r w:rsidR="00A23C81">
        <w:t xml:space="preserve"> </w:t>
      </w:r>
      <w:r w:rsidRPr="00C6752D">
        <w:t>je konstanta</w:t>
      </w:r>
      <w:r>
        <w:t>. Parametry funkce jsou odhadnuty metodou maximální věrohodnosti. Výchozí odhad parametrů je založen na předpokladu Poissonova rozdělení počtů zemřelých</w:t>
      </w:r>
      <w:r w:rsidR="00A23C81">
        <w:t xml:space="preserve"> (</w:t>
      </w:r>
      <m:oMath>
        <m:r>
          <w:rPr>
            <w:rFonts w:ascii="Cambria Math" w:hAnsi="Cambria Math"/>
          </w:rPr>
          <m:t>D</m:t>
        </m:r>
      </m:oMath>
      <w:r w:rsidR="00A23C81">
        <w:t>)</w:t>
      </w:r>
      <w:r>
        <w:t xml:space="preserve"> ve věku</w:t>
      </w:r>
      <w:r w:rsidR="00A23C81">
        <w:t xml:space="preserve"> </w:t>
      </w:r>
      <m:oMath>
        <m:r>
          <w:rPr>
            <w:rFonts w:ascii="Cambria Math" w:hAnsi="Cambria Math"/>
          </w:rPr>
          <m:t>x</m:t>
        </m:r>
      </m:oMath>
      <w:r>
        <w:t>. Na základě těchto předpokladů je pak maximalizován logaritmus věrohodnostní funkce</w:t>
      </w:r>
      <w:r w:rsidR="00A23C81">
        <w:t xml:space="preserve"> (</w:t>
      </w:r>
      <m:oMath>
        <m:r>
          <w:rPr>
            <w:rFonts w:ascii="Cambria Math" w:hAnsi="Cambria Math"/>
          </w:rPr>
          <m:t>L</m:t>
        </m:r>
      </m:oMath>
      <w:r w:rsidR="00A23C81">
        <w:t>)</w:t>
      </w:r>
      <w:r>
        <w:t xml:space="preserve"> ve tvaru:</w:t>
      </w:r>
    </w:p>
    <w:p w14:paraId="779EF8AA" w14:textId="12AAD75C" w:rsidR="00910547" w:rsidRDefault="005E4AC4" w:rsidP="0002278E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L</m:t>
            </m:r>
          </m:e>
        </m:fun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d>
              </m:e>
            </m:func>
          </m:e>
        </m:nary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CF6CB0">
        <w:t xml:space="preserve"> </w:t>
      </w:r>
    </w:p>
    <w:p w14:paraId="28B67DE2" w14:textId="3F4DD63D" w:rsidR="003477D7" w:rsidRPr="005E0E2D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t>Při optimalizaci (záporného logaritmu) věrohodnostní funkce program pracuje s vlastními počátečními hodnotami parametrů. Pro odhad parametrů je nastaveno věkové rozpětí 70–90 let.</w:t>
      </w:r>
    </w:p>
    <w:p w14:paraId="7C07FEC5" w14:textId="7D923FED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>
        <w:t xml:space="preserve">se </w:t>
      </w:r>
      <w:r w:rsidRPr="006C1EDE">
        <w:t xml:space="preserve">nejprve hledá věk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vyšší než 75 let, kde je pozorován nejnižší rozdíl mezi vyrovnanou a modelovou mírou úmrtnosti, tzn. </w:t>
      </w:r>
      <w:r>
        <w:t xml:space="preserve">takový </w:t>
      </w:r>
      <w:r w:rsidRPr="006C1EDE">
        <w:t>věk</w:t>
      </w:r>
      <w:r w:rsidR="00A23C81">
        <w:t xml:space="preserve"> </w:t>
      </w:r>
      <m:oMath>
        <m:r>
          <w:rPr>
            <w:rFonts w:ascii="Cambria Math" w:hAnsi="Cambria Math"/>
          </w:rPr>
          <m:t>y</m:t>
        </m:r>
      </m:oMath>
      <w:r w:rsidRPr="006C1EDE">
        <w:t>, pro který platí:</w:t>
      </w:r>
    </w:p>
    <w:p w14:paraId="59C5CA32" w14:textId="16F9C2DD" w:rsidR="00910547" w:rsidRDefault="005E4AC4" w:rsidP="0002278E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vyrovnané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modelové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</m:t>
        </m:r>
        <m:r>
          <w:rPr>
            <w:rFonts w:ascii="Cambria Math" w:hAnsi="Cambria Math"/>
          </w:rPr>
          <m:t>,    y≥75</m:t>
        </m:r>
      </m:oMath>
      <w:r w:rsidR="00CF6CB0">
        <w:t xml:space="preserve"> </w:t>
      </w:r>
    </w:p>
    <w:p w14:paraId="13EAB91B" w14:textId="10C2E0C9"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6C1EDE">
        <w:t>Po nalezení věku</w:t>
      </w:r>
      <w:r w:rsidR="00A23C81">
        <w:t xml:space="preserve">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</w:t>
      </w:r>
      <w:r w:rsidR="004B5050">
        <w:t>je</w:t>
      </w:r>
      <w:r w:rsidR="00CB6CA0">
        <w:t xml:space="preserve"> p</w:t>
      </w:r>
      <w:r w:rsidRPr="006C1EDE">
        <w:t>rovede</w:t>
      </w:r>
      <w:r w:rsidR="00CB6CA0">
        <w:t>na</w:t>
      </w:r>
      <w:r w:rsidRPr="006C1EDE">
        <w:t xml:space="preserve"> postupn</w:t>
      </w:r>
      <w:r w:rsidR="00CB6CA0">
        <w:t>á</w:t>
      </w:r>
      <w:r w:rsidRPr="006C1EDE">
        <w:t xml:space="preserve"> graduac</w:t>
      </w:r>
      <w:r w:rsidR="00CB6CA0">
        <w:t>e</w:t>
      </w:r>
      <w:r w:rsidRPr="006C1EDE">
        <w:t xml:space="preserve"> vyrovnaných </w:t>
      </w:r>
      <w:r w:rsidR="00CB6CA0">
        <w:t xml:space="preserve">měr </w:t>
      </w:r>
      <w:r w:rsidRPr="006C1EDE">
        <w:t>na modelové hodnoty pro věky</w:t>
      </w:r>
      <w:r w:rsidR="00A23C81">
        <w:t xml:space="preserve"> </w:t>
      </w:r>
      <m:oMath>
        <m:r>
          <w:rPr>
            <w:rFonts w:ascii="Cambria Math" w:hAnsi="Cambria Math"/>
            <w:lang w:val="en-GB"/>
          </w:rPr>
          <m:t>x </m:t>
        </m:r>
        <m:r>
          <w:rPr>
            <w:rFonts w:ascii="Cambria Math" w:hAnsi="Cambria Math" w:cs="Cambria Math"/>
            <w:lang w:val="en-GB"/>
          </w:rPr>
          <m:t>∈ </m:t>
        </m:r>
        <m:r>
          <w:rPr>
            <w:rFonts w:ascii="Cambria Math" w:hAnsi="Cambria Math"/>
            <w:lang w:val="en-GB"/>
          </w:rPr>
          <m:t>[(y - 4), (y + 4)]</m:t>
        </m:r>
      </m:oMath>
      <w:r w:rsidR="00A23C81" w:rsidRPr="00AC5542">
        <w:rPr>
          <w:i/>
          <w:lang w:val="en-GB"/>
        </w:rPr>
        <w:t xml:space="preserve"> </w:t>
      </w:r>
      <w:r w:rsidRPr="006C1EDE">
        <w:t>dle vztahu:</w:t>
      </w:r>
    </w:p>
    <w:p w14:paraId="2ECC0B97" w14:textId="75BAB767" w:rsidR="00E22D40" w:rsidRDefault="005E4AC4" w:rsidP="0002278E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graduované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x-y+5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vyrovnané</m:t>
            </m:r>
          </m:sup>
        </m:sSub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x-y+5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modelové</m:t>
            </m:r>
          </m:sup>
        </m:sSubSup>
      </m:oMath>
      <w:r w:rsidR="00CF6CB0">
        <w:t xml:space="preserve"> </w:t>
      </w:r>
    </w:p>
    <w:p w14:paraId="3E353DA9" w14:textId="1FC98368" w:rsidR="00DF7D4A" w:rsidRDefault="003477D7" w:rsidP="00DF7D4A">
      <w:pPr>
        <w:pStyle w:val="Zkladntextodsazen"/>
        <w:widowControl w:val="0"/>
        <w:numPr>
          <w:ilvl w:val="0"/>
          <w:numId w:val="1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 w:firstLine="0"/>
      </w:pPr>
      <w:r>
        <w:t>Pro výpočet úmrtnostní tabulky je použita následující kombinace hodnot věkově specifických měr úmrtnosti:</w:t>
      </w:r>
    </w:p>
    <w:p w14:paraId="4E52E330" w14:textId="303AE1E3"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 xml:space="preserve">pro věk </w:t>
      </w:r>
      <m:oMath>
        <m:r>
          <w:rPr>
            <w:rFonts w:ascii="Cambria Math" w:hAnsi="Cambria Math"/>
          </w:rPr>
          <m:t>0</m:t>
        </m:r>
      </m:oMath>
      <w:r w:rsidR="00A03B8D">
        <w:t xml:space="preserve"> let</w:t>
      </w:r>
      <w:r>
        <w:t>:</w:t>
      </w:r>
      <w:r>
        <w:tab/>
      </w:r>
      <w:r>
        <w:tab/>
      </w:r>
      <w:r>
        <w:tab/>
        <w:t>reálné (pozorované) hodnoty,</w:t>
      </w:r>
    </w:p>
    <w:p w14:paraId="5CE27816" w14:textId="1F6EDFB0"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 xml:space="preserve">pro věk </w:t>
      </w:r>
      <m:oMath>
        <m:r>
          <w:rPr>
            <w:rFonts w:ascii="Cambria Math" w:hAnsi="Cambria Math"/>
          </w:rPr>
          <m:t>1</m:t>
        </m:r>
      </m:oMath>
      <w:r>
        <w:t xml:space="preserve"> až</w:t>
      </w:r>
      <w:r w:rsidR="00A23C81">
        <w:t xml:space="preserve"> </w:t>
      </w:r>
      <m:oMath>
        <m:r>
          <w:rPr>
            <w:rFonts w:ascii="Cambria Math" w:hAnsi="Cambria Math"/>
          </w:rPr>
          <m:t>(y – 5)</m:t>
        </m:r>
      </m:oMath>
      <w:r w:rsidR="00A03B8D">
        <w:t xml:space="preserve"> let</w:t>
      </w:r>
      <w:r>
        <w:t>:</w:t>
      </w:r>
      <w:r>
        <w:tab/>
      </w:r>
      <w:r>
        <w:tab/>
        <w:t>vyrovnané hodnoty,</w:t>
      </w:r>
    </w:p>
    <w:p w14:paraId="7725C10D" w14:textId="4669DFCB"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>pro věk</w:t>
      </w:r>
      <w:r w:rsidR="00A23C81">
        <w:t xml:space="preserve"> </w:t>
      </w:r>
      <m:oMath>
        <m:r>
          <w:rPr>
            <w:rFonts w:ascii="Cambria Math" w:hAnsi="Cambria Math"/>
          </w:rPr>
          <m:t>(y – 4)</m:t>
        </m:r>
      </m:oMath>
      <w:r w:rsidR="00A23C81">
        <w:t xml:space="preserve"> </w:t>
      </w:r>
      <w:r>
        <w:t>až</w:t>
      </w:r>
      <w:r w:rsidR="00A23C81">
        <w:t xml:space="preserve"> </w:t>
      </w:r>
      <m:oMath>
        <m:r>
          <w:rPr>
            <w:rFonts w:ascii="Cambria Math" w:hAnsi="Cambria Math"/>
          </w:rPr>
          <m:t>(y + 4)</m:t>
        </m:r>
      </m:oMath>
      <w:r w:rsidR="00A03B8D">
        <w:t xml:space="preserve"> let:</w:t>
      </w:r>
      <w:r w:rsidR="00491B26">
        <w:tab/>
      </w:r>
      <w:r>
        <w:t>graduace mezi vyrovnanými a modelovými hodnotami,</w:t>
      </w:r>
    </w:p>
    <w:p w14:paraId="7E6C007C" w14:textId="498BDD44"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720"/>
      </w:pPr>
      <w:r>
        <w:t>pro věk</w:t>
      </w:r>
      <w:r w:rsidR="00A23C81">
        <w:t xml:space="preserve"> </w:t>
      </w:r>
      <m:oMath>
        <m:r>
          <w:rPr>
            <w:rFonts w:ascii="Cambria Math" w:hAnsi="Cambria Math"/>
          </w:rPr>
          <m:t>(y + 5)</m:t>
        </m:r>
      </m:oMath>
      <w:r>
        <w:t xml:space="preserve"> </w:t>
      </w:r>
      <w:r w:rsidR="00A03B8D">
        <w:t xml:space="preserve">let </w:t>
      </w:r>
      <w:r>
        <w:t>a vyšší:</w:t>
      </w:r>
      <w:r>
        <w:tab/>
        <w:t>modelové hodnoty.</w:t>
      </w:r>
    </w:p>
    <w:p w14:paraId="105BA37D" w14:textId="77777777" w:rsidR="003477D7" w:rsidRPr="00F85066" w:rsidRDefault="003477D7" w:rsidP="00083782">
      <w:pPr>
        <w:pStyle w:val="Nadpis3"/>
        <w:numPr>
          <w:ilvl w:val="0"/>
          <w:numId w:val="22"/>
        </w:numPr>
        <w:spacing w:after="160"/>
        <w:ind w:left="426" w:hanging="426"/>
        <w:rPr>
          <w:i/>
        </w:rPr>
      </w:pPr>
      <w:r w:rsidRPr="00FC405A">
        <w:t>Převod reálných vyrovnaných dat na tabu</w:t>
      </w:r>
      <w:r>
        <w:t>lkové</w:t>
      </w:r>
    </w:p>
    <w:bookmarkEnd w:id="0"/>
    <w:p w14:paraId="269BB16D" w14:textId="2E5C4F5D" w:rsidR="003477D7" w:rsidRDefault="003477D7" w:rsidP="00083782">
      <w:pPr>
        <w:spacing w:after="16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14:paraId="3DF27339" w14:textId="7E5CEADE" w:rsidR="00873C16" w:rsidRDefault="005E4AC4" w:rsidP="0002278E">
      <w:pPr>
        <w:spacing w:after="16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1+</m:t>
            </m:r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="Arial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den>
        </m:f>
      </m:oMath>
      <w:r w:rsidR="00CF6CB0">
        <w:rPr>
          <w:rFonts w:cs="Arial"/>
        </w:rPr>
        <w:t xml:space="preserve"> </w:t>
      </w:r>
    </w:p>
    <w:p w14:paraId="193B1645" w14:textId="73B12EE1" w:rsidR="00B46FE8" w:rsidRDefault="003477D7" w:rsidP="00083782">
      <w:pPr>
        <w:spacing w:after="160"/>
        <w:rPr>
          <w:rFonts w:cs="Arial"/>
          <w:iCs/>
        </w:rPr>
      </w:pPr>
      <w:r w:rsidRPr="00650584">
        <w:rPr>
          <w:rFonts w:cs="Arial"/>
          <w:iCs/>
        </w:rPr>
        <w:t>Parametr</w:t>
      </w:r>
      <w:r w:rsidR="00A23C81">
        <w:rPr>
          <w:rFonts w:cs="Arial"/>
          <w:i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650584">
        <w:rPr>
          <w:rFonts w:cs="Arial"/>
          <w:iCs/>
        </w:rPr>
        <w:t xml:space="preserve"> vyčísluje průměrný počet člověkoroků prožitých v daném věkovém intervalu zemřelými jedinci. S</w:t>
      </w:r>
      <w:r w:rsidR="00B46FE8">
        <w:rPr>
          <w:rFonts w:cs="Arial"/>
          <w:iCs/>
        </w:rPr>
        <w:t> </w:t>
      </w:r>
      <w:r w:rsidRPr="00650584">
        <w:rPr>
          <w:rFonts w:cs="Arial"/>
          <w:iCs/>
        </w:rPr>
        <w:t xml:space="preserve">ohledem na obecně platný předpoklad rovnoměrného rozložení přesného věku zemřelých </w:t>
      </w:r>
      <w:r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</w:p>
    <w:p w14:paraId="0AD21043" w14:textId="3C5633C9" w:rsidR="003477D7" w:rsidRDefault="00CB6CA0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Pro o</w:t>
      </w:r>
      <w:r w:rsidR="003477D7" w:rsidRPr="00650584">
        <w:rPr>
          <w:rFonts w:cs="Arial"/>
          <w:iCs/>
        </w:rPr>
        <w:t>dhad průměrného věku zemřelých kojenců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3477D7" w:rsidRPr="00650584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je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(počínaje daty za rok</w:t>
      </w:r>
      <w:r>
        <w:rPr>
          <w:rFonts w:cs="Arial"/>
          <w:iCs/>
        </w:rPr>
        <w:t xml:space="preserve"> 1986</w:t>
      </w:r>
      <w:r w:rsidR="00DE6F6F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3477D7">
        <w:rPr>
          <w:rFonts w:cs="Arial"/>
          <w:iCs/>
        </w:rPr>
        <w:t xml:space="preserve">využit </w:t>
      </w:r>
      <w:r w:rsidR="003477D7" w:rsidRPr="00650584">
        <w:rPr>
          <w:rFonts w:cs="Arial"/>
          <w:iCs/>
        </w:rPr>
        <w:t>nejpřesnější</w:t>
      </w:r>
      <w:r w:rsidR="003477D7">
        <w:rPr>
          <w:rFonts w:cs="Arial"/>
          <w:iCs/>
        </w:rPr>
        <w:t xml:space="preserve"> způsob výpočtu, kdy </w:t>
      </w:r>
      <w:r w:rsidR="00DE6F6F">
        <w:rPr>
          <w:rFonts w:cs="Arial"/>
          <w:iCs/>
        </w:rPr>
        <w:t xml:space="preserve">je </w:t>
      </w:r>
      <w:r w:rsidR="003477D7">
        <w:rPr>
          <w:rFonts w:cs="Arial"/>
          <w:iCs/>
        </w:rPr>
        <w:t>h</w:t>
      </w:r>
      <w:r w:rsidR="003477D7" w:rsidRPr="00650584">
        <w:rPr>
          <w:rFonts w:cs="Arial"/>
          <w:iCs/>
        </w:rPr>
        <w:t xml:space="preserve">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3477D7" w:rsidRPr="00650584">
        <w:rPr>
          <w:rFonts w:cs="Arial"/>
          <w:iCs/>
        </w:rPr>
        <w:t xml:space="preserve"> </w:t>
      </w:r>
      <w:r>
        <w:rPr>
          <w:rFonts w:cs="Arial"/>
          <w:iCs/>
        </w:rPr>
        <w:t>získá</w:t>
      </w:r>
      <w:r w:rsidR="003477D7" w:rsidRPr="00650584">
        <w:rPr>
          <w:rFonts w:cs="Arial"/>
          <w:iCs/>
        </w:rPr>
        <w:t xml:space="preserve">na </w:t>
      </w:r>
      <w:r>
        <w:rPr>
          <w:rFonts w:cs="Arial"/>
          <w:iCs/>
        </w:rPr>
        <w:t xml:space="preserve">přímo </w:t>
      </w:r>
      <w:r w:rsidR="003477D7" w:rsidRPr="00650584">
        <w:rPr>
          <w:rFonts w:cs="Arial"/>
          <w:iCs/>
        </w:rPr>
        <w:t>z reálných individuálních dat</w:t>
      </w:r>
      <w:r w:rsidR="003477D7">
        <w:rPr>
          <w:rFonts w:cs="Arial"/>
          <w:iCs/>
        </w:rPr>
        <w:t xml:space="preserve"> </w:t>
      </w:r>
      <w:r w:rsidR="003477D7" w:rsidRPr="00650584">
        <w:rPr>
          <w:rFonts w:cs="Arial"/>
          <w:iCs/>
        </w:rPr>
        <w:t xml:space="preserve">jakožto pozorovaný podíl průměrného věku zemřelých kojenců </w:t>
      </w:r>
      <w:r w:rsidR="003477D7">
        <w:rPr>
          <w:rFonts w:cs="Arial"/>
          <w:iCs/>
        </w:rPr>
        <w:t xml:space="preserve">(ve dnech) </w:t>
      </w:r>
      <w:r w:rsidR="003477D7" w:rsidRPr="00650584">
        <w:rPr>
          <w:rFonts w:cs="Arial"/>
          <w:iCs/>
        </w:rPr>
        <w:t xml:space="preserve">na celkovém trvání kalendářního roku </w:t>
      </w:r>
      <w:r w:rsidRPr="00650584">
        <w:rPr>
          <w:rFonts w:cs="Arial"/>
          <w:iCs/>
        </w:rPr>
        <w:t>(Andreev a Kingkade</w:t>
      </w:r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3477D7" w:rsidRPr="00650584">
        <w:rPr>
          <w:rFonts w:cs="Arial"/>
          <w:iCs/>
        </w:rPr>
        <w:t>:</w:t>
      </w:r>
    </w:p>
    <w:p w14:paraId="37C6A0D9" w14:textId="4DAB456D" w:rsidR="00491B26" w:rsidRDefault="005E4AC4" w:rsidP="0002278E">
      <w:pPr>
        <w:spacing w:after="160"/>
        <w:jc w:val="center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pozorované</m:t>
            </m:r>
          </m:sup>
        </m:sSub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i,0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dny</m:t>
                        </m:r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i,0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 w:cs="Arial"/>
          </w:rPr>
          <m:t>/365</m:t>
        </m:r>
      </m:oMath>
      <w:r w:rsidR="0002278E">
        <w:rPr>
          <w:rFonts w:cs="Arial"/>
        </w:rPr>
        <w:t xml:space="preserve"> </w:t>
      </w:r>
    </w:p>
    <w:p w14:paraId="5A157BBF" w14:textId="50842C41" w:rsidR="00CB6CA0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lastRenderedPageBreak/>
        <w:t>kde</w:t>
      </w:r>
      <w:r w:rsidR="00863C96">
        <w:rPr>
          <w:rFonts w:cs="Arial"/>
          <w:i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i,0</m:t>
            </m:r>
          </m:sub>
        </m:sSub>
      </m:oMath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>je individuální úmrtí v kojeneckém věku a</w:t>
      </w:r>
      <w:r w:rsidR="00491B26">
        <w:rPr>
          <w:rFonts w:cs="Arial"/>
          <w:iCs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i,0</m:t>
                </m:r>
              </m:sub>
            </m:sSub>
          </m:sub>
          <m:sup>
            <m:r>
              <w:rPr>
                <w:rFonts w:ascii="Cambria Math" w:hAnsi="Cambria Math" w:cs="Arial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</w:rPr>
              <m:t>dny</m:t>
            </m:r>
            <m:r>
              <w:rPr>
                <w:rFonts w:ascii="Cambria Math" w:hAnsi="Cambria Math" w:cs="Arial"/>
              </w:rPr>
              <m:t>)</m:t>
            </m:r>
          </m:sup>
        </m:sSubSup>
      </m:oMath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 xml:space="preserve">věk zemřelého kojence ve dnech. </w:t>
      </w:r>
      <w:r w:rsidR="00CB6CA0">
        <w:rPr>
          <w:rFonts w:cs="Arial"/>
          <w:iCs/>
        </w:rPr>
        <w:t xml:space="preserve">Při zpracování úmrtnostních tabulek za ČR </w:t>
      </w:r>
      <w:r w:rsidR="004B5050">
        <w:rPr>
          <w:rFonts w:cs="Arial"/>
          <w:iCs/>
        </w:rPr>
        <w:t>pro roky</w:t>
      </w:r>
      <w:r w:rsidR="00CB6CA0">
        <w:rPr>
          <w:rFonts w:cs="Arial"/>
          <w:iCs/>
        </w:rPr>
        <w:t xml:space="preserve"> 1920 až 1985 byl ve vazbě na nedostatečný detail dostupných dat o zemřelých kojencích parametr</w:t>
      </w:r>
      <w:r w:rsidR="00863C96">
        <w:rPr>
          <w:rFonts w:cs="Arial"/>
          <w:i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CB6CA0">
        <w:rPr>
          <w:rFonts w:cs="Arial"/>
          <w:iCs/>
        </w:rPr>
        <w:t xml:space="preserve"> nastaven defaultně</w:t>
      </w:r>
      <w:r w:rsidR="00CB6CA0" w:rsidRPr="005D08AF">
        <w:rPr>
          <w:rFonts w:cs="Arial"/>
          <w:iCs/>
        </w:rPr>
        <w:t xml:space="preserve"> </w:t>
      </w:r>
      <w:r w:rsidR="00CB6CA0">
        <w:rPr>
          <w:rFonts w:cs="Arial"/>
          <w:iCs/>
        </w:rPr>
        <w:t xml:space="preserve">v hodnotě </w:t>
      </w:r>
      <w:r w:rsidR="00CB6CA0" w:rsidRPr="005D08AF">
        <w:rPr>
          <w:rFonts w:cs="Arial"/>
          <w:iCs/>
        </w:rPr>
        <w:t>0,1</w:t>
      </w:r>
      <w:r w:rsidR="00CB6CA0">
        <w:rPr>
          <w:rFonts w:cs="Arial"/>
          <w:iCs/>
        </w:rPr>
        <w:t xml:space="preserve">. </w:t>
      </w:r>
    </w:p>
    <w:p w14:paraId="05394334" w14:textId="3E5D6930" w:rsidR="003477D7" w:rsidRPr="00650584" w:rsidRDefault="00B46FE8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V</w:t>
      </w:r>
      <w:r w:rsidR="003477D7">
        <w:rPr>
          <w:rFonts w:cs="Arial"/>
          <w:iCs/>
        </w:rPr>
        <w:t> případě nižších územních celků se vždy uvád</w:t>
      </w:r>
      <w:r w:rsidR="00DE6F6F">
        <w:rPr>
          <w:rFonts w:cs="Arial"/>
          <w:iCs/>
        </w:rPr>
        <w:t>í</w:t>
      </w:r>
      <w:r w:rsidR="003477D7">
        <w:rPr>
          <w:rFonts w:cs="Arial"/>
          <w:iCs/>
        </w:rPr>
        <w:t xml:space="preserve"> hodnota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4B5050">
        <w:rPr>
          <w:rFonts w:cs="Arial"/>
          <w:iCs/>
        </w:rPr>
        <w:t xml:space="preserve"> </w:t>
      </w:r>
      <w:r w:rsidR="003477D7">
        <w:rPr>
          <w:rFonts w:cs="Arial"/>
          <w:iCs/>
        </w:rPr>
        <w:t>vypočtená z dat za celou ČR v daném období.</w:t>
      </w:r>
      <w:r w:rsidR="003477D7" w:rsidRPr="005D08AF">
        <w:rPr>
          <w:rFonts w:cs="Arial"/>
          <w:iCs/>
        </w:rPr>
        <w:t xml:space="preserve"> </w:t>
      </w:r>
    </w:p>
    <w:p w14:paraId="00D3DC30" w14:textId="77777777" w:rsidR="003477D7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jako (viz např. Preston a kol., 2000):</w:t>
      </w:r>
    </w:p>
    <w:p w14:paraId="5AB2DD0D" w14:textId="340A441E" w:rsidR="00491B26" w:rsidRDefault="005E4AC4" w:rsidP="0002278E">
      <w:pPr>
        <w:spacing w:after="160"/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105+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105+</m:t>
                </m:r>
              </m:sub>
            </m:sSub>
          </m:den>
        </m:f>
      </m:oMath>
      <w:r w:rsidR="00CF6CB0">
        <w:rPr>
          <w:rFonts w:cs="Arial"/>
          <w:iCs/>
        </w:rPr>
        <w:t xml:space="preserve"> </w:t>
      </w:r>
    </w:p>
    <w:p w14:paraId="1AD71DBC" w14:textId="346561B0" w:rsidR="003477D7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Další postup výpočtu úmrtnostních tabulek navazuje na vypočtené hodnoty</w:t>
      </w:r>
      <w:r w:rsidR="00863C96">
        <w:rPr>
          <w:rFonts w:cs="Arial"/>
          <w:i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(viz Ukazatele úmrtnostních tabulek).</w:t>
      </w:r>
      <w:bookmarkStart w:id="1" w:name="_GoBack"/>
      <w:bookmarkEnd w:id="1"/>
    </w:p>
    <w:sectPr w:rsidR="003477D7" w:rsidSect="003148A4">
      <w:headerReference w:type="even" r:id="rId8"/>
      <w:footerReference w:type="even" r:id="rId9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5F19" w14:textId="77777777" w:rsidR="005E4AC4" w:rsidRDefault="005E4AC4" w:rsidP="00E71A58">
      <w:r>
        <w:separator/>
      </w:r>
    </w:p>
  </w:endnote>
  <w:endnote w:type="continuationSeparator" w:id="0">
    <w:p w14:paraId="5DDB25D5" w14:textId="77777777" w:rsidR="005E4AC4" w:rsidRDefault="005E4AC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BDA8" w14:textId="77777777" w:rsidR="00284876" w:rsidRPr="00F1639F" w:rsidRDefault="00284876" w:rsidP="00A418BC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D5D4" w14:textId="77777777" w:rsidR="005E4AC4" w:rsidRDefault="005E4AC4" w:rsidP="00E71A58">
      <w:r>
        <w:separator/>
      </w:r>
    </w:p>
  </w:footnote>
  <w:footnote w:type="continuationSeparator" w:id="0">
    <w:p w14:paraId="5D56FFD2" w14:textId="77777777" w:rsidR="005E4AC4" w:rsidRDefault="005E4AC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AC1E" w14:textId="77777777" w:rsidR="00B36C57" w:rsidRPr="00B36C57" w:rsidRDefault="00B36C57" w:rsidP="001E7E48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08FC"/>
    <w:multiLevelType w:val="hybridMultilevel"/>
    <w:tmpl w:val="BD0600CC"/>
    <w:lvl w:ilvl="0" w:tplc="C99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0E5C2E96"/>
    <w:lvl w:ilvl="0" w:tplc="7AD6E9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278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39ED"/>
    <w:rsid w:val="0004694F"/>
    <w:rsid w:val="000522E4"/>
    <w:rsid w:val="00060C89"/>
    <w:rsid w:val="000610E1"/>
    <w:rsid w:val="00062EC5"/>
    <w:rsid w:val="00062F22"/>
    <w:rsid w:val="000630CF"/>
    <w:rsid w:val="00067BA8"/>
    <w:rsid w:val="000712B3"/>
    <w:rsid w:val="00080BC7"/>
    <w:rsid w:val="0008263E"/>
    <w:rsid w:val="00082C19"/>
    <w:rsid w:val="00083782"/>
    <w:rsid w:val="00085395"/>
    <w:rsid w:val="00087634"/>
    <w:rsid w:val="00087F2B"/>
    <w:rsid w:val="000974D1"/>
    <w:rsid w:val="0009799E"/>
    <w:rsid w:val="000A1183"/>
    <w:rsid w:val="000A256D"/>
    <w:rsid w:val="000A3A2C"/>
    <w:rsid w:val="000A46CA"/>
    <w:rsid w:val="000A7ED2"/>
    <w:rsid w:val="000B02B7"/>
    <w:rsid w:val="000C3408"/>
    <w:rsid w:val="000C6AFD"/>
    <w:rsid w:val="000D5637"/>
    <w:rsid w:val="000E6FBD"/>
    <w:rsid w:val="000E7B5D"/>
    <w:rsid w:val="000F2482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D76C7"/>
    <w:rsid w:val="001E7E48"/>
    <w:rsid w:val="001F4597"/>
    <w:rsid w:val="002118B9"/>
    <w:rsid w:val="00213C0A"/>
    <w:rsid w:val="00217C5B"/>
    <w:rsid w:val="0022139E"/>
    <w:rsid w:val="002252E0"/>
    <w:rsid w:val="002255F6"/>
    <w:rsid w:val="0022716B"/>
    <w:rsid w:val="00227850"/>
    <w:rsid w:val="00230C6E"/>
    <w:rsid w:val="00236443"/>
    <w:rsid w:val="00240642"/>
    <w:rsid w:val="002436BA"/>
    <w:rsid w:val="00244A15"/>
    <w:rsid w:val="00247319"/>
    <w:rsid w:val="0024799E"/>
    <w:rsid w:val="00251EC0"/>
    <w:rsid w:val="00253C0F"/>
    <w:rsid w:val="002603F7"/>
    <w:rsid w:val="00267D3C"/>
    <w:rsid w:val="00270A33"/>
    <w:rsid w:val="00271465"/>
    <w:rsid w:val="00284876"/>
    <w:rsid w:val="00285412"/>
    <w:rsid w:val="0029097D"/>
    <w:rsid w:val="002A16D4"/>
    <w:rsid w:val="002A230C"/>
    <w:rsid w:val="002A3C4F"/>
    <w:rsid w:val="002B4B73"/>
    <w:rsid w:val="002B5138"/>
    <w:rsid w:val="002C43BD"/>
    <w:rsid w:val="002D0E59"/>
    <w:rsid w:val="002E02A1"/>
    <w:rsid w:val="002E2E8D"/>
    <w:rsid w:val="002E4E4C"/>
    <w:rsid w:val="002E57D3"/>
    <w:rsid w:val="002E6C66"/>
    <w:rsid w:val="00304771"/>
    <w:rsid w:val="003052D4"/>
    <w:rsid w:val="00306C5B"/>
    <w:rsid w:val="00313BFB"/>
    <w:rsid w:val="003148A4"/>
    <w:rsid w:val="003209D6"/>
    <w:rsid w:val="0032656E"/>
    <w:rsid w:val="00332190"/>
    <w:rsid w:val="00344668"/>
    <w:rsid w:val="003462D9"/>
    <w:rsid w:val="003477D7"/>
    <w:rsid w:val="00351F9F"/>
    <w:rsid w:val="003527A3"/>
    <w:rsid w:val="003657F3"/>
    <w:rsid w:val="003818DC"/>
    <w:rsid w:val="00385AC8"/>
    <w:rsid w:val="00385D98"/>
    <w:rsid w:val="0039639E"/>
    <w:rsid w:val="003A2B4D"/>
    <w:rsid w:val="003A478C"/>
    <w:rsid w:val="003A5525"/>
    <w:rsid w:val="003A6B38"/>
    <w:rsid w:val="003B5A32"/>
    <w:rsid w:val="003B7305"/>
    <w:rsid w:val="003C0AE3"/>
    <w:rsid w:val="003C3490"/>
    <w:rsid w:val="003D3BEB"/>
    <w:rsid w:val="003D6920"/>
    <w:rsid w:val="003E20F9"/>
    <w:rsid w:val="003E4C91"/>
    <w:rsid w:val="003F313C"/>
    <w:rsid w:val="003F551C"/>
    <w:rsid w:val="003F7325"/>
    <w:rsid w:val="00407C13"/>
    <w:rsid w:val="00410638"/>
    <w:rsid w:val="00414862"/>
    <w:rsid w:val="00432A58"/>
    <w:rsid w:val="00434617"/>
    <w:rsid w:val="00440900"/>
    <w:rsid w:val="004441A0"/>
    <w:rsid w:val="00465AC8"/>
    <w:rsid w:val="00476240"/>
    <w:rsid w:val="0047642B"/>
    <w:rsid w:val="00476439"/>
    <w:rsid w:val="00477325"/>
    <w:rsid w:val="0047735C"/>
    <w:rsid w:val="004776BC"/>
    <w:rsid w:val="00480730"/>
    <w:rsid w:val="004811FC"/>
    <w:rsid w:val="0048139F"/>
    <w:rsid w:val="00481E40"/>
    <w:rsid w:val="00484ECE"/>
    <w:rsid w:val="004915CB"/>
    <w:rsid w:val="00491B26"/>
    <w:rsid w:val="004A1719"/>
    <w:rsid w:val="004A3212"/>
    <w:rsid w:val="004A61C5"/>
    <w:rsid w:val="004A77DF"/>
    <w:rsid w:val="004B1417"/>
    <w:rsid w:val="004B5050"/>
    <w:rsid w:val="004B55B7"/>
    <w:rsid w:val="004B6468"/>
    <w:rsid w:val="004B6AF2"/>
    <w:rsid w:val="004C384C"/>
    <w:rsid w:val="004C3867"/>
    <w:rsid w:val="004C4CD0"/>
    <w:rsid w:val="004C70DC"/>
    <w:rsid w:val="004D0211"/>
    <w:rsid w:val="004D0794"/>
    <w:rsid w:val="004D4E7A"/>
    <w:rsid w:val="004E0EFA"/>
    <w:rsid w:val="004E0FF1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2E5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742A"/>
    <w:rsid w:val="00583FFD"/>
    <w:rsid w:val="00584E3A"/>
    <w:rsid w:val="005911BE"/>
    <w:rsid w:val="00593152"/>
    <w:rsid w:val="005A10F2"/>
    <w:rsid w:val="005A21E0"/>
    <w:rsid w:val="005A28FF"/>
    <w:rsid w:val="005A3DF8"/>
    <w:rsid w:val="005A4474"/>
    <w:rsid w:val="005A5549"/>
    <w:rsid w:val="005B121D"/>
    <w:rsid w:val="005B1545"/>
    <w:rsid w:val="005C06ED"/>
    <w:rsid w:val="005D08AF"/>
    <w:rsid w:val="005D5802"/>
    <w:rsid w:val="005D7890"/>
    <w:rsid w:val="005E0E2D"/>
    <w:rsid w:val="005E34D5"/>
    <w:rsid w:val="005E4AC4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1365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0E9C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40E6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39CB"/>
    <w:rsid w:val="007D40DF"/>
    <w:rsid w:val="007E7E61"/>
    <w:rsid w:val="007F0845"/>
    <w:rsid w:val="00800AF0"/>
    <w:rsid w:val="008072C7"/>
    <w:rsid w:val="00807C82"/>
    <w:rsid w:val="00816905"/>
    <w:rsid w:val="00821FF6"/>
    <w:rsid w:val="0083143E"/>
    <w:rsid w:val="00831CDE"/>
    <w:rsid w:val="00834304"/>
    <w:rsid w:val="00834FAA"/>
    <w:rsid w:val="00836086"/>
    <w:rsid w:val="008466CA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3C96"/>
    <w:rsid w:val="00865E4C"/>
    <w:rsid w:val="008701E4"/>
    <w:rsid w:val="00873C16"/>
    <w:rsid w:val="00875A32"/>
    <w:rsid w:val="00876086"/>
    <w:rsid w:val="00883086"/>
    <w:rsid w:val="00884704"/>
    <w:rsid w:val="008873D4"/>
    <w:rsid w:val="00892F55"/>
    <w:rsid w:val="00893E85"/>
    <w:rsid w:val="00894031"/>
    <w:rsid w:val="008A32D0"/>
    <w:rsid w:val="008A36AF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077"/>
    <w:rsid w:val="008E6F06"/>
    <w:rsid w:val="008F029B"/>
    <w:rsid w:val="008F3678"/>
    <w:rsid w:val="008F3FC9"/>
    <w:rsid w:val="008F50C7"/>
    <w:rsid w:val="008F585B"/>
    <w:rsid w:val="009003A8"/>
    <w:rsid w:val="009010C5"/>
    <w:rsid w:val="00902500"/>
    <w:rsid w:val="00902EFF"/>
    <w:rsid w:val="00910547"/>
    <w:rsid w:val="0091155E"/>
    <w:rsid w:val="00912A92"/>
    <w:rsid w:val="00912DE4"/>
    <w:rsid w:val="0091728D"/>
    <w:rsid w:val="0092180B"/>
    <w:rsid w:val="00921F14"/>
    <w:rsid w:val="00924AC8"/>
    <w:rsid w:val="0092597A"/>
    <w:rsid w:val="00930CFE"/>
    <w:rsid w:val="00933606"/>
    <w:rsid w:val="00933A45"/>
    <w:rsid w:val="00937AE2"/>
    <w:rsid w:val="0094427A"/>
    <w:rsid w:val="00956240"/>
    <w:rsid w:val="00961E3D"/>
    <w:rsid w:val="00962B9D"/>
    <w:rsid w:val="00974923"/>
    <w:rsid w:val="00980D3D"/>
    <w:rsid w:val="00983B53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6B01"/>
    <w:rsid w:val="009C719E"/>
    <w:rsid w:val="009D3ACD"/>
    <w:rsid w:val="009E3739"/>
    <w:rsid w:val="009E5DDB"/>
    <w:rsid w:val="009F4CA7"/>
    <w:rsid w:val="00A02D97"/>
    <w:rsid w:val="00A03B8D"/>
    <w:rsid w:val="00A10D66"/>
    <w:rsid w:val="00A14114"/>
    <w:rsid w:val="00A23C81"/>
    <w:rsid w:val="00A23E43"/>
    <w:rsid w:val="00A26D83"/>
    <w:rsid w:val="00A30F65"/>
    <w:rsid w:val="00A35A0B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97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06E9F"/>
    <w:rsid w:val="00B10A4D"/>
    <w:rsid w:val="00B17E71"/>
    <w:rsid w:val="00B17FDE"/>
    <w:rsid w:val="00B21224"/>
    <w:rsid w:val="00B2379C"/>
    <w:rsid w:val="00B2687D"/>
    <w:rsid w:val="00B32DDB"/>
    <w:rsid w:val="00B34528"/>
    <w:rsid w:val="00B36C57"/>
    <w:rsid w:val="00B402FC"/>
    <w:rsid w:val="00B46604"/>
    <w:rsid w:val="00B46FE8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85D55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4655"/>
    <w:rsid w:val="00BD6D50"/>
    <w:rsid w:val="00BE18B9"/>
    <w:rsid w:val="00BE2495"/>
    <w:rsid w:val="00BE3108"/>
    <w:rsid w:val="00BE6B7B"/>
    <w:rsid w:val="00BF1578"/>
    <w:rsid w:val="00C11A96"/>
    <w:rsid w:val="00C21F94"/>
    <w:rsid w:val="00C27913"/>
    <w:rsid w:val="00C33B68"/>
    <w:rsid w:val="00C36A79"/>
    <w:rsid w:val="00C405D4"/>
    <w:rsid w:val="00C446ED"/>
    <w:rsid w:val="00C4513B"/>
    <w:rsid w:val="00C543D8"/>
    <w:rsid w:val="00C54697"/>
    <w:rsid w:val="00C55411"/>
    <w:rsid w:val="00C6752D"/>
    <w:rsid w:val="00C73885"/>
    <w:rsid w:val="00C747B1"/>
    <w:rsid w:val="00C82191"/>
    <w:rsid w:val="00C82847"/>
    <w:rsid w:val="00C84C6C"/>
    <w:rsid w:val="00C8621D"/>
    <w:rsid w:val="00C90CF4"/>
    <w:rsid w:val="00C90E8A"/>
    <w:rsid w:val="00C92EB6"/>
    <w:rsid w:val="00C93389"/>
    <w:rsid w:val="00C956E7"/>
    <w:rsid w:val="00C96CCE"/>
    <w:rsid w:val="00CB2C9B"/>
    <w:rsid w:val="00CB4930"/>
    <w:rsid w:val="00CB6CA0"/>
    <w:rsid w:val="00CC2E7D"/>
    <w:rsid w:val="00CD10A5"/>
    <w:rsid w:val="00CD1106"/>
    <w:rsid w:val="00CD2076"/>
    <w:rsid w:val="00CE670B"/>
    <w:rsid w:val="00CF3F68"/>
    <w:rsid w:val="00CF51EC"/>
    <w:rsid w:val="00CF6CB0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922FC"/>
    <w:rsid w:val="00DA403C"/>
    <w:rsid w:val="00DA729C"/>
    <w:rsid w:val="00DA7C0C"/>
    <w:rsid w:val="00DB2EC8"/>
    <w:rsid w:val="00DB5695"/>
    <w:rsid w:val="00DC5B3B"/>
    <w:rsid w:val="00DC75CB"/>
    <w:rsid w:val="00DD129F"/>
    <w:rsid w:val="00DD1FAB"/>
    <w:rsid w:val="00DD685B"/>
    <w:rsid w:val="00DE6F6F"/>
    <w:rsid w:val="00DF42FF"/>
    <w:rsid w:val="00DF79A3"/>
    <w:rsid w:val="00DF7D4A"/>
    <w:rsid w:val="00E00D53"/>
    <w:rsid w:val="00E01C0E"/>
    <w:rsid w:val="00E037DD"/>
    <w:rsid w:val="00E03F9A"/>
    <w:rsid w:val="00E04694"/>
    <w:rsid w:val="00E12B1E"/>
    <w:rsid w:val="00E17262"/>
    <w:rsid w:val="00E22D40"/>
    <w:rsid w:val="00E253A2"/>
    <w:rsid w:val="00E3309D"/>
    <w:rsid w:val="00E466CD"/>
    <w:rsid w:val="00E50156"/>
    <w:rsid w:val="00E53470"/>
    <w:rsid w:val="00E539F6"/>
    <w:rsid w:val="00E55B15"/>
    <w:rsid w:val="00E62A2A"/>
    <w:rsid w:val="00E6519D"/>
    <w:rsid w:val="00E67696"/>
    <w:rsid w:val="00E71A58"/>
    <w:rsid w:val="00E72A7A"/>
    <w:rsid w:val="00E75C94"/>
    <w:rsid w:val="00E93820"/>
    <w:rsid w:val="00E96E34"/>
    <w:rsid w:val="00EA0C68"/>
    <w:rsid w:val="00EA602F"/>
    <w:rsid w:val="00EC03D7"/>
    <w:rsid w:val="00EC2264"/>
    <w:rsid w:val="00ED4F0D"/>
    <w:rsid w:val="00ED62B7"/>
    <w:rsid w:val="00ED62C6"/>
    <w:rsid w:val="00ED64C1"/>
    <w:rsid w:val="00ED675E"/>
    <w:rsid w:val="00EE0073"/>
    <w:rsid w:val="00EE3446"/>
    <w:rsid w:val="00EE3E78"/>
    <w:rsid w:val="00EE4B1B"/>
    <w:rsid w:val="00EF150D"/>
    <w:rsid w:val="00EF1F5A"/>
    <w:rsid w:val="00F038D6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5627F"/>
    <w:rsid w:val="00F63DDE"/>
    <w:rsid w:val="00F63FB7"/>
    <w:rsid w:val="00F649D2"/>
    <w:rsid w:val="00F6602B"/>
    <w:rsid w:val="00F66749"/>
    <w:rsid w:val="00F73A0C"/>
    <w:rsid w:val="00F756DB"/>
    <w:rsid w:val="00F82157"/>
    <w:rsid w:val="00F84693"/>
    <w:rsid w:val="00F85066"/>
    <w:rsid w:val="00FA03C7"/>
    <w:rsid w:val="00FA262A"/>
    <w:rsid w:val="00FA5D4D"/>
    <w:rsid w:val="00FC0E5F"/>
    <w:rsid w:val="00FC1A95"/>
    <w:rsid w:val="00FC56DE"/>
    <w:rsid w:val="00FC684B"/>
    <w:rsid w:val="00FD7FF9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ECF31A"/>
  <w15:docId w15:val="{C76250ED-7A8C-4EED-B60D-3A2B7E0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unhideWhenUsed/>
    <w:rsid w:val="00C84C6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90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E8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E8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E8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7A15-138C-4468-9BA7-AC4B5BC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159</TotalTime>
  <Pages>4</Pages>
  <Words>1378</Words>
  <Characters>8132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Štyglerová Terezie</cp:lastModifiedBy>
  <cp:revision>13</cp:revision>
  <cp:lastPrinted>2018-11-01T07:23:00Z</cp:lastPrinted>
  <dcterms:created xsi:type="dcterms:W3CDTF">2023-01-31T13:26:00Z</dcterms:created>
  <dcterms:modified xsi:type="dcterms:W3CDTF">2023-02-21T08:15:00Z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adc9c5c4efad47326631f9855e2c439182f2242dbe6bf47089bd25865fa2e97b</vt:lpwstr>
  </property>
</Properties>
</file>