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61" w:rsidRDefault="00BA3161" w:rsidP="006D3D19">
      <w:pPr>
        <w:pStyle w:val="Nadpis1"/>
        <w:spacing w:after="0"/>
        <w:ind w:left="357" w:hanging="357"/>
      </w:pPr>
      <w:r w:rsidRPr="00BA3161">
        <w:t xml:space="preserve">ZAMĚSTNANCI VE </w:t>
      </w:r>
      <w:r w:rsidRPr="005D6872">
        <w:t>VÝZKUMU A VÝVOJI</w:t>
      </w:r>
      <w:bookmarkStart w:id="0" w:name="_GoBack"/>
      <w:bookmarkEnd w:id="0"/>
    </w:p>
    <w:p w:rsidR="0080183C" w:rsidRPr="0080183C" w:rsidRDefault="0080183C" w:rsidP="0080183C"/>
    <w:p w:rsidR="0080183C" w:rsidRPr="00C27406" w:rsidRDefault="0080183C" w:rsidP="002C5411">
      <w:pPr>
        <w:pStyle w:val="Odstavecseseznamem"/>
        <w:spacing w:after="60"/>
        <w:ind w:left="425" w:hanging="357"/>
        <w:contextualSpacing w:val="0"/>
      </w:pPr>
      <w:bookmarkStart w:id="1" w:name="_Toc246493264"/>
      <w:bookmarkStart w:id="2" w:name="_Toc343782410"/>
      <w:r w:rsidRPr="00C27406">
        <w:t xml:space="preserve">Ve výzkumu a vývoji </w:t>
      </w:r>
      <w:r w:rsidR="00BA5FD3" w:rsidRPr="00C27406">
        <w:t xml:space="preserve">(dále jen VaV) </w:t>
      </w:r>
      <w:r w:rsidRPr="00C27406">
        <w:t>bylo v České republice k 31. 12. 201</w:t>
      </w:r>
      <w:r w:rsidR="005E28C9" w:rsidRPr="00C27406">
        <w:t>3</w:t>
      </w:r>
      <w:r w:rsidRPr="00C27406">
        <w:t xml:space="preserve"> zaměstnáno celkem </w:t>
      </w:r>
      <w:r w:rsidR="005E28C9" w:rsidRPr="00C27406">
        <w:t>92</w:t>
      </w:r>
      <w:r w:rsidRPr="00C27406">
        <w:t xml:space="preserve"> </w:t>
      </w:r>
      <w:r w:rsidR="005E28C9" w:rsidRPr="00C27406">
        <w:t>714</w:t>
      </w:r>
      <w:r w:rsidRPr="00C27406">
        <w:t xml:space="preserve"> fyzických osob (HC – </w:t>
      </w:r>
      <w:proofErr w:type="spellStart"/>
      <w:r w:rsidRPr="00C27406">
        <w:t>Head</w:t>
      </w:r>
      <w:proofErr w:type="spellEnd"/>
      <w:r w:rsidRPr="00C27406">
        <w:t xml:space="preserve"> </w:t>
      </w:r>
      <w:proofErr w:type="spellStart"/>
      <w:r w:rsidRPr="00C27406">
        <w:t>Count</w:t>
      </w:r>
      <w:proofErr w:type="spellEnd"/>
      <w:r w:rsidRPr="00C27406">
        <w:t xml:space="preserve">). Šlo o </w:t>
      </w:r>
      <w:r w:rsidR="005E28C9" w:rsidRPr="00C27406">
        <w:t>5</w:t>
      </w:r>
      <w:r w:rsidRPr="00C27406">
        <w:t>,</w:t>
      </w:r>
      <w:r w:rsidR="005E28C9" w:rsidRPr="00C27406">
        <w:t>9</w:t>
      </w:r>
      <w:r w:rsidRPr="00C27406">
        <w:t>% nárůst oproti předchozímu roku. O</w:t>
      </w:r>
      <w:r w:rsidR="005E28C9" w:rsidRPr="00C27406">
        <w:t xml:space="preserve"> trochu nižší</w:t>
      </w:r>
      <w:r w:rsidRPr="00C27406">
        <w:t xml:space="preserve"> nárůst </w:t>
      </w:r>
      <w:r w:rsidR="005E28C9" w:rsidRPr="00C27406">
        <w:t xml:space="preserve">(2,4 %) </w:t>
      </w:r>
      <w:r w:rsidRPr="00C27406">
        <w:t xml:space="preserve">byl zaznamenán i u ukazatele FTE (Full </w:t>
      </w:r>
      <w:proofErr w:type="spellStart"/>
      <w:r w:rsidRPr="00C27406">
        <w:t>Time</w:t>
      </w:r>
      <w:proofErr w:type="spellEnd"/>
      <w:r w:rsidRPr="00C27406">
        <w:t xml:space="preserve"> </w:t>
      </w:r>
      <w:proofErr w:type="spellStart"/>
      <w:r w:rsidRPr="00C27406">
        <w:t>Equivalent</w:t>
      </w:r>
      <w:proofErr w:type="spellEnd"/>
      <w:r w:rsidRPr="00C27406">
        <w:t xml:space="preserve">), který vyjadřuje celkový počet zaměstnanců VaV přepočtený na plný </w:t>
      </w:r>
      <w:r w:rsidR="00BA5FD3" w:rsidRPr="00C27406">
        <w:t xml:space="preserve">roční </w:t>
      </w:r>
      <w:r w:rsidRPr="00C27406">
        <w:t>pracovní úvazek věnovaný VaV činnostem.</w:t>
      </w:r>
    </w:p>
    <w:p w:rsidR="0080183C" w:rsidRPr="00C27406" w:rsidRDefault="005E28C9" w:rsidP="002C5411">
      <w:pPr>
        <w:pStyle w:val="Odstavecseseznamem"/>
        <w:spacing w:after="60"/>
        <w:ind w:left="425" w:hanging="357"/>
        <w:contextualSpacing w:val="0"/>
      </w:pPr>
      <w:r w:rsidRPr="00C27406">
        <w:t xml:space="preserve">Dvě třetiny zaměstnanců </w:t>
      </w:r>
      <w:proofErr w:type="spellStart"/>
      <w:r w:rsidRPr="00C27406">
        <w:t>VaV</w:t>
      </w:r>
      <w:proofErr w:type="spellEnd"/>
      <w:r w:rsidRPr="00C27406">
        <w:t xml:space="preserve"> jsou muži, </w:t>
      </w:r>
      <w:r w:rsidR="0080183C" w:rsidRPr="00C27406">
        <w:t xml:space="preserve">v podnikatelském sektoru </w:t>
      </w:r>
      <w:r w:rsidRPr="00C27406">
        <w:t>to bylo v</w:t>
      </w:r>
      <w:r w:rsidR="00C27406" w:rsidRPr="00C27406">
        <w:t> </w:t>
      </w:r>
      <w:r w:rsidRPr="00C27406">
        <w:t>roce</w:t>
      </w:r>
      <w:r w:rsidR="00C27406" w:rsidRPr="00C27406">
        <w:t xml:space="preserve"> 2013 dokonce 80</w:t>
      </w:r>
      <w:r w:rsidR="00AB732D">
        <w:t xml:space="preserve"> </w:t>
      </w:r>
      <w:r w:rsidR="00C27406" w:rsidRPr="00C27406">
        <w:t>%</w:t>
      </w:r>
      <w:r w:rsidR="0080183C" w:rsidRPr="00C27406">
        <w:t>. Ženy jsou ve větší míře zastoupeny ve vysokoškolském (4</w:t>
      </w:r>
      <w:r w:rsidR="00C27406" w:rsidRPr="00C27406">
        <w:t>2,4</w:t>
      </w:r>
      <w:r w:rsidR="0080183C" w:rsidRPr="00C27406">
        <w:t xml:space="preserve"> %) a </w:t>
      </w:r>
      <w:r w:rsidR="00C27406" w:rsidRPr="00C27406">
        <w:t>zvláště ve vládním sektoru (47,3</w:t>
      </w:r>
      <w:r w:rsidR="00003B32" w:rsidRPr="00C27406">
        <w:t> </w:t>
      </w:r>
      <w:r w:rsidR="0080183C" w:rsidRPr="00C27406">
        <w:t>%).</w:t>
      </w:r>
      <w:r w:rsidR="00C27406" w:rsidRPr="00C27406">
        <w:t xml:space="preserve"> </w:t>
      </w:r>
      <w:r w:rsidR="00961B79" w:rsidRPr="00C27406">
        <w:t xml:space="preserve">Výše uvedené informace vycházejí z údajů o počtu osob zaměstnaných ve VaV ke konci roku (HC). Obdobné procentuální podíly </w:t>
      </w:r>
      <w:r w:rsidR="00832F7C">
        <w:t>vykazuj</w:t>
      </w:r>
      <w:r w:rsidR="003B2A29">
        <w:t>e</w:t>
      </w:r>
      <w:r w:rsidR="00832F7C" w:rsidRPr="00C27406">
        <w:t xml:space="preserve"> </w:t>
      </w:r>
      <w:r w:rsidR="00961B79" w:rsidRPr="00C27406">
        <w:t>i ukazatel přepočteného počtu osob (FTE).</w:t>
      </w:r>
    </w:p>
    <w:p w:rsidR="0080183C" w:rsidRPr="00C27406" w:rsidRDefault="0080183C" w:rsidP="002C5411">
      <w:pPr>
        <w:pStyle w:val="Odstavecseseznamem"/>
        <w:spacing w:after="60"/>
        <w:ind w:left="425" w:hanging="357"/>
        <w:contextualSpacing w:val="0"/>
      </w:pPr>
      <w:r w:rsidRPr="00C27406">
        <w:t xml:space="preserve">Nejvíce zaměstnanců VaV se </w:t>
      </w:r>
      <w:r w:rsidR="00F45429" w:rsidRPr="00C27406">
        <w:t xml:space="preserve">ke konci roku </w:t>
      </w:r>
      <w:r w:rsidR="00832F7C">
        <w:t>2013</w:t>
      </w:r>
      <w:r w:rsidR="00832F7C" w:rsidRPr="00C27406">
        <w:t xml:space="preserve"> </w:t>
      </w:r>
      <w:r w:rsidRPr="00C27406">
        <w:t xml:space="preserve">z hlediska </w:t>
      </w:r>
      <w:r w:rsidR="00C27406" w:rsidRPr="00C27406">
        <w:t>typu</w:t>
      </w:r>
      <w:r w:rsidRPr="00C27406">
        <w:t xml:space="preserve"> pracovní činnosti řad</w:t>
      </w:r>
      <w:r w:rsidR="00F45429" w:rsidRPr="00C27406">
        <w:t>ilo</w:t>
      </w:r>
      <w:r w:rsidR="00C27406" w:rsidRPr="00C27406">
        <w:t xml:space="preserve"> mezi výzkumné pracovníky (55</w:t>
      </w:r>
      <w:r w:rsidRPr="00C27406">
        <w:t>,</w:t>
      </w:r>
      <w:r w:rsidR="00C27406" w:rsidRPr="00C27406">
        <w:t>5</w:t>
      </w:r>
      <w:r w:rsidRPr="00C27406">
        <w:t xml:space="preserve"> %). Vyjma výzkumných pracovníků rozlišujeme ještě </w:t>
      </w:r>
      <w:r w:rsidR="00C27406" w:rsidRPr="00C27406">
        <w:t>další 2 kategorie</w:t>
      </w:r>
      <w:r w:rsidRPr="00C27406">
        <w:t xml:space="preserve"> pracovníků </w:t>
      </w:r>
      <w:proofErr w:type="spellStart"/>
      <w:r w:rsidRPr="00C27406">
        <w:t>VaV</w:t>
      </w:r>
      <w:proofErr w:type="spellEnd"/>
      <w:r w:rsidRPr="00C27406">
        <w:t xml:space="preserve"> – technické pracovníky a ostatní pracovníky. Všechny 3 </w:t>
      </w:r>
      <w:r w:rsidR="00C27406" w:rsidRPr="00C27406">
        <w:t>kategorie</w:t>
      </w:r>
      <w:r w:rsidRPr="00C27406">
        <w:t xml:space="preserve"> si dlouhodobě udržují konstantní podíl na celku, kdy na 100 zaměstnanců VaV připadá 55 </w:t>
      </w:r>
      <w:r w:rsidR="00003B32" w:rsidRPr="00C27406">
        <w:t>výzkumníků, 30 technických a 15 </w:t>
      </w:r>
      <w:r w:rsidRPr="00C27406">
        <w:t>ostatních pracovníků.</w:t>
      </w:r>
    </w:p>
    <w:p w:rsidR="0080183C" w:rsidRPr="006B4523" w:rsidRDefault="0080183C" w:rsidP="002C5411">
      <w:pPr>
        <w:pStyle w:val="Odstavecseseznamem"/>
        <w:spacing w:after="60"/>
        <w:ind w:left="425" w:hanging="357"/>
        <w:contextualSpacing w:val="0"/>
      </w:pPr>
      <w:r w:rsidRPr="006B4523">
        <w:t>Z hlediska sektorů provádění VaV je nejvýznamnějším zaměstnavatelem na území ČR podnikatelský sektor, jehož podíl na celkové zaměstnanosti ve VaV každoročně roste a postupně se přibližuje k hranici 50 % (48,</w:t>
      </w:r>
      <w:r w:rsidR="00C27406" w:rsidRPr="006B4523">
        <w:t>8 % v roce 2013</w:t>
      </w:r>
      <w:r w:rsidRPr="006B4523">
        <w:t>).</w:t>
      </w:r>
      <w:r w:rsidR="00F45429" w:rsidRPr="006B4523">
        <w:t xml:space="preserve"> V případě ukazatele FTE tuto hranici podnikatelský sektor překon</w:t>
      </w:r>
      <w:r w:rsidR="00C27406" w:rsidRPr="006B4523">
        <w:t>al již v roce 2005</w:t>
      </w:r>
      <w:r w:rsidR="00235CFA">
        <w:t>, přičemž</w:t>
      </w:r>
      <w:r w:rsidR="00C27406" w:rsidRPr="006B4523">
        <w:t xml:space="preserve"> v roce 2013</w:t>
      </w:r>
      <w:r w:rsidR="00F45429" w:rsidRPr="006B4523">
        <w:t xml:space="preserve"> dosáhl 5</w:t>
      </w:r>
      <w:r w:rsidR="00C27406" w:rsidRPr="006B4523">
        <w:t>4,4</w:t>
      </w:r>
      <w:r w:rsidR="00F45429" w:rsidRPr="006B4523">
        <w:t>% podílu.</w:t>
      </w:r>
      <w:r w:rsidRPr="006B4523">
        <w:t xml:space="preserve"> </w:t>
      </w:r>
      <w:r w:rsidR="00C27406" w:rsidRPr="006B4523">
        <w:t>Ve</w:t>
      </w:r>
      <w:r w:rsidRPr="006B4523">
        <w:t xml:space="preserve"> vládní</w:t>
      </w:r>
      <w:r w:rsidR="00C27406" w:rsidRPr="006B4523">
        <w:t>m</w:t>
      </w:r>
      <w:r w:rsidRPr="006B4523">
        <w:t xml:space="preserve"> sektor</w:t>
      </w:r>
      <w:r w:rsidR="00C27406" w:rsidRPr="006B4523">
        <w:t xml:space="preserve">u došlo k drobnému </w:t>
      </w:r>
      <w:proofErr w:type="gramStart"/>
      <w:r w:rsidR="00C27406" w:rsidRPr="006B4523">
        <w:t>3%</w:t>
      </w:r>
      <w:proofErr w:type="gramEnd"/>
      <w:r w:rsidR="00C27406" w:rsidRPr="006B4523">
        <w:t xml:space="preserve"> meziročnímu nárůstu počtu zaměstnanců </w:t>
      </w:r>
      <w:proofErr w:type="spellStart"/>
      <w:r w:rsidR="00C27406" w:rsidRPr="006B4523">
        <w:t>VaV</w:t>
      </w:r>
      <w:proofErr w:type="spellEnd"/>
      <w:r w:rsidRPr="006B4523">
        <w:t>.</w:t>
      </w:r>
      <w:r w:rsidR="00C27406" w:rsidRPr="006B4523">
        <w:t xml:space="preserve"> </w:t>
      </w:r>
      <w:r w:rsidR="006B4523" w:rsidRPr="006B4523">
        <w:t>Ve vysokoškolském sektoru lehce poklesla hodnota ukazatele FTE z důvodu zpřesnění odhadu při stanovování tohoto ukazatele na některých vysokých školách.</w:t>
      </w:r>
      <w:r w:rsidRPr="006B4523">
        <w:t xml:space="preserve"> </w:t>
      </w:r>
    </w:p>
    <w:p w:rsidR="0080183C" w:rsidRPr="00073F66" w:rsidRDefault="0080183C" w:rsidP="002C5411">
      <w:pPr>
        <w:pStyle w:val="Odstavecseseznamem"/>
        <w:spacing w:after="60"/>
        <w:ind w:left="425" w:hanging="357"/>
        <w:contextualSpacing w:val="0"/>
      </w:pPr>
      <w:r w:rsidRPr="00073F66">
        <w:t>Zajímavým ukazatelem je podíl přepočtených osob (FTE) na fyzických osobách (HC) v jednotlivých sektorech. Tento podíl činí 7</w:t>
      </w:r>
      <w:r w:rsidR="00A7001E" w:rsidRPr="00073F66">
        <w:t>9</w:t>
      </w:r>
      <w:r w:rsidRPr="00073F66">
        <w:t xml:space="preserve"> % ve vládním sektoru a 7</w:t>
      </w:r>
      <w:r w:rsidR="00A7001E" w:rsidRPr="00073F66">
        <w:t>4</w:t>
      </w:r>
      <w:r w:rsidRPr="00073F66">
        <w:t xml:space="preserve"> % v podnikatelském sektoru, což značí, že pracovníci VaV se v těchto sektorech věnují převážně VaV činnosti. Oproti tomu 5</w:t>
      </w:r>
      <w:r w:rsidR="00A7001E" w:rsidRPr="00073F66">
        <w:t>0</w:t>
      </w:r>
      <w:r w:rsidRPr="00073F66">
        <w:t xml:space="preserve">% podíl </w:t>
      </w:r>
      <w:r w:rsidR="00A7001E" w:rsidRPr="00073F66">
        <w:t xml:space="preserve">ve </w:t>
      </w:r>
      <w:r w:rsidRPr="00073F66">
        <w:t xml:space="preserve">VŠ </w:t>
      </w:r>
      <w:r w:rsidR="00A7001E" w:rsidRPr="00073F66">
        <w:t xml:space="preserve"> </w:t>
      </w:r>
      <w:r w:rsidRPr="00073F66">
        <w:t xml:space="preserve">sektoru vypovídá, že </w:t>
      </w:r>
      <w:r w:rsidR="00235CFA" w:rsidRPr="00073F66">
        <w:t xml:space="preserve">se </w:t>
      </w:r>
      <w:r w:rsidRPr="00073F66">
        <w:t>pracovní náplň zaměstnanců vysokých škol skládá z více různých činností.</w:t>
      </w:r>
    </w:p>
    <w:p w:rsidR="00AD6452" w:rsidRPr="00B873FB" w:rsidRDefault="00AD6452" w:rsidP="002C5411">
      <w:pPr>
        <w:pStyle w:val="Odstavecseseznamem"/>
        <w:spacing w:after="60"/>
        <w:ind w:left="425" w:hanging="357"/>
        <w:contextualSpacing w:val="0"/>
      </w:pPr>
      <w:r w:rsidRPr="00B873FB">
        <w:t>Od roku 2005 dochází k mírnému posunu ve vzdělanostní struktuře zaměstnanců VaV, kdy roste podíl zaměstnanců VaV s ukončeným terciárním vzděláním (vyšší</w:t>
      </w:r>
      <w:r w:rsidR="00235CFA">
        <w:t>m</w:t>
      </w:r>
      <w:r w:rsidRPr="00B873FB">
        <w:t xml:space="preserve"> odborn</w:t>
      </w:r>
      <w:r w:rsidR="00235CFA">
        <w:t>ým</w:t>
      </w:r>
      <w:r w:rsidRPr="00B873FB">
        <w:t>, bakalářsk</w:t>
      </w:r>
      <w:r w:rsidR="00235CFA">
        <w:t>ým</w:t>
      </w:r>
      <w:r w:rsidRPr="00B873FB">
        <w:t>, magistersk</w:t>
      </w:r>
      <w:r w:rsidR="00235CFA">
        <w:t>ým</w:t>
      </w:r>
      <w:r w:rsidRPr="00B873FB">
        <w:t>, doktorsk</w:t>
      </w:r>
      <w:r w:rsidR="00235CFA">
        <w:t>ým</w:t>
      </w:r>
      <w:r w:rsidRPr="00B873FB">
        <w:t xml:space="preserve">). Zatímco v roce 2005 mělo ukončené terciární vzdělání 67 % zaměstnanců </w:t>
      </w:r>
      <w:proofErr w:type="spellStart"/>
      <w:r w:rsidRPr="00B873FB">
        <w:t>VaV</w:t>
      </w:r>
      <w:proofErr w:type="spellEnd"/>
      <w:r w:rsidRPr="00B873FB">
        <w:t>, do roku 201</w:t>
      </w:r>
      <w:r w:rsidR="00B873FB" w:rsidRPr="00B873FB">
        <w:t>3</w:t>
      </w:r>
      <w:r w:rsidRPr="00B873FB">
        <w:t xml:space="preserve"> vzrostl tento podíl na 72 %. </w:t>
      </w:r>
      <w:r w:rsidR="00B873FB" w:rsidRPr="00B873FB">
        <w:t>Více než</w:t>
      </w:r>
      <w:r w:rsidRPr="00B873FB">
        <w:t xml:space="preserve"> </w:t>
      </w:r>
      <w:r w:rsidR="00B873FB" w:rsidRPr="00B873FB">
        <w:t>24</w:t>
      </w:r>
      <w:r w:rsidRPr="00B873FB">
        <w:t xml:space="preserve"> tisíc zaměstnanců </w:t>
      </w:r>
      <w:proofErr w:type="spellStart"/>
      <w:r w:rsidRPr="00B873FB">
        <w:t>VaV</w:t>
      </w:r>
      <w:proofErr w:type="spellEnd"/>
      <w:r w:rsidRPr="00B873FB">
        <w:t xml:space="preserve"> (HC) mělo v roce 201</w:t>
      </w:r>
      <w:r w:rsidR="00B873FB" w:rsidRPr="00B873FB">
        <w:t>3</w:t>
      </w:r>
      <w:r w:rsidRPr="00B873FB">
        <w:t xml:space="preserve"> vzdělání v doktorském studijním programu – při přepočtu na FTE však tento ukazatel dosahuje “pouze“ 14 tis. přepočtených osob.</w:t>
      </w:r>
    </w:p>
    <w:p w:rsidR="0080183C" w:rsidRPr="00B873FB" w:rsidRDefault="0080183C" w:rsidP="002C5411">
      <w:pPr>
        <w:pStyle w:val="Odstavecseseznamem"/>
        <w:spacing w:after="60"/>
        <w:ind w:left="425" w:hanging="357"/>
        <w:contextualSpacing w:val="0"/>
      </w:pPr>
      <w:r w:rsidRPr="00B873FB">
        <w:t>Z hlediska vědních oblastí jsou v České republice nejvýznamnější přírodní a technické vědy s celko</w:t>
      </w:r>
      <w:r w:rsidR="00003B32" w:rsidRPr="00B873FB">
        <w:t xml:space="preserve">vým </w:t>
      </w:r>
      <w:proofErr w:type="gramStart"/>
      <w:r w:rsidR="00003B32" w:rsidRPr="00B873FB">
        <w:t>7</w:t>
      </w:r>
      <w:r w:rsidR="00B873FB" w:rsidRPr="00B873FB">
        <w:t>9</w:t>
      </w:r>
      <w:r w:rsidRPr="00B873FB">
        <w:t>%</w:t>
      </w:r>
      <w:proofErr w:type="gramEnd"/>
      <w:r w:rsidRPr="00B873FB">
        <w:t xml:space="preserve"> podílem na zaměstnanosti ve </w:t>
      </w:r>
      <w:proofErr w:type="spellStart"/>
      <w:r w:rsidRPr="00B873FB">
        <w:t>VaV</w:t>
      </w:r>
      <w:proofErr w:type="spellEnd"/>
      <w:r w:rsidR="00995EE7" w:rsidRPr="00B873FB">
        <w:t xml:space="preserve"> (</w:t>
      </w:r>
      <w:r w:rsidR="00B873FB" w:rsidRPr="00B873FB">
        <w:t>FTE</w:t>
      </w:r>
      <w:r w:rsidR="00995EE7" w:rsidRPr="00B873FB">
        <w:t>)</w:t>
      </w:r>
      <w:r w:rsidRPr="00B873FB">
        <w:t xml:space="preserve">. Význam těchto věd má </w:t>
      </w:r>
      <w:r w:rsidR="00B873FB" w:rsidRPr="00B873FB">
        <w:t xml:space="preserve">mírně </w:t>
      </w:r>
      <w:r w:rsidRPr="00B873FB">
        <w:t>stoupající tendenci, jejich podíl v roce 200</w:t>
      </w:r>
      <w:r w:rsidR="00B873FB" w:rsidRPr="00B873FB">
        <w:t>8</w:t>
      </w:r>
      <w:r w:rsidRPr="00B873FB">
        <w:t xml:space="preserve"> činil </w:t>
      </w:r>
      <w:r w:rsidR="00B873FB" w:rsidRPr="00B873FB">
        <w:t>75</w:t>
      </w:r>
      <w:r w:rsidRPr="00B873FB">
        <w:t xml:space="preserve"> %. </w:t>
      </w:r>
    </w:p>
    <w:p w:rsidR="0080183C" w:rsidRPr="009F735F" w:rsidRDefault="0080183C" w:rsidP="002C5411">
      <w:pPr>
        <w:pStyle w:val="Odstavecseseznamem"/>
        <w:spacing w:after="60"/>
        <w:ind w:left="425" w:hanging="357"/>
        <w:contextualSpacing w:val="0"/>
      </w:pPr>
      <w:r w:rsidRPr="009F735F">
        <w:t>Obdobně jako v p</w:t>
      </w:r>
      <w:r w:rsidR="00003B32" w:rsidRPr="009F735F">
        <w:t>řípadě rozmístění pracovišť VaV</w:t>
      </w:r>
      <w:r w:rsidRPr="009F735F">
        <w:t xml:space="preserve"> nejvíce zaměstnanců VaV </w:t>
      </w:r>
      <w:r w:rsidR="00003B32" w:rsidRPr="009F735F">
        <w:t xml:space="preserve">se </w:t>
      </w:r>
      <w:r w:rsidRPr="009F735F">
        <w:t xml:space="preserve">nachází ve velkých městech, </w:t>
      </w:r>
      <w:r w:rsidR="00235CFA">
        <w:t>v nichž</w:t>
      </w:r>
      <w:r w:rsidRPr="009F735F">
        <w:t xml:space="preserve"> sídlí vysoké školy a velké podniky. Praha společně s Jihomoravským krajem zaměstnává celých 5</w:t>
      </w:r>
      <w:r w:rsidR="009F735F" w:rsidRPr="009F735F">
        <w:t>5</w:t>
      </w:r>
      <w:r w:rsidRPr="009F735F">
        <w:t xml:space="preserve"> % pracovníků VaV</w:t>
      </w:r>
      <w:r w:rsidR="00995EE7" w:rsidRPr="009F735F">
        <w:t xml:space="preserve"> (</w:t>
      </w:r>
      <w:r w:rsidR="009F735F" w:rsidRPr="009F735F">
        <w:t>FTE</w:t>
      </w:r>
      <w:r w:rsidR="00995EE7" w:rsidRPr="009F735F">
        <w:t>)</w:t>
      </w:r>
      <w:r w:rsidRPr="009F735F">
        <w:t xml:space="preserve"> na území České republiky.</w:t>
      </w:r>
    </w:p>
    <w:p w:rsidR="0080183C" w:rsidRPr="005D6872" w:rsidRDefault="0080183C" w:rsidP="002C5411">
      <w:pPr>
        <w:pStyle w:val="Odstavecseseznamem"/>
        <w:spacing w:after="60"/>
        <w:ind w:left="425" w:hanging="357"/>
        <w:contextualSpacing w:val="0"/>
      </w:pPr>
      <w:r w:rsidRPr="005D6872">
        <w:t>Počet zaměstnanců VaV přesáhl v roce 201</w:t>
      </w:r>
      <w:r w:rsidR="005D6872" w:rsidRPr="005D6872">
        <w:t>2</w:t>
      </w:r>
      <w:r w:rsidRPr="005D6872">
        <w:t xml:space="preserve"> v Evropské unii 2,</w:t>
      </w:r>
      <w:r w:rsidR="005D6872" w:rsidRPr="005D6872">
        <w:t>6</w:t>
      </w:r>
      <w:r w:rsidRPr="005D6872">
        <w:t xml:space="preserve"> milionu přepočtených osob (FTE). Nejvíce zaměstnanců </w:t>
      </w:r>
      <w:proofErr w:type="spellStart"/>
      <w:r w:rsidRPr="005D6872">
        <w:t>VaV</w:t>
      </w:r>
      <w:proofErr w:type="spellEnd"/>
      <w:r w:rsidRPr="005D6872">
        <w:t xml:space="preserve"> </w:t>
      </w:r>
      <w:r w:rsidR="0009287C">
        <w:t xml:space="preserve">je </w:t>
      </w:r>
      <w:r w:rsidRPr="005D6872">
        <w:t xml:space="preserve">v Německu, následují Francie a </w:t>
      </w:r>
      <w:r w:rsidR="007C3E4A" w:rsidRPr="005D6872">
        <w:t>Spojené království</w:t>
      </w:r>
      <w:r w:rsidRPr="005D6872">
        <w:t xml:space="preserve">. Tyto tři státy měly dohromady 50% podíl EU28. Podíl ČR na zaměstnanosti </w:t>
      </w:r>
      <w:r w:rsidR="0009287C">
        <w:t xml:space="preserve">ve </w:t>
      </w:r>
      <w:proofErr w:type="spellStart"/>
      <w:r w:rsidRPr="005D6872">
        <w:t>VaV</w:t>
      </w:r>
      <w:proofErr w:type="spellEnd"/>
      <w:r w:rsidRPr="005D6872">
        <w:t xml:space="preserve"> v EU28 činil 2</w:t>
      </w:r>
      <w:r w:rsidR="005D6872" w:rsidRPr="005D6872">
        <w:t>,3</w:t>
      </w:r>
      <w:r w:rsidRPr="005D6872">
        <w:t xml:space="preserve"> %.</w:t>
      </w:r>
    </w:p>
    <w:p w:rsidR="000F628D" w:rsidRPr="00BA0B8E" w:rsidRDefault="00BA3161" w:rsidP="00BA0B8E">
      <w:pPr>
        <w:pStyle w:val="Titulek"/>
        <w:spacing w:before="200" w:after="200"/>
        <w:rPr>
          <w:sz w:val="18"/>
          <w:szCs w:val="18"/>
        </w:rPr>
      </w:pPr>
      <w:proofErr w:type="gramStart"/>
      <w:r w:rsidRPr="00C04CBD">
        <w:rPr>
          <w:sz w:val="18"/>
          <w:szCs w:val="18"/>
        </w:rPr>
        <w:t xml:space="preserve">Graf </w:t>
      </w:r>
      <w:r w:rsidR="009B7894" w:rsidRPr="00C04CBD">
        <w:rPr>
          <w:sz w:val="18"/>
          <w:szCs w:val="18"/>
        </w:rPr>
        <w:fldChar w:fldCharType="begin"/>
      </w:r>
      <w:r w:rsidRPr="00C04CBD">
        <w:rPr>
          <w:sz w:val="18"/>
          <w:szCs w:val="18"/>
        </w:rPr>
        <w:instrText xml:space="preserve"> STYLEREF 1 \s </w:instrText>
      </w:r>
      <w:r w:rsidR="009B7894" w:rsidRPr="00C04CBD">
        <w:rPr>
          <w:sz w:val="18"/>
          <w:szCs w:val="18"/>
        </w:rPr>
        <w:fldChar w:fldCharType="separate"/>
      </w:r>
      <w:r w:rsidR="002C5411">
        <w:rPr>
          <w:noProof/>
          <w:sz w:val="18"/>
          <w:szCs w:val="18"/>
        </w:rPr>
        <w:t>2</w:t>
      </w:r>
      <w:r w:rsidR="009B7894" w:rsidRPr="00C04CBD">
        <w:rPr>
          <w:sz w:val="18"/>
          <w:szCs w:val="18"/>
        </w:rPr>
        <w:fldChar w:fldCharType="end"/>
      </w:r>
      <w:r w:rsidRPr="00C04CBD">
        <w:rPr>
          <w:sz w:val="18"/>
          <w:szCs w:val="18"/>
        </w:rPr>
        <w:t>.</w:t>
      </w:r>
      <w:r w:rsidR="009B7894" w:rsidRPr="00C04CBD">
        <w:rPr>
          <w:sz w:val="18"/>
          <w:szCs w:val="18"/>
        </w:rPr>
        <w:fldChar w:fldCharType="begin"/>
      </w:r>
      <w:r w:rsidR="00381687" w:rsidRPr="00C04CBD">
        <w:rPr>
          <w:sz w:val="18"/>
          <w:szCs w:val="18"/>
        </w:rPr>
        <w:instrText xml:space="preserve"> SEQ Graf \* ARABIC \s 1 </w:instrText>
      </w:r>
      <w:r w:rsidR="009B7894" w:rsidRPr="00C04CBD">
        <w:rPr>
          <w:sz w:val="18"/>
          <w:szCs w:val="18"/>
        </w:rPr>
        <w:fldChar w:fldCharType="separate"/>
      </w:r>
      <w:r w:rsidR="002C5411">
        <w:rPr>
          <w:noProof/>
          <w:sz w:val="18"/>
          <w:szCs w:val="18"/>
        </w:rPr>
        <w:t>1</w:t>
      </w:r>
      <w:r w:rsidR="009B7894" w:rsidRPr="00C04CBD">
        <w:rPr>
          <w:sz w:val="18"/>
          <w:szCs w:val="18"/>
        </w:rPr>
        <w:fldChar w:fldCharType="end"/>
      </w:r>
      <w:bookmarkEnd w:id="1"/>
      <w:r w:rsidRPr="00C04CBD">
        <w:rPr>
          <w:sz w:val="18"/>
          <w:szCs w:val="18"/>
        </w:rPr>
        <w:t>:</w:t>
      </w:r>
      <w:proofErr w:type="gramEnd"/>
      <w:r w:rsidRPr="00C04CBD">
        <w:rPr>
          <w:sz w:val="18"/>
          <w:szCs w:val="18"/>
        </w:rPr>
        <w:t xml:space="preserve"> Počet zaměstnanců výzkumu a vývoje v jednotlivých sektorech provádění</w:t>
      </w:r>
      <w:bookmarkEnd w:id="2"/>
      <w:r w:rsidRPr="00C04CBD">
        <w:rPr>
          <w:sz w:val="18"/>
          <w:szCs w:val="18"/>
        </w:rPr>
        <w:t xml:space="preserve">  </w:t>
      </w:r>
    </w:p>
    <w:p w:rsidR="000F628D" w:rsidRDefault="00BA3161" w:rsidP="000F628D">
      <w:pPr>
        <w:pStyle w:val="podtitulek"/>
      </w:pPr>
      <w:r w:rsidRPr="00BA3161">
        <w:t xml:space="preserve">            Evidenční počet k 31.</w:t>
      </w:r>
      <w:r w:rsidR="00AB732D">
        <w:t xml:space="preserve"> </w:t>
      </w:r>
      <w:r w:rsidRPr="00BA3161">
        <w:t xml:space="preserve">12. (tis. HC) </w:t>
      </w:r>
      <w:r w:rsidRPr="00BA3161">
        <w:tab/>
      </w:r>
      <w:r w:rsidRPr="00BA3161">
        <w:tab/>
      </w:r>
      <w:r w:rsidR="00D6688F">
        <w:t xml:space="preserve"> </w:t>
      </w:r>
      <w:r w:rsidRPr="00BA3161">
        <w:tab/>
        <w:t xml:space="preserve">           Přepočtený počet (tis. FTE)</w:t>
      </w:r>
    </w:p>
    <w:p w:rsidR="000F628D" w:rsidRPr="000F628D" w:rsidRDefault="007C148C" w:rsidP="00615822">
      <w:pPr>
        <w:spacing w:line="240" w:lineRule="auto"/>
        <w:rPr>
          <w:noProof/>
          <w:lang w:eastAsia="cs-CZ"/>
        </w:rPr>
      </w:pPr>
      <w:bookmarkStart w:id="3" w:name="_Toc343781856"/>
      <w:r w:rsidRPr="007C148C">
        <w:drawing>
          <wp:inline distT="0" distB="0" distL="0" distR="0" wp14:anchorId="4B7A87A8" wp14:editId="36B32042">
            <wp:extent cx="2771429" cy="162857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1429" cy="1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F23">
        <w:t xml:space="preserve">       </w:t>
      </w:r>
      <w:r w:rsidRPr="007C148C">
        <w:drawing>
          <wp:inline distT="0" distB="0" distL="0" distR="0" wp14:anchorId="23A6AED9" wp14:editId="4C8E8622">
            <wp:extent cx="2923810" cy="1619048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3810" cy="1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828" w:rsidRDefault="00C36828" w:rsidP="00615822">
      <w:pPr>
        <w:spacing w:line="240" w:lineRule="auto"/>
        <w:rPr>
          <w:b/>
          <w:sz w:val="18"/>
          <w:szCs w:val="18"/>
        </w:rPr>
      </w:pPr>
    </w:p>
    <w:p w:rsidR="008A30EF" w:rsidRPr="00615822" w:rsidRDefault="008A30EF" w:rsidP="00615822">
      <w:pPr>
        <w:spacing w:line="240" w:lineRule="auto"/>
        <w:rPr>
          <w:b/>
          <w:noProof/>
          <w:lang w:eastAsia="cs-CZ"/>
        </w:rPr>
      </w:pPr>
      <w:r w:rsidRPr="00615822">
        <w:rPr>
          <w:b/>
          <w:sz w:val="18"/>
          <w:szCs w:val="18"/>
        </w:rPr>
        <w:lastRenderedPageBreak/>
        <w:t xml:space="preserve">Tab. </w:t>
      </w:r>
      <w:r w:rsidR="009B7894" w:rsidRPr="00615822">
        <w:rPr>
          <w:b/>
          <w:sz w:val="18"/>
          <w:szCs w:val="18"/>
        </w:rPr>
        <w:fldChar w:fldCharType="begin"/>
      </w:r>
      <w:r w:rsidRPr="00615822">
        <w:rPr>
          <w:b/>
          <w:sz w:val="18"/>
          <w:szCs w:val="18"/>
        </w:rPr>
        <w:instrText xml:space="preserve"> STYLEREF 1 \s </w:instrText>
      </w:r>
      <w:r w:rsidR="009B7894" w:rsidRPr="00615822">
        <w:rPr>
          <w:b/>
          <w:sz w:val="18"/>
          <w:szCs w:val="18"/>
        </w:rPr>
        <w:fldChar w:fldCharType="separate"/>
      </w:r>
      <w:proofErr w:type="gramStart"/>
      <w:r w:rsidR="002C5411">
        <w:rPr>
          <w:b/>
          <w:noProof/>
          <w:sz w:val="18"/>
          <w:szCs w:val="18"/>
        </w:rPr>
        <w:t>2</w:t>
      </w:r>
      <w:r w:rsidR="009B7894" w:rsidRPr="00615822">
        <w:rPr>
          <w:b/>
          <w:sz w:val="18"/>
          <w:szCs w:val="18"/>
        </w:rPr>
        <w:fldChar w:fldCharType="end"/>
      </w:r>
      <w:r w:rsidRPr="00615822">
        <w:rPr>
          <w:b/>
          <w:sz w:val="18"/>
          <w:szCs w:val="18"/>
        </w:rPr>
        <w:t>.</w:t>
      </w:r>
      <w:r w:rsidR="009B7894" w:rsidRPr="00615822">
        <w:rPr>
          <w:b/>
          <w:sz w:val="18"/>
          <w:szCs w:val="18"/>
        </w:rPr>
        <w:fldChar w:fldCharType="begin"/>
      </w:r>
      <w:r w:rsidR="00381687" w:rsidRPr="00615822">
        <w:rPr>
          <w:b/>
          <w:sz w:val="18"/>
          <w:szCs w:val="18"/>
        </w:rPr>
        <w:instrText xml:space="preserve"> SEQ Tab. \* ARABIC \s 1 </w:instrText>
      </w:r>
      <w:r w:rsidR="009B7894" w:rsidRPr="00615822">
        <w:rPr>
          <w:b/>
          <w:sz w:val="18"/>
          <w:szCs w:val="18"/>
        </w:rPr>
        <w:fldChar w:fldCharType="separate"/>
      </w:r>
      <w:r w:rsidR="002C5411">
        <w:rPr>
          <w:b/>
          <w:noProof/>
          <w:sz w:val="18"/>
          <w:szCs w:val="18"/>
        </w:rPr>
        <w:t>1</w:t>
      </w:r>
      <w:r w:rsidR="009B7894" w:rsidRPr="00615822">
        <w:rPr>
          <w:b/>
          <w:sz w:val="18"/>
          <w:szCs w:val="18"/>
        </w:rPr>
        <w:fldChar w:fldCharType="end"/>
      </w:r>
      <w:r w:rsidRPr="00615822">
        <w:rPr>
          <w:b/>
          <w:sz w:val="18"/>
          <w:szCs w:val="18"/>
        </w:rPr>
        <w:t>:</w:t>
      </w:r>
      <w:proofErr w:type="gramEnd"/>
      <w:r w:rsidRPr="00615822">
        <w:rPr>
          <w:b/>
          <w:sz w:val="18"/>
          <w:szCs w:val="18"/>
        </w:rPr>
        <w:t xml:space="preserve"> </w:t>
      </w:r>
      <w:r w:rsidR="0057071F" w:rsidRPr="00615822">
        <w:rPr>
          <w:b/>
          <w:sz w:val="18"/>
          <w:szCs w:val="18"/>
        </w:rPr>
        <w:t>Celkový počet</w:t>
      </w:r>
      <w:r w:rsidRPr="00615822">
        <w:rPr>
          <w:b/>
          <w:sz w:val="18"/>
          <w:szCs w:val="18"/>
        </w:rPr>
        <w:t xml:space="preserve"> zaměstnaných ve </w:t>
      </w:r>
      <w:proofErr w:type="spellStart"/>
      <w:r w:rsidRPr="00615822">
        <w:rPr>
          <w:b/>
          <w:sz w:val="18"/>
          <w:szCs w:val="18"/>
        </w:rPr>
        <w:t>VaV</w:t>
      </w:r>
      <w:proofErr w:type="spellEnd"/>
      <w:r w:rsidRPr="00615822">
        <w:rPr>
          <w:b/>
          <w:sz w:val="18"/>
          <w:szCs w:val="18"/>
        </w:rPr>
        <w:t xml:space="preserve"> v ČR, 200</w:t>
      </w:r>
      <w:r w:rsidR="00470D41">
        <w:rPr>
          <w:b/>
          <w:sz w:val="18"/>
          <w:szCs w:val="18"/>
        </w:rPr>
        <w:t>8</w:t>
      </w:r>
      <w:r w:rsidRPr="00615822">
        <w:rPr>
          <w:b/>
          <w:sz w:val="18"/>
          <w:szCs w:val="18"/>
        </w:rPr>
        <w:t>–201</w:t>
      </w:r>
      <w:bookmarkEnd w:id="3"/>
      <w:r w:rsidR="00470D41">
        <w:rPr>
          <w:b/>
          <w:sz w:val="18"/>
          <w:szCs w:val="18"/>
        </w:rPr>
        <w:t>3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6"/>
        <w:gridCol w:w="630"/>
        <w:gridCol w:w="630"/>
        <w:gridCol w:w="630"/>
        <w:gridCol w:w="630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B31458" w:rsidRPr="009608A1" w:rsidTr="00BB61C7">
        <w:trPr>
          <w:trHeight w:val="244"/>
        </w:trPr>
        <w:tc>
          <w:tcPr>
            <w:tcW w:w="2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6600"/>
            <w:vAlign w:val="bottom"/>
            <w:hideMark/>
          </w:tcPr>
          <w:p w:rsidR="009608A1" w:rsidRPr="00E73201" w:rsidRDefault="009608A1" w:rsidP="009608A1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bookmarkStart w:id="4" w:name="_Toc246493265"/>
            <w:r w:rsidRPr="00E7320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2" w:type="dxa"/>
            <w:gridSpan w:val="6"/>
            <w:tcBorders>
              <w:top w:val="single" w:sz="8" w:space="0" w:color="auto"/>
              <w:left w:val="nil"/>
              <w:bottom w:val="nil"/>
              <w:right w:val="dotted" w:sz="4" w:space="0" w:color="000000"/>
            </w:tcBorders>
            <w:shd w:val="clear" w:color="000000" w:fill="FF6600"/>
            <w:noWrap/>
            <w:vAlign w:val="center"/>
            <w:hideMark/>
          </w:tcPr>
          <w:p w:rsidR="009608A1" w:rsidRPr="00E73201" w:rsidRDefault="00B31458" w:rsidP="00BB61C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Evidenční počet</w:t>
            </w:r>
            <w:r w:rsidR="009608A1" w:rsidRPr="00E73201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 k 31.</w:t>
            </w:r>
            <w:r w:rsidR="00AB732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 </w:t>
            </w:r>
            <w:r w:rsidR="009608A1" w:rsidRPr="00E73201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12. (HC)</w:t>
            </w:r>
          </w:p>
        </w:tc>
        <w:tc>
          <w:tcPr>
            <w:tcW w:w="378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6600"/>
            <w:vAlign w:val="center"/>
            <w:hideMark/>
          </w:tcPr>
          <w:p w:rsidR="009608A1" w:rsidRPr="00E73201" w:rsidRDefault="009608A1" w:rsidP="00BB61C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Průměrný přepočtený počet (FTE)</w:t>
            </w:r>
          </w:p>
        </w:tc>
      </w:tr>
      <w:tr w:rsidR="00470D41" w:rsidRPr="009608A1" w:rsidTr="00470D41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vAlign w:val="bottom"/>
            <w:hideMark/>
          </w:tcPr>
          <w:p w:rsidR="00470D41" w:rsidRPr="00E73201" w:rsidRDefault="00470D41" w:rsidP="009608A1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470D41" w:rsidRDefault="00470D41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470D41" w:rsidRDefault="00470D41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470D41" w:rsidRDefault="00470D41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470D41" w:rsidRDefault="00470D41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470D41" w:rsidRDefault="00470D41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470D41" w:rsidRDefault="00470D41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2013</w:t>
            </w:r>
          </w:p>
        </w:tc>
        <w:tc>
          <w:tcPr>
            <w:tcW w:w="631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470D41" w:rsidRDefault="00470D41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470D41" w:rsidRDefault="00470D41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470D41" w:rsidRDefault="00470D41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470D41" w:rsidRDefault="00470D41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470D41" w:rsidRDefault="00470D41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470D41" w:rsidRDefault="00470D41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2013</w:t>
            </w:r>
          </w:p>
        </w:tc>
      </w:tr>
      <w:tr w:rsidR="00470D41" w:rsidRPr="009608A1" w:rsidTr="00470D41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center"/>
            <w:hideMark/>
          </w:tcPr>
          <w:p w:rsidR="00470D41" w:rsidRPr="00E73201" w:rsidRDefault="00470D41" w:rsidP="00B94E6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74 508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75 788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77 903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82 283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87 528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FAC090"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92 714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50 808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50 961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52 290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55 697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60 329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61 976</w:t>
            </w:r>
          </w:p>
        </w:tc>
      </w:tr>
      <w:tr w:rsidR="00470D41" w:rsidRPr="009608A1" w:rsidTr="00470D41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41" w:rsidRPr="00E73201" w:rsidRDefault="00470D4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 toho ženy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24 721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25 273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25 421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26 732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27 746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29 897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15 707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15 822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15 939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16 772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18 133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18 513</w:t>
            </w:r>
          </w:p>
        </w:tc>
      </w:tr>
      <w:tr w:rsidR="00470D41" w:rsidRPr="009608A1" w:rsidTr="00470D41">
        <w:trPr>
          <w:trHeight w:val="244"/>
        </w:trPr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470D41" w:rsidRPr="00E73201" w:rsidRDefault="00470D41" w:rsidP="00B94E6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typu pracovní činnosti</w:t>
            </w: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70D41" w:rsidRPr="009608A1" w:rsidTr="00470D41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41" w:rsidRPr="00E73201" w:rsidRDefault="00470D4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Výzkumní pracovníci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44 240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43 092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43 418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45 902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47 651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51 455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29 785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28 759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29 228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30 682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33 217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34 271</w:t>
            </w:r>
          </w:p>
        </w:tc>
      </w:tr>
      <w:tr w:rsidR="00470D41" w:rsidRPr="009608A1" w:rsidTr="00470D41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41" w:rsidRPr="00E73201" w:rsidRDefault="00470D4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Techničtí pracovníci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21 516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23 285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23 667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25 027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26 876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27 616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15 133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16 005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15 971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17 109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18 407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18 932</w:t>
            </w:r>
          </w:p>
        </w:tc>
      </w:tr>
      <w:tr w:rsidR="00470D41" w:rsidRPr="009608A1" w:rsidTr="00470D41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41" w:rsidRPr="00E73201" w:rsidRDefault="00470D4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Ostatní pracovníci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8 751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9 411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10 818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11 354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13 002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13 643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5 890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6 197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7 092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7 907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8 705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8 772</w:t>
            </w:r>
          </w:p>
        </w:tc>
      </w:tr>
      <w:tr w:rsidR="00470D41" w:rsidRPr="009608A1" w:rsidTr="00470D41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470D41" w:rsidRPr="00E73201" w:rsidRDefault="00470D41" w:rsidP="00B94E6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sektoru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70D41" w:rsidRPr="009608A1" w:rsidTr="00470D41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41" w:rsidRPr="00E73201" w:rsidRDefault="00470D4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Podnikatelský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32 745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33 480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35 629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38 415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42 443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45 285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26 069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25 884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26 998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29 509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32 224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33 713</w:t>
            </w:r>
          </w:p>
        </w:tc>
      </w:tr>
      <w:tr w:rsidR="00470D41" w:rsidRPr="009608A1" w:rsidTr="00470D41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41" w:rsidRPr="00E73201" w:rsidRDefault="00470D4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Vládní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15 091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14 776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14 058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14 335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14 484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14 966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11 386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11 180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10 926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11 133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11 345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11 749</w:t>
            </w:r>
          </w:p>
        </w:tc>
      </w:tr>
      <w:tr w:rsidR="00470D41" w:rsidRPr="009608A1" w:rsidTr="00470D41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41" w:rsidRPr="00E73201" w:rsidRDefault="00470D4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Vysokoškolský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26 376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27 215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27 844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29 149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30 301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32 173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13 147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13 648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14 056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14 724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16 441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16 240</w:t>
            </w:r>
          </w:p>
        </w:tc>
      </w:tr>
      <w:tr w:rsidR="00470D41" w:rsidRPr="009608A1" w:rsidTr="00470D41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41" w:rsidRPr="00E73201" w:rsidRDefault="00470D4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Soukromý neziskový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273</w:t>
            </w:r>
          </w:p>
        </w:tc>
      </w:tr>
      <w:tr w:rsidR="00470D41" w:rsidRPr="009608A1" w:rsidTr="00470D41">
        <w:trPr>
          <w:trHeight w:val="244"/>
        </w:trPr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470D41" w:rsidRPr="00E73201" w:rsidRDefault="00470D41" w:rsidP="00FF7F8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podle dosaženého vzdělání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911F1" w:rsidRPr="009608A1" w:rsidTr="00470D41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F1" w:rsidRPr="00E73201" w:rsidRDefault="006911F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Doktorské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19 388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19 884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20 025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22 392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22 898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24 543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11 999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12 290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12 442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13 267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14 315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14 337</w:t>
            </w:r>
          </w:p>
        </w:tc>
      </w:tr>
      <w:tr w:rsidR="006911F1" w:rsidRPr="009608A1" w:rsidTr="006911F1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F1" w:rsidRPr="00E73201" w:rsidRDefault="006911F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Vysokoškolské a vyšší odborné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F1" w:rsidRDefault="006911F1" w:rsidP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34 258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F1" w:rsidRDefault="006911F1" w:rsidP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34 785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F1" w:rsidRDefault="006911F1" w:rsidP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35 949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F1" w:rsidRDefault="006911F1" w:rsidP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37 341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F1" w:rsidRDefault="006911F1" w:rsidP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40 075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911F1" w:rsidRDefault="006911F1" w:rsidP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42 471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F1" w:rsidRDefault="006911F1" w:rsidP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24 013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F1" w:rsidRDefault="006911F1" w:rsidP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23 970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F1" w:rsidRDefault="006911F1" w:rsidP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24 686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F1" w:rsidRDefault="006911F1" w:rsidP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26 644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F1" w:rsidRDefault="006911F1" w:rsidP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28 867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F1" w:rsidRDefault="006911F1" w:rsidP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30 000</w:t>
            </w:r>
          </w:p>
        </w:tc>
      </w:tr>
      <w:tr w:rsidR="006911F1" w:rsidRPr="009608A1" w:rsidTr="00470D41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F1" w:rsidRPr="00E73201" w:rsidRDefault="006911F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Střední a nižší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20 862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21 119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21 929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22 549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24 556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25 699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14 797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14 701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15 162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15 786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17 148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17 638</w:t>
            </w:r>
          </w:p>
        </w:tc>
      </w:tr>
      <w:tr w:rsidR="00470D41" w:rsidRPr="009608A1" w:rsidTr="00470D41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470D41" w:rsidRPr="00E73201" w:rsidRDefault="00470D41" w:rsidP="00B94E6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vědních oblastí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70D41" w:rsidRPr="009608A1" w:rsidTr="00470D41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41" w:rsidRPr="00E73201" w:rsidRDefault="00470D4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Přírodní vědy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15 352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15 550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17 321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20 715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22 833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25 078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12 004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11 925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12 754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15 158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17 402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18 981</w:t>
            </w:r>
          </w:p>
        </w:tc>
      </w:tr>
      <w:tr w:rsidR="00470D41" w:rsidRPr="009608A1" w:rsidTr="00470D41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41" w:rsidRPr="00E73201" w:rsidRDefault="00470D4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Technické vědy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35 104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35 354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35 803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35 910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39 236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41 146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26 271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26 300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26 379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26 932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28 970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29 817</w:t>
            </w:r>
          </w:p>
        </w:tc>
      </w:tr>
      <w:tr w:rsidR="00470D41" w:rsidRPr="009608A1" w:rsidTr="00470D41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41" w:rsidRPr="00E73201" w:rsidRDefault="00470D4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Lékařské vědy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9 380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10 385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9 798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9 970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9 269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10 262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4 072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4 293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4 456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4 386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4 174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4 249</w:t>
            </w:r>
          </w:p>
        </w:tc>
      </w:tr>
      <w:tr w:rsidR="00470D41" w:rsidRPr="009608A1" w:rsidTr="00470D41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41" w:rsidRPr="00E73201" w:rsidRDefault="00470D4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Zemědělské vědy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4 760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4 867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4 898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4 427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4 625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4 273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2 758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2 765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2 848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2 741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2 703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2 357</w:t>
            </w:r>
          </w:p>
        </w:tc>
      </w:tr>
      <w:tr w:rsidR="00470D41" w:rsidRPr="009608A1" w:rsidTr="00470D41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41" w:rsidRPr="00E73201" w:rsidRDefault="00470D4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Sociální vědy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5 608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4 712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4 656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6 693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6 703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7 131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2 904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2 604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2 558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3 608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3 856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3 445</w:t>
            </w:r>
          </w:p>
        </w:tc>
      </w:tr>
      <w:tr w:rsidR="00470D41" w:rsidRPr="009608A1" w:rsidTr="00470D41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41" w:rsidRPr="00E73201" w:rsidRDefault="00470D4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Humanitní vědy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4 304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4 921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5 428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4 567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4 862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4 825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2 800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3 074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3 295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2 872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3 224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3 127</w:t>
            </w:r>
          </w:p>
        </w:tc>
      </w:tr>
      <w:tr w:rsidR="00470D41" w:rsidRPr="009608A1" w:rsidTr="00470D41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center"/>
            <w:hideMark/>
          </w:tcPr>
          <w:p w:rsidR="00470D41" w:rsidRPr="00E73201" w:rsidRDefault="00470D41" w:rsidP="00B94E6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krajů ČR</w:t>
            </w: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70D41" w:rsidRPr="009608A1" w:rsidTr="00470D41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41" w:rsidRPr="00E73201" w:rsidRDefault="00470D4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Praha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30 641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29 592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28 921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31 061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32 400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34 004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20 943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19 747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19 963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21 151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22 271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23 195</w:t>
            </w:r>
          </w:p>
        </w:tc>
      </w:tr>
      <w:tr w:rsidR="00470D41" w:rsidRPr="009608A1" w:rsidTr="00470D41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41" w:rsidRPr="00E73201" w:rsidRDefault="00470D4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Středočeský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5 894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5 927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6 238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6 368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6 001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6 675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5 176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5 230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5 325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5 448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5 155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5 672</w:t>
            </w:r>
          </w:p>
        </w:tc>
      </w:tr>
      <w:tr w:rsidR="00470D41" w:rsidRPr="009608A1" w:rsidTr="00470D41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41" w:rsidRPr="00E73201" w:rsidRDefault="00470D4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2 933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3 006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3 170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3 172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1 898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2 050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2 121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2 104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2 150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2 158</w:t>
            </w:r>
          </w:p>
        </w:tc>
      </w:tr>
      <w:tr w:rsidR="00470D41" w:rsidRPr="009608A1" w:rsidTr="00470D41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41" w:rsidRPr="00E73201" w:rsidRDefault="00470D4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Plzeňský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3 795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4 314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4 389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1 793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1 951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2 196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2 708</w:t>
            </w:r>
          </w:p>
        </w:tc>
      </w:tr>
      <w:tr w:rsidR="00470D41" w:rsidRPr="009608A1" w:rsidTr="00470D41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41" w:rsidRPr="00E73201" w:rsidRDefault="00470D4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Karlovarský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</w:tr>
      <w:tr w:rsidR="00470D41" w:rsidRPr="009608A1" w:rsidTr="00470D41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41" w:rsidRPr="00E73201" w:rsidRDefault="00470D4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Ústecký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1 431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1 687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1 048</w:t>
            </w:r>
          </w:p>
        </w:tc>
      </w:tr>
      <w:tr w:rsidR="00470D41" w:rsidRPr="009608A1" w:rsidTr="00470D41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41" w:rsidRPr="00E73201" w:rsidRDefault="00470D4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Liberecký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2 147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2 286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2 787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1 423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1 270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1 338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1 899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2 063</w:t>
            </w:r>
          </w:p>
        </w:tc>
      </w:tr>
      <w:tr w:rsidR="00470D41" w:rsidRPr="009608A1" w:rsidTr="00470D41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41" w:rsidRPr="00E73201" w:rsidRDefault="00470D4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2 930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2 938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2 674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3 105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1 447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1 750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1 807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1 867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1 695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1 936</w:t>
            </w:r>
          </w:p>
        </w:tc>
      </w:tr>
      <w:tr w:rsidR="00470D41" w:rsidRPr="009608A1" w:rsidTr="00470D41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41" w:rsidRPr="00E73201" w:rsidRDefault="00470D4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3 425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3 822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3 808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2 218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2 092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2 160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2 404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2 617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2 562</w:t>
            </w:r>
          </w:p>
        </w:tc>
      </w:tr>
      <w:tr w:rsidR="00470D41" w:rsidRPr="009608A1" w:rsidTr="00470D41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41" w:rsidRPr="00E73201" w:rsidRDefault="00470D4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896</w:t>
            </w:r>
          </w:p>
        </w:tc>
      </w:tr>
      <w:tr w:rsidR="00470D41" w:rsidRPr="009608A1" w:rsidTr="00470D41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41" w:rsidRPr="00E73201" w:rsidRDefault="00470D4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12 277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13 529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14 017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14 456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16 347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17 547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7 501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8 387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8 732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8 941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10 607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10 969</w:t>
            </w:r>
          </w:p>
        </w:tc>
      </w:tr>
      <w:tr w:rsidR="00470D41" w:rsidRPr="009608A1" w:rsidTr="00470D41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41" w:rsidRPr="00E73201" w:rsidRDefault="00470D4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3 588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4 057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4 517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2 025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1 996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2 583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2 842</w:t>
            </w:r>
          </w:p>
        </w:tc>
      </w:tr>
      <w:tr w:rsidR="00470D41" w:rsidRPr="009608A1" w:rsidTr="00470D41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41" w:rsidRPr="00E73201" w:rsidRDefault="00470D4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2 474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2 644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2 919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3 093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1 837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1 807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1 785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1 874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1 968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1 998</w:t>
            </w:r>
          </w:p>
        </w:tc>
      </w:tr>
      <w:tr w:rsidR="00470D41" w:rsidRPr="009608A1" w:rsidTr="00470D41">
        <w:trPr>
          <w:trHeight w:val="244"/>
        </w:trPr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D41" w:rsidRPr="00E73201" w:rsidRDefault="00470D41" w:rsidP="00B94E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320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5 395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5 356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5 716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6 313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6 575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6 387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2 931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3 191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3 459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3 965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4 742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3 793</w:t>
            </w:r>
          </w:p>
        </w:tc>
      </w:tr>
    </w:tbl>
    <w:p w:rsidR="008A30EF" w:rsidRDefault="008A30EF" w:rsidP="008A30EF"/>
    <w:p w:rsidR="008A30EF" w:rsidRPr="00877CA9" w:rsidRDefault="008A30EF" w:rsidP="008A30EF">
      <w:pPr>
        <w:pStyle w:val="Titulek"/>
        <w:rPr>
          <w:sz w:val="18"/>
          <w:szCs w:val="18"/>
        </w:rPr>
      </w:pPr>
      <w:bookmarkStart w:id="5" w:name="_Toc343782411"/>
      <w:proofErr w:type="gramStart"/>
      <w:r w:rsidRPr="00877CA9">
        <w:rPr>
          <w:sz w:val="18"/>
          <w:szCs w:val="18"/>
        </w:rPr>
        <w:t xml:space="preserve">Graf </w:t>
      </w:r>
      <w:r w:rsidR="009B7894" w:rsidRPr="00877CA9">
        <w:rPr>
          <w:sz w:val="18"/>
          <w:szCs w:val="18"/>
        </w:rPr>
        <w:fldChar w:fldCharType="begin"/>
      </w:r>
      <w:r w:rsidRPr="00877CA9">
        <w:rPr>
          <w:sz w:val="18"/>
          <w:szCs w:val="18"/>
        </w:rPr>
        <w:instrText xml:space="preserve"> STYLEREF 1 \s </w:instrText>
      </w:r>
      <w:r w:rsidR="009B7894" w:rsidRPr="00877CA9">
        <w:rPr>
          <w:sz w:val="18"/>
          <w:szCs w:val="18"/>
        </w:rPr>
        <w:fldChar w:fldCharType="separate"/>
      </w:r>
      <w:r w:rsidR="002C5411">
        <w:rPr>
          <w:noProof/>
          <w:sz w:val="18"/>
          <w:szCs w:val="18"/>
        </w:rPr>
        <w:t>2</w:t>
      </w:r>
      <w:r w:rsidR="009B7894" w:rsidRPr="00877CA9">
        <w:rPr>
          <w:sz w:val="18"/>
          <w:szCs w:val="18"/>
        </w:rPr>
        <w:fldChar w:fldCharType="end"/>
      </w:r>
      <w:r w:rsidRPr="00877CA9">
        <w:rPr>
          <w:sz w:val="18"/>
          <w:szCs w:val="18"/>
        </w:rPr>
        <w:t>.</w:t>
      </w:r>
      <w:r w:rsidR="009B7894" w:rsidRPr="00877CA9">
        <w:rPr>
          <w:sz w:val="18"/>
          <w:szCs w:val="18"/>
        </w:rPr>
        <w:fldChar w:fldCharType="begin"/>
      </w:r>
      <w:r w:rsidR="00381687" w:rsidRPr="00877CA9">
        <w:rPr>
          <w:sz w:val="18"/>
          <w:szCs w:val="18"/>
        </w:rPr>
        <w:instrText xml:space="preserve"> SEQ Graf \* ARABIC \s 1 </w:instrText>
      </w:r>
      <w:r w:rsidR="009B7894" w:rsidRPr="00877CA9">
        <w:rPr>
          <w:sz w:val="18"/>
          <w:szCs w:val="18"/>
        </w:rPr>
        <w:fldChar w:fldCharType="separate"/>
      </w:r>
      <w:r w:rsidR="002C5411">
        <w:rPr>
          <w:noProof/>
          <w:sz w:val="18"/>
          <w:szCs w:val="18"/>
        </w:rPr>
        <w:t>2</w:t>
      </w:r>
      <w:r w:rsidR="009B7894" w:rsidRPr="00877CA9">
        <w:rPr>
          <w:sz w:val="18"/>
          <w:szCs w:val="18"/>
        </w:rPr>
        <w:fldChar w:fldCharType="end"/>
      </w:r>
      <w:r w:rsidRPr="00877CA9">
        <w:rPr>
          <w:sz w:val="18"/>
          <w:szCs w:val="18"/>
        </w:rPr>
        <w:t>:</w:t>
      </w:r>
      <w:proofErr w:type="gramEnd"/>
      <w:r w:rsidRPr="00877CA9">
        <w:rPr>
          <w:sz w:val="18"/>
          <w:szCs w:val="18"/>
        </w:rPr>
        <w:t xml:space="preserve"> Přepočtený počet zaměstnanců výzkumu a vývoje (FTE) na 1 000 zaměstnaných osob, 20</w:t>
      </w:r>
      <w:bookmarkEnd w:id="4"/>
      <w:r w:rsidRPr="00877CA9">
        <w:rPr>
          <w:sz w:val="18"/>
          <w:szCs w:val="18"/>
        </w:rPr>
        <w:t>1</w:t>
      </w:r>
      <w:bookmarkEnd w:id="5"/>
      <w:r w:rsidR="009D1766">
        <w:rPr>
          <w:sz w:val="18"/>
          <w:szCs w:val="18"/>
        </w:rPr>
        <w:t>2</w:t>
      </w:r>
    </w:p>
    <w:p w:rsidR="008A30EF" w:rsidRPr="008A30EF" w:rsidRDefault="007C148C" w:rsidP="008A30EF">
      <w:r w:rsidRPr="007C148C">
        <w:drawing>
          <wp:inline distT="0" distB="0" distL="0" distR="0" wp14:anchorId="1D77880C" wp14:editId="0DAAE4B1">
            <wp:extent cx="5866667" cy="1904762"/>
            <wp:effectExtent l="0" t="0" r="127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6667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CA9" w:rsidRDefault="009D1766" w:rsidP="00877CA9">
      <w:pPr>
        <w:pStyle w:val="poznamka"/>
        <w:jc w:val="left"/>
      </w:pPr>
      <w:r>
        <w:t>* Údaje za rok 2011</w:t>
      </w:r>
      <w:r w:rsidR="00C04CBD">
        <w:tab/>
      </w:r>
      <w:r w:rsidR="00C04CBD">
        <w:tab/>
      </w:r>
      <w:r w:rsidR="00C04CBD">
        <w:tab/>
      </w:r>
      <w:r w:rsidR="00C04CBD">
        <w:tab/>
      </w:r>
      <w:r w:rsidR="00C04CBD">
        <w:tab/>
        <w:t xml:space="preserve">               </w:t>
      </w:r>
    </w:p>
    <w:p w:rsidR="008A30EF" w:rsidRDefault="008A30EF" w:rsidP="00877CA9">
      <w:pPr>
        <w:pStyle w:val="poznamka"/>
        <w:jc w:val="right"/>
      </w:pPr>
      <w:r w:rsidRPr="008A30EF">
        <w:t xml:space="preserve">Zdroj: OECD </w:t>
      </w:r>
      <w:r w:rsidR="0026473D">
        <w:t>MSTI 201</w:t>
      </w:r>
      <w:r w:rsidR="002257AF">
        <w:t>4</w:t>
      </w:r>
      <w:r w:rsidR="0026473D">
        <w:t>–1</w:t>
      </w:r>
      <w:r w:rsidRPr="008A30EF">
        <w:t xml:space="preserve">, </w:t>
      </w:r>
      <w:proofErr w:type="spellStart"/>
      <w:r w:rsidRPr="008A30EF">
        <w:t>Eurostat</w:t>
      </w:r>
      <w:proofErr w:type="spellEnd"/>
      <w:r w:rsidRPr="008A30EF">
        <w:t xml:space="preserve"> a dopočty ČSÚ</w:t>
      </w:r>
      <w:r>
        <w:t xml:space="preserve"> </w:t>
      </w:r>
    </w:p>
    <w:p w:rsidR="008A30EF" w:rsidRDefault="008A30EF" w:rsidP="00877CA9">
      <w:pPr>
        <w:pStyle w:val="zdroj"/>
        <w:jc w:val="left"/>
      </w:pPr>
      <w:r>
        <w:t xml:space="preserve"> </w:t>
      </w:r>
    </w:p>
    <w:p w:rsidR="00A42C1D" w:rsidRDefault="00A42C1D" w:rsidP="002C5411">
      <w:pPr>
        <w:pStyle w:val="Nadpis2"/>
        <w:ind w:left="788" w:hanging="431"/>
      </w:pPr>
      <w:r w:rsidRPr="00A42C1D">
        <w:lastRenderedPageBreak/>
        <w:t>Zaměstnanci ve výzkumu a vývoji v </w:t>
      </w:r>
      <w:r w:rsidRPr="005D6872">
        <w:t>podnikatelském sektoru</w:t>
      </w:r>
    </w:p>
    <w:p w:rsidR="007E4A63" w:rsidRPr="007E4A63" w:rsidRDefault="007E4A63" w:rsidP="007E4A63"/>
    <w:p w:rsidR="007E4A63" w:rsidRDefault="007E4A63" w:rsidP="002C5411">
      <w:pPr>
        <w:pStyle w:val="Odstavecseseznamem"/>
        <w:spacing w:after="80" w:line="252" w:lineRule="auto"/>
        <w:ind w:left="425" w:hanging="357"/>
        <w:contextualSpacing w:val="0"/>
      </w:pPr>
      <w:bookmarkStart w:id="6" w:name="_Toc343782412"/>
      <w:bookmarkStart w:id="7" w:name="_Toc246493266"/>
      <w:r w:rsidRPr="00F01349">
        <w:t>V podnikatelském sektoru bylo</w:t>
      </w:r>
      <w:r w:rsidR="00995EE7">
        <w:t xml:space="preserve"> ke konci roku</w:t>
      </w:r>
      <w:r>
        <w:t xml:space="preserve"> </w:t>
      </w:r>
      <w:r w:rsidR="003378D7">
        <w:t>2013</w:t>
      </w:r>
      <w:r>
        <w:t xml:space="preserve"> zaměstnáno </w:t>
      </w:r>
      <w:r w:rsidR="00CB4C40">
        <w:t xml:space="preserve">ve </w:t>
      </w:r>
      <w:proofErr w:type="spellStart"/>
      <w:r w:rsidR="00CB4C40">
        <w:t>VaV</w:t>
      </w:r>
      <w:proofErr w:type="spellEnd"/>
      <w:r w:rsidR="00CB4C40" w:rsidRPr="00F01349">
        <w:t xml:space="preserve"> </w:t>
      </w:r>
      <w:r>
        <w:t>4</w:t>
      </w:r>
      <w:r w:rsidR="003378D7">
        <w:t>5</w:t>
      </w:r>
      <w:r>
        <w:t xml:space="preserve"> </w:t>
      </w:r>
      <w:r w:rsidR="003378D7">
        <w:t>285</w:t>
      </w:r>
      <w:r>
        <w:t xml:space="preserve"> fyzických osob (HC), což odpovídalo 3</w:t>
      </w:r>
      <w:r w:rsidR="003378D7">
        <w:t>3 713</w:t>
      </w:r>
      <w:r>
        <w:t xml:space="preserve"> přepočteným osobám (FTE)</w:t>
      </w:r>
      <w:r w:rsidRPr="00F01349">
        <w:t>.</w:t>
      </w:r>
      <w:r>
        <w:t xml:space="preserve"> Pro podnikatelský sektor je charakteristické nízké zastoupení </w:t>
      </w:r>
      <w:r w:rsidR="009B2A71">
        <w:t>žen</w:t>
      </w:r>
      <w:r>
        <w:t xml:space="preserve">, které se na zaměstnanosti ve </w:t>
      </w:r>
      <w:proofErr w:type="spellStart"/>
      <w:r>
        <w:t>VaV</w:t>
      </w:r>
      <w:proofErr w:type="spellEnd"/>
      <w:r>
        <w:t xml:space="preserve"> podílejí 20 %.</w:t>
      </w:r>
    </w:p>
    <w:p w:rsidR="007E4A63" w:rsidRPr="007618AA" w:rsidRDefault="003378D7" w:rsidP="002C5411">
      <w:pPr>
        <w:pStyle w:val="Odstavecseseznamem"/>
        <w:spacing w:after="80" w:line="252" w:lineRule="auto"/>
        <w:ind w:left="425" w:hanging="357"/>
        <w:contextualSpacing w:val="0"/>
      </w:pPr>
      <w:r w:rsidRPr="007618AA">
        <w:t>Většina</w:t>
      </w:r>
      <w:r w:rsidR="007E4A63" w:rsidRPr="007618AA">
        <w:t xml:space="preserve"> pracovišť </w:t>
      </w:r>
      <w:proofErr w:type="spellStart"/>
      <w:r w:rsidR="007E4A63" w:rsidRPr="007618AA">
        <w:t>VaV</w:t>
      </w:r>
      <w:proofErr w:type="spellEnd"/>
      <w:r w:rsidR="007E4A63" w:rsidRPr="007618AA">
        <w:t xml:space="preserve"> v podnikatelském sektoru</w:t>
      </w:r>
      <w:r w:rsidRPr="007618AA">
        <w:t xml:space="preserve"> náleží soukromým domácím</w:t>
      </w:r>
      <w:r w:rsidR="007E4A63" w:rsidRPr="007618AA">
        <w:t xml:space="preserve"> podniků</w:t>
      </w:r>
      <w:r w:rsidRPr="007618AA">
        <w:t>m</w:t>
      </w:r>
      <w:r w:rsidR="007E4A63" w:rsidRPr="007618AA">
        <w:t xml:space="preserve"> (7</w:t>
      </w:r>
      <w:r w:rsidRPr="007618AA">
        <w:t>2</w:t>
      </w:r>
      <w:r w:rsidR="007E4A63" w:rsidRPr="007618AA">
        <w:t xml:space="preserve"> %). Na počtu zaměstnanců </w:t>
      </w:r>
      <w:proofErr w:type="spellStart"/>
      <w:r w:rsidR="007E4A63" w:rsidRPr="007618AA">
        <w:t>VaV</w:t>
      </w:r>
      <w:proofErr w:type="spellEnd"/>
      <w:r w:rsidR="00444E47" w:rsidRPr="007618AA">
        <w:t xml:space="preserve"> (</w:t>
      </w:r>
      <w:r w:rsidRPr="007618AA">
        <w:t>FTE</w:t>
      </w:r>
      <w:r w:rsidR="00444E47" w:rsidRPr="007618AA">
        <w:t>)</w:t>
      </w:r>
      <w:r w:rsidR="007E4A63" w:rsidRPr="007618AA">
        <w:t xml:space="preserve"> se soukromé domácí podniky podílí značně nižší měrou (</w:t>
      </w:r>
      <w:r w:rsidRPr="007618AA">
        <w:t>47</w:t>
      </w:r>
      <w:r w:rsidR="007E4A63" w:rsidRPr="007618AA">
        <w:t xml:space="preserve"> %). Důvodem tohoto nepoměru je velký počet zaměstnanců VaV v</w:t>
      </w:r>
      <w:r w:rsidR="00FF7F85" w:rsidRPr="007618AA">
        <w:t> zahraničních afilacích</w:t>
      </w:r>
      <w:r w:rsidR="00003B32" w:rsidRPr="007618AA">
        <w:t xml:space="preserve"> (4</w:t>
      </w:r>
      <w:r w:rsidRPr="007618AA">
        <w:t>9</w:t>
      </w:r>
      <w:r w:rsidR="007E4A63" w:rsidRPr="007618AA">
        <w:t xml:space="preserve">% podíl). Tyto podniky se obecně vyznačují velkým počtem zaměstnanců, na 1 podnik pod zahraniční kontrolou připadá </w:t>
      </w:r>
      <w:r w:rsidRPr="007618AA">
        <w:t>v průměru 29</w:t>
      </w:r>
      <w:r w:rsidR="007E4A63" w:rsidRPr="007618AA">
        <w:t xml:space="preserve"> zaměstnanců </w:t>
      </w:r>
      <w:proofErr w:type="spellStart"/>
      <w:r w:rsidR="007E4A63" w:rsidRPr="007618AA">
        <w:t>VaV</w:t>
      </w:r>
      <w:proofErr w:type="spellEnd"/>
      <w:r w:rsidR="007E4A63" w:rsidRPr="007618AA">
        <w:t xml:space="preserve"> (</w:t>
      </w:r>
      <w:r w:rsidRPr="007618AA">
        <w:t>FTE</w:t>
      </w:r>
      <w:r w:rsidR="007E4A63" w:rsidRPr="007618AA">
        <w:t>), ve srovnání s </w:t>
      </w:r>
      <w:r w:rsidRPr="007618AA">
        <w:t>9</w:t>
      </w:r>
      <w:r w:rsidR="007E4A63" w:rsidRPr="007618AA">
        <w:t xml:space="preserve"> zaměstnanci VaV </w:t>
      </w:r>
      <w:r w:rsidR="00444E47" w:rsidRPr="007618AA">
        <w:t>(</w:t>
      </w:r>
      <w:r w:rsidRPr="007618AA">
        <w:t>FTE</w:t>
      </w:r>
      <w:r w:rsidR="00444E47" w:rsidRPr="007618AA">
        <w:t xml:space="preserve">) </w:t>
      </w:r>
      <w:r w:rsidR="007E4A63" w:rsidRPr="007618AA">
        <w:t>v soukromém domácím podniku.</w:t>
      </w:r>
    </w:p>
    <w:p w:rsidR="007E4A63" w:rsidRPr="000334ED" w:rsidRDefault="007E4A63" w:rsidP="002C5411">
      <w:pPr>
        <w:pStyle w:val="Odstavecseseznamem"/>
        <w:spacing w:after="80" w:line="252" w:lineRule="auto"/>
        <w:ind w:left="425" w:hanging="357"/>
        <w:contextualSpacing w:val="0"/>
      </w:pPr>
      <w:r w:rsidRPr="000334ED">
        <w:t>V malých podnicích, kam řadíme podniky s 0-49 zaměstnanci, pracovalo v roce 201</w:t>
      </w:r>
      <w:r w:rsidR="000334ED" w:rsidRPr="000334ED">
        <w:t>3</w:t>
      </w:r>
      <w:r w:rsidRPr="000334ED">
        <w:t xml:space="preserve"> celkem </w:t>
      </w:r>
      <w:r w:rsidR="000334ED" w:rsidRPr="000334ED">
        <w:t>5 089</w:t>
      </w:r>
      <w:r w:rsidRPr="000334ED">
        <w:t xml:space="preserve"> zaměstnanců VaV (</w:t>
      </w:r>
      <w:r w:rsidR="000334ED" w:rsidRPr="000334ED">
        <w:t>FTE</w:t>
      </w:r>
      <w:r w:rsidRPr="000334ED">
        <w:t>) na 1 0</w:t>
      </w:r>
      <w:r w:rsidR="000334ED" w:rsidRPr="000334ED">
        <w:t>21</w:t>
      </w:r>
      <w:r w:rsidRPr="000334ED">
        <w:t xml:space="preserve"> pracovištích. Oproti tomu ve středních a velkých podnicích pracovalo </w:t>
      </w:r>
      <w:r w:rsidR="000334ED" w:rsidRPr="000334ED">
        <w:t>28 625</w:t>
      </w:r>
      <w:r w:rsidRPr="000334ED">
        <w:t xml:space="preserve"> zaměstnanců VaV (</w:t>
      </w:r>
      <w:r w:rsidR="000334ED" w:rsidRPr="000334ED">
        <w:t>FTE</w:t>
      </w:r>
      <w:r w:rsidRPr="000334ED">
        <w:t>), což odpovídalo 8</w:t>
      </w:r>
      <w:r w:rsidR="000334ED" w:rsidRPr="000334ED">
        <w:t>5</w:t>
      </w:r>
      <w:r w:rsidRPr="000334ED">
        <w:t xml:space="preserve"> % zaměstnanců VaV v podnikatelském sektoru, přičemž podíl těchto podniků na celkovém počtu pracovišť VaV v p</w:t>
      </w:r>
      <w:r w:rsidR="000334ED" w:rsidRPr="000334ED">
        <w:t>odnikatelském sektoru byl jen 56</w:t>
      </w:r>
      <w:r w:rsidRPr="000334ED">
        <w:t xml:space="preserve"> %.</w:t>
      </w:r>
    </w:p>
    <w:p w:rsidR="007E4A63" w:rsidRPr="00565B39" w:rsidRDefault="007E4A63" w:rsidP="002C5411">
      <w:pPr>
        <w:pStyle w:val="Odstavecseseznamem"/>
        <w:spacing w:after="80" w:line="252" w:lineRule="auto"/>
        <w:ind w:left="425" w:hanging="357"/>
        <w:contextualSpacing w:val="0"/>
      </w:pPr>
      <w:r w:rsidRPr="00565B39">
        <w:t xml:space="preserve">V rámci typu </w:t>
      </w:r>
      <w:r w:rsidR="00444E47" w:rsidRPr="00565B39">
        <w:t>prováděné pracovní činnosti</w:t>
      </w:r>
      <w:r w:rsidRPr="00565B39">
        <w:t xml:space="preserve"> jsou v podnikatelském sektoru takřka rovnoměrně zastoupeni výzkumní a techničtí pracovníci. Na 100 zaměstnanců VaV</w:t>
      </w:r>
      <w:r w:rsidR="00752725" w:rsidRPr="00565B39">
        <w:t xml:space="preserve"> (HC)</w:t>
      </w:r>
      <w:r w:rsidRPr="00565B39">
        <w:t xml:space="preserve"> tak připadá 4</w:t>
      </w:r>
      <w:r w:rsidR="00565B39" w:rsidRPr="00565B39">
        <w:t>4</w:t>
      </w:r>
      <w:r w:rsidRPr="00565B39">
        <w:t xml:space="preserve"> výzkumných pracovníků, 3</w:t>
      </w:r>
      <w:r w:rsidR="00565B39" w:rsidRPr="00565B39">
        <w:t>9</w:t>
      </w:r>
      <w:r w:rsidRPr="00565B39">
        <w:t xml:space="preserve"> technických pracovníků a 1</w:t>
      </w:r>
      <w:r w:rsidR="00565B39" w:rsidRPr="00565B39">
        <w:t>7</w:t>
      </w:r>
      <w:r w:rsidRPr="00565B39">
        <w:t xml:space="preserve"> ostatních pracovníků.</w:t>
      </w:r>
    </w:p>
    <w:p w:rsidR="007E4A63" w:rsidRPr="00565B39" w:rsidRDefault="00752725" w:rsidP="002C5411">
      <w:pPr>
        <w:pStyle w:val="Odstavecseseznamem"/>
        <w:spacing w:after="80" w:line="252" w:lineRule="auto"/>
        <w:ind w:left="425" w:hanging="357"/>
        <w:contextualSpacing w:val="0"/>
      </w:pPr>
      <w:r w:rsidRPr="00565B39">
        <w:t xml:space="preserve">Pro podnikatelský sektor, oproti sektoru vládnímu a především vysokoškolskému, </w:t>
      </w:r>
      <w:r w:rsidR="007E4A63" w:rsidRPr="00565B39">
        <w:t>je charakteristická nižší míra osob s doktorským vzděláním (7 %). Naopak je zde poměrně vysok</w:t>
      </w:r>
      <w:r w:rsidR="00A86E63">
        <w:t>ý</w:t>
      </w:r>
      <w:r w:rsidR="007E4A63" w:rsidRPr="00565B39">
        <w:t xml:space="preserve"> </w:t>
      </w:r>
      <w:r w:rsidR="00A86E63">
        <w:t>podíl</w:t>
      </w:r>
      <w:r w:rsidR="007E4A63" w:rsidRPr="00565B39">
        <w:t xml:space="preserve"> osob se středoškolským a nižším vzděláním (37 %), což je zapříčiněno větším množstvím techniků a pomocných pracovníků zaměstnaných ve VaV v podnikatelském sektoru.</w:t>
      </w:r>
    </w:p>
    <w:p w:rsidR="007E4A63" w:rsidRPr="00565B39" w:rsidRDefault="007E4A63" w:rsidP="002C5411">
      <w:pPr>
        <w:pStyle w:val="Odstavecseseznamem"/>
        <w:spacing w:after="80" w:line="252" w:lineRule="auto"/>
        <w:ind w:left="425" w:hanging="357"/>
        <w:contextualSpacing w:val="0"/>
      </w:pPr>
      <w:r w:rsidRPr="00565B39">
        <w:t>Z hlediska odvětví ekonomické činnosti podniků zaujímá u nás ve VaV nejdůležitější roli zpracovatelský průmysl (5</w:t>
      </w:r>
      <w:r w:rsidR="00565B39" w:rsidRPr="00565B39">
        <w:t xml:space="preserve">3 % zaměstnanců </w:t>
      </w:r>
      <w:proofErr w:type="spellStart"/>
      <w:r w:rsidR="00565B39" w:rsidRPr="00565B39">
        <w:t>VaV</w:t>
      </w:r>
      <w:proofErr w:type="spellEnd"/>
      <w:r w:rsidR="00565B39" w:rsidRPr="00565B39">
        <w:t xml:space="preserve"> v roce 2013</w:t>
      </w:r>
      <w:r w:rsidRPr="00565B39">
        <w:t>). Stále více zaměstnanců pracuje v informačních a komunikačních činnostech (</w:t>
      </w:r>
      <w:r w:rsidR="00565B39" w:rsidRPr="00565B39">
        <w:t>5 292</w:t>
      </w:r>
      <w:r w:rsidRPr="00565B39">
        <w:t xml:space="preserve"> </w:t>
      </w:r>
      <w:r w:rsidR="00565B39" w:rsidRPr="00565B39">
        <w:t>přepočtených</w:t>
      </w:r>
      <w:r w:rsidRPr="00565B39">
        <w:t xml:space="preserve"> osob, </w:t>
      </w:r>
      <w:r w:rsidR="00565B39" w:rsidRPr="00565B39">
        <w:t xml:space="preserve">o 45 % více než v roce 2010). </w:t>
      </w:r>
      <w:r w:rsidRPr="00565B39">
        <w:t xml:space="preserve">V podnicích, jejichž převažující ekonomickou činností je VaV, pracovalo </w:t>
      </w:r>
      <w:r w:rsidR="00565B39" w:rsidRPr="00565B39">
        <w:t>4 515 přepočtených</w:t>
      </w:r>
      <w:r w:rsidRPr="00565B39">
        <w:t xml:space="preserve"> osob (</w:t>
      </w:r>
      <w:r w:rsidR="00565B39" w:rsidRPr="00565B39">
        <w:t>FTE</w:t>
      </w:r>
      <w:r w:rsidRPr="00565B39">
        <w:t>).</w:t>
      </w:r>
    </w:p>
    <w:p w:rsidR="007E4A63" w:rsidRPr="003A317F" w:rsidRDefault="007E4A63" w:rsidP="002C5411">
      <w:pPr>
        <w:pStyle w:val="Odstavecseseznamem"/>
        <w:spacing w:after="80" w:line="252" w:lineRule="auto"/>
        <w:ind w:left="425" w:hanging="357"/>
        <w:contextualSpacing w:val="0"/>
      </w:pPr>
      <w:r w:rsidRPr="003A317F">
        <w:t>Z regionálního hlediska jsou nejvýznamnějšími zaměstnavateli v podnikatelském sektoru Praha</w:t>
      </w:r>
      <w:r w:rsidR="00565B39" w:rsidRPr="003A317F">
        <w:t>,</w:t>
      </w:r>
      <w:r w:rsidRPr="003A317F">
        <w:t xml:space="preserve"> </w:t>
      </w:r>
      <w:r w:rsidR="00003B32" w:rsidRPr="003A317F">
        <w:t>Jihomoravský</w:t>
      </w:r>
      <w:r w:rsidR="00565B39" w:rsidRPr="003A317F">
        <w:t xml:space="preserve"> a Středočeský kraj (dohromady 55</w:t>
      </w:r>
      <w:r w:rsidRPr="003A317F">
        <w:t xml:space="preserve">% podíl). </w:t>
      </w:r>
      <w:r w:rsidR="003A317F" w:rsidRPr="003A317F">
        <w:t xml:space="preserve">Méně než 1 000 </w:t>
      </w:r>
      <w:r w:rsidR="00B01D20">
        <w:t>přepočtených</w:t>
      </w:r>
      <w:r w:rsidR="00B01D20" w:rsidRPr="003A317F">
        <w:t xml:space="preserve"> </w:t>
      </w:r>
      <w:r w:rsidR="003A317F" w:rsidRPr="003A317F">
        <w:t>osob pracuje na Vysočině, v Ústeckém a Karlovarském kraji.</w:t>
      </w:r>
    </w:p>
    <w:p w:rsidR="004D5A6E" w:rsidRPr="00777101" w:rsidRDefault="004D5A6E" w:rsidP="002C5411">
      <w:pPr>
        <w:pStyle w:val="Odstavecseseznamem"/>
        <w:spacing w:after="80" w:line="252" w:lineRule="auto"/>
        <w:ind w:left="425" w:hanging="357"/>
        <w:contextualSpacing w:val="0"/>
      </w:pPr>
      <w:r w:rsidRPr="00777101">
        <w:t>Na dohody o provedení práce nebo o pracovní činnosti bylo v roce 201</w:t>
      </w:r>
      <w:r w:rsidR="00777101" w:rsidRPr="00777101">
        <w:t>3</w:t>
      </w:r>
      <w:r w:rsidRPr="00777101">
        <w:t xml:space="preserve"> zaměstnáno ve VaV v podnikatelském sektoru </w:t>
      </w:r>
      <w:r w:rsidR="00777101" w:rsidRPr="00777101">
        <w:t>551</w:t>
      </w:r>
      <w:r w:rsidRPr="00777101">
        <w:t xml:space="preserve"> přepočtených osob</w:t>
      </w:r>
      <w:r w:rsidR="00BA0B8E" w:rsidRPr="00777101">
        <w:t xml:space="preserve"> (FTE)</w:t>
      </w:r>
      <w:r w:rsidRPr="00777101">
        <w:t xml:space="preserve">, které prací na </w:t>
      </w:r>
      <w:proofErr w:type="spellStart"/>
      <w:r w:rsidRPr="00777101">
        <w:t>VaV</w:t>
      </w:r>
      <w:proofErr w:type="spellEnd"/>
      <w:r w:rsidRPr="00777101">
        <w:t xml:space="preserve"> strávily celkem </w:t>
      </w:r>
      <w:r w:rsidR="000E780F" w:rsidRPr="00777101">
        <w:t>1,</w:t>
      </w:r>
      <w:r w:rsidR="00777101" w:rsidRPr="00777101">
        <w:t>1</w:t>
      </w:r>
      <w:r w:rsidR="00A86E63">
        <w:t xml:space="preserve"> </w:t>
      </w:r>
      <w:r w:rsidR="000E780F" w:rsidRPr="00777101">
        <w:t>mil.</w:t>
      </w:r>
      <w:r w:rsidR="00A86E63">
        <w:t xml:space="preserve"> hodin, čímž se na </w:t>
      </w:r>
      <w:r w:rsidRPr="00777101">
        <w:t>celkovém počtu přepočtených osob ve VaV</w:t>
      </w:r>
      <w:r w:rsidR="000E780F" w:rsidRPr="00777101">
        <w:t xml:space="preserve"> v podnikatelském sektoru</w:t>
      </w:r>
      <w:r w:rsidRPr="00777101">
        <w:t xml:space="preserve"> se podílely</w:t>
      </w:r>
      <w:r w:rsidR="00A86E63">
        <w:t> </w:t>
      </w:r>
      <w:r w:rsidRPr="00777101">
        <w:t xml:space="preserve"> </w:t>
      </w:r>
      <w:r w:rsidR="00777101" w:rsidRPr="00777101">
        <w:t>1,6</w:t>
      </w:r>
      <w:r w:rsidRPr="00777101">
        <w:t xml:space="preserve"> %.</w:t>
      </w:r>
    </w:p>
    <w:p w:rsidR="007E4A63" w:rsidRPr="005D6872" w:rsidRDefault="007E4A63" w:rsidP="002C5411">
      <w:pPr>
        <w:pStyle w:val="Odstavecseseznamem"/>
        <w:spacing w:after="80" w:line="252" w:lineRule="auto"/>
        <w:ind w:left="425" w:hanging="357"/>
        <w:contextualSpacing w:val="0"/>
      </w:pPr>
      <w:r w:rsidRPr="005D6872">
        <w:t>V EU28 bylo v podnikatelském sektoru v roce 201</w:t>
      </w:r>
      <w:r w:rsidR="005D6872" w:rsidRPr="005D6872">
        <w:t>2</w:t>
      </w:r>
      <w:r w:rsidRPr="005D6872">
        <w:t xml:space="preserve"> zaměstnáno 1,4 mil. přepočtených osob (FTE), nejvíce potom, plná čtvrtina, v Německu. Velké </w:t>
      </w:r>
      <w:r w:rsidR="00A86E63">
        <w:t xml:space="preserve">členské </w:t>
      </w:r>
      <w:r w:rsidRPr="005D6872">
        <w:t xml:space="preserve">státy Německo, Francie, </w:t>
      </w:r>
      <w:r w:rsidR="007C3E4A" w:rsidRPr="005D6872">
        <w:t>Spojené království</w:t>
      </w:r>
      <w:r w:rsidRPr="005D6872">
        <w:t xml:space="preserve"> </w:t>
      </w:r>
      <w:r w:rsidR="00003B32" w:rsidRPr="005D6872">
        <w:t xml:space="preserve">a Itálie </w:t>
      </w:r>
      <w:r w:rsidR="00A86E63">
        <w:t xml:space="preserve">společně zaujímaly </w:t>
      </w:r>
      <w:r w:rsidR="00003B32" w:rsidRPr="005D6872">
        <w:t>65</w:t>
      </w:r>
      <w:r w:rsidRPr="005D6872">
        <w:t>% podíl. Podíl ČR</w:t>
      </w:r>
      <w:r w:rsidR="00003B32" w:rsidRPr="005D6872">
        <w:t xml:space="preserve"> na </w:t>
      </w:r>
      <w:r w:rsidR="00441CE8">
        <w:t xml:space="preserve">celkové hodnotě </w:t>
      </w:r>
      <w:r w:rsidR="00003B32" w:rsidRPr="005D6872">
        <w:t>EU28 byl ve zmíněném roce 2</w:t>
      </w:r>
      <w:r w:rsidR="005D6872" w:rsidRPr="005D6872">
        <w:t xml:space="preserve">,3 </w:t>
      </w:r>
      <w:r w:rsidRPr="005D6872">
        <w:t xml:space="preserve">%. </w:t>
      </w:r>
    </w:p>
    <w:p w:rsidR="00E55289" w:rsidRPr="005D6872" w:rsidRDefault="007E4A63" w:rsidP="0021213B">
      <w:pPr>
        <w:pStyle w:val="Odstavecseseznamem"/>
        <w:spacing w:after="60" w:line="252" w:lineRule="auto"/>
        <w:ind w:left="425" w:hanging="357"/>
      </w:pPr>
      <w:r w:rsidRPr="005D6872">
        <w:t xml:space="preserve">Podíl pracovníků VaV (FTE) v podnikatelském sektoru na celkovém počtu zaměstnanců </w:t>
      </w:r>
      <w:proofErr w:type="spellStart"/>
      <w:r w:rsidRPr="005D6872">
        <w:t>VaV</w:t>
      </w:r>
      <w:proofErr w:type="spellEnd"/>
      <w:r w:rsidRPr="005D6872">
        <w:t xml:space="preserve"> </w:t>
      </w:r>
      <w:r w:rsidR="00441CE8">
        <w:t>činil</w:t>
      </w:r>
      <w:r w:rsidRPr="005D6872">
        <w:t xml:space="preserve"> v Evropské unii 5</w:t>
      </w:r>
      <w:r w:rsidR="005D6872" w:rsidRPr="005D6872">
        <w:t>3</w:t>
      </w:r>
      <w:r w:rsidRPr="005D6872">
        <w:t xml:space="preserve"> %. </w:t>
      </w:r>
      <w:r w:rsidR="005D6872" w:rsidRPr="005D6872">
        <w:t>Česká republika dosáhla hodnoty těsně nad průměrem EU28 (54 %)</w:t>
      </w:r>
      <w:r w:rsidRPr="005D6872">
        <w:t>. Pro státy západní Evropy je typická vyšší míra zaměstnanosti v podnikatelském sektoru (50-70 %), kdežto východní Evropa se pohybuje v rozmezí 15-35 %.</w:t>
      </w:r>
    </w:p>
    <w:p w:rsidR="007E4A63" w:rsidRPr="002C5411" w:rsidRDefault="00A42C1D" w:rsidP="0021213B">
      <w:pPr>
        <w:pStyle w:val="Titulek"/>
        <w:spacing w:before="200" w:after="200"/>
        <w:rPr>
          <w:sz w:val="18"/>
          <w:szCs w:val="18"/>
        </w:rPr>
      </w:pPr>
      <w:proofErr w:type="gramStart"/>
      <w:r w:rsidRPr="007E4A63">
        <w:rPr>
          <w:sz w:val="18"/>
          <w:szCs w:val="18"/>
        </w:rPr>
        <w:t xml:space="preserve">Graf </w:t>
      </w:r>
      <w:r w:rsidR="009B7894" w:rsidRPr="007E4A63">
        <w:rPr>
          <w:sz w:val="18"/>
          <w:szCs w:val="18"/>
        </w:rPr>
        <w:fldChar w:fldCharType="begin"/>
      </w:r>
      <w:r w:rsidRPr="007E4A63">
        <w:rPr>
          <w:sz w:val="18"/>
          <w:szCs w:val="18"/>
        </w:rPr>
        <w:instrText xml:space="preserve"> STYLEREF 1 \s </w:instrText>
      </w:r>
      <w:r w:rsidR="009B7894" w:rsidRPr="007E4A63">
        <w:rPr>
          <w:sz w:val="18"/>
          <w:szCs w:val="18"/>
        </w:rPr>
        <w:fldChar w:fldCharType="separate"/>
      </w:r>
      <w:r w:rsidR="002C5411">
        <w:rPr>
          <w:noProof/>
          <w:sz w:val="18"/>
          <w:szCs w:val="18"/>
        </w:rPr>
        <w:t>2</w:t>
      </w:r>
      <w:r w:rsidR="009B7894" w:rsidRPr="007E4A63">
        <w:rPr>
          <w:sz w:val="18"/>
          <w:szCs w:val="18"/>
        </w:rPr>
        <w:fldChar w:fldCharType="end"/>
      </w:r>
      <w:r w:rsidRPr="007E4A63">
        <w:rPr>
          <w:sz w:val="18"/>
          <w:szCs w:val="18"/>
        </w:rPr>
        <w:t>.</w:t>
      </w:r>
      <w:r w:rsidR="009B7894" w:rsidRPr="007E4A63">
        <w:rPr>
          <w:sz w:val="18"/>
          <w:szCs w:val="18"/>
        </w:rPr>
        <w:fldChar w:fldCharType="begin"/>
      </w:r>
      <w:r w:rsidR="00381687" w:rsidRPr="007E4A63">
        <w:rPr>
          <w:sz w:val="18"/>
          <w:szCs w:val="18"/>
        </w:rPr>
        <w:instrText xml:space="preserve"> SEQ Graf \* ARABIC \s 1 </w:instrText>
      </w:r>
      <w:r w:rsidR="009B7894" w:rsidRPr="007E4A63">
        <w:rPr>
          <w:sz w:val="18"/>
          <w:szCs w:val="18"/>
        </w:rPr>
        <w:fldChar w:fldCharType="separate"/>
      </w:r>
      <w:r w:rsidR="002C5411">
        <w:rPr>
          <w:noProof/>
          <w:sz w:val="18"/>
          <w:szCs w:val="18"/>
        </w:rPr>
        <w:t>3</w:t>
      </w:r>
      <w:r w:rsidR="009B7894" w:rsidRPr="007E4A63">
        <w:rPr>
          <w:sz w:val="18"/>
          <w:szCs w:val="18"/>
        </w:rPr>
        <w:fldChar w:fldCharType="end"/>
      </w:r>
      <w:r w:rsidRPr="007E4A63">
        <w:rPr>
          <w:sz w:val="18"/>
          <w:szCs w:val="18"/>
        </w:rPr>
        <w:t>:</w:t>
      </w:r>
      <w:proofErr w:type="gramEnd"/>
      <w:r w:rsidRPr="007E4A63">
        <w:rPr>
          <w:sz w:val="18"/>
          <w:szCs w:val="18"/>
        </w:rPr>
        <w:t xml:space="preserve"> Počet zaměstnanců výzkumu a vývoje v podnikatelském sektoru podle druhu pracoviště</w:t>
      </w:r>
      <w:bookmarkEnd w:id="6"/>
      <w:r w:rsidRPr="007E4A63">
        <w:rPr>
          <w:sz w:val="18"/>
          <w:szCs w:val="18"/>
        </w:rPr>
        <w:t xml:space="preserve"> </w:t>
      </w:r>
      <w:bookmarkEnd w:id="7"/>
    </w:p>
    <w:p w:rsidR="00A42C1D" w:rsidRPr="00A42C1D" w:rsidRDefault="00A42C1D" w:rsidP="00A42C1D">
      <w:pPr>
        <w:pStyle w:val="podtitulek"/>
      </w:pPr>
      <w:r w:rsidRPr="00A42C1D">
        <w:t xml:space="preserve">           Evidenční počet k 31.</w:t>
      </w:r>
      <w:r w:rsidR="00AB732D">
        <w:t xml:space="preserve"> </w:t>
      </w:r>
      <w:r w:rsidRPr="00A42C1D">
        <w:t xml:space="preserve">12. (tis. HC) </w:t>
      </w:r>
      <w:r w:rsidRPr="00A42C1D">
        <w:tab/>
      </w:r>
      <w:r w:rsidRPr="00A42C1D">
        <w:tab/>
      </w:r>
      <w:r w:rsidRPr="00A42C1D">
        <w:tab/>
        <w:t xml:space="preserve">            Přepočtený počet (tis. FTE)</w:t>
      </w:r>
    </w:p>
    <w:p w:rsidR="0085081A" w:rsidRPr="00335083" w:rsidRDefault="00A42C1D" w:rsidP="00335083">
      <w:r>
        <w:t xml:space="preserve">    </w:t>
      </w:r>
      <w:r w:rsidR="007C148C" w:rsidRPr="007C148C">
        <w:drawing>
          <wp:inline distT="0" distB="0" distL="0" distR="0" wp14:anchorId="7F92E240" wp14:editId="40FEAF21">
            <wp:extent cx="2857143" cy="1590476"/>
            <wp:effectExtent l="0" t="0" r="63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1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148C" w:rsidRPr="007C148C">
        <w:drawing>
          <wp:inline distT="0" distB="0" distL="0" distR="0" wp14:anchorId="2305C88B" wp14:editId="2FEB367E">
            <wp:extent cx="2961905" cy="1590476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61905" cy="1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4A63" w:rsidRPr="007E4A63">
        <w:rPr>
          <w:noProof/>
          <w:lang w:eastAsia="cs-CZ"/>
        </w:rPr>
        <w:t xml:space="preserve"> </w:t>
      </w:r>
      <w:bookmarkStart w:id="8" w:name="_Toc343781857"/>
    </w:p>
    <w:p w:rsidR="0021213B" w:rsidRDefault="0021213B" w:rsidP="00A0109B">
      <w:pPr>
        <w:pStyle w:val="Titulektabulky"/>
        <w:rPr>
          <w:sz w:val="18"/>
          <w:szCs w:val="18"/>
        </w:rPr>
      </w:pPr>
    </w:p>
    <w:p w:rsidR="00A0109B" w:rsidRPr="007E4A63" w:rsidRDefault="00A0109B" w:rsidP="00A0109B">
      <w:pPr>
        <w:pStyle w:val="Titulektabulky"/>
        <w:rPr>
          <w:sz w:val="18"/>
          <w:szCs w:val="18"/>
        </w:rPr>
      </w:pPr>
      <w:r w:rsidRPr="007E4A63">
        <w:rPr>
          <w:sz w:val="18"/>
          <w:szCs w:val="18"/>
        </w:rPr>
        <w:lastRenderedPageBreak/>
        <w:t xml:space="preserve">Tab. </w:t>
      </w:r>
      <w:r w:rsidR="009B7894" w:rsidRPr="007E4A63">
        <w:rPr>
          <w:sz w:val="18"/>
          <w:szCs w:val="18"/>
        </w:rPr>
        <w:fldChar w:fldCharType="begin"/>
      </w:r>
      <w:r w:rsidRPr="007E4A63">
        <w:rPr>
          <w:sz w:val="18"/>
          <w:szCs w:val="18"/>
        </w:rPr>
        <w:instrText xml:space="preserve"> STYLEREF 1 \s </w:instrText>
      </w:r>
      <w:r w:rsidR="009B7894" w:rsidRPr="007E4A63">
        <w:rPr>
          <w:sz w:val="18"/>
          <w:szCs w:val="18"/>
        </w:rPr>
        <w:fldChar w:fldCharType="separate"/>
      </w:r>
      <w:proofErr w:type="gramStart"/>
      <w:r w:rsidR="002C5411">
        <w:rPr>
          <w:noProof/>
          <w:sz w:val="18"/>
          <w:szCs w:val="18"/>
        </w:rPr>
        <w:t>2</w:t>
      </w:r>
      <w:r w:rsidR="009B7894" w:rsidRPr="007E4A63">
        <w:rPr>
          <w:sz w:val="18"/>
          <w:szCs w:val="18"/>
        </w:rPr>
        <w:fldChar w:fldCharType="end"/>
      </w:r>
      <w:r w:rsidRPr="007E4A63">
        <w:rPr>
          <w:sz w:val="18"/>
          <w:szCs w:val="18"/>
        </w:rPr>
        <w:t>.</w:t>
      </w:r>
      <w:r w:rsidR="009B7894" w:rsidRPr="007E4A63">
        <w:rPr>
          <w:sz w:val="18"/>
          <w:szCs w:val="18"/>
        </w:rPr>
        <w:fldChar w:fldCharType="begin"/>
      </w:r>
      <w:r w:rsidR="00381687" w:rsidRPr="007E4A63">
        <w:rPr>
          <w:sz w:val="18"/>
          <w:szCs w:val="18"/>
        </w:rPr>
        <w:instrText xml:space="preserve"> SEQ Tab. \* ARABIC \s 1 </w:instrText>
      </w:r>
      <w:r w:rsidR="009B7894" w:rsidRPr="007E4A63">
        <w:rPr>
          <w:sz w:val="18"/>
          <w:szCs w:val="18"/>
        </w:rPr>
        <w:fldChar w:fldCharType="separate"/>
      </w:r>
      <w:r w:rsidR="002C5411">
        <w:rPr>
          <w:noProof/>
          <w:sz w:val="18"/>
          <w:szCs w:val="18"/>
        </w:rPr>
        <w:t>2</w:t>
      </w:r>
      <w:r w:rsidR="009B7894" w:rsidRPr="007E4A63">
        <w:rPr>
          <w:sz w:val="18"/>
          <w:szCs w:val="18"/>
        </w:rPr>
        <w:fldChar w:fldCharType="end"/>
      </w:r>
      <w:r w:rsidRPr="007E4A63">
        <w:rPr>
          <w:sz w:val="18"/>
          <w:szCs w:val="18"/>
        </w:rPr>
        <w:t>:</w:t>
      </w:r>
      <w:proofErr w:type="gramEnd"/>
      <w:r w:rsidRPr="007E4A63">
        <w:rPr>
          <w:sz w:val="18"/>
          <w:szCs w:val="18"/>
        </w:rPr>
        <w:t xml:space="preserve"> Počet zaměstnaných ve VaV v podnikatelském sektoru v ČR, 200</w:t>
      </w:r>
      <w:r w:rsidR="00C66E8D">
        <w:rPr>
          <w:sz w:val="18"/>
          <w:szCs w:val="18"/>
        </w:rPr>
        <w:t>8</w:t>
      </w:r>
      <w:r w:rsidRPr="007E4A63">
        <w:rPr>
          <w:sz w:val="18"/>
          <w:szCs w:val="18"/>
        </w:rPr>
        <w:t>–201</w:t>
      </w:r>
      <w:bookmarkEnd w:id="8"/>
      <w:r w:rsidR="00C66E8D">
        <w:rPr>
          <w:sz w:val="18"/>
          <w:szCs w:val="18"/>
        </w:rPr>
        <w:t>3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634"/>
        <w:gridCol w:w="31"/>
        <w:gridCol w:w="604"/>
        <w:gridCol w:w="16"/>
        <w:gridCol w:w="622"/>
        <w:gridCol w:w="93"/>
        <w:gridCol w:w="545"/>
        <w:gridCol w:w="15"/>
        <w:gridCol w:w="623"/>
        <w:gridCol w:w="86"/>
        <w:gridCol w:w="562"/>
        <w:gridCol w:w="637"/>
        <w:gridCol w:w="77"/>
        <w:gridCol w:w="561"/>
        <w:gridCol w:w="6"/>
        <w:gridCol w:w="632"/>
        <w:gridCol w:w="136"/>
        <w:gridCol w:w="502"/>
        <w:gridCol w:w="6"/>
        <w:gridCol w:w="632"/>
        <w:gridCol w:w="76"/>
        <w:gridCol w:w="567"/>
      </w:tblGrid>
      <w:tr w:rsidR="00A0109B" w:rsidRPr="00A0109B" w:rsidTr="00941239">
        <w:trPr>
          <w:trHeight w:val="227"/>
        </w:trPr>
        <w:tc>
          <w:tcPr>
            <w:tcW w:w="19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6600"/>
            <w:vAlign w:val="center"/>
            <w:hideMark/>
          </w:tcPr>
          <w:p w:rsidR="00A0109B" w:rsidRPr="00A0109B" w:rsidRDefault="00A0109B" w:rsidP="00A0109B">
            <w:pPr>
              <w:pStyle w:val="tabulka"/>
              <w:jc w:val="center"/>
              <w:rPr>
                <w:b/>
                <w:color w:val="FFFFFF"/>
              </w:rPr>
            </w:pPr>
          </w:p>
        </w:tc>
        <w:tc>
          <w:tcPr>
            <w:tcW w:w="3831" w:type="dxa"/>
            <w:gridSpan w:val="11"/>
            <w:tcBorders>
              <w:top w:val="single" w:sz="8" w:space="0" w:color="auto"/>
              <w:left w:val="nil"/>
              <w:bottom w:val="nil"/>
              <w:right w:val="dotted" w:sz="4" w:space="0" w:color="000000"/>
            </w:tcBorders>
            <w:shd w:val="clear" w:color="000000" w:fill="FF6600"/>
            <w:vAlign w:val="center"/>
            <w:hideMark/>
          </w:tcPr>
          <w:p w:rsidR="00A0109B" w:rsidRPr="0060546B" w:rsidRDefault="00A0109B" w:rsidP="00A0109B">
            <w:pPr>
              <w:pStyle w:val="tabulka"/>
              <w:jc w:val="center"/>
              <w:rPr>
                <w:b/>
                <w:color w:val="FFFFFF"/>
              </w:rPr>
            </w:pPr>
            <w:r w:rsidRPr="0060546B">
              <w:rPr>
                <w:b/>
                <w:color w:val="FFFFFF"/>
              </w:rPr>
              <w:t>Evidenční počet k 31.</w:t>
            </w:r>
            <w:r w:rsidR="00AB732D">
              <w:rPr>
                <w:b/>
                <w:color w:val="FFFFFF"/>
              </w:rPr>
              <w:t xml:space="preserve"> </w:t>
            </w:r>
            <w:r w:rsidRPr="0060546B">
              <w:rPr>
                <w:b/>
                <w:color w:val="FFFFFF"/>
              </w:rPr>
              <w:t>12. (HC)</w:t>
            </w:r>
          </w:p>
        </w:tc>
        <w:tc>
          <w:tcPr>
            <w:tcW w:w="3832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6600"/>
            <w:vAlign w:val="center"/>
            <w:hideMark/>
          </w:tcPr>
          <w:p w:rsidR="00A0109B" w:rsidRPr="0060546B" w:rsidRDefault="00A0109B" w:rsidP="00A0109B">
            <w:pPr>
              <w:pStyle w:val="tabulka"/>
              <w:jc w:val="center"/>
              <w:rPr>
                <w:b/>
                <w:color w:val="FFFFFF"/>
              </w:rPr>
            </w:pPr>
            <w:r w:rsidRPr="0060546B">
              <w:rPr>
                <w:b/>
                <w:color w:val="FFFFFF"/>
              </w:rPr>
              <w:t>Průměrný přepočtený počet (FTE)</w:t>
            </w:r>
          </w:p>
        </w:tc>
      </w:tr>
      <w:tr w:rsidR="00470D41" w:rsidRPr="00A0109B" w:rsidTr="00944723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vAlign w:val="bottom"/>
            <w:hideMark/>
          </w:tcPr>
          <w:p w:rsidR="00470D41" w:rsidRPr="0060546B" w:rsidRDefault="00470D41" w:rsidP="004605BC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vAlign w:val="bottom"/>
            <w:hideMark/>
          </w:tcPr>
          <w:p w:rsidR="00470D41" w:rsidRDefault="00470D41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470D41" w:rsidRDefault="00470D41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2009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470D41" w:rsidRDefault="00470D41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470D41" w:rsidRDefault="00470D41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470D41" w:rsidRDefault="00470D41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FF6600"/>
            <w:noWrap/>
            <w:vAlign w:val="bottom"/>
            <w:hideMark/>
          </w:tcPr>
          <w:p w:rsidR="00470D41" w:rsidRDefault="00470D41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2013</w:t>
            </w:r>
          </w:p>
        </w:tc>
        <w:tc>
          <w:tcPr>
            <w:tcW w:w="714" w:type="dxa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000000" w:fill="FF6600"/>
            <w:vAlign w:val="bottom"/>
            <w:hideMark/>
          </w:tcPr>
          <w:p w:rsidR="00470D41" w:rsidRDefault="00470D41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470D41" w:rsidRDefault="00470D41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470D41" w:rsidRDefault="00470D41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470D41" w:rsidRDefault="00470D41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470D41" w:rsidRDefault="00470D41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470D41" w:rsidRDefault="00470D41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2013</w:t>
            </w:r>
          </w:p>
        </w:tc>
      </w:tr>
      <w:tr w:rsidR="00470D41" w:rsidRPr="00A0109B" w:rsidTr="00944723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470D41" w:rsidRDefault="00470D41" w:rsidP="004605BC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32 745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33 480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35 629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38 415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42 443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FAC090"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45 285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26 069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25 884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26 998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29 509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32 224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33 713</w:t>
            </w:r>
          </w:p>
        </w:tc>
      </w:tr>
      <w:tr w:rsidR="00470D41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 toho ženy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6 915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6 927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7 163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7 615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8 281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9 060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5 336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5 266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5 276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5 740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6 230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6 556</w:t>
            </w:r>
          </w:p>
        </w:tc>
      </w:tr>
      <w:tr w:rsidR="00470D41" w:rsidRPr="00A0109B" w:rsidTr="004605BC">
        <w:trPr>
          <w:trHeight w:val="227"/>
        </w:trPr>
        <w:tc>
          <w:tcPr>
            <w:tcW w:w="965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Default="00470D41" w:rsidP="003879A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podle vlastnictví podniku</w:t>
            </w:r>
          </w:p>
        </w:tc>
      </w:tr>
      <w:tr w:rsidR="00470D41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 w:rsidP="004409C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Domácí podniky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18 032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18 903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21 764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22 365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23 850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25 023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13 288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13 219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15 480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16 053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16 715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17 239</w:t>
            </w:r>
          </w:p>
        </w:tc>
      </w:tr>
      <w:tr w:rsidR="00470D41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Veřejné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3 398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3 220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3 023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2 544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2 574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2 509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2 295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2 079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2 115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1 696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1 625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1 512</w:t>
            </w:r>
          </w:p>
        </w:tc>
      </w:tr>
      <w:tr w:rsidR="00470D41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Soukromé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14 634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15 683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18 741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19 820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21 276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22 514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10 993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11 140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13 364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14 357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15 089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15 727</w:t>
            </w:r>
          </w:p>
        </w:tc>
      </w:tr>
      <w:tr w:rsidR="00470D41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Zahraniční afilace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14 713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14 577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13 865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16 050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18 593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20 262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12 781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12 665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11 519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13 456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15 509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16 474</w:t>
            </w:r>
          </w:p>
        </w:tc>
      </w:tr>
      <w:tr w:rsidR="00470D41" w:rsidRPr="00A0109B" w:rsidTr="004605BC">
        <w:trPr>
          <w:trHeight w:val="227"/>
        </w:trPr>
        <w:tc>
          <w:tcPr>
            <w:tcW w:w="965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Pr="009F6BA3" w:rsidRDefault="00470D41" w:rsidP="004605BC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podle velikosti podniků</w:t>
            </w:r>
          </w:p>
        </w:tc>
      </w:tr>
      <w:tr w:rsidR="00470D41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Malé (0</w:t>
            </w:r>
            <w:r>
              <w:rPr>
                <w:rFonts w:cs="Arial"/>
                <w:color w:val="000000"/>
                <w:sz w:val="16"/>
                <w:szCs w:val="16"/>
              </w:rPr>
              <w:noBreakHyphen/>
              <w:t xml:space="preserve">49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zam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5 319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6 087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6 774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7 678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7 763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7 516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3 790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4 428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4 521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5 432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5 271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5 089</w:t>
            </w:r>
          </w:p>
        </w:tc>
      </w:tr>
      <w:tr w:rsidR="00470D41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Střední (50</w:t>
            </w:r>
            <w:r>
              <w:rPr>
                <w:rFonts w:cs="Arial"/>
                <w:color w:val="000000"/>
                <w:sz w:val="16"/>
                <w:szCs w:val="16"/>
              </w:rPr>
              <w:noBreakHyphen/>
              <w:t xml:space="preserve">249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zam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.)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11 200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12 074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13 056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13 363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14 543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16 034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8 827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9 189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9 745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9 756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10 615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11 681</w:t>
            </w:r>
          </w:p>
        </w:tc>
      </w:tr>
      <w:tr w:rsidR="00470D41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Velké (250 a více)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16 226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15 319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15 799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17 373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20 137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21 735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13 452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12 266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12 732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14 321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16 338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16 944</w:t>
            </w:r>
          </w:p>
        </w:tc>
      </w:tr>
      <w:tr w:rsidR="00470D41" w:rsidRPr="00A0109B" w:rsidTr="004605BC">
        <w:trPr>
          <w:trHeight w:val="227"/>
        </w:trPr>
        <w:tc>
          <w:tcPr>
            <w:tcW w:w="965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Pr="009F6BA3" w:rsidRDefault="00470D41" w:rsidP="004605BC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podle typu pracovní činnosti 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70D41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Výzkumní pracovníci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15 471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15 050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15 184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16 698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18 326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19 882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13 253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12 657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12 661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13 958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15 444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16 766</w:t>
            </w:r>
          </w:p>
        </w:tc>
      </w:tr>
      <w:tr w:rsidR="00470D41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Techničtí pracovníci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12 508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13 069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14 837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16 097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17 559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9 541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9 838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10 299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11 021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11 676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12 254</w:t>
            </w:r>
          </w:p>
        </w:tc>
      </w:tr>
      <w:tr w:rsidR="00470D41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Ostatní pracovníci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4 766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5 362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6 435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6 879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8 020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7 843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3 275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3 388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4 038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4 531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5 103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41" w:rsidRDefault="00470D4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4 694</w:t>
            </w:r>
          </w:p>
        </w:tc>
      </w:tr>
      <w:tr w:rsidR="00470D41" w:rsidRPr="00A0109B" w:rsidTr="004605BC">
        <w:trPr>
          <w:trHeight w:val="227"/>
        </w:trPr>
        <w:tc>
          <w:tcPr>
            <w:tcW w:w="965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Pr="009F6BA3" w:rsidRDefault="00470D41" w:rsidP="004605BC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podle dosaženého vzdělání (kvalifikace) </w:t>
            </w:r>
          </w:p>
        </w:tc>
      </w:tr>
      <w:tr w:rsidR="006911F1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Doktorské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2 044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2 237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2 381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2 667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2 933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3 166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2 044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2 237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2 005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2 221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2 365</w:t>
            </w:r>
          </w:p>
        </w:tc>
      </w:tr>
      <w:tr w:rsidR="006911F1" w:rsidRPr="00A0109B" w:rsidTr="006911F1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Vysokoškolské a vyšší odborné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F1" w:rsidRDefault="006911F1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17 839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F1" w:rsidRDefault="006911F1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18 137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F1" w:rsidRDefault="006911F1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19 302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F1" w:rsidRDefault="006911F1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21 546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F1" w:rsidRDefault="006911F1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23 793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911F1" w:rsidRDefault="006911F1" w:rsidP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25 437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F1" w:rsidRDefault="006911F1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17 839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F1" w:rsidRDefault="006911F1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18 137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F1" w:rsidRDefault="006911F1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15 081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F1" w:rsidRDefault="006911F1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17 213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F1" w:rsidRDefault="006911F1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18 848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F1" w:rsidRDefault="006911F1" w:rsidP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19 851</w:t>
            </w:r>
          </w:p>
        </w:tc>
      </w:tr>
      <w:tr w:rsidR="006911F1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Střední a nižší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12 863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13 105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13 946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14 201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15 717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16 682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12 863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13 105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10 127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10 291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11 155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11 497</w:t>
            </w:r>
          </w:p>
        </w:tc>
      </w:tr>
      <w:tr w:rsidR="00470D41" w:rsidRPr="00A0109B" w:rsidTr="004605BC">
        <w:trPr>
          <w:trHeight w:val="227"/>
        </w:trPr>
        <w:tc>
          <w:tcPr>
            <w:tcW w:w="965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Pr="009F6BA3" w:rsidRDefault="00470D41" w:rsidP="004605BC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podle odvětvových sekcí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D875C8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Zemědělství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238</w:t>
            </w:r>
          </w:p>
        </w:tc>
      </w:tr>
      <w:tr w:rsidR="00D875C8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Zpracovatelský průmysl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17 996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18 383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19 631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20 525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22 276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23 363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14 517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14 110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14 861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15 903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17 092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17 901</w:t>
            </w:r>
          </w:p>
        </w:tc>
      </w:tr>
      <w:tr w:rsidR="00D875C8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Ostatní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prům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. a staveb.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1 206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645</w:t>
            </w:r>
          </w:p>
        </w:tc>
      </w:tr>
      <w:tr w:rsidR="00D875C8" w:rsidRPr="00A0109B" w:rsidTr="00D875C8">
        <w:trPr>
          <w:trHeight w:val="39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Informační a komunikační činnosti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5C8" w:rsidRDefault="00D875C8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4 224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5C8" w:rsidRDefault="00D875C8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4 239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5C8" w:rsidRDefault="00D875C8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4 584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5C8" w:rsidRDefault="00D875C8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5 513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5C8" w:rsidRDefault="00D875C8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6 350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75C8" w:rsidRDefault="00D875C8" w:rsidP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6 781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5C8" w:rsidRDefault="00D875C8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3 452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5C8" w:rsidRDefault="00D875C8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3 466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5C8" w:rsidRDefault="00D875C8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3 633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5C8" w:rsidRDefault="00D875C8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4 111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5C8" w:rsidRDefault="00D875C8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5 046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5C8" w:rsidRDefault="00D875C8" w:rsidP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5 292</w:t>
            </w:r>
          </w:p>
        </w:tc>
      </w:tr>
      <w:tr w:rsidR="00D875C8" w:rsidRPr="00A0109B" w:rsidTr="00D875C8">
        <w:trPr>
          <w:trHeight w:val="431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 w:rsidP="004605BC">
            <w:pPr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Architekt. a inženýrské</w:t>
            </w:r>
            <w:proofErr w:type="gramEnd"/>
            <w:r>
              <w:rPr>
                <w:rFonts w:cs="Arial"/>
                <w:color w:val="000000"/>
                <w:sz w:val="16"/>
                <w:szCs w:val="16"/>
              </w:rPr>
              <w:t xml:space="preserve"> čin.; technické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zk.a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anal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5C8" w:rsidRDefault="00D875C8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1 736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5C8" w:rsidRDefault="00D875C8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2 115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5C8" w:rsidRDefault="00D875C8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2 323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5C8" w:rsidRDefault="00D875C8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2 699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5C8" w:rsidRDefault="00D875C8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3 133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75C8" w:rsidRDefault="00D875C8" w:rsidP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3 135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5C8" w:rsidRDefault="00D875C8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1 266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5C8" w:rsidRDefault="00D875C8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1 514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5C8" w:rsidRDefault="00D875C8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1 616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5C8" w:rsidRDefault="00D875C8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1 874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5C8" w:rsidRDefault="00D875C8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2 196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5C8" w:rsidRDefault="00D875C8" w:rsidP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2 106</w:t>
            </w:r>
          </w:p>
        </w:tc>
      </w:tr>
      <w:tr w:rsidR="00D875C8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Výzkum a vývoj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4 960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5 033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5 242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5 399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5 515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5 284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4 292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4 471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4 562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4 761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4 825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4 635</w:t>
            </w:r>
          </w:p>
        </w:tc>
      </w:tr>
      <w:tr w:rsidR="00D875C8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Ostatní služby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2 928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2 743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2 885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3 227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3 605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4 882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1 924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1 660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1 708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2 188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2 287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C8" w:rsidRDefault="00D875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2 896</w:t>
            </w:r>
          </w:p>
        </w:tc>
      </w:tr>
      <w:tr w:rsidR="00470D41" w:rsidRPr="00A0109B" w:rsidTr="004605BC">
        <w:trPr>
          <w:trHeight w:val="227"/>
        </w:trPr>
        <w:tc>
          <w:tcPr>
            <w:tcW w:w="965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470D41" w:rsidRPr="009F6BA3" w:rsidRDefault="00470D41" w:rsidP="004605BC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podle krajů ČR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C66E8D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Praha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9 377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8 048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8 204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9 593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11 394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11 648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7 475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6 050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6 304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7 185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8 454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8 567</w:t>
            </w:r>
          </w:p>
        </w:tc>
      </w:tr>
      <w:tr w:rsidR="00C66E8D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Středočeský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4 433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4 610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4 936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5 057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4 782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5 106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3 972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4 107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4 260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4 357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4 150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4 471</w:t>
            </w:r>
          </w:p>
        </w:tc>
      </w:tr>
      <w:tr w:rsidR="00C66E8D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Jihočeský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1 094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1 204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1 287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1 307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1 429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1 043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1 151</w:t>
            </w:r>
          </w:p>
        </w:tc>
      </w:tr>
      <w:tr w:rsidR="00C66E8D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Plzeňský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1 004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1 461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1 635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1 643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2 274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2 041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1 047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1 138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1 294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1 818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1 503</w:t>
            </w:r>
          </w:p>
        </w:tc>
      </w:tr>
      <w:tr w:rsidR="00C66E8D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Karlovarský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</w:tr>
      <w:tr w:rsidR="00C66E8D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Ústecký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1277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1 222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753</w:t>
            </w:r>
          </w:p>
        </w:tc>
      </w:tr>
      <w:tr w:rsidR="00C66E8D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Liberecký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1 180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1 173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1 202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1 218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1 548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1 947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1 008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1 022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1 484</w:t>
            </w:r>
          </w:p>
        </w:tc>
      </w:tr>
      <w:tr w:rsidR="00C66E8D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Královéhradecký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1 512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1 755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1 951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1 920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1 843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2 039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1 130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1 397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1 454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1 460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1 373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1 520</w:t>
            </w:r>
          </w:p>
        </w:tc>
      </w:tr>
      <w:tr w:rsidR="00C66E8D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Pardubický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2 247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2 357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2 619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2 872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2 832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1 927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1 783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1 886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2 067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2 168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2 134</w:t>
            </w:r>
          </w:p>
        </w:tc>
      </w:tr>
      <w:tr w:rsidR="00C66E8D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Vysočina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1 196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869</w:t>
            </w:r>
          </w:p>
        </w:tc>
      </w:tr>
      <w:tr w:rsidR="00C66E8D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Jihomoravský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4 256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5 055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5 531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5 737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6 383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7 536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3 080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3 848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4 068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4 516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5 023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5 513</w:t>
            </w:r>
          </w:p>
        </w:tc>
      </w:tr>
      <w:tr w:rsidR="00C66E8D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Olomoucký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1 517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1 466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1 470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1 630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1 829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1 961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1 152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1 144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1 164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1 310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1 451</w:t>
            </w:r>
          </w:p>
        </w:tc>
      </w:tr>
      <w:tr w:rsidR="00C66E8D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Zlínský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2 097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2 193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2 347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2 456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2 607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1 642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1 607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1 586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1 667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1 688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1 646</w:t>
            </w:r>
          </w:p>
        </w:tc>
      </w:tr>
      <w:tr w:rsidR="00C66E8D" w:rsidRPr="00A0109B" w:rsidTr="004605BC">
        <w:trPr>
          <w:trHeight w:val="227"/>
        </w:trPr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 w:rsidP="004605B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Moravskoslezský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2 324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2 581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2 906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3 307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3 240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3 534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1 701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1 819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1 944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2 304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2 336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2 520</w:t>
            </w:r>
          </w:p>
        </w:tc>
      </w:tr>
    </w:tbl>
    <w:p w:rsidR="00A0109B" w:rsidRPr="007E4A63" w:rsidRDefault="00A0109B" w:rsidP="00A0109B">
      <w:pPr>
        <w:pStyle w:val="Titulek"/>
        <w:rPr>
          <w:sz w:val="18"/>
          <w:szCs w:val="18"/>
        </w:rPr>
      </w:pPr>
      <w:bookmarkStart w:id="9" w:name="_Toc246493267"/>
      <w:bookmarkStart w:id="10" w:name="_Toc343782413"/>
      <w:proofErr w:type="gramStart"/>
      <w:r w:rsidRPr="007E4A63">
        <w:rPr>
          <w:sz w:val="18"/>
          <w:szCs w:val="18"/>
        </w:rPr>
        <w:t xml:space="preserve">Graf </w:t>
      </w:r>
      <w:r w:rsidR="009B7894" w:rsidRPr="007E4A63">
        <w:rPr>
          <w:sz w:val="18"/>
          <w:szCs w:val="18"/>
        </w:rPr>
        <w:fldChar w:fldCharType="begin"/>
      </w:r>
      <w:r w:rsidRPr="007E4A63">
        <w:rPr>
          <w:sz w:val="18"/>
          <w:szCs w:val="18"/>
        </w:rPr>
        <w:instrText xml:space="preserve"> STYLEREF 1 \s </w:instrText>
      </w:r>
      <w:r w:rsidR="009B7894" w:rsidRPr="007E4A63">
        <w:rPr>
          <w:sz w:val="18"/>
          <w:szCs w:val="18"/>
        </w:rPr>
        <w:fldChar w:fldCharType="separate"/>
      </w:r>
      <w:r w:rsidR="002C5411">
        <w:rPr>
          <w:noProof/>
          <w:sz w:val="18"/>
          <w:szCs w:val="18"/>
        </w:rPr>
        <w:t>2</w:t>
      </w:r>
      <w:r w:rsidR="009B7894" w:rsidRPr="007E4A63">
        <w:rPr>
          <w:sz w:val="18"/>
          <w:szCs w:val="18"/>
        </w:rPr>
        <w:fldChar w:fldCharType="end"/>
      </w:r>
      <w:r w:rsidRPr="007E4A63">
        <w:rPr>
          <w:sz w:val="18"/>
          <w:szCs w:val="18"/>
        </w:rPr>
        <w:t>.</w:t>
      </w:r>
      <w:r w:rsidR="009B7894" w:rsidRPr="007E4A63">
        <w:rPr>
          <w:sz w:val="18"/>
          <w:szCs w:val="18"/>
        </w:rPr>
        <w:fldChar w:fldCharType="begin"/>
      </w:r>
      <w:r w:rsidR="00C8514E" w:rsidRPr="007E4A63">
        <w:rPr>
          <w:sz w:val="18"/>
          <w:szCs w:val="18"/>
        </w:rPr>
        <w:instrText xml:space="preserve"> SEQ Graf \* ARABIC \s 1 </w:instrText>
      </w:r>
      <w:r w:rsidR="009B7894" w:rsidRPr="007E4A63">
        <w:rPr>
          <w:sz w:val="18"/>
          <w:szCs w:val="18"/>
        </w:rPr>
        <w:fldChar w:fldCharType="separate"/>
      </w:r>
      <w:r w:rsidR="002C5411">
        <w:rPr>
          <w:noProof/>
          <w:sz w:val="18"/>
          <w:szCs w:val="18"/>
        </w:rPr>
        <w:t>4</w:t>
      </w:r>
      <w:r w:rsidR="009B7894" w:rsidRPr="007E4A63">
        <w:rPr>
          <w:sz w:val="18"/>
          <w:szCs w:val="18"/>
        </w:rPr>
        <w:fldChar w:fldCharType="end"/>
      </w:r>
      <w:r w:rsidRPr="007E4A63">
        <w:rPr>
          <w:sz w:val="18"/>
          <w:szCs w:val="18"/>
        </w:rPr>
        <w:t>:</w:t>
      </w:r>
      <w:proofErr w:type="gramEnd"/>
      <w:r w:rsidRPr="007E4A63">
        <w:rPr>
          <w:sz w:val="18"/>
          <w:szCs w:val="18"/>
        </w:rPr>
        <w:t xml:space="preserve"> </w:t>
      </w:r>
      <w:bookmarkEnd w:id="9"/>
      <w:r w:rsidRPr="007E4A63">
        <w:rPr>
          <w:sz w:val="18"/>
          <w:szCs w:val="18"/>
        </w:rPr>
        <w:t xml:space="preserve">Podíl přepočteného počtu zaměstnanců výzkumu a vývoje (FTE) v podnikatelském sektoru na celkovém přepočteném počtu zaměstnanců </w:t>
      </w:r>
      <w:proofErr w:type="spellStart"/>
      <w:r w:rsidRPr="007E4A63">
        <w:rPr>
          <w:sz w:val="18"/>
          <w:szCs w:val="18"/>
        </w:rPr>
        <w:t>VaV</w:t>
      </w:r>
      <w:proofErr w:type="spellEnd"/>
      <w:r w:rsidRPr="007E4A63">
        <w:rPr>
          <w:sz w:val="18"/>
          <w:szCs w:val="18"/>
        </w:rPr>
        <w:t>, 20</w:t>
      </w:r>
      <w:r w:rsidR="004704BA" w:rsidRPr="007E4A63">
        <w:rPr>
          <w:sz w:val="18"/>
          <w:szCs w:val="18"/>
        </w:rPr>
        <w:t>1</w:t>
      </w:r>
      <w:bookmarkEnd w:id="10"/>
      <w:r w:rsidR="009D1766">
        <w:rPr>
          <w:sz w:val="18"/>
          <w:szCs w:val="18"/>
        </w:rPr>
        <w:t>2</w:t>
      </w:r>
      <w:r w:rsidR="00477996">
        <w:rPr>
          <w:sz w:val="18"/>
          <w:szCs w:val="18"/>
        </w:rPr>
        <w:t xml:space="preserve"> (%)</w:t>
      </w:r>
    </w:p>
    <w:p w:rsidR="00A0109B" w:rsidRPr="00A0109B" w:rsidRDefault="007C148C" w:rsidP="00A0109B">
      <w:r w:rsidRPr="007C148C">
        <w:drawing>
          <wp:inline distT="0" distB="0" distL="0" distR="0" wp14:anchorId="15C9E65E" wp14:editId="7D976974">
            <wp:extent cx="5876191" cy="1666667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76191" cy="1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CA9" w:rsidRDefault="00A0109B" w:rsidP="007E4A63">
      <w:pPr>
        <w:pStyle w:val="poznamka"/>
        <w:jc w:val="left"/>
      </w:pPr>
      <w:bookmarkStart w:id="11" w:name="_Toc309047102"/>
      <w:bookmarkStart w:id="12" w:name="_Toc310202480"/>
      <w:bookmarkStart w:id="13" w:name="_Toc309047103"/>
      <w:bookmarkStart w:id="14" w:name="_Toc310202481"/>
      <w:bookmarkEnd w:id="11"/>
      <w:bookmarkEnd w:id="12"/>
      <w:r w:rsidRPr="00A0109B">
        <w:t xml:space="preserve">* </w:t>
      </w:r>
      <w:bookmarkEnd w:id="13"/>
      <w:bookmarkEnd w:id="14"/>
      <w:r w:rsidRPr="00A0109B">
        <w:t>Údaje za rok 20</w:t>
      </w:r>
      <w:r w:rsidR="009D1766">
        <w:t>11</w:t>
      </w:r>
    </w:p>
    <w:p w:rsidR="00A0109B" w:rsidRPr="00A0109B" w:rsidRDefault="00A0109B" w:rsidP="00877CA9">
      <w:pPr>
        <w:pStyle w:val="poznamka"/>
        <w:jc w:val="right"/>
      </w:pPr>
      <w:r w:rsidRPr="00A0109B">
        <w:t xml:space="preserve">Zdroj: OECD </w:t>
      </w:r>
      <w:r w:rsidR="0026473D">
        <w:t>MSTI 201</w:t>
      </w:r>
      <w:r w:rsidR="002257AF">
        <w:t>4</w:t>
      </w:r>
      <w:r w:rsidR="0026473D">
        <w:t>–1</w:t>
      </w:r>
      <w:r w:rsidRPr="00A0109B">
        <w:t xml:space="preserve">, </w:t>
      </w:r>
      <w:proofErr w:type="spellStart"/>
      <w:r w:rsidRPr="00A0109B">
        <w:t>Eurostat</w:t>
      </w:r>
      <w:proofErr w:type="spellEnd"/>
      <w:r w:rsidRPr="00A0109B">
        <w:t xml:space="preserve"> a dopočty ČSÚ</w:t>
      </w:r>
    </w:p>
    <w:p w:rsidR="00941239" w:rsidRDefault="00941239" w:rsidP="00335083">
      <w:pPr>
        <w:pStyle w:val="Nadpis2"/>
        <w:ind w:left="788" w:hanging="431"/>
      </w:pPr>
      <w:r w:rsidRPr="00941239">
        <w:lastRenderedPageBreak/>
        <w:t>Zaměstnanci ve výzkumu a vývoji ve vládním</w:t>
      </w:r>
      <w:r w:rsidRPr="00303017">
        <w:t xml:space="preserve"> sektoru</w:t>
      </w:r>
    </w:p>
    <w:p w:rsidR="00DE3DD2" w:rsidRPr="00DE3DD2" w:rsidRDefault="00DE3DD2" w:rsidP="00DE3DD2"/>
    <w:p w:rsidR="00DE3DD2" w:rsidRDefault="00DE3DD2" w:rsidP="00335083">
      <w:pPr>
        <w:pStyle w:val="Odstavecseseznamem"/>
        <w:spacing w:after="80" w:line="276" w:lineRule="auto"/>
        <w:ind w:left="425" w:hanging="357"/>
        <w:contextualSpacing w:val="0"/>
      </w:pPr>
      <w:bookmarkStart w:id="15" w:name="_Toc246493268"/>
      <w:bookmarkStart w:id="16" w:name="_Toc343782414"/>
      <w:r>
        <w:t xml:space="preserve">Ve vládním sektoru bylo </w:t>
      </w:r>
      <w:r w:rsidR="00410FEE">
        <w:t>na konci roku</w:t>
      </w:r>
      <w:r>
        <w:t xml:space="preserve"> 201</w:t>
      </w:r>
      <w:r w:rsidR="00D41BBF">
        <w:t>3</w:t>
      </w:r>
      <w:r>
        <w:t xml:space="preserve"> zaměstnáno </w:t>
      </w:r>
      <w:r w:rsidR="00CB4C40">
        <w:t xml:space="preserve">ve VaV </w:t>
      </w:r>
      <w:r>
        <w:t xml:space="preserve">14 </w:t>
      </w:r>
      <w:r w:rsidR="00D41BBF">
        <w:t>966</w:t>
      </w:r>
      <w:r>
        <w:t xml:space="preserve"> fyzických osob (HC), což odpovídalo 11 </w:t>
      </w:r>
      <w:r w:rsidR="00D41BBF">
        <w:t>749</w:t>
      </w:r>
      <w:r>
        <w:t xml:space="preserve"> přepočteným osobám (FTE). </w:t>
      </w:r>
      <w:r w:rsidR="00D41BBF">
        <w:t>V obou</w:t>
      </w:r>
      <w:r>
        <w:t xml:space="preserve"> ukazatel</w:t>
      </w:r>
      <w:r w:rsidR="00D41BBF">
        <w:t>ích</w:t>
      </w:r>
      <w:r>
        <w:t xml:space="preserve"> </w:t>
      </w:r>
      <w:r w:rsidR="00D41BBF">
        <w:t>byl zaznamenán</w:t>
      </w:r>
      <w:r>
        <w:t xml:space="preserve"> </w:t>
      </w:r>
      <w:r w:rsidR="007268E0">
        <w:t>přibližně</w:t>
      </w:r>
      <w:r w:rsidR="00D41BBF">
        <w:t xml:space="preserve"> 3% meziroční nárůst</w:t>
      </w:r>
      <w:r>
        <w:t xml:space="preserve">. To samé </w:t>
      </w:r>
      <w:r w:rsidR="005E5E19">
        <w:t>lze</w:t>
      </w:r>
      <w:r>
        <w:t xml:space="preserve"> říci o </w:t>
      </w:r>
      <w:r w:rsidR="007268E0">
        <w:t>ženách</w:t>
      </w:r>
      <w:r>
        <w:t xml:space="preserve"> zaměstnaných ve </w:t>
      </w:r>
      <w:proofErr w:type="spellStart"/>
      <w:r>
        <w:t>VaV</w:t>
      </w:r>
      <w:proofErr w:type="spellEnd"/>
      <w:r>
        <w:t xml:space="preserve"> v </w:t>
      </w:r>
      <w:r w:rsidR="005E5E19">
        <w:t>daném</w:t>
      </w:r>
      <w:r>
        <w:t xml:space="preserve"> sektoru. V roce 201</w:t>
      </w:r>
      <w:r w:rsidR="007268E0">
        <w:t>3</w:t>
      </w:r>
      <w:r>
        <w:t xml:space="preserve"> jich bylo </w:t>
      </w:r>
      <w:r w:rsidR="007268E0">
        <w:t>7</w:t>
      </w:r>
      <w:r w:rsidR="00410FEE">
        <w:t> </w:t>
      </w:r>
      <w:r w:rsidR="007268E0">
        <w:t>077</w:t>
      </w:r>
      <w:r w:rsidR="00410FEE">
        <w:t xml:space="preserve"> (HC), při přepočtu na FTE 5 </w:t>
      </w:r>
      <w:r w:rsidR="007268E0">
        <w:t>453</w:t>
      </w:r>
      <w:r>
        <w:t>. Podíl žen se ve vládním sektoru dlouhodobě pohybuje okolo 4</w:t>
      </w:r>
      <w:r w:rsidR="007268E0">
        <w:t>7</w:t>
      </w:r>
      <w:r>
        <w:t xml:space="preserve"> %.</w:t>
      </w:r>
    </w:p>
    <w:p w:rsidR="00DE3DD2" w:rsidRDefault="00DE3DD2" w:rsidP="00335083">
      <w:pPr>
        <w:pStyle w:val="Odstavecseseznamem"/>
        <w:spacing w:after="80" w:line="276" w:lineRule="auto"/>
        <w:ind w:left="425" w:hanging="357"/>
        <w:contextualSpacing w:val="0"/>
      </w:pPr>
      <w:r>
        <w:t>Nejvýznamnější institucí vládního sektoru</w:t>
      </w:r>
      <w:r w:rsidR="005E5E19">
        <w:t xml:space="preserve"> provádějící </w:t>
      </w:r>
      <w:proofErr w:type="spellStart"/>
      <w:r w:rsidR="005E5E19">
        <w:t>VaV</w:t>
      </w:r>
      <w:proofErr w:type="spellEnd"/>
      <w:r w:rsidR="00003B32">
        <w:t xml:space="preserve"> je Akademie věd ČR </w:t>
      </w:r>
      <w:r w:rsidR="005E5E19">
        <w:t xml:space="preserve">s </w:t>
      </w:r>
      <w:r w:rsidR="007268E0">
        <w:t>dvoutřetinový</w:t>
      </w:r>
      <w:r w:rsidR="005E5E19">
        <w:t>m</w:t>
      </w:r>
      <w:r>
        <w:t xml:space="preserve"> podíl</w:t>
      </w:r>
      <w:r w:rsidR="005E5E19">
        <w:t>em</w:t>
      </w:r>
      <w:r>
        <w:t xml:space="preserve"> na počtu zam</w:t>
      </w:r>
      <w:r w:rsidR="005E5E19">
        <w:t xml:space="preserve">ěstnanců </w:t>
      </w:r>
      <w:proofErr w:type="spellStart"/>
      <w:r w:rsidR="005E5E19">
        <w:t>VaV</w:t>
      </w:r>
      <w:proofErr w:type="spellEnd"/>
      <w:r w:rsidR="005E5E19">
        <w:t xml:space="preserve"> v daném sektoru</w:t>
      </w:r>
      <w:r>
        <w:t>. Na jednotlivých ústavech AV ČR pracovalo ve VaV v roce 201</w:t>
      </w:r>
      <w:r w:rsidR="007268E0">
        <w:t>3</w:t>
      </w:r>
      <w:r>
        <w:t xml:space="preserve"> </w:t>
      </w:r>
      <w:r w:rsidR="007268E0">
        <w:t>celkem</w:t>
      </w:r>
      <w:r>
        <w:t xml:space="preserve"> </w:t>
      </w:r>
      <w:r w:rsidR="007268E0">
        <w:t>7 924</w:t>
      </w:r>
      <w:r>
        <w:t xml:space="preserve"> </w:t>
      </w:r>
      <w:r w:rsidR="007268E0">
        <w:t>přepočtený</w:t>
      </w:r>
      <w:r>
        <w:t>ch osob (</w:t>
      </w:r>
      <w:r w:rsidR="007268E0">
        <w:t>FTE</w:t>
      </w:r>
      <w:r>
        <w:t xml:space="preserve">). Počet zaměstnanců VaV na AV ČR v posledních letech mírně narůstá. </w:t>
      </w:r>
      <w:r w:rsidR="006641C5">
        <w:t>Ve srovnání s rokem 2010 jde o 9% nárůst.</w:t>
      </w:r>
    </w:p>
    <w:p w:rsidR="00DE3DD2" w:rsidRPr="000C52D5" w:rsidRDefault="00DE3DD2" w:rsidP="00335083">
      <w:pPr>
        <w:pStyle w:val="Odstavecseseznamem"/>
        <w:spacing w:after="80" w:line="276" w:lineRule="auto"/>
        <w:ind w:left="425" w:hanging="357"/>
        <w:contextualSpacing w:val="0"/>
      </w:pPr>
      <w:r w:rsidRPr="000C52D5">
        <w:t>Mezi zaměstnanci VaV ve vládním sektoru převažují výzkumní pracovníci (5</w:t>
      </w:r>
      <w:r w:rsidR="000C52D5" w:rsidRPr="000C52D5">
        <w:t>4</w:t>
      </w:r>
      <w:r w:rsidRPr="000C52D5">
        <w:t xml:space="preserve"> %)</w:t>
      </w:r>
      <w:r w:rsidR="000C52D5" w:rsidRPr="000C52D5">
        <w:t xml:space="preserve">. Během posledních tří let mírně narostl počet technických pracovníků. V roce 2013 jich bylo 3 083 přepočtených osob (26 % zaměstnanců </w:t>
      </w:r>
      <w:proofErr w:type="spellStart"/>
      <w:r w:rsidR="000C52D5" w:rsidRPr="000C52D5">
        <w:t>VaV</w:t>
      </w:r>
      <w:proofErr w:type="spellEnd"/>
      <w:r w:rsidR="000C52D5" w:rsidRPr="000C52D5">
        <w:t xml:space="preserve"> ve vládním sektoru oproti 24 % v roce 2010)</w:t>
      </w:r>
    </w:p>
    <w:p w:rsidR="00DE3DD2" w:rsidRPr="00462B9B" w:rsidRDefault="00DE3DD2" w:rsidP="00335083">
      <w:pPr>
        <w:pStyle w:val="Odstavecseseznamem"/>
        <w:spacing w:after="80" w:line="276" w:lineRule="auto"/>
        <w:ind w:left="425" w:hanging="357"/>
        <w:contextualSpacing w:val="0"/>
      </w:pPr>
      <w:r w:rsidRPr="00462B9B">
        <w:t xml:space="preserve">Ve vládním sektoru jednoznačně převažují osoby s vyšším odborným, vysokoškolským nebo doktorským vzděláním (dohromady </w:t>
      </w:r>
      <w:r w:rsidR="005E5E19">
        <w:t>tvoří</w:t>
      </w:r>
      <w:r w:rsidRPr="00462B9B">
        <w:t xml:space="preserve"> 7</w:t>
      </w:r>
      <w:r w:rsidR="00462B9B" w:rsidRPr="00462B9B">
        <w:t>2</w:t>
      </w:r>
      <w:r w:rsidRPr="00462B9B">
        <w:t xml:space="preserve"> %</w:t>
      </w:r>
      <w:r w:rsidR="005E5E19">
        <w:t xml:space="preserve"> zaměstnanců </w:t>
      </w:r>
      <w:proofErr w:type="spellStart"/>
      <w:r w:rsidR="005E5E19">
        <w:t>VaV</w:t>
      </w:r>
      <w:proofErr w:type="spellEnd"/>
      <w:r w:rsidR="005E5E19">
        <w:t xml:space="preserve"> daného sektoru</w:t>
      </w:r>
      <w:r w:rsidRPr="00462B9B">
        <w:t>). Vzdělanostní struktura zaměstnanců VaV ve vládním sektoru zůstává dlouhodobě bez výrazných výkyvů.</w:t>
      </w:r>
    </w:p>
    <w:p w:rsidR="00DE3DD2" w:rsidRPr="00462B9B" w:rsidRDefault="00DE3DD2" w:rsidP="00335083">
      <w:pPr>
        <w:pStyle w:val="Odstavecseseznamem"/>
        <w:spacing w:after="80" w:line="276" w:lineRule="auto"/>
        <w:ind w:left="425" w:hanging="357"/>
        <w:contextualSpacing w:val="0"/>
      </w:pPr>
      <w:r w:rsidRPr="00462B9B">
        <w:t xml:space="preserve">Z vědních oblastí </w:t>
      </w:r>
      <w:r w:rsidR="005F5B5D">
        <w:t xml:space="preserve">se </w:t>
      </w:r>
      <w:r w:rsidRPr="00462B9B">
        <w:t xml:space="preserve">ve vládním sektoru nejvíce osob zabývá </w:t>
      </w:r>
      <w:proofErr w:type="spellStart"/>
      <w:r w:rsidRPr="00462B9B">
        <w:t>VaV</w:t>
      </w:r>
      <w:proofErr w:type="spellEnd"/>
      <w:r w:rsidRPr="00462B9B">
        <w:t xml:space="preserve"> v přírodních věd</w:t>
      </w:r>
      <w:r w:rsidR="009E6B5B">
        <w:t>ách</w:t>
      </w:r>
      <w:r w:rsidRPr="00462B9B">
        <w:t>, jejichž podíl se neustále zvyšuje. V roce 201</w:t>
      </w:r>
      <w:r w:rsidR="00462B9B" w:rsidRPr="00462B9B">
        <w:t>3</w:t>
      </w:r>
      <w:r w:rsidRPr="00462B9B">
        <w:t xml:space="preserve"> pr</w:t>
      </w:r>
      <w:r w:rsidR="007A2FA2">
        <w:t xml:space="preserve">ovádělo </w:t>
      </w:r>
      <w:proofErr w:type="spellStart"/>
      <w:r w:rsidR="007A2FA2">
        <w:t>VaV</w:t>
      </w:r>
      <w:proofErr w:type="spellEnd"/>
      <w:r w:rsidRPr="00462B9B">
        <w:t xml:space="preserve"> v oblasti přírodních věd již </w:t>
      </w:r>
      <w:r w:rsidR="00462B9B" w:rsidRPr="00462B9B">
        <w:t>8</w:t>
      </w:r>
      <w:r w:rsidRPr="00462B9B">
        <w:t> </w:t>
      </w:r>
      <w:r w:rsidR="00462B9B" w:rsidRPr="00462B9B">
        <w:t>782</w:t>
      </w:r>
      <w:r w:rsidRPr="00462B9B">
        <w:t xml:space="preserve"> fyzických osob (HC)</w:t>
      </w:r>
      <w:r w:rsidR="00410FEE" w:rsidRPr="00462B9B">
        <w:t xml:space="preserve">, což odpovídalo </w:t>
      </w:r>
      <w:r w:rsidR="00462B9B" w:rsidRPr="00462B9B">
        <w:t>7 030</w:t>
      </w:r>
      <w:r w:rsidR="00410FEE" w:rsidRPr="00462B9B">
        <w:t xml:space="preserve"> přepočteným osobám (FTE)</w:t>
      </w:r>
      <w:r w:rsidRPr="00462B9B">
        <w:t xml:space="preserve">. </w:t>
      </w:r>
      <w:r w:rsidR="00462B9B" w:rsidRPr="00462B9B">
        <w:t xml:space="preserve">Výraznější nárůst </w:t>
      </w:r>
      <w:r w:rsidRPr="00462B9B">
        <w:t xml:space="preserve">oproti </w:t>
      </w:r>
      <w:r w:rsidR="00462B9B" w:rsidRPr="00462B9B">
        <w:t>předchozímu</w:t>
      </w:r>
      <w:r w:rsidRPr="00462B9B">
        <w:t xml:space="preserve"> roku </w:t>
      </w:r>
      <w:r w:rsidR="00462B9B" w:rsidRPr="00462B9B">
        <w:t>byl zaznamenán u humanitních věd, kde počet přepočtených osob meziročně vzrostl o 15 %</w:t>
      </w:r>
      <w:r w:rsidRPr="00462B9B">
        <w:t>. V rámci AV ČR dominují přírodní vědy ještě výrazněji, v roce 201</w:t>
      </w:r>
      <w:r w:rsidR="00462B9B" w:rsidRPr="00462B9B">
        <w:t>3</w:t>
      </w:r>
      <w:r w:rsidRPr="00462B9B">
        <w:t xml:space="preserve"> v této oblasti pracovalo celých 74 % zaměstnanců VaV </w:t>
      </w:r>
      <w:r w:rsidR="00410FEE" w:rsidRPr="00462B9B">
        <w:t>(</w:t>
      </w:r>
      <w:r w:rsidR="00462B9B" w:rsidRPr="00462B9B">
        <w:t>FTE</w:t>
      </w:r>
      <w:r w:rsidR="00410FEE" w:rsidRPr="00462B9B">
        <w:t xml:space="preserve">) </w:t>
      </w:r>
      <w:r w:rsidRPr="00462B9B">
        <w:t>dané instituce.</w:t>
      </w:r>
    </w:p>
    <w:p w:rsidR="00DE3DD2" w:rsidRPr="00897572" w:rsidRDefault="00DE3DD2" w:rsidP="00335083">
      <w:pPr>
        <w:pStyle w:val="Odstavecseseznamem"/>
        <w:spacing w:after="80" w:line="276" w:lineRule="auto"/>
        <w:ind w:left="425" w:hanging="357"/>
        <w:contextualSpacing w:val="0"/>
      </w:pPr>
      <w:r w:rsidRPr="00897572">
        <w:t xml:space="preserve">Většina pracovišť VaV vládního sektoru se nachází v Praze a pracuje </w:t>
      </w:r>
      <w:r w:rsidR="007A2FA2">
        <w:t>v nich</w:t>
      </w:r>
      <w:r w:rsidRPr="00897572">
        <w:t xml:space="preserve"> 70 % všech zaměstnanců VaV </w:t>
      </w:r>
      <w:r w:rsidR="00410FEE" w:rsidRPr="00897572">
        <w:t xml:space="preserve">(HC) </w:t>
      </w:r>
      <w:r w:rsidRPr="00897572">
        <w:t xml:space="preserve">vládního sektoru. </w:t>
      </w:r>
      <w:r w:rsidR="006B6704">
        <w:t xml:space="preserve">Ve velkém odstupu za Prahou následují Jihomoravský a Středočeský kraj. Ve zbylých 10 krajích </w:t>
      </w:r>
      <w:r w:rsidR="008F54AD">
        <w:t xml:space="preserve">dohromady </w:t>
      </w:r>
      <w:r w:rsidR="006B6704">
        <w:t>nepracuje ani 1</w:t>
      </w:r>
      <w:r w:rsidR="008F54AD">
        <w:t> 000 přepočtených osob.</w:t>
      </w:r>
      <w:r w:rsidR="006B6704">
        <w:t xml:space="preserve"> </w:t>
      </w:r>
      <w:r w:rsidRPr="00897572">
        <w:t xml:space="preserve">Jak krajské rozdělení </w:t>
      </w:r>
      <w:r w:rsidR="00317E3D" w:rsidRPr="00897572">
        <w:t xml:space="preserve">počtu </w:t>
      </w:r>
      <w:r w:rsidRPr="00897572">
        <w:t>pracovišť VaV, tak počet zaměstnanců VaV zůstává ve vládním sektoru dlouhodobě téměř beze změn.</w:t>
      </w:r>
    </w:p>
    <w:p w:rsidR="00432AA3" w:rsidRPr="00897572" w:rsidRDefault="004D5A6E" w:rsidP="00335083">
      <w:pPr>
        <w:pStyle w:val="Odstavecseseznamem"/>
        <w:spacing w:after="80" w:line="276" w:lineRule="auto"/>
        <w:ind w:left="425" w:hanging="357"/>
        <w:contextualSpacing w:val="0"/>
      </w:pPr>
      <w:r w:rsidRPr="00897572">
        <w:t>Na dohody o provedení práce nebo o pracovní činnosti bylo v roce 201</w:t>
      </w:r>
      <w:r w:rsidR="00897572" w:rsidRPr="00897572">
        <w:t>3</w:t>
      </w:r>
      <w:r w:rsidRPr="00897572">
        <w:t xml:space="preserve"> zaměstnáno ve VaV ve vládním sektoru </w:t>
      </w:r>
      <w:r w:rsidR="00897572" w:rsidRPr="00897572">
        <w:t>508</w:t>
      </w:r>
      <w:r w:rsidRPr="00897572">
        <w:t xml:space="preserve"> přepočtených osob</w:t>
      </w:r>
      <w:r w:rsidR="00BA0B8E" w:rsidRPr="00897572">
        <w:t xml:space="preserve"> (FTE)</w:t>
      </w:r>
      <w:r w:rsidRPr="00897572">
        <w:t xml:space="preserve">, které prací na </w:t>
      </w:r>
      <w:proofErr w:type="spellStart"/>
      <w:r w:rsidRPr="00897572">
        <w:t>VaV</w:t>
      </w:r>
      <w:proofErr w:type="spellEnd"/>
      <w:r w:rsidRPr="00897572">
        <w:t xml:space="preserve"> strávily celkem </w:t>
      </w:r>
      <w:r w:rsidR="00897572" w:rsidRPr="00897572">
        <w:t>1,0</w:t>
      </w:r>
      <w:r w:rsidR="000E780F" w:rsidRPr="00897572">
        <w:t xml:space="preserve"> mil.</w:t>
      </w:r>
      <w:r w:rsidRPr="00897572">
        <w:t xml:space="preserve"> hodin a na celkovém počtu přepočtených osob ve VaV</w:t>
      </w:r>
      <w:r w:rsidR="000E780F" w:rsidRPr="00897572">
        <w:t xml:space="preserve"> ve vládním sektoru</w:t>
      </w:r>
      <w:r w:rsidRPr="00897572">
        <w:t xml:space="preserve"> se podílely </w:t>
      </w:r>
      <w:r w:rsidR="00897572" w:rsidRPr="00897572">
        <w:t>4,3</w:t>
      </w:r>
      <w:r w:rsidRPr="00897572">
        <w:t xml:space="preserve"> %.</w:t>
      </w:r>
    </w:p>
    <w:p w:rsidR="006D2238" w:rsidRPr="004A5D75" w:rsidRDefault="00DE3DD2" w:rsidP="00335083">
      <w:pPr>
        <w:pStyle w:val="Odstavecseseznamem"/>
        <w:spacing w:line="276" w:lineRule="auto"/>
        <w:ind w:left="425" w:hanging="357"/>
      </w:pPr>
      <w:r w:rsidRPr="004A5D75">
        <w:t xml:space="preserve">V EU28 bylo v roce </w:t>
      </w:r>
      <w:r w:rsidR="005F5B5D">
        <w:t>2012</w:t>
      </w:r>
      <w:r w:rsidR="005F5B5D" w:rsidRPr="004A5D75">
        <w:t xml:space="preserve"> </w:t>
      </w:r>
      <w:r w:rsidRPr="004A5D75">
        <w:t xml:space="preserve">ve vládním sektoru zaměstnáno </w:t>
      </w:r>
      <w:r w:rsidR="007A2FA2">
        <w:t>přibližně</w:t>
      </w:r>
      <w:r w:rsidRPr="004A5D75">
        <w:t xml:space="preserve"> 350 tisíc přepočtených osob (FTE), z celkového počtu zaměstnanců </w:t>
      </w:r>
      <w:proofErr w:type="spellStart"/>
      <w:r w:rsidRPr="004A5D75">
        <w:t>VaV</w:t>
      </w:r>
      <w:proofErr w:type="spellEnd"/>
      <w:r w:rsidRPr="004A5D75">
        <w:t xml:space="preserve"> to bylo 1</w:t>
      </w:r>
      <w:r w:rsidR="005D6872" w:rsidRPr="004A5D75">
        <w:t>3</w:t>
      </w:r>
      <w:r w:rsidRPr="004A5D75">
        <w:t xml:space="preserve"> %. Pro postkomunistické státy je typická vyšší míra zaměstnanosti ve vládním sektoru (přes 20 %), pro státy západní Evropy </w:t>
      </w:r>
      <w:r w:rsidR="004A5D75" w:rsidRPr="004A5D75">
        <w:t>naopak</w:t>
      </w:r>
      <w:r w:rsidRPr="004A5D75">
        <w:t xml:space="preserve"> nižší míra (</w:t>
      </w:r>
      <w:r w:rsidR="004A5D75" w:rsidRPr="004A5D75">
        <w:t>3</w:t>
      </w:r>
      <w:r w:rsidRPr="004A5D75">
        <w:t>-20 %). Nejvíce zaměstnanců VaV ve vládním sektoru pracuje v</w:t>
      </w:r>
      <w:r w:rsidR="004D5A6E" w:rsidRPr="004A5D75">
        <w:t> </w:t>
      </w:r>
      <w:r w:rsidRPr="004A5D75">
        <w:t>Německu</w:t>
      </w:r>
      <w:r w:rsidR="004D5A6E" w:rsidRPr="004A5D75">
        <w:t xml:space="preserve"> (</w:t>
      </w:r>
      <w:r w:rsidR="00640910" w:rsidRPr="004A5D75">
        <w:t>9</w:t>
      </w:r>
      <w:r w:rsidR="004A5D75" w:rsidRPr="004A5D75">
        <w:t>6</w:t>
      </w:r>
      <w:r w:rsidR="00640910" w:rsidRPr="004A5D75">
        <w:t xml:space="preserve"> tisíc přepočtených osob</w:t>
      </w:r>
      <w:r w:rsidR="004D5A6E" w:rsidRPr="004A5D75">
        <w:t>)</w:t>
      </w:r>
      <w:r w:rsidRPr="004A5D75">
        <w:t>, takřka dvojnásobek oproti druhé v pořadí Francii.</w:t>
      </w:r>
    </w:p>
    <w:p w:rsidR="00335083" w:rsidRDefault="00335083" w:rsidP="00941239">
      <w:pPr>
        <w:pStyle w:val="Titulek"/>
        <w:rPr>
          <w:sz w:val="18"/>
          <w:szCs w:val="18"/>
        </w:rPr>
      </w:pPr>
    </w:p>
    <w:p w:rsidR="00DE3DD2" w:rsidRPr="00335083" w:rsidRDefault="00941239" w:rsidP="00335083">
      <w:pPr>
        <w:pStyle w:val="Titulek"/>
        <w:spacing w:after="160"/>
        <w:rPr>
          <w:sz w:val="18"/>
          <w:szCs w:val="18"/>
        </w:rPr>
      </w:pPr>
      <w:proofErr w:type="gramStart"/>
      <w:r w:rsidRPr="00DE3DD2">
        <w:rPr>
          <w:sz w:val="18"/>
          <w:szCs w:val="18"/>
        </w:rPr>
        <w:t xml:space="preserve">Graf </w:t>
      </w:r>
      <w:r w:rsidR="009B7894" w:rsidRPr="00DE3DD2">
        <w:rPr>
          <w:sz w:val="18"/>
          <w:szCs w:val="18"/>
        </w:rPr>
        <w:fldChar w:fldCharType="begin"/>
      </w:r>
      <w:r w:rsidRPr="00DE3DD2">
        <w:rPr>
          <w:sz w:val="18"/>
          <w:szCs w:val="18"/>
        </w:rPr>
        <w:instrText xml:space="preserve"> STYLEREF 1 \s </w:instrText>
      </w:r>
      <w:r w:rsidR="009B7894" w:rsidRPr="00DE3DD2">
        <w:rPr>
          <w:sz w:val="18"/>
          <w:szCs w:val="18"/>
        </w:rPr>
        <w:fldChar w:fldCharType="separate"/>
      </w:r>
      <w:r w:rsidR="002C5411">
        <w:rPr>
          <w:noProof/>
          <w:sz w:val="18"/>
          <w:szCs w:val="18"/>
        </w:rPr>
        <w:t>2</w:t>
      </w:r>
      <w:r w:rsidR="009B7894" w:rsidRPr="00DE3DD2">
        <w:rPr>
          <w:sz w:val="18"/>
          <w:szCs w:val="18"/>
        </w:rPr>
        <w:fldChar w:fldCharType="end"/>
      </w:r>
      <w:r w:rsidRPr="00DE3DD2">
        <w:rPr>
          <w:sz w:val="18"/>
          <w:szCs w:val="18"/>
        </w:rPr>
        <w:t>.</w:t>
      </w:r>
      <w:r w:rsidR="009B7894" w:rsidRPr="00DE3DD2">
        <w:rPr>
          <w:sz w:val="18"/>
          <w:szCs w:val="18"/>
        </w:rPr>
        <w:fldChar w:fldCharType="begin"/>
      </w:r>
      <w:r w:rsidR="00C8514E" w:rsidRPr="00DE3DD2">
        <w:rPr>
          <w:sz w:val="18"/>
          <w:szCs w:val="18"/>
        </w:rPr>
        <w:instrText xml:space="preserve"> SEQ Graf \* ARABIC \s 1 </w:instrText>
      </w:r>
      <w:r w:rsidR="009B7894" w:rsidRPr="00DE3DD2">
        <w:rPr>
          <w:sz w:val="18"/>
          <w:szCs w:val="18"/>
        </w:rPr>
        <w:fldChar w:fldCharType="separate"/>
      </w:r>
      <w:r w:rsidR="002C5411">
        <w:rPr>
          <w:noProof/>
          <w:sz w:val="18"/>
          <w:szCs w:val="18"/>
        </w:rPr>
        <w:t>5</w:t>
      </w:r>
      <w:r w:rsidR="009B7894" w:rsidRPr="00DE3DD2">
        <w:rPr>
          <w:sz w:val="18"/>
          <w:szCs w:val="18"/>
        </w:rPr>
        <w:fldChar w:fldCharType="end"/>
      </w:r>
      <w:r w:rsidRPr="00DE3DD2">
        <w:rPr>
          <w:sz w:val="18"/>
          <w:szCs w:val="18"/>
        </w:rPr>
        <w:t>:</w:t>
      </w:r>
      <w:proofErr w:type="gramEnd"/>
      <w:r w:rsidRPr="00DE3DD2">
        <w:rPr>
          <w:sz w:val="18"/>
          <w:szCs w:val="18"/>
        </w:rPr>
        <w:t xml:space="preserve"> Počet zaměstnanců výzkumu a vývoje ve vládním sektoru podle druhu pracoviště</w:t>
      </w:r>
      <w:bookmarkEnd w:id="15"/>
      <w:bookmarkEnd w:id="16"/>
    </w:p>
    <w:p w:rsidR="00C12745" w:rsidRDefault="00941239" w:rsidP="009E26F7">
      <w:pPr>
        <w:pStyle w:val="podtitulek"/>
      </w:pPr>
      <w:r w:rsidRPr="00941239">
        <w:t xml:space="preserve">      </w:t>
      </w:r>
      <w:r w:rsidR="006E5045">
        <w:t xml:space="preserve"> </w:t>
      </w:r>
      <w:r w:rsidRPr="00941239">
        <w:t xml:space="preserve">   Evidenční počet k 31.</w:t>
      </w:r>
      <w:r w:rsidR="00AB732D">
        <w:t xml:space="preserve"> </w:t>
      </w:r>
      <w:r w:rsidRPr="00941239">
        <w:t xml:space="preserve">12. (tis. HC) </w:t>
      </w:r>
      <w:r w:rsidRPr="00941239">
        <w:tab/>
      </w:r>
      <w:r w:rsidRPr="00941239">
        <w:tab/>
      </w:r>
      <w:r w:rsidRPr="00941239">
        <w:tab/>
        <w:t xml:space="preserve">   </w:t>
      </w:r>
      <w:r w:rsidR="006E3277">
        <w:t xml:space="preserve">      </w:t>
      </w:r>
      <w:r w:rsidRPr="00941239">
        <w:t xml:space="preserve">  Přepočtený počet (tis. FTE)</w:t>
      </w:r>
      <w:r w:rsidR="00DE3DD2" w:rsidRPr="00DE3DD2">
        <w:rPr>
          <w:noProof/>
          <w:lang w:eastAsia="cs-CZ"/>
        </w:rPr>
        <w:t xml:space="preserve"> </w:t>
      </w:r>
      <w:r w:rsidR="007C148C" w:rsidRPr="007C148C">
        <w:drawing>
          <wp:inline distT="0" distB="0" distL="0" distR="0" wp14:anchorId="2EB51DAF" wp14:editId="754086AE">
            <wp:extent cx="2876191" cy="1628572"/>
            <wp:effectExtent l="0" t="0" r="63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76191" cy="1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148C" w:rsidRPr="007C148C">
        <w:drawing>
          <wp:inline distT="0" distB="0" distL="0" distR="0" wp14:anchorId="18F11930" wp14:editId="7460066C">
            <wp:extent cx="2876191" cy="1628572"/>
            <wp:effectExtent l="0" t="0" r="63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76191" cy="1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C8F" w:rsidRDefault="001A2C8F">
      <w:pPr>
        <w:spacing w:line="240" w:lineRule="auto"/>
      </w:pPr>
    </w:p>
    <w:p w:rsidR="00CF4B2A" w:rsidRDefault="00CF4B2A" w:rsidP="00EC7B10">
      <w:pPr>
        <w:pStyle w:val="Titulektabulky"/>
        <w:rPr>
          <w:sz w:val="18"/>
          <w:szCs w:val="18"/>
        </w:rPr>
      </w:pPr>
      <w:bookmarkStart w:id="17" w:name="_Toc246497409"/>
      <w:bookmarkStart w:id="18" w:name="_Toc343781858"/>
    </w:p>
    <w:p w:rsidR="00AF6955" w:rsidRDefault="00AF6955" w:rsidP="00EC7B10">
      <w:pPr>
        <w:pStyle w:val="Titulektabulky"/>
        <w:rPr>
          <w:sz w:val="18"/>
          <w:szCs w:val="18"/>
        </w:rPr>
      </w:pPr>
    </w:p>
    <w:p w:rsidR="00EC7B10" w:rsidRPr="00DE3DD2" w:rsidRDefault="00EC7B10" w:rsidP="00EC7B10">
      <w:pPr>
        <w:pStyle w:val="Titulektabulky"/>
        <w:rPr>
          <w:sz w:val="18"/>
          <w:szCs w:val="18"/>
        </w:rPr>
      </w:pPr>
      <w:r w:rsidRPr="00DE3DD2">
        <w:rPr>
          <w:sz w:val="18"/>
          <w:szCs w:val="18"/>
        </w:rPr>
        <w:lastRenderedPageBreak/>
        <w:t xml:space="preserve">Tab. </w:t>
      </w:r>
      <w:r w:rsidR="009B7894" w:rsidRPr="00DE3DD2">
        <w:rPr>
          <w:sz w:val="18"/>
          <w:szCs w:val="18"/>
        </w:rPr>
        <w:fldChar w:fldCharType="begin"/>
      </w:r>
      <w:r w:rsidRPr="00DE3DD2">
        <w:rPr>
          <w:sz w:val="18"/>
          <w:szCs w:val="18"/>
        </w:rPr>
        <w:instrText xml:space="preserve"> STYLEREF 1 \s </w:instrText>
      </w:r>
      <w:r w:rsidR="009B7894" w:rsidRPr="00DE3DD2">
        <w:rPr>
          <w:sz w:val="18"/>
          <w:szCs w:val="18"/>
        </w:rPr>
        <w:fldChar w:fldCharType="separate"/>
      </w:r>
      <w:proofErr w:type="gramStart"/>
      <w:r w:rsidR="002C5411">
        <w:rPr>
          <w:noProof/>
          <w:sz w:val="18"/>
          <w:szCs w:val="18"/>
        </w:rPr>
        <w:t>2</w:t>
      </w:r>
      <w:r w:rsidR="009B7894" w:rsidRPr="00DE3DD2">
        <w:rPr>
          <w:sz w:val="18"/>
          <w:szCs w:val="18"/>
        </w:rPr>
        <w:fldChar w:fldCharType="end"/>
      </w:r>
      <w:r w:rsidRPr="00DE3DD2">
        <w:rPr>
          <w:sz w:val="18"/>
          <w:szCs w:val="18"/>
        </w:rPr>
        <w:t>.</w:t>
      </w:r>
      <w:r w:rsidR="009B7894" w:rsidRPr="00DE3DD2">
        <w:rPr>
          <w:sz w:val="18"/>
          <w:szCs w:val="18"/>
        </w:rPr>
        <w:fldChar w:fldCharType="begin"/>
      </w:r>
      <w:r w:rsidR="00C8514E" w:rsidRPr="00DE3DD2">
        <w:rPr>
          <w:sz w:val="18"/>
          <w:szCs w:val="18"/>
        </w:rPr>
        <w:instrText xml:space="preserve"> SEQ Tab. \* ARABIC \s 1 </w:instrText>
      </w:r>
      <w:r w:rsidR="009B7894" w:rsidRPr="00DE3DD2">
        <w:rPr>
          <w:sz w:val="18"/>
          <w:szCs w:val="18"/>
        </w:rPr>
        <w:fldChar w:fldCharType="separate"/>
      </w:r>
      <w:r w:rsidR="002C5411">
        <w:rPr>
          <w:noProof/>
          <w:sz w:val="18"/>
          <w:szCs w:val="18"/>
        </w:rPr>
        <w:t>3</w:t>
      </w:r>
      <w:r w:rsidR="009B7894" w:rsidRPr="00DE3DD2">
        <w:rPr>
          <w:sz w:val="18"/>
          <w:szCs w:val="18"/>
        </w:rPr>
        <w:fldChar w:fldCharType="end"/>
      </w:r>
      <w:r w:rsidRPr="00DE3DD2">
        <w:rPr>
          <w:sz w:val="18"/>
          <w:szCs w:val="18"/>
        </w:rPr>
        <w:t>:</w:t>
      </w:r>
      <w:proofErr w:type="gramEnd"/>
      <w:r w:rsidRPr="00DE3DD2">
        <w:rPr>
          <w:sz w:val="18"/>
          <w:szCs w:val="18"/>
        </w:rPr>
        <w:t xml:space="preserve"> Počet zaměstnaných ve VaV ve vládním sektoru v ČR, </w:t>
      </w:r>
      <w:bookmarkEnd w:id="17"/>
      <w:r w:rsidR="00200028" w:rsidRPr="00DE3DD2">
        <w:rPr>
          <w:sz w:val="18"/>
          <w:szCs w:val="18"/>
        </w:rPr>
        <w:t>200</w:t>
      </w:r>
      <w:r w:rsidR="00C66E8D">
        <w:rPr>
          <w:sz w:val="18"/>
          <w:szCs w:val="18"/>
        </w:rPr>
        <w:t>8</w:t>
      </w:r>
      <w:r w:rsidRPr="00DE3DD2">
        <w:rPr>
          <w:sz w:val="18"/>
          <w:szCs w:val="18"/>
        </w:rPr>
        <w:t>–201</w:t>
      </w:r>
      <w:bookmarkEnd w:id="18"/>
      <w:r w:rsidR="00C66E8D">
        <w:rPr>
          <w:sz w:val="18"/>
          <w:szCs w:val="18"/>
        </w:rPr>
        <w:t>3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5"/>
        <w:gridCol w:w="640"/>
        <w:gridCol w:w="639"/>
        <w:gridCol w:w="639"/>
        <w:gridCol w:w="639"/>
        <w:gridCol w:w="639"/>
        <w:gridCol w:w="639"/>
        <w:gridCol w:w="639"/>
        <w:gridCol w:w="639"/>
        <w:gridCol w:w="653"/>
        <w:gridCol w:w="688"/>
        <w:gridCol w:w="688"/>
        <w:gridCol w:w="687"/>
      </w:tblGrid>
      <w:tr w:rsidR="00200028" w:rsidRPr="00200028" w:rsidTr="002C6E4A">
        <w:trPr>
          <w:trHeight w:val="232"/>
        </w:trPr>
        <w:tc>
          <w:tcPr>
            <w:tcW w:w="18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6600"/>
            <w:vAlign w:val="bottom"/>
            <w:hideMark/>
          </w:tcPr>
          <w:p w:rsidR="00200028" w:rsidRPr="00200028" w:rsidRDefault="00200028" w:rsidP="00200028">
            <w:pPr>
              <w:spacing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bookmarkStart w:id="19" w:name="_Toc246493269"/>
            <w:r w:rsidRPr="0020002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35" w:type="dxa"/>
            <w:gridSpan w:val="6"/>
            <w:tcBorders>
              <w:top w:val="single" w:sz="8" w:space="0" w:color="auto"/>
              <w:left w:val="nil"/>
              <w:bottom w:val="nil"/>
              <w:right w:val="dotted" w:sz="4" w:space="0" w:color="000000"/>
            </w:tcBorders>
            <w:shd w:val="clear" w:color="000000" w:fill="FF6600"/>
            <w:noWrap/>
            <w:vAlign w:val="bottom"/>
            <w:hideMark/>
          </w:tcPr>
          <w:p w:rsidR="00200028" w:rsidRPr="00200028" w:rsidRDefault="00200028" w:rsidP="002000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Evidenční počet k 31.</w:t>
            </w:r>
            <w:r w:rsidR="00AB732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 </w:t>
            </w:r>
            <w:r w:rsidRPr="0020002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12. (HC)</w:t>
            </w:r>
          </w:p>
        </w:tc>
        <w:tc>
          <w:tcPr>
            <w:tcW w:w="399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6600"/>
            <w:vAlign w:val="bottom"/>
            <w:hideMark/>
          </w:tcPr>
          <w:p w:rsidR="00200028" w:rsidRPr="00200028" w:rsidRDefault="00200028" w:rsidP="002000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Průměrný přepočtený počet (FTE)</w:t>
            </w:r>
          </w:p>
        </w:tc>
      </w:tr>
      <w:tr w:rsidR="00C66E8D" w:rsidRPr="00200028" w:rsidTr="00944723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vAlign w:val="bottom"/>
            <w:hideMark/>
          </w:tcPr>
          <w:p w:rsidR="00C66E8D" w:rsidRPr="00200028" w:rsidRDefault="00C66E8D" w:rsidP="002000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C66E8D" w:rsidRDefault="00C66E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C66E8D" w:rsidRDefault="00C66E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C66E8D" w:rsidRDefault="00C66E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C66E8D" w:rsidRDefault="00C66E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C66E8D" w:rsidRDefault="00C66E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C66E8D" w:rsidRDefault="00C66E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2013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2013</w:t>
            </w:r>
          </w:p>
        </w:tc>
      </w:tr>
      <w:tr w:rsidR="00C66E8D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C66E8D" w:rsidRPr="00200028" w:rsidRDefault="00C66E8D" w:rsidP="004605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15 091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14 776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14 058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14 335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14 484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FAC090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14 966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11 386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11 180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10 926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11 133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11 345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11 749</w:t>
            </w:r>
          </w:p>
        </w:tc>
      </w:tr>
      <w:tr w:rsidR="00C66E8D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Pr="00200028" w:rsidRDefault="00C66E8D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 toho ženy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7 018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6 916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6 655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6 840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6 885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7 077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5 298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5 197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5 018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5 188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5 270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5 453</w:t>
            </w:r>
          </w:p>
        </w:tc>
      </w:tr>
      <w:tr w:rsidR="00C66E8D" w:rsidRPr="00200028" w:rsidTr="004605BC">
        <w:trPr>
          <w:trHeight w:val="261"/>
        </w:trPr>
        <w:tc>
          <w:tcPr>
            <w:tcW w:w="4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Pr="00200028" w:rsidRDefault="00C66E8D" w:rsidP="004605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podle druhu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</w:t>
            </w: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racoviště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66E8D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Pr="00200028" w:rsidRDefault="00C66E8D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Pracoviště AV ČR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9 323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9 181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9 130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9 434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9 962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7 496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7 396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7 261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7 429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7 609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7 924</w:t>
            </w:r>
          </w:p>
        </w:tc>
      </w:tr>
      <w:tr w:rsidR="00C66E8D" w:rsidRPr="00200028" w:rsidTr="00C66E8D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Pr="00200028" w:rsidRDefault="00C66E8D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Resortní výzkumná pracoviště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E8D" w:rsidRDefault="00C66E8D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E8D" w:rsidRDefault="00C66E8D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2 603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E8D" w:rsidRDefault="00C66E8D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E8D" w:rsidRDefault="00C66E8D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2 683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E8D" w:rsidRDefault="00C66E8D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2 666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6E8D" w:rsidRDefault="00C66E8D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E8D" w:rsidRDefault="00C66E8D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E8D" w:rsidRDefault="00C66E8D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2 308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E8D" w:rsidRDefault="00C66E8D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2 415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E8D" w:rsidRDefault="00C66E8D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2 502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E8D" w:rsidRDefault="00C66E8D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2 439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E8D" w:rsidRDefault="00C66E8D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2 380</w:t>
            </w:r>
          </w:p>
        </w:tc>
      </w:tr>
      <w:tr w:rsidR="00C66E8D" w:rsidRPr="00200028" w:rsidTr="00C66E8D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Pr="00200028" w:rsidRDefault="00C66E8D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Knihovny, archívy, muzea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E8D" w:rsidRDefault="00C66E8D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1 463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E8D" w:rsidRDefault="00C66E8D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1 473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E8D" w:rsidRDefault="00C66E8D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E8D" w:rsidRDefault="00C66E8D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E8D" w:rsidRDefault="00C66E8D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1 273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6E8D" w:rsidRDefault="00C66E8D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1 433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E8D" w:rsidRDefault="00C66E8D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E8D" w:rsidRDefault="00C66E8D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E8D" w:rsidRDefault="00C66E8D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E8D" w:rsidRDefault="00C66E8D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E8D" w:rsidRDefault="00C66E8D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E8D" w:rsidRDefault="00C66E8D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904</w:t>
            </w:r>
          </w:p>
        </w:tc>
      </w:tr>
      <w:tr w:rsidR="00C66E8D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Pr="00200028" w:rsidRDefault="00C66E8D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Ostatní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542</w:t>
            </w:r>
          </w:p>
        </w:tc>
      </w:tr>
      <w:tr w:rsidR="00C66E8D" w:rsidRPr="00200028" w:rsidTr="004605BC">
        <w:trPr>
          <w:trHeight w:val="232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Pr="00200028" w:rsidRDefault="00C66E8D" w:rsidP="004605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podle typu pracovní činnosti </w:t>
            </w: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66E8D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Pr="00200028" w:rsidRDefault="00C66E8D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Výzkumní pracovníci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9 611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8 412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8 016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8 220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7 985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8 413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7 084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6 270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6 244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6 235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6 066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6 326</w:t>
            </w:r>
          </w:p>
        </w:tc>
      </w:tr>
      <w:tr w:rsidR="00C66E8D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Pr="00200028" w:rsidRDefault="00C66E8D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Techničtí pracovníci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3 276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4 015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3 579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3 564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3 792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3 006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2 666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2 569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2 749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3 083</w:t>
            </w:r>
          </w:p>
        </w:tc>
      </w:tr>
      <w:tr w:rsidR="00C66E8D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Pr="00200028" w:rsidRDefault="00C66E8D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Ostatní pracovníci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2 463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2 935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1 905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2 016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2328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2 530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2 340</w:t>
            </w:r>
          </w:p>
        </w:tc>
      </w:tr>
      <w:tr w:rsidR="00C66E8D" w:rsidRPr="00200028" w:rsidTr="004605BC">
        <w:trPr>
          <w:trHeight w:val="232"/>
        </w:trPr>
        <w:tc>
          <w:tcPr>
            <w:tcW w:w="3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Pr="00200028" w:rsidRDefault="00C66E8D" w:rsidP="00FF7F8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dosaženého vzdělání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911F1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Pr="00200028" w:rsidRDefault="006911F1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Doktorské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4 695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4 593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4 355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4 747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4 654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4 877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3 668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3 590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3 456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3 724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3 707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3 842</w:t>
            </w:r>
          </w:p>
        </w:tc>
      </w:tr>
      <w:tr w:rsidR="006911F1" w:rsidRPr="00200028" w:rsidTr="006911F1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Pr="00200028" w:rsidRDefault="006911F1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Vysokoškolské a vyšší odborné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F1" w:rsidRDefault="006911F1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6 168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F1" w:rsidRDefault="006911F1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6 062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F1" w:rsidRDefault="006911F1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5 765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F1" w:rsidRDefault="006911F1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5 593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F1" w:rsidRDefault="006911F1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5 638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F1" w:rsidRDefault="006911F1" w:rsidP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5 847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F1" w:rsidRDefault="006911F1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4 443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F1" w:rsidRDefault="006911F1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4 390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F1" w:rsidRDefault="006911F1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4 298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F1" w:rsidRDefault="006911F1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4 252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F1" w:rsidRDefault="006911F1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4 269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F1" w:rsidRDefault="006911F1" w:rsidP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4 453</w:t>
            </w:r>
          </w:p>
        </w:tc>
      </w:tr>
      <w:tr w:rsidR="006911F1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Pr="00200028" w:rsidRDefault="006911F1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Střední a nižší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4 121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3 937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3 995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4 192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3 275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3 201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3 172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3 157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3 370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F1" w:rsidRDefault="006911F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3 455</w:t>
            </w:r>
          </w:p>
        </w:tc>
      </w:tr>
      <w:tr w:rsidR="00C66E8D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Pr="00200028" w:rsidRDefault="00C66E8D" w:rsidP="004605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vědních oblastí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66E8D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Pr="00200028" w:rsidRDefault="00C66E8D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Přírodní vědy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7 726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7 665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7 607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7 695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8 465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8 782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6 192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6 201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6 003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6 041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6 784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7 030</w:t>
            </w:r>
          </w:p>
        </w:tc>
      </w:tr>
      <w:tr w:rsidR="00C66E8D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Pr="00200028" w:rsidRDefault="00C66E8D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Technické vědy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1 283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1 046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1 227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1 059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881</w:t>
            </w:r>
          </w:p>
        </w:tc>
      </w:tr>
      <w:tr w:rsidR="00C66E8D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Pr="00200028" w:rsidRDefault="00C66E8D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Lékařské vědy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1 259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1 147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618</w:t>
            </w:r>
          </w:p>
        </w:tc>
      </w:tr>
      <w:tr w:rsidR="00C66E8D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Pr="00200028" w:rsidRDefault="00C66E8D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Zemědělské vědy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765</w:t>
            </w:r>
          </w:p>
        </w:tc>
      </w:tr>
      <w:tr w:rsidR="00C66E8D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Pr="00200028" w:rsidRDefault="00C66E8D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Sociální vědy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627</w:t>
            </w:r>
          </w:p>
        </w:tc>
      </w:tr>
      <w:tr w:rsidR="00C66E8D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Pr="00200028" w:rsidRDefault="00C66E8D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Humanitní vědy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2 338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2 455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1 566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1 534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1 446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1 572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1 584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1 828</w:t>
            </w:r>
          </w:p>
        </w:tc>
      </w:tr>
      <w:tr w:rsidR="00C66E8D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Pr="00200028" w:rsidRDefault="00C66E8D" w:rsidP="004605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krajů ČR</w:t>
            </w: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Default="00C66E8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66E8D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Pr="00200028" w:rsidRDefault="00C66E8D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Praha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10 116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9 940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9 677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9 821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10 139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10 496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7 759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7 666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7 656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7 766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7 917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8 215</w:t>
            </w:r>
          </w:p>
        </w:tc>
      </w:tr>
      <w:tr w:rsidR="00C66E8D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Pr="00200028" w:rsidRDefault="00C66E8D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Středočeský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1 357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1 282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1 282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1 262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1 112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1 049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1 066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1 016</w:t>
            </w:r>
          </w:p>
        </w:tc>
      </w:tr>
      <w:tr w:rsidR="00C66E8D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Pr="00200028" w:rsidRDefault="00C66E8D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524</w:t>
            </w:r>
          </w:p>
        </w:tc>
      </w:tr>
      <w:tr w:rsidR="00C66E8D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Pr="00200028" w:rsidRDefault="00C66E8D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Plzeňský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</w:tr>
      <w:tr w:rsidR="00C66E8D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Pr="00200028" w:rsidRDefault="00C66E8D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Karlovarský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C66E8D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Pr="00200028" w:rsidRDefault="00C66E8D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Ústecký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</w:tr>
      <w:tr w:rsidR="00C66E8D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Pr="00200028" w:rsidRDefault="00C66E8D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Liberecký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</w:tr>
      <w:tr w:rsidR="00C66E8D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Pr="00200028" w:rsidRDefault="00C66E8D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</w:tr>
      <w:tr w:rsidR="00C66E8D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Pr="00200028" w:rsidRDefault="00C66E8D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</w:tr>
      <w:tr w:rsidR="00C66E8D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Pr="00200028" w:rsidRDefault="00C66E8D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</w:tr>
      <w:tr w:rsidR="00C66E8D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Pr="00200028" w:rsidRDefault="00C66E8D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1 945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1 787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1 898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1 297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1 215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1 361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1 490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1 543</w:t>
            </w:r>
          </w:p>
        </w:tc>
      </w:tr>
      <w:tr w:rsidR="00C66E8D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Pr="00200028" w:rsidRDefault="00C66E8D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</w:tr>
      <w:tr w:rsidR="00C66E8D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Pr="00200028" w:rsidRDefault="00C66E8D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C66E8D" w:rsidRPr="00200028" w:rsidTr="004605BC">
        <w:trPr>
          <w:trHeight w:val="232"/>
        </w:trPr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Pr="00200028" w:rsidRDefault="00C66E8D" w:rsidP="004605B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0002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</w:tr>
    </w:tbl>
    <w:p w:rsidR="002D7F43" w:rsidRDefault="002D7F43" w:rsidP="002D7F43"/>
    <w:p w:rsidR="00EC7B10" w:rsidRPr="00DE3DD2" w:rsidRDefault="00EC7B10" w:rsidP="00EC7B10">
      <w:pPr>
        <w:pStyle w:val="Titulek"/>
        <w:rPr>
          <w:sz w:val="18"/>
          <w:szCs w:val="18"/>
        </w:rPr>
      </w:pPr>
      <w:bookmarkStart w:id="20" w:name="_Toc343782415"/>
      <w:proofErr w:type="gramStart"/>
      <w:r w:rsidRPr="00DE3DD2">
        <w:rPr>
          <w:sz w:val="18"/>
          <w:szCs w:val="18"/>
        </w:rPr>
        <w:t xml:space="preserve">Graf </w:t>
      </w:r>
      <w:r w:rsidR="009B7894" w:rsidRPr="00DE3DD2">
        <w:rPr>
          <w:sz w:val="18"/>
          <w:szCs w:val="18"/>
        </w:rPr>
        <w:fldChar w:fldCharType="begin"/>
      </w:r>
      <w:r w:rsidRPr="00DE3DD2">
        <w:rPr>
          <w:sz w:val="18"/>
          <w:szCs w:val="18"/>
        </w:rPr>
        <w:instrText xml:space="preserve"> STYLEREF 1 \s </w:instrText>
      </w:r>
      <w:r w:rsidR="009B7894" w:rsidRPr="00DE3DD2">
        <w:rPr>
          <w:sz w:val="18"/>
          <w:szCs w:val="18"/>
        </w:rPr>
        <w:fldChar w:fldCharType="separate"/>
      </w:r>
      <w:r w:rsidR="002C5411">
        <w:rPr>
          <w:noProof/>
          <w:sz w:val="18"/>
          <w:szCs w:val="18"/>
        </w:rPr>
        <w:t>2</w:t>
      </w:r>
      <w:r w:rsidR="009B7894" w:rsidRPr="00DE3DD2">
        <w:rPr>
          <w:sz w:val="18"/>
          <w:szCs w:val="18"/>
        </w:rPr>
        <w:fldChar w:fldCharType="end"/>
      </w:r>
      <w:r w:rsidRPr="00DE3DD2">
        <w:rPr>
          <w:sz w:val="18"/>
          <w:szCs w:val="18"/>
        </w:rPr>
        <w:t>.</w:t>
      </w:r>
      <w:r w:rsidR="009B7894" w:rsidRPr="00DE3DD2">
        <w:rPr>
          <w:sz w:val="18"/>
          <w:szCs w:val="18"/>
        </w:rPr>
        <w:fldChar w:fldCharType="begin"/>
      </w:r>
      <w:r w:rsidR="00C8514E" w:rsidRPr="00DE3DD2">
        <w:rPr>
          <w:sz w:val="18"/>
          <w:szCs w:val="18"/>
        </w:rPr>
        <w:instrText xml:space="preserve"> SEQ Graf \* ARABIC \s 1 </w:instrText>
      </w:r>
      <w:r w:rsidR="009B7894" w:rsidRPr="00DE3DD2">
        <w:rPr>
          <w:sz w:val="18"/>
          <w:szCs w:val="18"/>
        </w:rPr>
        <w:fldChar w:fldCharType="separate"/>
      </w:r>
      <w:r w:rsidR="002C5411">
        <w:rPr>
          <w:noProof/>
          <w:sz w:val="18"/>
          <w:szCs w:val="18"/>
        </w:rPr>
        <w:t>6</w:t>
      </w:r>
      <w:r w:rsidR="009B7894" w:rsidRPr="00DE3DD2">
        <w:rPr>
          <w:sz w:val="18"/>
          <w:szCs w:val="18"/>
        </w:rPr>
        <w:fldChar w:fldCharType="end"/>
      </w:r>
      <w:r w:rsidRPr="00DE3DD2">
        <w:rPr>
          <w:sz w:val="18"/>
          <w:szCs w:val="18"/>
        </w:rPr>
        <w:t>:</w:t>
      </w:r>
      <w:proofErr w:type="gramEnd"/>
      <w:r w:rsidRPr="00DE3DD2">
        <w:rPr>
          <w:sz w:val="18"/>
          <w:szCs w:val="18"/>
        </w:rPr>
        <w:t xml:space="preserve"> Podíl přepočteného počtu zaměstnanců výzkumu a vývoje (FTE) ve vládním sektoru na celkovém přepočteném počtu zaměstnanců </w:t>
      </w:r>
      <w:proofErr w:type="spellStart"/>
      <w:r w:rsidRPr="00DE3DD2">
        <w:rPr>
          <w:sz w:val="18"/>
          <w:szCs w:val="18"/>
        </w:rPr>
        <w:t>VaV</w:t>
      </w:r>
      <w:proofErr w:type="spellEnd"/>
      <w:r w:rsidRPr="00DE3DD2">
        <w:rPr>
          <w:sz w:val="18"/>
          <w:szCs w:val="18"/>
        </w:rPr>
        <w:t>, 20</w:t>
      </w:r>
      <w:r w:rsidR="004704BA" w:rsidRPr="00DE3DD2">
        <w:rPr>
          <w:sz w:val="18"/>
          <w:szCs w:val="18"/>
        </w:rPr>
        <w:t>1</w:t>
      </w:r>
      <w:r w:rsidR="009D1766">
        <w:rPr>
          <w:sz w:val="18"/>
          <w:szCs w:val="18"/>
        </w:rPr>
        <w:t>2</w:t>
      </w:r>
      <w:r w:rsidRPr="00DE3DD2">
        <w:rPr>
          <w:sz w:val="18"/>
          <w:szCs w:val="18"/>
        </w:rPr>
        <w:t xml:space="preserve"> (%)</w:t>
      </w:r>
      <w:bookmarkEnd w:id="19"/>
      <w:bookmarkEnd w:id="20"/>
    </w:p>
    <w:p w:rsidR="00EC7B10" w:rsidRPr="00EC7B10" w:rsidRDefault="007C148C" w:rsidP="00EC7B10">
      <w:r w:rsidRPr="007C148C">
        <w:drawing>
          <wp:inline distT="0" distB="0" distL="0" distR="0" wp14:anchorId="60C32365" wp14:editId="3931CDE8">
            <wp:extent cx="5885715" cy="1933333"/>
            <wp:effectExtent l="0" t="0" r="127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85715" cy="1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B10" w:rsidRPr="00EC7B10" w:rsidRDefault="0074603C" w:rsidP="00EC7B10">
      <w:pPr>
        <w:pStyle w:val="poznamka"/>
      </w:pPr>
      <w:r>
        <w:t xml:space="preserve">* </w:t>
      </w:r>
      <w:r w:rsidR="009D1766">
        <w:t>Údaje za rok 2011</w:t>
      </w:r>
    </w:p>
    <w:p w:rsidR="00EC7B10" w:rsidRDefault="00EC7B10" w:rsidP="00EC7B10">
      <w:pPr>
        <w:pStyle w:val="zdroj"/>
      </w:pPr>
      <w:r w:rsidRPr="00EC7B10">
        <w:t xml:space="preserve">Zdroj: OECD </w:t>
      </w:r>
      <w:r w:rsidR="002257AF">
        <w:t>MSTI 2014</w:t>
      </w:r>
      <w:r w:rsidR="0026473D">
        <w:t>–1</w:t>
      </w:r>
      <w:r w:rsidRPr="00EC7B10">
        <w:t xml:space="preserve">, </w:t>
      </w:r>
      <w:proofErr w:type="spellStart"/>
      <w:r w:rsidRPr="00EC7B10">
        <w:t>Eurostat</w:t>
      </w:r>
      <w:proofErr w:type="spellEnd"/>
      <w:r w:rsidRPr="00EC7B10">
        <w:t xml:space="preserve"> a dopočty ČSÚ</w:t>
      </w:r>
    </w:p>
    <w:p w:rsidR="001A2C8F" w:rsidRDefault="001A2C8F" w:rsidP="00EC7B10">
      <w:pPr>
        <w:pStyle w:val="zdroj"/>
      </w:pPr>
    </w:p>
    <w:p w:rsidR="00B55990" w:rsidRDefault="00B55990" w:rsidP="00B55990">
      <w:pPr>
        <w:pStyle w:val="Nadpis2"/>
      </w:pPr>
      <w:r w:rsidRPr="00B55990">
        <w:lastRenderedPageBreak/>
        <w:t xml:space="preserve">Zaměstnanci ve výzkumu a vývoji ve </w:t>
      </w:r>
      <w:r w:rsidRPr="009265C9">
        <w:t>vysokoškolském sektoru</w:t>
      </w:r>
    </w:p>
    <w:p w:rsidR="002D56FC" w:rsidRPr="002D56FC" w:rsidRDefault="002D56FC" w:rsidP="002D56FC"/>
    <w:p w:rsidR="002D56FC" w:rsidRDefault="002D56FC" w:rsidP="00335083">
      <w:pPr>
        <w:pStyle w:val="Odstavecseseznamem"/>
        <w:spacing w:after="60"/>
        <w:ind w:left="425" w:hanging="357"/>
        <w:contextualSpacing w:val="0"/>
      </w:pPr>
      <w:bookmarkStart w:id="21" w:name="_Toc343782416"/>
      <w:r w:rsidRPr="00C04E77">
        <w:t xml:space="preserve">Ve vysokoškolském sektoru bylo </w:t>
      </w:r>
      <w:r w:rsidR="00CB4C40">
        <w:t>na konci roku</w:t>
      </w:r>
      <w:r>
        <w:t xml:space="preserve"> 201</w:t>
      </w:r>
      <w:r w:rsidR="00245F94">
        <w:t>3</w:t>
      </w:r>
      <w:r>
        <w:t xml:space="preserve"> zaměstnáno</w:t>
      </w:r>
      <w:r w:rsidR="00CB4C40">
        <w:t xml:space="preserve"> ve VaV</w:t>
      </w:r>
      <w:r>
        <w:t xml:space="preserve"> </w:t>
      </w:r>
      <w:r w:rsidR="00A07D9D">
        <w:t>3</w:t>
      </w:r>
      <w:r w:rsidR="00245F94">
        <w:t>2</w:t>
      </w:r>
      <w:r>
        <w:t xml:space="preserve"> </w:t>
      </w:r>
      <w:r w:rsidR="00245F94">
        <w:t>173</w:t>
      </w:r>
      <w:r>
        <w:t xml:space="preserve"> fyzických osob (HC), což odpovídalo 16 </w:t>
      </w:r>
      <w:r w:rsidR="00245F94">
        <w:t>240</w:t>
      </w:r>
      <w:r>
        <w:t xml:space="preserve"> přepočteným osobám (FTE). </w:t>
      </w:r>
      <w:r w:rsidR="00245F94">
        <w:t>Přibližně 40</w:t>
      </w:r>
      <w:r>
        <w:t xml:space="preserve"> </w:t>
      </w:r>
      <w:r w:rsidR="00245F94">
        <w:t xml:space="preserve">% </w:t>
      </w:r>
      <w:r>
        <w:t xml:space="preserve">zaměstnanců </w:t>
      </w:r>
      <w:proofErr w:type="spellStart"/>
      <w:r>
        <w:t>VaV</w:t>
      </w:r>
      <w:proofErr w:type="spellEnd"/>
      <w:r>
        <w:t xml:space="preserve"> tvoří na vysokých školách ženy.</w:t>
      </w:r>
    </w:p>
    <w:p w:rsidR="002D56FC" w:rsidRDefault="002D56FC" w:rsidP="00335083">
      <w:pPr>
        <w:pStyle w:val="Odstavecseseznamem"/>
        <w:spacing w:after="60"/>
        <w:ind w:left="425" w:hanging="357"/>
        <w:contextualSpacing w:val="0"/>
      </w:pPr>
      <w:r>
        <w:t xml:space="preserve">Na </w:t>
      </w:r>
      <w:r w:rsidR="00CB4C40">
        <w:t xml:space="preserve">veřejných a </w:t>
      </w:r>
      <w:r>
        <w:t>státních vysokých školách v roce 201</w:t>
      </w:r>
      <w:r w:rsidR="00245F94">
        <w:t>3</w:t>
      </w:r>
      <w:r>
        <w:t xml:space="preserve"> pracovalo </w:t>
      </w:r>
      <w:r w:rsidR="00245F94">
        <w:t>15 235</w:t>
      </w:r>
      <w:r>
        <w:t xml:space="preserve"> </w:t>
      </w:r>
      <w:r w:rsidR="00245F94">
        <w:t>přepočtených osob ve</w:t>
      </w:r>
      <w:r>
        <w:t xml:space="preserve"> </w:t>
      </w:r>
      <w:proofErr w:type="spellStart"/>
      <w:r>
        <w:t>VaV</w:t>
      </w:r>
      <w:proofErr w:type="spellEnd"/>
      <w:r>
        <w:t xml:space="preserve"> (</w:t>
      </w:r>
      <w:r w:rsidR="00245F94">
        <w:t>94</w:t>
      </w:r>
      <w:r>
        <w:t>% podíl vysokoškolského sektoru). Stále více osob se věnuje VaV na půdě soukromých vysokých škol. Jejich podíl je sice pouze 2,</w:t>
      </w:r>
      <w:r w:rsidR="00245F94">
        <w:t>1</w:t>
      </w:r>
      <w:r>
        <w:t xml:space="preserve"> % (</w:t>
      </w:r>
      <w:r w:rsidR="00245F94">
        <w:t>336</w:t>
      </w:r>
      <w:r>
        <w:t xml:space="preserve"> </w:t>
      </w:r>
      <w:r w:rsidR="00245F94">
        <w:t>přepočten</w:t>
      </w:r>
      <w:r>
        <w:t>ých osob), ale ve srovnání s rokem 200</w:t>
      </w:r>
      <w:r w:rsidR="00245F94">
        <w:t>8</w:t>
      </w:r>
      <w:r>
        <w:t xml:space="preserve"> </w:t>
      </w:r>
      <w:r w:rsidR="00245F94">
        <w:t>jde o více než 100% nárůst.</w:t>
      </w:r>
    </w:p>
    <w:p w:rsidR="002D56FC" w:rsidRPr="00416F40" w:rsidRDefault="002D56FC" w:rsidP="00335083">
      <w:pPr>
        <w:pStyle w:val="Odstavecseseznamem"/>
        <w:spacing w:after="60"/>
        <w:ind w:left="425" w:hanging="357"/>
        <w:contextualSpacing w:val="0"/>
      </w:pPr>
      <w:r w:rsidRPr="00416F40">
        <w:t xml:space="preserve">Pro vysokoškolský sektor je typická nižší hodnota přepočtených osob pracujících ve VaV (FTE). </w:t>
      </w:r>
      <w:r w:rsidR="00CB4C40" w:rsidRPr="00416F40">
        <w:t xml:space="preserve">Tato skutečnost je částečně způsobena i tím, že velké množství výzkumných pracovníků (profesorů a docentů) má pracovní úvazek ve více subjektech najednou. </w:t>
      </w:r>
      <w:r w:rsidR="009E6B5B">
        <w:t>Zaměstnanci</w:t>
      </w:r>
      <w:r w:rsidR="00A75B49">
        <w:t xml:space="preserve"> </w:t>
      </w:r>
      <w:proofErr w:type="spellStart"/>
      <w:r w:rsidR="00A75B49">
        <w:t>VaV</w:t>
      </w:r>
      <w:proofErr w:type="spellEnd"/>
      <w:r w:rsidR="009E6B5B">
        <w:t xml:space="preserve"> veřejných a státních vysokých škol mají nízkou hodnotu podílu přepočtených osob na fyzickýc</w:t>
      </w:r>
      <w:r w:rsidR="00A75B49">
        <w:t>h osobách (55 %). Ještě výrazně nižší je tento podíl u zaměstnanců fakultních nemocnic, kde se pohybuje okolo 19 %.</w:t>
      </w:r>
    </w:p>
    <w:p w:rsidR="002D56FC" w:rsidRPr="00416F40" w:rsidRDefault="002D56FC" w:rsidP="00335083">
      <w:pPr>
        <w:pStyle w:val="Odstavecseseznamem"/>
        <w:spacing w:after="60"/>
        <w:ind w:left="425" w:hanging="357"/>
        <w:contextualSpacing w:val="0"/>
      </w:pPr>
      <w:r w:rsidRPr="00416F40">
        <w:t xml:space="preserve">Poměrné zastoupení zaměstnanců VaV dle jednotlivých pracovních činností je každoročně v podstatě totožné. Nejvíce zaměstnanců VaV se řadí mezi výzkumné pracovníky, na ty připadá celých 70 %. Naopak </w:t>
      </w:r>
      <w:r w:rsidR="00416F40" w:rsidRPr="00416F40">
        <w:t>tzv. ostatní</w:t>
      </w:r>
      <w:r w:rsidRPr="00416F40">
        <w:t xml:space="preserve">ch pracovníků je pouhých </w:t>
      </w:r>
      <w:r w:rsidR="00416F40" w:rsidRPr="00416F40">
        <w:t>9</w:t>
      </w:r>
      <w:r w:rsidRPr="00416F40">
        <w:t xml:space="preserve"> %.</w:t>
      </w:r>
    </w:p>
    <w:p w:rsidR="002D56FC" w:rsidRPr="00416F40" w:rsidRDefault="002D56FC" w:rsidP="00335083">
      <w:pPr>
        <w:pStyle w:val="Odstavecseseznamem"/>
        <w:spacing w:after="60"/>
        <w:ind w:left="425" w:hanging="357"/>
        <w:contextualSpacing w:val="0"/>
      </w:pPr>
      <w:r w:rsidRPr="00416F40">
        <w:t xml:space="preserve">Ve vysokoškolském </w:t>
      </w:r>
      <w:r w:rsidR="00CB4C40" w:rsidRPr="00416F40">
        <w:t>výzkum</w:t>
      </w:r>
      <w:r w:rsidRPr="00416F40">
        <w:t>u byl zjištěn největší podíl zaměstnanců s doktorským vzděláním (5</w:t>
      </w:r>
      <w:r w:rsidR="00416F40" w:rsidRPr="00416F40">
        <w:t>1</w:t>
      </w:r>
      <w:r w:rsidRPr="00416F40">
        <w:t xml:space="preserve"> % v roce 201</w:t>
      </w:r>
      <w:r w:rsidR="00416F40" w:rsidRPr="00416F40">
        <w:t>3</w:t>
      </w:r>
      <w:r w:rsidRPr="00416F40">
        <w:t>) ze všech sektorů provádění VaV. Naopak osob bez vysokoškolského nebo vyššího odborného vzdělání bylo v roce 201</w:t>
      </w:r>
      <w:r w:rsidR="00416F40" w:rsidRPr="00416F40">
        <w:t>3</w:t>
      </w:r>
      <w:r w:rsidRPr="00416F40">
        <w:t xml:space="preserve"> jen 15 %</w:t>
      </w:r>
      <w:r w:rsidR="00BC199D" w:rsidRPr="00416F40">
        <w:t xml:space="preserve"> zaměstnanců </w:t>
      </w:r>
      <w:proofErr w:type="spellStart"/>
      <w:r w:rsidR="00BC199D" w:rsidRPr="00416F40">
        <w:t>VaV</w:t>
      </w:r>
      <w:proofErr w:type="spellEnd"/>
      <w:r w:rsidR="00BC199D" w:rsidRPr="00416F40">
        <w:t xml:space="preserve"> (HC)</w:t>
      </w:r>
      <w:r w:rsidRPr="00416F40">
        <w:t>.</w:t>
      </w:r>
    </w:p>
    <w:p w:rsidR="002D56FC" w:rsidRPr="00256384" w:rsidRDefault="002D56FC" w:rsidP="00335083">
      <w:pPr>
        <w:pStyle w:val="Odstavecseseznamem"/>
        <w:spacing w:after="60"/>
        <w:ind w:left="425" w:hanging="357"/>
        <w:contextualSpacing w:val="0"/>
      </w:pPr>
      <w:r w:rsidRPr="00256384">
        <w:t>Ve vysokoškolském sektoru se v hojné míře provozuje výzkum ve všech 6 vědních oblastech, když nejvíce zaměstnanců VaV</w:t>
      </w:r>
      <w:r w:rsidR="00BC199D" w:rsidRPr="00256384">
        <w:t xml:space="preserve"> (</w:t>
      </w:r>
      <w:r w:rsidR="00782332" w:rsidRPr="00256384">
        <w:t>FTE</w:t>
      </w:r>
      <w:r w:rsidR="00BC199D" w:rsidRPr="00256384">
        <w:t>)</w:t>
      </w:r>
      <w:r w:rsidRPr="00256384">
        <w:t xml:space="preserve"> se zabývá technickými</w:t>
      </w:r>
      <w:r w:rsidR="00DA5092" w:rsidRPr="00256384">
        <w:t xml:space="preserve"> vědami (3</w:t>
      </w:r>
      <w:r w:rsidR="00782332" w:rsidRPr="00256384">
        <w:t>2</w:t>
      </w:r>
      <w:r w:rsidRPr="00256384">
        <w:t>% podíl)</w:t>
      </w:r>
      <w:r w:rsidR="00782332" w:rsidRPr="00256384">
        <w:t>, za nimiž následují přírodní vědy s </w:t>
      </w:r>
      <w:proofErr w:type="gramStart"/>
      <w:r w:rsidR="00782332" w:rsidRPr="00256384">
        <w:t>27%</w:t>
      </w:r>
      <w:proofErr w:type="gramEnd"/>
      <w:r w:rsidR="00782332" w:rsidRPr="00256384">
        <w:t xml:space="preserve"> podílem</w:t>
      </w:r>
      <w:r w:rsidRPr="00256384">
        <w:t xml:space="preserve">. </w:t>
      </w:r>
    </w:p>
    <w:p w:rsidR="002D56FC" w:rsidRPr="00AA09B7" w:rsidRDefault="002D56FC" w:rsidP="00335083">
      <w:pPr>
        <w:pStyle w:val="Odstavecseseznamem"/>
        <w:spacing w:after="60"/>
        <w:ind w:left="425" w:hanging="357"/>
        <w:contextualSpacing w:val="0"/>
      </w:pPr>
      <w:r w:rsidRPr="00AA09B7">
        <w:t>Výzkum ve vysokoškolském sektoru se přirozeně soustředí do velkých měst, která jsou sídlem univerzit. Nejvíce zaměstnanců VaV se nachází v hlavním městě Praze</w:t>
      </w:r>
      <w:r w:rsidR="00256384" w:rsidRPr="00AA09B7">
        <w:t xml:space="preserve"> a v Jihomoravském kraji. V těchto dvou krajích dohromady pracovalo ve </w:t>
      </w:r>
      <w:proofErr w:type="spellStart"/>
      <w:r w:rsidR="00256384" w:rsidRPr="00AA09B7">
        <w:t>VaV</w:t>
      </w:r>
      <w:proofErr w:type="spellEnd"/>
      <w:r w:rsidR="00256384" w:rsidRPr="00AA09B7">
        <w:t xml:space="preserve"> v roce 2013 přes 10 tisíc </w:t>
      </w:r>
      <w:r w:rsidR="00AA09B7" w:rsidRPr="00AA09B7">
        <w:t>přepočten</w:t>
      </w:r>
      <w:r w:rsidR="00256384" w:rsidRPr="00AA09B7">
        <w:t>ých osob (63% podíl ve vysokoškolském sektoru)</w:t>
      </w:r>
      <w:r w:rsidRPr="00AA09B7">
        <w:t xml:space="preserve">. </w:t>
      </w:r>
      <w:r w:rsidR="00256384" w:rsidRPr="00AA09B7">
        <w:t>Ve srovnání s rokem 2010 roste počet zaměstnanců</w:t>
      </w:r>
      <w:r w:rsidR="00AA09B7" w:rsidRPr="00AA09B7">
        <w:t xml:space="preserve"> </w:t>
      </w:r>
      <w:proofErr w:type="spellStart"/>
      <w:r w:rsidR="00AA09B7" w:rsidRPr="00AA09B7">
        <w:t>VaV</w:t>
      </w:r>
      <w:proofErr w:type="spellEnd"/>
      <w:r w:rsidR="00AA09B7" w:rsidRPr="00AA09B7">
        <w:t xml:space="preserve"> </w:t>
      </w:r>
      <w:r w:rsidR="00256384" w:rsidRPr="00AA09B7">
        <w:t xml:space="preserve"> v Jihomoravském kraji rychleji než v</w:t>
      </w:r>
      <w:r w:rsidR="00AA09B7" w:rsidRPr="00AA09B7">
        <w:t> </w:t>
      </w:r>
      <w:r w:rsidR="00256384" w:rsidRPr="00AA09B7">
        <w:t>Praze</w:t>
      </w:r>
      <w:r w:rsidR="00AA09B7" w:rsidRPr="00AA09B7">
        <w:t xml:space="preserve">, kdy v daném období se zvýšil počet zaměstnanců </w:t>
      </w:r>
      <w:proofErr w:type="spellStart"/>
      <w:r w:rsidR="00AA09B7" w:rsidRPr="00AA09B7">
        <w:t>VaV</w:t>
      </w:r>
      <w:proofErr w:type="spellEnd"/>
      <w:r w:rsidR="00AA09B7" w:rsidRPr="00AA09B7">
        <w:t xml:space="preserve"> ve VŠ sektoru na jižní Moravě o 14 %, kdežto v Praze o 7,5 %.</w:t>
      </w:r>
    </w:p>
    <w:p w:rsidR="000D40B8" w:rsidRPr="004C58D4" w:rsidRDefault="000D40B8" w:rsidP="00335083">
      <w:pPr>
        <w:pStyle w:val="Odstavecseseznamem"/>
        <w:spacing w:after="60"/>
        <w:ind w:left="425" w:hanging="357"/>
        <w:contextualSpacing w:val="0"/>
      </w:pPr>
      <w:r w:rsidRPr="004C58D4">
        <w:t>Na dohody o provedení práce nebo o pracovní činnosti bylo v roce 201</w:t>
      </w:r>
      <w:r w:rsidR="00850149" w:rsidRPr="004C58D4">
        <w:t>3</w:t>
      </w:r>
      <w:r w:rsidRPr="004C58D4">
        <w:t xml:space="preserve"> zaměstnáno ve VaV ve vysokoškolském sektoru 1 0</w:t>
      </w:r>
      <w:r w:rsidR="00850149" w:rsidRPr="004C58D4">
        <w:t>28</w:t>
      </w:r>
      <w:r w:rsidRPr="004C58D4">
        <w:t xml:space="preserve"> přepočtených osob</w:t>
      </w:r>
      <w:r w:rsidR="000E780F" w:rsidRPr="004C58D4">
        <w:t xml:space="preserve"> (FTE)</w:t>
      </w:r>
      <w:r w:rsidRPr="004C58D4">
        <w:t xml:space="preserve">, které prací na </w:t>
      </w:r>
      <w:proofErr w:type="spellStart"/>
      <w:r w:rsidRPr="004C58D4">
        <w:t>VaV</w:t>
      </w:r>
      <w:proofErr w:type="spellEnd"/>
      <w:r w:rsidRPr="004C58D4">
        <w:t xml:space="preserve"> strávily celkem </w:t>
      </w:r>
      <w:r w:rsidR="000E780F" w:rsidRPr="004C58D4">
        <w:t>2,</w:t>
      </w:r>
      <w:r w:rsidR="004C58D4" w:rsidRPr="004C58D4">
        <w:t>1</w:t>
      </w:r>
      <w:r w:rsidR="000E780F" w:rsidRPr="004C58D4">
        <w:t xml:space="preserve"> mil.</w:t>
      </w:r>
      <w:r w:rsidRPr="004C58D4">
        <w:t xml:space="preserve"> hodin a na celkovém počtu přepočtených osob ve VaV </w:t>
      </w:r>
      <w:r w:rsidR="000E780F" w:rsidRPr="004C58D4">
        <w:t xml:space="preserve">ve vysokoškolském sektoru </w:t>
      </w:r>
      <w:r w:rsidRPr="004C58D4">
        <w:t xml:space="preserve">se podílely </w:t>
      </w:r>
      <w:r w:rsidR="000E780F" w:rsidRPr="004C58D4">
        <w:t>6,</w:t>
      </w:r>
      <w:r w:rsidR="004C58D4" w:rsidRPr="004C58D4">
        <w:t>3</w:t>
      </w:r>
      <w:r w:rsidRPr="004C58D4">
        <w:t xml:space="preserve"> %.</w:t>
      </w:r>
    </w:p>
    <w:p w:rsidR="006D2238" w:rsidRPr="009265C9" w:rsidRDefault="002D56FC" w:rsidP="00B55990">
      <w:pPr>
        <w:pStyle w:val="Odstavecseseznamem"/>
      </w:pPr>
      <w:r w:rsidRPr="009265C9">
        <w:t>V EU28 se VaV činností na vysokých školách zabývalo v roce 201</w:t>
      </w:r>
      <w:r w:rsidR="00303017" w:rsidRPr="009265C9">
        <w:t>2</w:t>
      </w:r>
      <w:r w:rsidRPr="009265C9">
        <w:t xml:space="preserve"> </w:t>
      </w:r>
      <w:r w:rsidR="00303017" w:rsidRPr="009265C9">
        <w:t>celkem 866</w:t>
      </w:r>
      <w:r w:rsidRPr="009265C9">
        <w:t xml:space="preserve"> tisíc přepočtených osob (FTE). Nejvíce z nich se nacházelo ve Velké Británii (17</w:t>
      </w:r>
      <w:r w:rsidR="00303017" w:rsidRPr="009265C9">
        <w:t>5</w:t>
      </w:r>
      <w:r w:rsidRPr="009265C9">
        <w:t xml:space="preserve"> tisíc). Podíl vysokoškolského sekto</w:t>
      </w:r>
      <w:r w:rsidR="00DA5092" w:rsidRPr="009265C9">
        <w:t>ru na zaměstnaných ve VaV činil</w:t>
      </w:r>
      <w:r w:rsidRPr="009265C9">
        <w:t> v roce 201</w:t>
      </w:r>
      <w:r w:rsidR="00303017" w:rsidRPr="009265C9">
        <w:t>2</w:t>
      </w:r>
      <w:r w:rsidRPr="009265C9">
        <w:t xml:space="preserve"> v EU28 33 %, v České republice </w:t>
      </w:r>
      <w:r w:rsidR="009265C9" w:rsidRPr="009265C9">
        <w:t>to bylo</w:t>
      </w:r>
      <w:r w:rsidRPr="009265C9">
        <w:t xml:space="preserve"> 2</w:t>
      </w:r>
      <w:r w:rsidR="00303017" w:rsidRPr="009265C9">
        <w:t>7</w:t>
      </w:r>
      <w:r w:rsidRPr="009265C9">
        <w:t xml:space="preserve"> %. </w:t>
      </w:r>
      <w:r w:rsidR="00303017" w:rsidRPr="009265C9">
        <w:t xml:space="preserve">Nejvyšší podíl registrujeme v pobaltských státech </w:t>
      </w:r>
      <w:r w:rsidRPr="009265C9">
        <w:t>(přes 50</w:t>
      </w:r>
      <w:r w:rsidR="00DA5092" w:rsidRPr="009265C9">
        <w:t xml:space="preserve"> </w:t>
      </w:r>
      <w:r w:rsidRPr="009265C9">
        <w:t xml:space="preserve">%), pro západní Evropu je obvyklý spíše nižší podíl, výjimku tvoří Velká Británie </w:t>
      </w:r>
      <w:r w:rsidR="002809A8">
        <w:t>s</w:t>
      </w:r>
      <w:r w:rsidRPr="009265C9">
        <w:t xml:space="preserve"> dlo</w:t>
      </w:r>
      <w:r w:rsidR="00DA5092" w:rsidRPr="009265C9">
        <w:t>uhou tradicí vysokých škol s</w:t>
      </w:r>
      <w:r w:rsidR="00303017" w:rsidRPr="009265C9">
        <w:t> </w:t>
      </w:r>
      <w:r w:rsidR="00DA5092" w:rsidRPr="009265C9">
        <w:t>49</w:t>
      </w:r>
      <w:r w:rsidRPr="009265C9">
        <w:t>% podílem.</w:t>
      </w:r>
    </w:p>
    <w:p w:rsidR="00335083" w:rsidRPr="00335083" w:rsidRDefault="00335083" w:rsidP="00335083">
      <w:pPr>
        <w:pStyle w:val="Odstavecseseznamem"/>
        <w:numPr>
          <w:ilvl w:val="0"/>
          <w:numId w:val="0"/>
        </w:numPr>
        <w:ind w:left="426"/>
      </w:pPr>
    </w:p>
    <w:p w:rsidR="002D56FC" w:rsidRPr="00335083" w:rsidRDefault="00B55990" w:rsidP="00335083">
      <w:pPr>
        <w:pStyle w:val="Titulek"/>
        <w:spacing w:after="40"/>
        <w:rPr>
          <w:sz w:val="18"/>
          <w:szCs w:val="18"/>
        </w:rPr>
      </w:pPr>
      <w:proofErr w:type="gramStart"/>
      <w:r w:rsidRPr="002D56FC">
        <w:rPr>
          <w:sz w:val="18"/>
          <w:szCs w:val="18"/>
        </w:rPr>
        <w:t xml:space="preserve">Graf </w:t>
      </w:r>
      <w:r w:rsidR="009B7894" w:rsidRPr="002D56FC">
        <w:rPr>
          <w:sz w:val="18"/>
          <w:szCs w:val="18"/>
        </w:rPr>
        <w:fldChar w:fldCharType="begin"/>
      </w:r>
      <w:r w:rsidRPr="002D56FC">
        <w:rPr>
          <w:sz w:val="18"/>
          <w:szCs w:val="18"/>
        </w:rPr>
        <w:instrText xml:space="preserve"> STYLEREF 1 \s </w:instrText>
      </w:r>
      <w:r w:rsidR="009B7894" w:rsidRPr="002D56FC">
        <w:rPr>
          <w:sz w:val="18"/>
          <w:szCs w:val="18"/>
        </w:rPr>
        <w:fldChar w:fldCharType="separate"/>
      </w:r>
      <w:r w:rsidR="002C5411">
        <w:rPr>
          <w:noProof/>
          <w:sz w:val="18"/>
          <w:szCs w:val="18"/>
        </w:rPr>
        <w:t>2</w:t>
      </w:r>
      <w:r w:rsidR="009B7894" w:rsidRPr="002D56FC">
        <w:rPr>
          <w:sz w:val="18"/>
          <w:szCs w:val="18"/>
        </w:rPr>
        <w:fldChar w:fldCharType="end"/>
      </w:r>
      <w:r w:rsidRPr="002D56FC">
        <w:rPr>
          <w:sz w:val="18"/>
          <w:szCs w:val="18"/>
        </w:rPr>
        <w:t>.</w:t>
      </w:r>
      <w:r w:rsidR="009B7894" w:rsidRPr="002D56FC">
        <w:rPr>
          <w:sz w:val="18"/>
          <w:szCs w:val="18"/>
        </w:rPr>
        <w:fldChar w:fldCharType="begin"/>
      </w:r>
      <w:r w:rsidR="00C8514E" w:rsidRPr="002D56FC">
        <w:rPr>
          <w:sz w:val="18"/>
          <w:szCs w:val="18"/>
        </w:rPr>
        <w:instrText xml:space="preserve"> SEQ Graf \* ARABIC \s 1 </w:instrText>
      </w:r>
      <w:r w:rsidR="009B7894" w:rsidRPr="002D56FC">
        <w:rPr>
          <w:sz w:val="18"/>
          <w:szCs w:val="18"/>
        </w:rPr>
        <w:fldChar w:fldCharType="separate"/>
      </w:r>
      <w:r w:rsidR="002C5411">
        <w:rPr>
          <w:noProof/>
          <w:sz w:val="18"/>
          <w:szCs w:val="18"/>
        </w:rPr>
        <w:t>7</w:t>
      </w:r>
      <w:r w:rsidR="009B7894" w:rsidRPr="002D56FC">
        <w:rPr>
          <w:sz w:val="18"/>
          <w:szCs w:val="18"/>
        </w:rPr>
        <w:fldChar w:fldCharType="end"/>
      </w:r>
      <w:r w:rsidRPr="002D56FC">
        <w:rPr>
          <w:sz w:val="18"/>
          <w:szCs w:val="18"/>
        </w:rPr>
        <w:t>:</w:t>
      </w:r>
      <w:proofErr w:type="gramEnd"/>
      <w:r w:rsidRPr="002D56FC">
        <w:rPr>
          <w:sz w:val="18"/>
          <w:szCs w:val="18"/>
        </w:rPr>
        <w:t xml:space="preserve"> Počet zaměstnanců výzkumu a vývoje ve vysokoškolském sektoru podle </w:t>
      </w:r>
      <w:bookmarkEnd w:id="21"/>
      <w:r w:rsidR="00477996">
        <w:rPr>
          <w:sz w:val="18"/>
          <w:szCs w:val="18"/>
        </w:rPr>
        <w:t>druhu pracoviště</w:t>
      </w:r>
      <w:r w:rsidRPr="002D56FC">
        <w:rPr>
          <w:sz w:val="18"/>
          <w:szCs w:val="18"/>
        </w:rPr>
        <w:t xml:space="preserve"> </w:t>
      </w:r>
    </w:p>
    <w:p w:rsidR="00B55990" w:rsidRPr="00B55990" w:rsidRDefault="00B55990" w:rsidP="00AF6955">
      <w:pPr>
        <w:pStyle w:val="podtitulek"/>
      </w:pPr>
      <w:r>
        <w:t xml:space="preserve"> </w:t>
      </w:r>
      <w:r w:rsidRPr="00DB0D86">
        <w:t xml:space="preserve">       </w:t>
      </w:r>
      <w:r w:rsidR="001B00C4">
        <w:t xml:space="preserve"> </w:t>
      </w:r>
      <w:r w:rsidRPr="00DB0D86">
        <w:t>Evidenční počet k 31.</w:t>
      </w:r>
      <w:r w:rsidR="00AB732D">
        <w:t xml:space="preserve"> </w:t>
      </w:r>
      <w:r w:rsidRPr="00DB0D86">
        <w:t xml:space="preserve">12. (tis. HC) </w:t>
      </w:r>
      <w:r w:rsidRPr="00DB0D86">
        <w:tab/>
      </w:r>
      <w:r w:rsidRPr="00DB0D86">
        <w:tab/>
      </w:r>
      <w:r w:rsidRPr="00DB0D86">
        <w:tab/>
        <w:t xml:space="preserve">   </w:t>
      </w:r>
      <w:r w:rsidR="00AF6955">
        <w:t xml:space="preserve">   </w:t>
      </w:r>
      <w:r>
        <w:t xml:space="preserve"> </w:t>
      </w:r>
      <w:r w:rsidRPr="00DB0D86">
        <w:t>Přepočtený počet (tis. FTE)</w:t>
      </w:r>
      <w:r w:rsidR="005B7198">
        <w:t xml:space="preserve">  </w:t>
      </w:r>
      <w:r w:rsidR="002D56FC" w:rsidRPr="002D56FC">
        <w:rPr>
          <w:noProof/>
          <w:lang w:eastAsia="cs-CZ"/>
        </w:rPr>
        <w:t xml:space="preserve"> </w:t>
      </w:r>
      <w:r w:rsidR="00AF6955">
        <w:rPr>
          <w:noProof/>
          <w:lang w:eastAsia="cs-CZ"/>
        </w:rPr>
        <w:t xml:space="preserve">      </w:t>
      </w:r>
      <w:r w:rsidR="007C148C" w:rsidRPr="007C148C">
        <w:drawing>
          <wp:inline distT="0" distB="0" distL="0" distR="0" wp14:anchorId="6284E096" wp14:editId="1EA8BCCD">
            <wp:extent cx="2876191" cy="1628572"/>
            <wp:effectExtent l="0" t="0" r="635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76191" cy="1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148C" w:rsidRPr="007C148C">
        <w:drawing>
          <wp:inline distT="0" distB="0" distL="0" distR="0" wp14:anchorId="215430CC" wp14:editId="35E0D847">
            <wp:extent cx="2961905" cy="1628572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61905" cy="1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bookmarkStart w:id="22" w:name="_Toc343781859"/>
      <w:r w:rsidRPr="00877CA9">
        <w:rPr>
          <w:b w:val="0"/>
          <w:sz w:val="18"/>
          <w:szCs w:val="18"/>
        </w:rPr>
        <w:lastRenderedPageBreak/>
        <w:t xml:space="preserve">Tab. </w:t>
      </w:r>
      <w:r w:rsidR="009B7894" w:rsidRPr="00877CA9">
        <w:rPr>
          <w:b w:val="0"/>
          <w:sz w:val="18"/>
          <w:szCs w:val="18"/>
        </w:rPr>
        <w:fldChar w:fldCharType="begin"/>
      </w:r>
      <w:r w:rsidRPr="00877CA9">
        <w:rPr>
          <w:b w:val="0"/>
          <w:sz w:val="18"/>
          <w:szCs w:val="18"/>
        </w:rPr>
        <w:instrText xml:space="preserve"> STYLEREF 1 \s </w:instrText>
      </w:r>
      <w:r w:rsidR="009B7894" w:rsidRPr="00877CA9">
        <w:rPr>
          <w:b w:val="0"/>
          <w:sz w:val="18"/>
          <w:szCs w:val="18"/>
        </w:rPr>
        <w:fldChar w:fldCharType="separate"/>
      </w:r>
      <w:proofErr w:type="gramStart"/>
      <w:r w:rsidR="002C5411">
        <w:rPr>
          <w:b w:val="0"/>
          <w:noProof/>
          <w:sz w:val="18"/>
          <w:szCs w:val="18"/>
        </w:rPr>
        <w:t>2</w:t>
      </w:r>
      <w:r w:rsidR="009B7894" w:rsidRPr="00877CA9">
        <w:rPr>
          <w:b w:val="0"/>
          <w:sz w:val="18"/>
          <w:szCs w:val="18"/>
        </w:rPr>
        <w:fldChar w:fldCharType="end"/>
      </w:r>
      <w:r w:rsidRPr="00877CA9">
        <w:rPr>
          <w:b w:val="0"/>
          <w:sz w:val="18"/>
          <w:szCs w:val="18"/>
        </w:rPr>
        <w:t>.</w:t>
      </w:r>
      <w:r w:rsidR="009B7894" w:rsidRPr="00877CA9">
        <w:rPr>
          <w:b w:val="0"/>
          <w:sz w:val="18"/>
          <w:szCs w:val="18"/>
        </w:rPr>
        <w:fldChar w:fldCharType="begin"/>
      </w:r>
      <w:r w:rsidR="00C8514E" w:rsidRPr="00877CA9">
        <w:rPr>
          <w:b w:val="0"/>
          <w:sz w:val="18"/>
          <w:szCs w:val="18"/>
        </w:rPr>
        <w:instrText xml:space="preserve"> SEQ Tab. \* ARABIC \s 1 </w:instrText>
      </w:r>
      <w:r w:rsidR="009B7894" w:rsidRPr="00877CA9">
        <w:rPr>
          <w:b w:val="0"/>
          <w:sz w:val="18"/>
          <w:szCs w:val="18"/>
        </w:rPr>
        <w:fldChar w:fldCharType="separate"/>
      </w:r>
      <w:r w:rsidR="002C5411">
        <w:rPr>
          <w:b w:val="0"/>
          <w:noProof/>
          <w:sz w:val="18"/>
          <w:szCs w:val="18"/>
        </w:rPr>
        <w:t>4</w:t>
      </w:r>
      <w:r w:rsidR="009B7894" w:rsidRPr="00877CA9">
        <w:rPr>
          <w:b w:val="0"/>
          <w:sz w:val="18"/>
          <w:szCs w:val="18"/>
        </w:rPr>
        <w:fldChar w:fldCharType="end"/>
      </w:r>
      <w:r w:rsidRPr="00877CA9">
        <w:rPr>
          <w:b w:val="0"/>
          <w:sz w:val="18"/>
          <w:szCs w:val="18"/>
        </w:rPr>
        <w:t>:</w:t>
      </w:r>
      <w:proofErr w:type="gramEnd"/>
      <w:r w:rsidRPr="00877CA9">
        <w:rPr>
          <w:b w:val="0"/>
          <w:sz w:val="18"/>
          <w:szCs w:val="18"/>
        </w:rPr>
        <w:t xml:space="preserve"> Počet zaměstnaných ve VaV ve v</w:t>
      </w:r>
      <w:r w:rsidR="00FB7A9D" w:rsidRPr="00877CA9">
        <w:rPr>
          <w:b w:val="0"/>
          <w:sz w:val="18"/>
          <w:szCs w:val="18"/>
        </w:rPr>
        <w:t>ysokoškolském sektoru v ČR, 200</w:t>
      </w:r>
      <w:r w:rsidR="00314461">
        <w:rPr>
          <w:b w:val="0"/>
          <w:sz w:val="18"/>
          <w:szCs w:val="18"/>
        </w:rPr>
        <w:t>8</w:t>
      </w:r>
      <w:r w:rsidRPr="00877CA9">
        <w:rPr>
          <w:b w:val="0"/>
          <w:sz w:val="18"/>
          <w:szCs w:val="18"/>
        </w:rPr>
        <w:t>–201</w:t>
      </w:r>
      <w:bookmarkEnd w:id="22"/>
      <w:r w:rsidR="00314461">
        <w:rPr>
          <w:b w:val="0"/>
          <w:sz w:val="18"/>
          <w:szCs w:val="18"/>
        </w:rPr>
        <w:t>3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</w:tblGrid>
      <w:tr w:rsidR="00FB7A9D" w:rsidRPr="00B55990" w:rsidTr="00FB7A9D">
        <w:trPr>
          <w:trHeight w:val="224"/>
        </w:trPr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6600"/>
            <w:vAlign w:val="bottom"/>
            <w:hideMark/>
          </w:tcPr>
          <w:p w:rsidR="00FB7A9D" w:rsidRDefault="00FB7A9D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000000" w:fill="FF6600"/>
            <w:noWrap/>
            <w:vAlign w:val="bottom"/>
            <w:hideMark/>
          </w:tcPr>
          <w:p w:rsidR="00FB7A9D" w:rsidRDefault="00FB7A9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Evidenční počet k 31.</w:t>
            </w:r>
            <w:r w:rsidR="00AB732D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12. (HC)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6600"/>
            <w:vAlign w:val="bottom"/>
            <w:hideMark/>
          </w:tcPr>
          <w:p w:rsidR="00FB7A9D" w:rsidRDefault="00FB7A9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Průměrný přepočtený počet (FTE)</w:t>
            </w:r>
          </w:p>
        </w:tc>
      </w:tr>
      <w:tr w:rsidR="00C66E8D" w:rsidRPr="00B55990" w:rsidTr="00FB7A9D">
        <w:trPr>
          <w:trHeight w:val="270"/>
        </w:trPr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vAlign w:val="bottom"/>
            <w:hideMark/>
          </w:tcPr>
          <w:p w:rsidR="00C66E8D" w:rsidRDefault="00C66E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C66E8D" w:rsidRDefault="00C66E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C66E8D" w:rsidRDefault="00C66E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C66E8D" w:rsidRDefault="00C66E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C66E8D" w:rsidRDefault="00C66E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FF6600"/>
            <w:noWrap/>
            <w:vAlign w:val="bottom"/>
            <w:hideMark/>
          </w:tcPr>
          <w:p w:rsidR="00C66E8D" w:rsidRDefault="00C66E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vAlign w:val="bottom"/>
            <w:hideMark/>
          </w:tcPr>
          <w:p w:rsidR="00C66E8D" w:rsidRDefault="00C66E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C66E8D" w:rsidRDefault="00C66E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C66E8D" w:rsidRDefault="00C66E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C66E8D" w:rsidRDefault="00C66E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C66E8D" w:rsidRDefault="00C66E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C66E8D" w:rsidRDefault="00C66E8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2013</w:t>
            </w:r>
          </w:p>
        </w:tc>
      </w:tr>
      <w:tr w:rsidR="00C66E8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C66E8D" w:rsidRDefault="00C66E8D" w:rsidP="00A52319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26 376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27 215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27 844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29 149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30 301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FAC090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32 173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13 147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13 648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14 056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14 724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16 441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16 240</w:t>
            </w:r>
          </w:p>
        </w:tc>
      </w:tr>
      <w:tr w:rsidR="00C66E8D" w:rsidRPr="00B55990" w:rsidTr="00A7648C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 toho ženy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10 676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11 295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11 437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12 106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12 444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13 639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4 985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5 253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5 499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5 703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6 472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6 383</w:t>
            </w:r>
          </w:p>
        </w:tc>
      </w:tr>
      <w:tr w:rsidR="00C66E8D" w:rsidRPr="00B55990" w:rsidTr="00A52319">
        <w:trPr>
          <w:cantSplit/>
          <w:trHeight w:val="240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Pr="00FB7A9D" w:rsidRDefault="00C66E8D" w:rsidP="00A52319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podle druhu pracoviště</w:t>
            </w:r>
          </w:p>
        </w:tc>
      </w:tr>
      <w:tr w:rsidR="00C66E8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Veřejné a státní VŠ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23 601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23 349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24 495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25 531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26 691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27 865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12 654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12 960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13 446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14 077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15 666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15 235</w:t>
            </w:r>
          </w:p>
        </w:tc>
      </w:tr>
      <w:tr w:rsidR="00C66E8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Fakultní nemocnice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2 333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3 367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2 814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3 028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2 869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3 504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669</w:t>
            </w:r>
          </w:p>
        </w:tc>
      </w:tr>
      <w:tr w:rsidR="00C66E8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Soukromé VŠ, VOS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336</w:t>
            </w:r>
          </w:p>
        </w:tc>
      </w:tr>
      <w:tr w:rsidR="00C66E8D" w:rsidRPr="00B55990" w:rsidTr="00A52319">
        <w:trPr>
          <w:cantSplit/>
          <w:trHeight w:val="240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Pr="00FB7A9D" w:rsidRDefault="00C66E8D" w:rsidP="00A52319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podle typu pracovní činnosti </w:t>
            </w:r>
          </w:p>
        </w:tc>
      </w:tr>
      <w:tr w:rsidR="00C66E8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Výzkumní pracovníci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19 010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19 419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19 977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20 732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21 134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22 957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9 358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9 664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10 115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10 289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11 498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10 995</w:t>
            </w:r>
          </w:p>
        </w:tc>
      </w:tr>
      <w:tr w:rsidR="00C66E8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Techničtí pracovníci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5 612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6 126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6 002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6 678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7 174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6 224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2 971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3 105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2 947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3 428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3 927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3 550</w:t>
            </w:r>
          </w:p>
        </w:tc>
      </w:tr>
      <w:tr w:rsidR="00C66E8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Ostatní pracovníci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1 754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1 670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1 865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1 739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1 993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2 992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1 006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1 016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1 695</w:t>
            </w:r>
          </w:p>
        </w:tc>
      </w:tr>
      <w:tr w:rsidR="00C66E8D" w:rsidRPr="00B55990" w:rsidTr="00A52319">
        <w:trPr>
          <w:cantSplit/>
          <w:trHeight w:val="240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Pr="00FB7A9D" w:rsidRDefault="00C66E8D" w:rsidP="00FF7F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podle dosaženého vzdělání </w:t>
            </w:r>
          </w:p>
        </w:tc>
      </w:tr>
      <w:tr w:rsidR="00EA10E8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E8" w:rsidRDefault="00EA10E8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Doktorské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E8" w:rsidRDefault="00EA10E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12 601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E8" w:rsidRDefault="00EA10E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13 002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E8" w:rsidRDefault="00EA10E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13 228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E8" w:rsidRDefault="00EA10E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14 892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E8" w:rsidRDefault="00EA10E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15 241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A10E8" w:rsidRDefault="00EA10E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16 432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0E8" w:rsidRDefault="00EA10E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6 700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E8" w:rsidRDefault="00EA10E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6 944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E8" w:rsidRDefault="00EA10E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7 145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E8" w:rsidRDefault="00EA10E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7 481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E8" w:rsidRDefault="00EA10E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8 333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E8" w:rsidRDefault="00EA10E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8 076</w:t>
            </w:r>
          </w:p>
        </w:tc>
      </w:tr>
      <w:tr w:rsidR="00EA10E8" w:rsidRPr="00B55990" w:rsidTr="00EA10E8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E8" w:rsidRDefault="00EA10E8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Vysokoškolské a vyšší odborné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0E8" w:rsidRDefault="00EA10E8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10 042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0E8" w:rsidRDefault="00EA10E8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10 361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0E8" w:rsidRDefault="00EA10E8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10 619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0E8" w:rsidRDefault="00EA10E8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9 976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0E8" w:rsidRDefault="00EA10E8" w:rsidP="00EA10E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10 464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A10E8" w:rsidRDefault="00EA10E8" w:rsidP="00EA10E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11 013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0E8" w:rsidRDefault="00EA10E8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4 762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0E8" w:rsidRDefault="00EA10E8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4 951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0E8" w:rsidRDefault="00EA10E8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5 103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0E8" w:rsidRDefault="00EA10E8" w:rsidP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4 953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0E8" w:rsidRDefault="00EA10E8" w:rsidP="00EA10E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5 531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0E8" w:rsidRDefault="00EA10E8" w:rsidP="00EA10E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5 514</w:t>
            </w:r>
          </w:p>
        </w:tc>
      </w:tr>
      <w:tr w:rsidR="00EA10E8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E8" w:rsidRDefault="00EA10E8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Střední a nižší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E8" w:rsidRDefault="00EA10E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3 733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E8" w:rsidRDefault="00EA10E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3 852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E8" w:rsidRDefault="00EA10E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3 997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E8" w:rsidRDefault="00EA10E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4 281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E8" w:rsidRDefault="00EA10E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4 596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A10E8" w:rsidRDefault="00EA10E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4 728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0E8" w:rsidRDefault="00EA10E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1 685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E8" w:rsidRDefault="00EA10E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1 753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E8" w:rsidRDefault="00EA10E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1 807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E8" w:rsidRDefault="00EA10E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2 290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E8" w:rsidRDefault="00EA10E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2 577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E8" w:rsidRDefault="00EA10E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2 648</w:t>
            </w:r>
          </w:p>
        </w:tc>
      </w:tr>
      <w:tr w:rsidR="00C66E8D" w:rsidRPr="00B55990" w:rsidTr="00A52319">
        <w:trPr>
          <w:cantSplit/>
          <w:trHeight w:val="240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Pr="00B55990" w:rsidRDefault="00C66E8D" w:rsidP="00A5231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599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vědních oblastí</w:t>
            </w:r>
          </w:p>
        </w:tc>
      </w:tr>
      <w:tr w:rsidR="00C66E8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Přírodní vědy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3 431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3 286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3 788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5 818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5 864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6 512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2 398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2 221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2 406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3 760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4 033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4 344</w:t>
            </w:r>
          </w:p>
        </w:tc>
      </w:tr>
      <w:tr w:rsidR="00C66E8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Technické vědy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7 971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8 064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8 304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7 436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8 947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8 308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4 644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4 970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5 091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4 637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5 570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5 202</w:t>
            </w:r>
          </w:p>
        </w:tc>
      </w:tr>
      <w:tr w:rsidR="00C66E8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Lékařské vědy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6 314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7 335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6 648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6 773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6 172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7 340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2 201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2 435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2 407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2 229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2 117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2 363</w:t>
            </w:r>
          </w:p>
        </w:tc>
      </w:tr>
      <w:tr w:rsidR="00C66E8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Zemědělské vědy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2 356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2 657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2 538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2 003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2 166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2 276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1 069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1 045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964</w:t>
            </w:r>
          </w:p>
        </w:tc>
      </w:tr>
      <w:tr w:rsidR="00C66E8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Sociální vědy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4 367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3 393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3 487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4 959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4 597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5 447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1 862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1 364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2 041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2 227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2 144</w:t>
            </w:r>
          </w:p>
        </w:tc>
      </w:tr>
      <w:tr w:rsidR="00C66E8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Humanitní vědy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1 937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2 480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3 079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2 160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2 555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2 290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1 112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1 436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1 743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1 193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1 559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1 222</w:t>
            </w:r>
          </w:p>
        </w:tc>
      </w:tr>
      <w:tr w:rsidR="00C66E8D" w:rsidRPr="00B55990" w:rsidTr="00A52319">
        <w:trPr>
          <w:cantSplit/>
          <w:trHeight w:val="240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CD9BC"/>
            <w:noWrap/>
            <w:vAlign w:val="bottom"/>
            <w:hideMark/>
          </w:tcPr>
          <w:p w:rsidR="00C66E8D" w:rsidRPr="00B55990" w:rsidRDefault="00C66E8D" w:rsidP="00A5231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B5599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krajů ČR</w:t>
            </w:r>
          </w:p>
        </w:tc>
      </w:tr>
      <w:tr w:rsidR="00C66E8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Praha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10 930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11 427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10 833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11 434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10 699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11 697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5 560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5 874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5 832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6 041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5 752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6 273</w:t>
            </w:r>
          </w:p>
        </w:tc>
      </w:tr>
      <w:tr w:rsidR="00C66E8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Středočeský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</w:tr>
      <w:tr w:rsidR="00C66E8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Jihočeský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476</w:t>
            </w:r>
          </w:p>
        </w:tc>
      </w:tr>
      <w:tr w:rsidR="00C66E8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Plzeňský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1 242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1 090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1 662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2 001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1 884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2 181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1 075</w:t>
            </w:r>
          </w:p>
        </w:tc>
      </w:tr>
      <w:tr w:rsidR="00C66E8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Karlovarský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C66E8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Ústecký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242</w:t>
            </w:r>
          </w:p>
        </w:tc>
      </w:tr>
      <w:tr w:rsidR="00C66E8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Liberecký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533</w:t>
            </w:r>
          </w:p>
        </w:tc>
      </w:tr>
      <w:tr w:rsidR="00C66E8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Královéhradecký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359</w:t>
            </w:r>
          </w:p>
        </w:tc>
      </w:tr>
      <w:tr w:rsidR="00C66E8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Pardubický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374</w:t>
            </w:r>
          </w:p>
        </w:tc>
      </w:tr>
      <w:tr w:rsidR="00C66E8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Vysočina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C66E8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Jihomoravský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6 045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6 521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6 783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6 786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8 122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8 064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2 978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3 222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3 412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4 066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3 885</w:t>
            </w:r>
          </w:p>
        </w:tc>
      </w:tr>
      <w:tr w:rsidR="00C66E8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Olomoucký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1 508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1 698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1 923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1 882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2 170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2 528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1 107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1 247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1 362</w:t>
            </w:r>
          </w:p>
        </w:tc>
      </w:tr>
      <w:tr w:rsidR="00C66E8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Zlínský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347</w:t>
            </w:r>
          </w:p>
        </w:tc>
      </w:tr>
      <w:tr w:rsidR="00C66E8D" w:rsidRPr="00B55990" w:rsidTr="00A52319">
        <w:trPr>
          <w:cantSplit/>
          <w:trHeight w:val="240"/>
        </w:trPr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 w:rsidP="00A5231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Moravskoslezský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2 889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2 858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1 361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E8D" w:rsidRDefault="00C66E8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1 149</w:t>
            </w:r>
          </w:p>
        </w:tc>
      </w:tr>
    </w:tbl>
    <w:p w:rsidR="0074603C" w:rsidRDefault="0074603C" w:rsidP="0074603C">
      <w:bookmarkStart w:id="23" w:name="_Toc246493271"/>
    </w:p>
    <w:p w:rsidR="00B55990" w:rsidRPr="00877CA9" w:rsidRDefault="00B55990" w:rsidP="00B55990">
      <w:pPr>
        <w:pStyle w:val="Titulek"/>
        <w:rPr>
          <w:sz w:val="18"/>
          <w:szCs w:val="18"/>
        </w:rPr>
      </w:pPr>
      <w:bookmarkStart w:id="24" w:name="_Toc343782417"/>
      <w:proofErr w:type="gramStart"/>
      <w:r w:rsidRPr="00877CA9">
        <w:rPr>
          <w:sz w:val="18"/>
          <w:szCs w:val="18"/>
        </w:rPr>
        <w:t xml:space="preserve">Graf </w:t>
      </w:r>
      <w:r w:rsidR="009B7894" w:rsidRPr="00877CA9">
        <w:rPr>
          <w:sz w:val="18"/>
          <w:szCs w:val="18"/>
        </w:rPr>
        <w:fldChar w:fldCharType="begin"/>
      </w:r>
      <w:r w:rsidRPr="00877CA9">
        <w:rPr>
          <w:sz w:val="18"/>
          <w:szCs w:val="18"/>
        </w:rPr>
        <w:instrText xml:space="preserve"> STYLEREF 1 \s </w:instrText>
      </w:r>
      <w:r w:rsidR="009B7894" w:rsidRPr="00877CA9">
        <w:rPr>
          <w:sz w:val="18"/>
          <w:szCs w:val="18"/>
        </w:rPr>
        <w:fldChar w:fldCharType="separate"/>
      </w:r>
      <w:r w:rsidR="002C5411">
        <w:rPr>
          <w:noProof/>
          <w:sz w:val="18"/>
          <w:szCs w:val="18"/>
        </w:rPr>
        <w:t>2</w:t>
      </w:r>
      <w:r w:rsidR="009B7894" w:rsidRPr="00877CA9">
        <w:rPr>
          <w:sz w:val="18"/>
          <w:szCs w:val="18"/>
        </w:rPr>
        <w:fldChar w:fldCharType="end"/>
      </w:r>
      <w:r w:rsidRPr="00877CA9">
        <w:rPr>
          <w:sz w:val="18"/>
          <w:szCs w:val="18"/>
        </w:rPr>
        <w:t>.</w:t>
      </w:r>
      <w:r w:rsidR="009B7894" w:rsidRPr="00877CA9">
        <w:rPr>
          <w:sz w:val="18"/>
          <w:szCs w:val="18"/>
        </w:rPr>
        <w:fldChar w:fldCharType="begin"/>
      </w:r>
      <w:r w:rsidR="00C8514E" w:rsidRPr="00877CA9">
        <w:rPr>
          <w:sz w:val="18"/>
          <w:szCs w:val="18"/>
        </w:rPr>
        <w:instrText xml:space="preserve"> SEQ Graf \* ARABIC \s 1 </w:instrText>
      </w:r>
      <w:r w:rsidR="009B7894" w:rsidRPr="00877CA9">
        <w:rPr>
          <w:sz w:val="18"/>
          <w:szCs w:val="18"/>
        </w:rPr>
        <w:fldChar w:fldCharType="separate"/>
      </w:r>
      <w:r w:rsidR="002C5411">
        <w:rPr>
          <w:noProof/>
          <w:sz w:val="18"/>
          <w:szCs w:val="18"/>
        </w:rPr>
        <w:t>8</w:t>
      </w:r>
      <w:r w:rsidR="009B7894" w:rsidRPr="00877CA9">
        <w:rPr>
          <w:sz w:val="18"/>
          <w:szCs w:val="18"/>
        </w:rPr>
        <w:fldChar w:fldCharType="end"/>
      </w:r>
      <w:r w:rsidRPr="00877CA9">
        <w:rPr>
          <w:sz w:val="18"/>
          <w:szCs w:val="18"/>
        </w:rPr>
        <w:t>:</w:t>
      </w:r>
      <w:proofErr w:type="gramEnd"/>
      <w:r w:rsidRPr="00877CA9">
        <w:rPr>
          <w:sz w:val="18"/>
          <w:szCs w:val="18"/>
        </w:rPr>
        <w:t xml:space="preserve"> Podíl přepočteného počtu zaměstnanců výzkumu a vývoje (FTE) ve vysokoškolském sektoru na celkovém přepoč</w:t>
      </w:r>
      <w:r w:rsidR="004704BA" w:rsidRPr="00877CA9">
        <w:rPr>
          <w:sz w:val="18"/>
          <w:szCs w:val="18"/>
        </w:rPr>
        <w:t xml:space="preserve">teném počtu zaměstnanců </w:t>
      </w:r>
      <w:proofErr w:type="spellStart"/>
      <w:r w:rsidR="004704BA" w:rsidRPr="00877CA9">
        <w:rPr>
          <w:sz w:val="18"/>
          <w:szCs w:val="18"/>
        </w:rPr>
        <w:t>VaV</w:t>
      </w:r>
      <w:proofErr w:type="spellEnd"/>
      <w:r w:rsidR="004704BA" w:rsidRPr="00877CA9">
        <w:rPr>
          <w:sz w:val="18"/>
          <w:szCs w:val="18"/>
        </w:rPr>
        <w:t>, 201</w:t>
      </w:r>
      <w:r w:rsidR="008172B4">
        <w:rPr>
          <w:sz w:val="18"/>
          <w:szCs w:val="18"/>
        </w:rPr>
        <w:t>2</w:t>
      </w:r>
      <w:r w:rsidRPr="00877CA9">
        <w:rPr>
          <w:sz w:val="18"/>
          <w:szCs w:val="18"/>
        </w:rPr>
        <w:t xml:space="preserve"> (%)</w:t>
      </w:r>
      <w:bookmarkEnd w:id="23"/>
      <w:bookmarkEnd w:id="24"/>
    </w:p>
    <w:p w:rsidR="00A0109B" w:rsidRDefault="007C148C" w:rsidP="008A30EF">
      <w:r w:rsidRPr="007C148C">
        <w:drawing>
          <wp:inline distT="0" distB="0" distL="0" distR="0" wp14:anchorId="4BF54D47" wp14:editId="1CA28193">
            <wp:extent cx="5885715" cy="1990476"/>
            <wp:effectExtent l="0" t="0" r="127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85715" cy="1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03C" w:rsidRPr="00EC7B10" w:rsidRDefault="0074603C" w:rsidP="0074603C">
      <w:pPr>
        <w:pStyle w:val="poznamka"/>
      </w:pPr>
      <w:r>
        <w:t xml:space="preserve">* </w:t>
      </w:r>
      <w:r w:rsidRPr="00B55990">
        <w:t>Údaje za rok 20</w:t>
      </w:r>
      <w:r w:rsidR="008172B4">
        <w:t>11</w:t>
      </w:r>
    </w:p>
    <w:p w:rsidR="008D176E" w:rsidRDefault="0074603C" w:rsidP="00A86FD7">
      <w:pPr>
        <w:pStyle w:val="zdroj"/>
      </w:pPr>
      <w:r w:rsidRPr="00EC7B10">
        <w:t xml:space="preserve">Zdroj: OECD </w:t>
      </w:r>
      <w:r w:rsidR="0026473D">
        <w:t>MSTI 201</w:t>
      </w:r>
      <w:r w:rsidR="002257AF">
        <w:t>4</w:t>
      </w:r>
      <w:r w:rsidR="0026473D">
        <w:t>–1</w:t>
      </w:r>
      <w:r w:rsidRPr="00EC7B10">
        <w:t xml:space="preserve">, </w:t>
      </w:r>
      <w:proofErr w:type="spellStart"/>
      <w:r w:rsidRPr="00EC7B10">
        <w:t>Eurostat</w:t>
      </w:r>
      <w:proofErr w:type="spellEnd"/>
      <w:r w:rsidRPr="00EC7B10">
        <w:t xml:space="preserve"> a dopočty ČSÚ</w:t>
      </w:r>
    </w:p>
    <w:sectPr w:rsidR="008D176E" w:rsidSect="00C9609E">
      <w:pgSz w:w="11906" w:h="16838" w:code="9"/>
      <w:pgMar w:top="1134" w:right="873" w:bottom="1134" w:left="1440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D50" w:rsidRDefault="00AC3D50" w:rsidP="00FF75DD">
      <w:pPr>
        <w:spacing w:line="240" w:lineRule="auto"/>
      </w:pPr>
      <w:r>
        <w:separator/>
      </w:r>
    </w:p>
  </w:endnote>
  <w:endnote w:type="continuationSeparator" w:id="0">
    <w:p w:rsidR="00AC3D50" w:rsidRDefault="00AC3D50" w:rsidP="00FF75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D50" w:rsidRDefault="00AC3D50" w:rsidP="00FF75DD">
      <w:pPr>
        <w:spacing w:line="240" w:lineRule="auto"/>
      </w:pPr>
      <w:r>
        <w:separator/>
      </w:r>
    </w:p>
  </w:footnote>
  <w:footnote w:type="continuationSeparator" w:id="0">
    <w:p w:rsidR="00AC3D50" w:rsidRDefault="00AC3D50" w:rsidP="00FF75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2EA7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15ACD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2C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70FA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40F9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146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D07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FA3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8AB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966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77858"/>
    <w:multiLevelType w:val="multilevel"/>
    <w:tmpl w:val="8DDCCD8E"/>
    <w:lvl w:ilvl="0">
      <w:start w:val="2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B8C2736"/>
    <w:multiLevelType w:val="hybridMultilevel"/>
    <w:tmpl w:val="162CEB42"/>
    <w:lvl w:ilvl="0" w:tplc="918643D0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B17DDB"/>
    <w:multiLevelType w:val="hybridMultilevel"/>
    <w:tmpl w:val="15E42AD4"/>
    <w:lvl w:ilvl="0" w:tplc="909ADF08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D524C"/>
    <w:multiLevelType w:val="hybridMultilevel"/>
    <w:tmpl w:val="D33A0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B5698"/>
    <w:multiLevelType w:val="hybridMultilevel"/>
    <w:tmpl w:val="88FA5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43F61"/>
    <w:multiLevelType w:val="multilevel"/>
    <w:tmpl w:val="1A9882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944EAC"/>
    <w:multiLevelType w:val="hybridMultilevel"/>
    <w:tmpl w:val="D702FA54"/>
    <w:lvl w:ilvl="0" w:tplc="C2B40A5A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968D2"/>
    <w:multiLevelType w:val="hybridMultilevel"/>
    <w:tmpl w:val="10563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D367B1"/>
    <w:multiLevelType w:val="hybridMultilevel"/>
    <w:tmpl w:val="64127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37E3D"/>
    <w:multiLevelType w:val="hybridMultilevel"/>
    <w:tmpl w:val="7EF85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C5C77"/>
    <w:multiLevelType w:val="hybridMultilevel"/>
    <w:tmpl w:val="FA2C0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16"/>
  </w:num>
  <w:num w:numId="20">
    <w:abstractNumId w:val="20"/>
  </w:num>
  <w:num w:numId="21">
    <w:abstractNumId w:val="17"/>
  </w:num>
  <w:num w:numId="22">
    <w:abstractNumId w:val="12"/>
  </w:num>
  <w:num w:numId="23">
    <w:abstractNumId w:val="19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19"/>
    <w:rsid w:val="00000AA0"/>
    <w:rsid w:val="00003B32"/>
    <w:rsid w:val="00007C1E"/>
    <w:rsid w:val="0001173C"/>
    <w:rsid w:val="000265F8"/>
    <w:rsid w:val="00027FD8"/>
    <w:rsid w:val="000334ED"/>
    <w:rsid w:val="00036897"/>
    <w:rsid w:val="000425FD"/>
    <w:rsid w:val="00042A09"/>
    <w:rsid w:val="00044416"/>
    <w:rsid w:val="000449D0"/>
    <w:rsid w:val="00050B8C"/>
    <w:rsid w:val="000545DD"/>
    <w:rsid w:val="000545F0"/>
    <w:rsid w:val="00057584"/>
    <w:rsid w:val="0006039B"/>
    <w:rsid w:val="0006066A"/>
    <w:rsid w:val="0006296B"/>
    <w:rsid w:val="00065846"/>
    <w:rsid w:val="00071572"/>
    <w:rsid w:val="000717BB"/>
    <w:rsid w:val="00073F66"/>
    <w:rsid w:val="00082D03"/>
    <w:rsid w:val="00091C0F"/>
    <w:rsid w:val="0009287C"/>
    <w:rsid w:val="000960F3"/>
    <w:rsid w:val="000A2E94"/>
    <w:rsid w:val="000A3F20"/>
    <w:rsid w:val="000A3FD6"/>
    <w:rsid w:val="000A57AE"/>
    <w:rsid w:val="000B539D"/>
    <w:rsid w:val="000C0241"/>
    <w:rsid w:val="000C0D03"/>
    <w:rsid w:val="000C3A27"/>
    <w:rsid w:val="000C52D5"/>
    <w:rsid w:val="000C56DD"/>
    <w:rsid w:val="000D023F"/>
    <w:rsid w:val="000D17EF"/>
    <w:rsid w:val="000D40B8"/>
    <w:rsid w:val="000D7494"/>
    <w:rsid w:val="000D7503"/>
    <w:rsid w:val="000E1DC6"/>
    <w:rsid w:val="000E67C8"/>
    <w:rsid w:val="000E780F"/>
    <w:rsid w:val="000F2334"/>
    <w:rsid w:val="000F3553"/>
    <w:rsid w:val="000F5CE2"/>
    <w:rsid w:val="000F628D"/>
    <w:rsid w:val="00106DC0"/>
    <w:rsid w:val="00107983"/>
    <w:rsid w:val="00115CCC"/>
    <w:rsid w:val="00115D99"/>
    <w:rsid w:val="0013074A"/>
    <w:rsid w:val="00133AA8"/>
    <w:rsid w:val="00133B2D"/>
    <w:rsid w:val="00136EE4"/>
    <w:rsid w:val="00141247"/>
    <w:rsid w:val="00141598"/>
    <w:rsid w:val="00143098"/>
    <w:rsid w:val="0014345F"/>
    <w:rsid w:val="00144B11"/>
    <w:rsid w:val="00145A79"/>
    <w:rsid w:val="0014603E"/>
    <w:rsid w:val="00146C7B"/>
    <w:rsid w:val="0015093B"/>
    <w:rsid w:val="00150E6E"/>
    <w:rsid w:val="00152C1B"/>
    <w:rsid w:val="00155B22"/>
    <w:rsid w:val="00164CD8"/>
    <w:rsid w:val="00172A5B"/>
    <w:rsid w:val="00175F8C"/>
    <w:rsid w:val="00186D4C"/>
    <w:rsid w:val="00186DB3"/>
    <w:rsid w:val="00197F3B"/>
    <w:rsid w:val="001A0FE1"/>
    <w:rsid w:val="001A1856"/>
    <w:rsid w:val="001A230F"/>
    <w:rsid w:val="001A2C8F"/>
    <w:rsid w:val="001A33AB"/>
    <w:rsid w:val="001A42BF"/>
    <w:rsid w:val="001A4D36"/>
    <w:rsid w:val="001B00C4"/>
    <w:rsid w:val="001B1BAD"/>
    <w:rsid w:val="001B747A"/>
    <w:rsid w:val="001B7B76"/>
    <w:rsid w:val="001B7E49"/>
    <w:rsid w:val="001C1994"/>
    <w:rsid w:val="001C19C7"/>
    <w:rsid w:val="001C20F3"/>
    <w:rsid w:val="001C7ED5"/>
    <w:rsid w:val="001D3FF9"/>
    <w:rsid w:val="001D4AEB"/>
    <w:rsid w:val="001E14A4"/>
    <w:rsid w:val="001E49B0"/>
    <w:rsid w:val="001E6BB2"/>
    <w:rsid w:val="001F3723"/>
    <w:rsid w:val="001F72DA"/>
    <w:rsid w:val="00200028"/>
    <w:rsid w:val="0020232B"/>
    <w:rsid w:val="0020277A"/>
    <w:rsid w:val="002052CB"/>
    <w:rsid w:val="0021213B"/>
    <w:rsid w:val="0021216E"/>
    <w:rsid w:val="00214953"/>
    <w:rsid w:val="00221DF6"/>
    <w:rsid w:val="00222343"/>
    <w:rsid w:val="0022366C"/>
    <w:rsid w:val="002257AF"/>
    <w:rsid w:val="002306CB"/>
    <w:rsid w:val="00231138"/>
    <w:rsid w:val="0023397D"/>
    <w:rsid w:val="00235CFA"/>
    <w:rsid w:val="00241BA6"/>
    <w:rsid w:val="0024283A"/>
    <w:rsid w:val="002434BD"/>
    <w:rsid w:val="0024483E"/>
    <w:rsid w:val="00245F94"/>
    <w:rsid w:val="00256384"/>
    <w:rsid w:val="002601BD"/>
    <w:rsid w:val="002625D5"/>
    <w:rsid w:val="0026458C"/>
    <w:rsid w:val="00264628"/>
    <w:rsid w:val="0026473D"/>
    <w:rsid w:val="00265FE7"/>
    <w:rsid w:val="00267119"/>
    <w:rsid w:val="00267B64"/>
    <w:rsid w:val="00271498"/>
    <w:rsid w:val="002714B7"/>
    <w:rsid w:val="00272F64"/>
    <w:rsid w:val="0028090C"/>
    <w:rsid w:val="00280988"/>
    <w:rsid w:val="002809A8"/>
    <w:rsid w:val="002877AC"/>
    <w:rsid w:val="0029517B"/>
    <w:rsid w:val="00297075"/>
    <w:rsid w:val="002B27DA"/>
    <w:rsid w:val="002B42EF"/>
    <w:rsid w:val="002B591B"/>
    <w:rsid w:val="002C14A8"/>
    <w:rsid w:val="002C430D"/>
    <w:rsid w:val="002C5411"/>
    <w:rsid w:val="002C6E4A"/>
    <w:rsid w:val="002D168D"/>
    <w:rsid w:val="002D56FC"/>
    <w:rsid w:val="002D5C25"/>
    <w:rsid w:val="002D64FD"/>
    <w:rsid w:val="002D7F43"/>
    <w:rsid w:val="002E5049"/>
    <w:rsid w:val="002E5ABF"/>
    <w:rsid w:val="002F54C5"/>
    <w:rsid w:val="002F55A4"/>
    <w:rsid w:val="002F71CA"/>
    <w:rsid w:val="00303017"/>
    <w:rsid w:val="0030541F"/>
    <w:rsid w:val="00311E78"/>
    <w:rsid w:val="00314461"/>
    <w:rsid w:val="003169BF"/>
    <w:rsid w:val="00317E3D"/>
    <w:rsid w:val="00320CC9"/>
    <w:rsid w:val="00322151"/>
    <w:rsid w:val="003273A1"/>
    <w:rsid w:val="0033273B"/>
    <w:rsid w:val="00335083"/>
    <w:rsid w:val="00335FEB"/>
    <w:rsid w:val="003378D7"/>
    <w:rsid w:val="0034435C"/>
    <w:rsid w:val="003467AF"/>
    <w:rsid w:val="0034713A"/>
    <w:rsid w:val="0035559F"/>
    <w:rsid w:val="003614DA"/>
    <w:rsid w:val="00366C16"/>
    <w:rsid w:val="003670D3"/>
    <w:rsid w:val="0037192B"/>
    <w:rsid w:val="00371CCE"/>
    <w:rsid w:val="003736B2"/>
    <w:rsid w:val="00381687"/>
    <w:rsid w:val="00383247"/>
    <w:rsid w:val="00386103"/>
    <w:rsid w:val="003879AA"/>
    <w:rsid w:val="0039121A"/>
    <w:rsid w:val="003914D6"/>
    <w:rsid w:val="00396FB8"/>
    <w:rsid w:val="003A317F"/>
    <w:rsid w:val="003A44D6"/>
    <w:rsid w:val="003A4AC5"/>
    <w:rsid w:val="003B2A29"/>
    <w:rsid w:val="003B3761"/>
    <w:rsid w:val="003B4DE1"/>
    <w:rsid w:val="003C03BC"/>
    <w:rsid w:val="003C127F"/>
    <w:rsid w:val="003D13F7"/>
    <w:rsid w:val="003D1D8D"/>
    <w:rsid w:val="003D2798"/>
    <w:rsid w:val="003D3076"/>
    <w:rsid w:val="003D3C01"/>
    <w:rsid w:val="003D6BCC"/>
    <w:rsid w:val="003D6CBD"/>
    <w:rsid w:val="003E1386"/>
    <w:rsid w:val="003F0D4D"/>
    <w:rsid w:val="004079AB"/>
    <w:rsid w:val="00410FEE"/>
    <w:rsid w:val="00411173"/>
    <w:rsid w:val="004156E6"/>
    <w:rsid w:val="00416911"/>
    <w:rsid w:val="00416F40"/>
    <w:rsid w:val="00424014"/>
    <w:rsid w:val="004260D7"/>
    <w:rsid w:val="00427241"/>
    <w:rsid w:val="00430DC1"/>
    <w:rsid w:val="00432AA3"/>
    <w:rsid w:val="00432C43"/>
    <w:rsid w:val="00437940"/>
    <w:rsid w:val="00437C01"/>
    <w:rsid w:val="00437F97"/>
    <w:rsid w:val="004409CE"/>
    <w:rsid w:val="00441CE8"/>
    <w:rsid w:val="004447DC"/>
    <w:rsid w:val="00444C6B"/>
    <w:rsid w:val="00444E47"/>
    <w:rsid w:val="00452BE1"/>
    <w:rsid w:val="004605BC"/>
    <w:rsid w:val="00462734"/>
    <w:rsid w:val="00462B9B"/>
    <w:rsid w:val="00465CB2"/>
    <w:rsid w:val="004704BA"/>
    <w:rsid w:val="00470D41"/>
    <w:rsid w:val="00472A01"/>
    <w:rsid w:val="00472DCA"/>
    <w:rsid w:val="00472F18"/>
    <w:rsid w:val="0047547B"/>
    <w:rsid w:val="00477996"/>
    <w:rsid w:val="00485A4F"/>
    <w:rsid w:val="00486360"/>
    <w:rsid w:val="004A00BD"/>
    <w:rsid w:val="004A0EEB"/>
    <w:rsid w:val="004A2E54"/>
    <w:rsid w:val="004A3DD6"/>
    <w:rsid w:val="004A43B8"/>
    <w:rsid w:val="004A5A9F"/>
    <w:rsid w:val="004A5D75"/>
    <w:rsid w:val="004B30D4"/>
    <w:rsid w:val="004B68BD"/>
    <w:rsid w:val="004C366E"/>
    <w:rsid w:val="004C527D"/>
    <w:rsid w:val="004C55A0"/>
    <w:rsid w:val="004C58D4"/>
    <w:rsid w:val="004C5A52"/>
    <w:rsid w:val="004D4EAD"/>
    <w:rsid w:val="004D5A6E"/>
    <w:rsid w:val="004D6B9C"/>
    <w:rsid w:val="004F38D5"/>
    <w:rsid w:val="004F5684"/>
    <w:rsid w:val="005006F0"/>
    <w:rsid w:val="00501F9F"/>
    <w:rsid w:val="005048A6"/>
    <w:rsid w:val="00504AC4"/>
    <w:rsid w:val="0050658C"/>
    <w:rsid w:val="00511A53"/>
    <w:rsid w:val="00512140"/>
    <w:rsid w:val="005123B6"/>
    <w:rsid w:val="0052759C"/>
    <w:rsid w:val="00542BA4"/>
    <w:rsid w:val="0054546B"/>
    <w:rsid w:val="005459A5"/>
    <w:rsid w:val="00545FB5"/>
    <w:rsid w:val="00546683"/>
    <w:rsid w:val="00550E40"/>
    <w:rsid w:val="00553C56"/>
    <w:rsid w:val="00556F81"/>
    <w:rsid w:val="00556FD1"/>
    <w:rsid w:val="00560AE6"/>
    <w:rsid w:val="0056202A"/>
    <w:rsid w:val="005641B8"/>
    <w:rsid w:val="00565B2E"/>
    <w:rsid w:val="00565B39"/>
    <w:rsid w:val="00570249"/>
    <w:rsid w:val="0057071F"/>
    <w:rsid w:val="00572F4D"/>
    <w:rsid w:val="00573C3C"/>
    <w:rsid w:val="005754E6"/>
    <w:rsid w:val="00576A0A"/>
    <w:rsid w:val="005807BC"/>
    <w:rsid w:val="00586FDA"/>
    <w:rsid w:val="00590137"/>
    <w:rsid w:val="00592274"/>
    <w:rsid w:val="005969EC"/>
    <w:rsid w:val="005A0A36"/>
    <w:rsid w:val="005A104F"/>
    <w:rsid w:val="005A55AF"/>
    <w:rsid w:val="005A5E07"/>
    <w:rsid w:val="005B050F"/>
    <w:rsid w:val="005B2E90"/>
    <w:rsid w:val="005B6377"/>
    <w:rsid w:val="005B7198"/>
    <w:rsid w:val="005C3EFE"/>
    <w:rsid w:val="005C46B3"/>
    <w:rsid w:val="005C487B"/>
    <w:rsid w:val="005C7C5E"/>
    <w:rsid w:val="005D08F0"/>
    <w:rsid w:val="005D643D"/>
    <w:rsid w:val="005D6872"/>
    <w:rsid w:val="005E01A5"/>
    <w:rsid w:val="005E1CA5"/>
    <w:rsid w:val="005E28C9"/>
    <w:rsid w:val="005E478F"/>
    <w:rsid w:val="005E5E19"/>
    <w:rsid w:val="005F093B"/>
    <w:rsid w:val="005F1647"/>
    <w:rsid w:val="005F28D6"/>
    <w:rsid w:val="005F5B5D"/>
    <w:rsid w:val="0060546B"/>
    <w:rsid w:val="00615822"/>
    <w:rsid w:val="00617538"/>
    <w:rsid w:val="00620BE9"/>
    <w:rsid w:val="00623870"/>
    <w:rsid w:val="00626858"/>
    <w:rsid w:val="00632C82"/>
    <w:rsid w:val="00633E83"/>
    <w:rsid w:val="00640910"/>
    <w:rsid w:val="006435D7"/>
    <w:rsid w:val="00646815"/>
    <w:rsid w:val="00651162"/>
    <w:rsid w:val="006522BA"/>
    <w:rsid w:val="006556DD"/>
    <w:rsid w:val="00656730"/>
    <w:rsid w:val="006641C5"/>
    <w:rsid w:val="00665CE2"/>
    <w:rsid w:val="00667EC7"/>
    <w:rsid w:val="0067459A"/>
    <w:rsid w:val="00674DB6"/>
    <w:rsid w:val="006911F1"/>
    <w:rsid w:val="0069374E"/>
    <w:rsid w:val="00693A6A"/>
    <w:rsid w:val="006A0846"/>
    <w:rsid w:val="006B4523"/>
    <w:rsid w:val="006B5F0A"/>
    <w:rsid w:val="006B6704"/>
    <w:rsid w:val="006B6E82"/>
    <w:rsid w:val="006C2B13"/>
    <w:rsid w:val="006C3442"/>
    <w:rsid w:val="006C6819"/>
    <w:rsid w:val="006D03B7"/>
    <w:rsid w:val="006D2238"/>
    <w:rsid w:val="006D25E2"/>
    <w:rsid w:val="006D2BCC"/>
    <w:rsid w:val="006D3D19"/>
    <w:rsid w:val="006E3277"/>
    <w:rsid w:val="006E5045"/>
    <w:rsid w:val="006E7842"/>
    <w:rsid w:val="006F11A1"/>
    <w:rsid w:val="006F5B5E"/>
    <w:rsid w:val="006F6760"/>
    <w:rsid w:val="006F6F2E"/>
    <w:rsid w:val="00701AAE"/>
    <w:rsid w:val="00703A7C"/>
    <w:rsid w:val="00715E0B"/>
    <w:rsid w:val="00717F0A"/>
    <w:rsid w:val="00721FB4"/>
    <w:rsid w:val="00724600"/>
    <w:rsid w:val="007268E0"/>
    <w:rsid w:val="00727CCB"/>
    <w:rsid w:val="00731B8C"/>
    <w:rsid w:val="007321DF"/>
    <w:rsid w:val="00737E49"/>
    <w:rsid w:val="0074194D"/>
    <w:rsid w:val="0074603C"/>
    <w:rsid w:val="00746E34"/>
    <w:rsid w:val="00752725"/>
    <w:rsid w:val="0075463A"/>
    <w:rsid w:val="00757EFC"/>
    <w:rsid w:val="0076117B"/>
    <w:rsid w:val="007618AA"/>
    <w:rsid w:val="00763AE3"/>
    <w:rsid w:val="00764343"/>
    <w:rsid w:val="00765D85"/>
    <w:rsid w:val="00777101"/>
    <w:rsid w:val="00782332"/>
    <w:rsid w:val="007910D5"/>
    <w:rsid w:val="0079153F"/>
    <w:rsid w:val="007920FA"/>
    <w:rsid w:val="0079282B"/>
    <w:rsid w:val="00793DD0"/>
    <w:rsid w:val="00794E3D"/>
    <w:rsid w:val="0079545F"/>
    <w:rsid w:val="007957EF"/>
    <w:rsid w:val="007973A4"/>
    <w:rsid w:val="007A2817"/>
    <w:rsid w:val="007A2FA2"/>
    <w:rsid w:val="007A3335"/>
    <w:rsid w:val="007A6195"/>
    <w:rsid w:val="007B0345"/>
    <w:rsid w:val="007B1B6E"/>
    <w:rsid w:val="007B2D1A"/>
    <w:rsid w:val="007B5815"/>
    <w:rsid w:val="007B74E8"/>
    <w:rsid w:val="007C0E12"/>
    <w:rsid w:val="007C124B"/>
    <w:rsid w:val="007C148C"/>
    <w:rsid w:val="007C3E4A"/>
    <w:rsid w:val="007C4EE3"/>
    <w:rsid w:val="007C5BD1"/>
    <w:rsid w:val="007C76F5"/>
    <w:rsid w:val="007D20F5"/>
    <w:rsid w:val="007D2D72"/>
    <w:rsid w:val="007D2FE3"/>
    <w:rsid w:val="007D31F9"/>
    <w:rsid w:val="007E168C"/>
    <w:rsid w:val="007E397E"/>
    <w:rsid w:val="007E4A63"/>
    <w:rsid w:val="007E5480"/>
    <w:rsid w:val="007E59C0"/>
    <w:rsid w:val="007E5BCE"/>
    <w:rsid w:val="007E6690"/>
    <w:rsid w:val="007F3B29"/>
    <w:rsid w:val="007F5B80"/>
    <w:rsid w:val="007F7E32"/>
    <w:rsid w:val="0080183C"/>
    <w:rsid w:val="0080185D"/>
    <w:rsid w:val="00802BEA"/>
    <w:rsid w:val="00806B4C"/>
    <w:rsid w:val="0081163A"/>
    <w:rsid w:val="008170C8"/>
    <w:rsid w:val="008172B4"/>
    <w:rsid w:val="00817C44"/>
    <w:rsid w:val="0082308F"/>
    <w:rsid w:val="00823F15"/>
    <w:rsid w:val="00825477"/>
    <w:rsid w:val="00825488"/>
    <w:rsid w:val="00825884"/>
    <w:rsid w:val="00825DD5"/>
    <w:rsid w:val="00826843"/>
    <w:rsid w:val="00830415"/>
    <w:rsid w:val="0083063B"/>
    <w:rsid w:val="00832F7C"/>
    <w:rsid w:val="0083657B"/>
    <w:rsid w:val="00844222"/>
    <w:rsid w:val="00850149"/>
    <w:rsid w:val="008505ED"/>
    <w:rsid w:val="008506AC"/>
    <w:rsid w:val="0085081A"/>
    <w:rsid w:val="00851E4C"/>
    <w:rsid w:val="008533DF"/>
    <w:rsid w:val="0085350B"/>
    <w:rsid w:val="00854803"/>
    <w:rsid w:val="00856ADB"/>
    <w:rsid w:val="0086195A"/>
    <w:rsid w:val="00863279"/>
    <w:rsid w:val="00864756"/>
    <w:rsid w:val="0086672B"/>
    <w:rsid w:val="00877CA9"/>
    <w:rsid w:val="00882C84"/>
    <w:rsid w:val="00886D1D"/>
    <w:rsid w:val="00887B54"/>
    <w:rsid w:val="008935AB"/>
    <w:rsid w:val="00894D4E"/>
    <w:rsid w:val="00897572"/>
    <w:rsid w:val="008A30EF"/>
    <w:rsid w:val="008B0F4F"/>
    <w:rsid w:val="008B2205"/>
    <w:rsid w:val="008B32C2"/>
    <w:rsid w:val="008B3F95"/>
    <w:rsid w:val="008C6810"/>
    <w:rsid w:val="008C7706"/>
    <w:rsid w:val="008D0227"/>
    <w:rsid w:val="008D176E"/>
    <w:rsid w:val="008E5AE2"/>
    <w:rsid w:val="008F061B"/>
    <w:rsid w:val="008F33B3"/>
    <w:rsid w:val="008F54AD"/>
    <w:rsid w:val="008F7E20"/>
    <w:rsid w:val="00901715"/>
    <w:rsid w:val="00902950"/>
    <w:rsid w:val="00912F11"/>
    <w:rsid w:val="00913B73"/>
    <w:rsid w:val="00915319"/>
    <w:rsid w:val="00915495"/>
    <w:rsid w:val="0091633B"/>
    <w:rsid w:val="0091687E"/>
    <w:rsid w:val="00923D5F"/>
    <w:rsid w:val="00924EBB"/>
    <w:rsid w:val="009265C9"/>
    <w:rsid w:val="00927441"/>
    <w:rsid w:val="00930E0D"/>
    <w:rsid w:val="00931E23"/>
    <w:rsid w:val="0093579F"/>
    <w:rsid w:val="00936351"/>
    <w:rsid w:val="0093680E"/>
    <w:rsid w:val="00941239"/>
    <w:rsid w:val="00944723"/>
    <w:rsid w:val="0094750E"/>
    <w:rsid w:val="009537B6"/>
    <w:rsid w:val="00954F91"/>
    <w:rsid w:val="00955207"/>
    <w:rsid w:val="009608A1"/>
    <w:rsid w:val="00960FAE"/>
    <w:rsid w:val="009612F5"/>
    <w:rsid w:val="00961B79"/>
    <w:rsid w:val="0097043C"/>
    <w:rsid w:val="00976950"/>
    <w:rsid w:val="0098604F"/>
    <w:rsid w:val="00992F23"/>
    <w:rsid w:val="009935B8"/>
    <w:rsid w:val="00995EE7"/>
    <w:rsid w:val="009A09E4"/>
    <w:rsid w:val="009A0D99"/>
    <w:rsid w:val="009A544B"/>
    <w:rsid w:val="009A5EE5"/>
    <w:rsid w:val="009B2A71"/>
    <w:rsid w:val="009B72CB"/>
    <w:rsid w:val="009B7894"/>
    <w:rsid w:val="009C1F26"/>
    <w:rsid w:val="009D1766"/>
    <w:rsid w:val="009D46D6"/>
    <w:rsid w:val="009D67EC"/>
    <w:rsid w:val="009E0B13"/>
    <w:rsid w:val="009E17C4"/>
    <w:rsid w:val="009E26F7"/>
    <w:rsid w:val="009E6B5B"/>
    <w:rsid w:val="009F1DF9"/>
    <w:rsid w:val="009F296D"/>
    <w:rsid w:val="009F49A6"/>
    <w:rsid w:val="009F6BA3"/>
    <w:rsid w:val="009F6D32"/>
    <w:rsid w:val="009F735F"/>
    <w:rsid w:val="00A0109B"/>
    <w:rsid w:val="00A0372A"/>
    <w:rsid w:val="00A051C8"/>
    <w:rsid w:val="00A07D9D"/>
    <w:rsid w:val="00A112D2"/>
    <w:rsid w:val="00A17103"/>
    <w:rsid w:val="00A22A81"/>
    <w:rsid w:val="00A3037E"/>
    <w:rsid w:val="00A30BDE"/>
    <w:rsid w:val="00A321B7"/>
    <w:rsid w:val="00A37647"/>
    <w:rsid w:val="00A42C1D"/>
    <w:rsid w:val="00A43839"/>
    <w:rsid w:val="00A4649B"/>
    <w:rsid w:val="00A46514"/>
    <w:rsid w:val="00A51297"/>
    <w:rsid w:val="00A518E9"/>
    <w:rsid w:val="00A51A9B"/>
    <w:rsid w:val="00A52319"/>
    <w:rsid w:val="00A535D3"/>
    <w:rsid w:val="00A55861"/>
    <w:rsid w:val="00A57089"/>
    <w:rsid w:val="00A61E06"/>
    <w:rsid w:val="00A62768"/>
    <w:rsid w:val="00A64B9C"/>
    <w:rsid w:val="00A654A0"/>
    <w:rsid w:val="00A7001E"/>
    <w:rsid w:val="00A71D5D"/>
    <w:rsid w:val="00A729CF"/>
    <w:rsid w:val="00A75B49"/>
    <w:rsid w:val="00A7648C"/>
    <w:rsid w:val="00A83DAA"/>
    <w:rsid w:val="00A84797"/>
    <w:rsid w:val="00A86E63"/>
    <w:rsid w:val="00A86FD7"/>
    <w:rsid w:val="00AA09B7"/>
    <w:rsid w:val="00AA2470"/>
    <w:rsid w:val="00AA267A"/>
    <w:rsid w:val="00AB0587"/>
    <w:rsid w:val="00AB3842"/>
    <w:rsid w:val="00AB4C70"/>
    <w:rsid w:val="00AB57DD"/>
    <w:rsid w:val="00AB732D"/>
    <w:rsid w:val="00AC17B5"/>
    <w:rsid w:val="00AC3D50"/>
    <w:rsid w:val="00AC73F1"/>
    <w:rsid w:val="00AC7E0D"/>
    <w:rsid w:val="00AD045E"/>
    <w:rsid w:val="00AD097A"/>
    <w:rsid w:val="00AD1C36"/>
    <w:rsid w:val="00AD3230"/>
    <w:rsid w:val="00AD3C4F"/>
    <w:rsid w:val="00AD5C64"/>
    <w:rsid w:val="00AD5CE5"/>
    <w:rsid w:val="00AD6452"/>
    <w:rsid w:val="00AE304C"/>
    <w:rsid w:val="00AE75C0"/>
    <w:rsid w:val="00AF0D21"/>
    <w:rsid w:val="00AF20AC"/>
    <w:rsid w:val="00AF2BE4"/>
    <w:rsid w:val="00AF3BC0"/>
    <w:rsid w:val="00AF4986"/>
    <w:rsid w:val="00AF6955"/>
    <w:rsid w:val="00AF71A5"/>
    <w:rsid w:val="00B0065C"/>
    <w:rsid w:val="00B01D20"/>
    <w:rsid w:val="00B01F91"/>
    <w:rsid w:val="00B049FA"/>
    <w:rsid w:val="00B0514F"/>
    <w:rsid w:val="00B0602B"/>
    <w:rsid w:val="00B108CF"/>
    <w:rsid w:val="00B12213"/>
    <w:rsid w:val="00B2029F"/>
    <w:rsid w:val="00B20E19"/>
    <w:rsid w:val="00B21950"/>
    <w:rsid w:val="00B22505"/>
    <w:rsid w:val="00B23F9A"/>
    <w:rsid w:val="00B31458"/>
    <w:rsid w:val="00B34EC5"/>
    <w:rsid w:val="00B35478"/>
    <w:rsid w:val="00B35D9D"/>
    <w:rsid w:val="00B36F20"/>
    <w:rsid w:val="00B41B29"/>
    <w:rsid w:val="00B45C47"/>
    <w:rsid w:val="00B46137"/>
    <w:rsid w:val="00B5270C"/>
    <w:rsid w:val="00B55990"/>
    <w:rsid w:val="00B6081D"/>
    <w:rsid w:val="00B625E6"/>
    <w:rsid w:val="00B629A5"/>
    <w:rsid w:val="00B64325"/>
    <w:rsid w:val="00B64359"/>
    <w:rsid w:val="00B64C4F"/>
    <w:rsid w:val="00B74610"/>
    <w:rsid w:val="00B8714A"/>
    <w:rsid w:val="00B873FB"/>
    <w:rsid w:val="00B929E0"/>
    <w:rsid w:val="00B94E6E"/>
    <w:rsid w:val="00B9570C"/>
    <w:rsid w:val="00B95830"/>
    <w:rsid w:val="00BA0B8E"/>
    <w:rsid w:val="00BA0CD6"/>
    <w:rsid w:val="00BA1357"/>
    <w:rsid w:val="00BA23FB"/>
    <w:rsid w:val="00BA3161"/>
    <w:rsid w:val="00BA5FD3"/>
    <w:rsid w:val="00BB1D1C"/>
    <w:rsid w:val="00BB45F8"/>
    <w:rsid w:val="00BB4CE5"/>
    <w:rsid w:val="00BB4DCB"/>
    <w:rsid w:val="00BB59E9"/>
    <w:rsid w:val="00BB61C7"/>
    <w:rsid w:val="00BC1558"/>
    <w:rsid w:val="00BC199D"/>
    <w:rsid w:val="00BC485B"/>
    <w:rsid w:val="00BD4F15"/>
    <w:rsid w:val="00BE5735"/>
    <w:rsid w:val="00BF2174"/>
    <w:rsid w:val="00BF449A"/>
    <w:rsid w:val="00BF5831"/>
    <w:rsid w:val="00BF5D97"/>
    <w:rsid w:val="00C04CBD"/>
    <w:rsid w:val="00C04E77"/>
    <w:rsid w:val="00C0532B"/>
    <w:rsid w:val="00C074E4"/>
    <w:rsid w:val="00C12745"/>
    <w:rsid w:val="00C1313D"/>
    <w:rsid w:val="00C15BD9"/>
    <w:rsid w:val="00C22CCD"/>
    <w:rsid w:val="00C26D30"/>
    <w:rsid w:val="00C26E57"/>
    <w:rsid w:val="00C27406"/>
    <w:rsid w:val="00C30EA0"/>
    <w:rsid w:val="00C32E30"/>
    <w:rsid w:val="00C338C4"/>
    <w:rsid w:val="00C34316"/>
    <w:rsid w:val="00C34B94"/>
    <w:rsid w:val="00C35F41"/>
    <w:rsid w:val="00C36828"/>
    <w:rsid w:val="00C44D9A"/>
    <w:rsid w:val="00C453DC"/>
    <w:rsid w:val="00C47610"/>
    <w:rsid w:val="00C530BC"/>
    <w:rsid w:val="00C532B7"/>
    <w:rsid w:val="00C53D41"/>
    <w:rsid w:val="00C5423E"/>
    <w:rsid w:val="00C555A6"/>
    <w:rsid w:val="00C63DC8"/>
    <w:rsid w:val="00C66E8D"/>
    <w:rsid w:val="00C740E7"/>
    <w:rsid w:val="00C75645"/>
    <w:rsid w:val="00C756E8"/>
    <w:rsid w:val="00C818E3"/>
    <w:rsid w:val="00C8514E"/>
    <w:rsid w:val="00C855E7"/>
    <w:rsid w:val="00C866A0"/>
    <w:rsid w:val="00C86FC4"/>
    <w:rsid w:val="00C920D8"/>
    <w:rsid w:val="00C9609E"/>
    <w:rsid w:val="00C961F2"/>
    <w:rsid w:val="00C97D57"/>
    <w:rsid w:val="00C97D88"/>
    <w:rsid w:val="00C97EDF"/>
    <w:rsid w:val="00CA02FB"/>
    <w:rsid w:val="00CA1F88"/>
    <w:rsid w:val="00CA62CE"/>
    <w:rsid w:val="00CB002A"/>
    <w:rsid w:val="00CB0032"/>
    <w:rsid w:val="00CB4C40"/>
    <w:rsid w:val="00CB4E2A"/>
    <w:rsid w:val="00CB52C0"/>
    <w:rsid w:val="00CB739C"/>
    <w:rsid w:val="00CC0A90"/>
    <w:rsid w:val="00CC7FE9"/>
    <w:rsid w:val="00CD5D80"/>
    <w:rsid w:val="00CE106E"/>
    <w:rsid w:val="00CF1C78"/>
    <w:rsid w:val="00CF3946"/>
    <w:rsid w:val="00CF4B2A"/>
    <w:rsid w:val="00CF7B20"/>
    <w:rsid w:val="00D02031"/>
    <w:rsid w:val="00D03B41"/>
    <w:rsid w:val="00D06C13"/>
    <w:rsid w:val="00D22BDC"/>
    <w:rsid w:val="00D2307B"/>
    <w:rsid w:val="00D24FC5"/>
    <w:rsid w:val="00D32891"/>
    <w:rsid w:val="00D35DB9"/>
    <w:rsid w:val="00D414F3"/>
    <w:rsid w:val="00D41BBF"/>
    <w:rsid w:val="00D42965"/>
    <w:rsid w:val="00D4352D"/>
    <w:rsid w:val="00D46C50"/>
    <w:rsid w:val="00D520A7"/>
    <w:rsid w:val="00D6446B"/>
    <w:rsid w:val="00D6688F"/>
    <w:rsid w:val="00D7169D"/>
    <w:rsid w:val="00D7291E"/>
    <w:rsid w:val="00D80BEF"/>
    <w:rsid w:val="00D875C8"/>
    <w:rsid w:val="00D932F6"/>
    <w:rsid w:val="00D976F8"/>
    <w:rsid w:val="00D97B49"/>
    <w:rsid w:val="00DA2B3C"/>
    <w:rsid w:val="00DA31FF"/>
    <w:rsid w:val="00DA32A0"/>
    <w:rsid w:val="00DA5092"/>
    <w:rsid w:val="00DA7CDD"/>
    <w:rsid w:val="00DB1755"/>
    <w:rsid w:val="00DB397D"/>
    <w:rsid w:val="00DC0709"/>
    <w:rsid w:val="00DC5275"/>
    <w:rsid w:val="00DC6612"/>
    <w:rsid w:val="00DD01BF"/>
    <w:rsid w:val="00DD1294"/>
    <w:rsid w:val="00DD1907"/>
    <w:rsid w:val="00DD26D2"/>
    <w:rsid w:val="00DE392A"/>
    <w:rsid w:val="00DE3DD2"/>
    <w:rsid w:val="00DE5553"/>
    <w:rsid w:val="00DE6695"/>
    <w:rsid w:val="00DF312E"/>
    <w:rsid w:val="00DF4764"/>
    <w:rsid w:val="00DF5AAC"/>
    <w:rsid w:val="00E0142E"/>
    <w:rsid w:val="00E01585"/>
    <w:rsid w:val="00E0193E"/>
    <w:rsid w:val="00E02845"/>
    <w:rsid w:val="00E0394D"/>
    <w:rsid w:val="00E16795"/>
    <w:rsid w:val="00E17B99"/>
    <w:rsid w:val="00E21636"/>
    <w:rsid w:val="00E21F89"/>
    <w:rsid w:val="00E3539B"/>
    <w:rsid w:val="00E35F26"/>
    <w:rsid w:val="00E379F9"/>
    <w:rsid w:val="00E41083"/>
    <w:rsid w:val="00E427C1"/>
    <w:rsid w:val="00E45F39"/>
    <w:rsid w:val="00E47265"/>
    <w:rsid w:val="00E5131A"/>
    <w:rsid w:val="00E55289"/>
    <w:rsid w:val="00E567DB"/>
    <w:rsid w:val="00E629D9"/>
    <w:rsid w:val="00E6344D"/>
    <w:rsid w:val="00E63DB1"/>
    <w:rsid w:val="00E6664E"/>
    <w:rsid w:val="00E72C76"/>
    <w:rsid w:val="00E73201"/>
    <w:rsid w:val="00E928AA"/>
    <w:rsid w:val="00E95774"/>
    <w:rsid w:val="00E968F5"/>
    <w:rsid w:val="00E96CD1"/>
    <w:rsid w:val="00EA10E8"/>
    <w:rsid w:val="00EA1F93"/>
    <w:rsid w:val="00EA2255"/>
    <w:rsid w:val="00EA7DC3"/>
    <w:rsid w:val="00EB0051"/>
    <w:rsid w:val="00EB0D3D"/>
    <w:rsid w:val="00EC0ABB"/>
    <w:rsid w:val="00EC1E86"/>
    <w:rsid w:val="00EC32C5"/>
    <w:rsid w:val="00EC3559"/>
    <w:rsid w:val="00EC51FF"/>
    <w:rsid w:val="00EC7B10"/>
    <w:rsid w:val="00ED0DAF"/>
    <w:rsid w:val="00ED29B8"/>
    <w:rsid w:val="00ED5489"/>
    <w:rsid w:val="00ED5B9D"/>
    <w:rsid w:val="00EE5483"/>
    <w:rsid w:val="00F01349"/>
    <w:rsid w:val="00F017F7"/>
    <w:rsid w:val="00F059B6"/>
    <w:rsid w:val="00F11B02"/>
    <w:rsid w:val="00F15854"/>
    <w:rsid w:val="00F2597D"/>
    <w:rsid w:val="00F26DCD"/>
    <w:rsid w:val="00F342C4"/>
    <w:rsid w:val="00F36964"/>
    <w:rsid w:val="00F45429"/>
    <w:rsid w:val="00F46305"/>
    <w:rsid w:val="00F507F8"/>
    <w:rsid w:val="00F53710"/>
    <w:rsid w:val="00F548A1"/>
    <w:rsid w:val="00F54BE9"/>
    <w:rsid w:val="00F615AC"/>
    <w:rsid w:val="00F6337F"/>
    <w:rsid w:val="00F71346"/>
    <w:rsid w:val="00F7201D"/>
    <w:rsid w:val="00F735C6"/>
    <w:rsid w:val="00F8612A"/>
    <w:rsid w:val="00F9150F"/>
    <w:rsid w:val="00FA52C5"/>
    <w:rsid w:val="00FA7CB5"/>
    <w:rsid w:val="00FB625C"/>
    <w:rsid w:val="00FB7A9D"/>
    <w:rsid w:val="00FC0D7F"/>
    <w:rsid w:val="00FC670B"/>
    <w:rsid w:val="00FD545E"/>
    <w:rsid w:val="00FD662D"/>
    <w:rsid w:val="00FE33A9"/>
    <w:rsid w:val="00FE59AE"/>
    <w:rsid w:val="00FF052C"/>
    <w:rsid w:val="00FF171C"/>
    <w:rsid w:val="00FF2DA9"/>
    <w:rsid w:val="00FF311B"/>
    <w:rsid w:val="00FF32B4"/>
    <w:rsid w:val="00FF5CA5"/>
    <w:rsid w:val="00FF63CC"/>
    <w:rsid w:val="00FF75DD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161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21DF6"/>
    <w:pPr>
      <w:keepNext/>
      <w:numPr>
        <w:numId w:val="5"/>
      </w:numPr>
      <w:spacing w:after="120" w:line="240" w:lineRule="auto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941239"/>
    <w:pPr>
      <w:keepNext/>
      <w:numPr>
        <w:ilvl w:val="1"/>
        <w:numId w:val="5"/>
      </w:numPr>
      <w:outlineLvl w:val="1"/>
    </w:pPr>
    <w:rPr>
      <w:rFonts w:eastAsia="Times New Roman"/>
      <w:b/>
      <w:bCs/>
      <w:iCs/>
      <w:sz w:val="22"/>
      <w:szCs w:val="28"/>
    </w:rPr>
  </w:style>
  <w:style w:type="paragraph" w:styleId="Nadpis3">
    <w:name w:val="heading 3"/>
    <w:basedOn w:val="Normln"/>
    <w:next w:val="Normln"/>
    <w:link w:val="Nadpis3Char"/>
    <w:qFormat/>
    <w:rsid w:val="008170C8"/>
    <w:pPr>
      <w:spacing w:before="240" w:after="120" w:line="264" w:lineRule="auto"/>
      <w:outlineLvl w:val="2"/>
    </w:pPr>
    <w:rPr>
      <w:rFonts w:eastAsia="Times New Roman"/>
      <w:b/>
      <w:bCs/>
      <w:iCs/>
      <w:sz w:val="22"/>
    </w:rPr>
  </w:style>
  <w:style w:type="paragraph" w:styleId="Nadpis4">
    <w:name w:val="heading 4"/>
    <w:basedOn w:val="Normln"/>
    <w:next w:val="Normln"/>
    <w:link w:val="Nadpis4Char"/>
    <w:qFormat/>
    <w:rsid w:val="008170C8"/>
    <w:pPr>
      <w:keepNext/>
      <w:spacing w:after="120"/>
      <w:outlineLvl w:val="3"/>
    </w:pPr>
    <w:rPr>
      <w:b/>
      <w:bCs/>
      <w:color w:val="FF0000"/>
    </w:rPr>
  </w:style>
  <w:style w:type="paragraph" w:styleId="Nadpis5">
    <w:name w:val="heading 5"/>
    <w:basedOn w:val="Normln"/>
    <w:next w:val="Normln"/>
    <w:link w:val="Nadpis5Char"/>
    <w:qFormat/>
    <w:rsid w:val="008170C8"/>
    <w:pPr>
      <w:keepNext/>
      <w:spacing w:before="200" w:after="60" w:line="264" w:lineRule="auto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8170C8"/>
    <w:pPr>
      <w:keepNext/>
      <w:spacing w:after="12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8170C8"/>
    <w:pPr>
      <w:keepNext/>
      <w:jc w:val="right"/>
      <w:outlineLvl w:val="6"/>
    </w:pPr>
    <w:rPr>
      <w:i/>
      <w:sz w:val="16"/>
      <w:szCs w:val="14"/>
    </w:rPr>
  </w:style>
  <w:style w:type="paragraph" w:styleId="Nadpis8">
    <w:name w:val="heading 8"/>
    <w:basedOn w:val="Normln"/>
    <w:next w:val="Normln"/>
    <w:link w:val="Nadpis8Char"/>
    <w:qFormat/>
    <w:rsid w:val="008170C8"/>
    <w:pPr>
      <w:keepNext/>
      <w:outlineLvl w:val="7"/>
    </w:pPr>
    <w:rPr>
      <w:b/>
      <w:bCs/>
      <w:color w:val="FF0000"/>
      <w:sz w:val="16"/>
      <w:szCs w:val="16"/>
    </w:rPr>
  </w:style>
  <w:style w:type="paragraph" w:styleId="Nadpis9">
    <w:name w:val="heading 9"/>
    <w:basedOn w:val="Normln"/>
    <w:next w:val="Normln"/>
    <w:link w:val="Nadpis9Char"/>
    <w:qFormat/>
    <w:rsid w:val="008170C8"/>
    <w:pPr>
      <w:keepNext/>
      <w:spacing w:before="240" w:after="120"/>
      <w:outlineLvl w:val="8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F5B5E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941239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customStyle="1" w:styleId="nadpisdefinice">
    <w:name w:val="nadpis definice"/>
    <w:basedOn w:val="Normln"/>
    <w:link w:val="nadpisdefiniceChar"/>
    <w:qFormat/>
    <w:rsid w:val="008170C8"/>
    <w:rPr>
      <w:sz w:val="32"/>
      <w:szCs w:val="32"/>
    </w:rPr>
  </w:style>
  <w:style w:type="character" w:customStyle="1" w:styleId="nadpisdefiniceChar">
    <w:name w:val="nadpis definice Char"/>
    <w:link w:val="nadpisdefinice"/>
    <w:rsid w:val="00565B2E"/>
    <w:rPr>
      <w:rFonts w:ascii="Arial" w:hAnsi="Arial" w:cs="Arial"/>
      <w:sz w:val="32"/>
      <w:szCs w:val="32"/>
      <w:lang w:eastAsia="en-US"/>
    </w:rPr>
  </w:style>
  <w:style w:type="paragraph" w:styleId="Titulek">
    <w:name w:val="caption"/>
    <w:basedOn w:val="Normln"/>
    <w:next w:val="Normln"/>
    <w:uiPriority w:val="35"/>
    <w:qFormat/>
    <w:rsid w:val="006435D7"/>
    <w:pPr>
      <w:spacing w:before="120" w:line="240" w:lineRule="auto"/>
    </w:pPr>
    <w:rPr>
      <w:b/>
      <w:bCs/>
      <w:sz w:val="16"/>
      <w:szCs w:val="20"/>
    </w:rPr>
  </w:style>
  <w:style w:type="character" w:customStyle="1" w:styleId="Nadpis3Char">
    <w:name w:val="Nadpis 3 Char"/>
    <w:link w:val="Nadpis3"/>
    <w:rsid w:val="008170C8"/>
    <w:rPr>
      <w:rFonts w:ascii="Arial" w:eastAsia="Times New Roman" w:hAnsi="Arial"/>
      <w:b/>
      <w:bCs/>
      <w:iCs/>
      <w:sz w:val="22"/>
      <w:szCs w:val="22"/>
      <w:lang w:eastAsia="en-US"/>
    </w:rPr>
  </w:style>
  <w:style w:type="character" w:customStyle="1" w:styleId="Nadpis4Char">
    <w:name w:val="Nadpis 4 Char"/>
    <w:link w:val="Nadpis4"/>
    <w:rsid w:val="008170C8"/>
    <w:rPr>
      <w:rFonts w:ascii="Arial" w:hAnsi="Arial"/>
      <w:b/>
      <w:bCs/>
      <w:color w:val="FF0000"/>
      <w:szCs w:val="22"/>
      <w:lang w:eastAsia="en-US"/>
    </w:rPr>
  </w:style>
  <w:style w:type="character" w:customStyle="1" w:styleId="Nadpis5Char">
    <w:name w:val="Nadpis 5 Char"/>
    <w:link w:val="Nadpis5"/>
    <w:rsid w:val="008170C8"/>
    <w:rPr>
      <w:rFonts w:ascii="Arial" w:hAnsi="Arial"/>
      <w:b/>
      <w:bCs/>
      <w:szCs w:val="22"/>
      <w:lang w:eastAsia="en-US"/>
    </w:rPr>
  </w:style>
  <w:style w:type="character" w:customStyle="1" w:styleId="Nadpis6Char">
    <w:name w:val="Nadpis 6 Char"/>
    <w:link w:val="Nadpis6"/>
    <w:rsid w:val="008170C8"/>
    <w:rPr>
      <w:rFonts w:ascii="Arial" w:hAnsi="Arial"/>
      <w:b/>
      <w:bCs/>
      <w:szCs w:val="22"/>
      <w:lang w:eastAsia="en-US"/>
    </w:rPr>
  </w:style>
  <w:style w:type="character" w:customStyle="1" w:styleId="Nadpis7Char">
    <w:name w:val="Nadpis 7 Char"/>
    <w:link w:val="Nadpis7"/>
    <w:rsid w:val="008170C8"/>
    <w:rPr>
      <w:rFonts w:ascii="Arial" w:hAnsi="Arial"/>
      <w:i/>
      <w:sz w:val="16"/>
      <w:szCs w:val="14"/>
      <w:lang w:eastAsia="en-US"/>
    </w:rPr>
  </w:style>
  <w:style w:type="character" w:customStyle="1" w:styleId="Nadpis8Char">
    <w:name w:val="Nadpis 8 Char"/>
    <w:link w:val="Nadpis8"/>
    <w:rsid w:val="008170C8"/>
    <w:rPr>
      <w:rFonts w:ascii="Arial" w:hAnsi="Arial" w:cs="Arial"/>
      <w:b/>
      <w:bCs/>
      <w:color w:val="FF0000"/>
      <w:sz w:val="16"/>
      <w:szCs w:val="16"/>
      <w:lang w:eastAsia="en-US"/>
    </w:rPr>
  </w:style>
  <w:style w:type="character" w:customStyle="1" w:styleId="Nadpis9Char">
    <w:name w:val="Nadpis 9 Char"/>
    <w:link w:val="Nadpis9"/>
    <w:rsid w:val="008170C8"/>
    <w:rPr>
      <w:rFonts w:ascii="Arial" w:hAnsi="Arial" w:cs="Arial"/>
      <w:b/>
      <w:bCs/>
      <w:sz w:val="16"/>
      <w:szCs w:val="16"/>
      <w:lang w:eastAsia="en-US"/>
    </w:rPr>
  </w:style>
  <w:style w:type="paragraph" w:customStyle="1" w:styleId="Titulektabulky">
    <w:name w:val="Titulek tabulky"/>
    <w:basedOn w:val="Titulek"/>
    <w:qFormat/>
    <w:rsid w:val="00221DF6"/>
    <w:pPr>
      <w:spacing w:after="60"/>
    </w:pPr>
  </w:style>
  <w:style w:type="paragraph" w:styleId="Odstavecseseznamem">
    <w:name w:val="List Paragraph"/>
    <w:basedOn w:val="Normln"/>
    <w:uiPriority w:val="34"/>
    <w:qFormat/>
    <w:rsid w:val="00941239"/>
    <w:pPr>
      <w:numPr>
        <w:numId w:val="22"/>
      </w:numPr>
      <w:spacing w:line="264" w:lineRule="auto"/>
      <w:ind w:left="426"/>
      <w:contextualSpacing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35D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435D7"/>
    <w:rPr>
      <w:rFonts w:ascii="Tahoma" w:hAnsi="Tahoma" w:cs="Tahoma"/>
      <w:sz w:val="16"/>
      <w:szCs w:val="16"/>
      <w:lang w:eastAsia="en-US"/>
    </w:rPr>
  </w:style>
  <w:style w:type="paragraph" w:customStyle="1" w:styleId="podtitulek">
    <w:name w:val="podtitulek"/>
    <w:basedOn w:val="Normln"/>
    <w:qFormat/>
    <w:rsid w:val="00BA3161"/>
    <w:pPr>
      <w:spacing w:before="60" w:line="240" w:lineRule="auto"/>
      <w:ind w:firstLine="709"/>
    </w:pPr>
    <w:rPr>
      <w:b/>
      <w:sz w:val="16"/>
      <w:szCs w:val="16"/>
    </w:rPr>
  </w:style>
  <w:style w:type="paragraph" w:customStyle="1" w:styleId="tabulka">
    <w:name w:val="tabulka"/>
    <w:basedOn w:val="Normln"/>
    <w:qFormat/>
    <w:rsid w:val="00BA3161"/>
    <w:pPr>
      <w:spacing w:line="240" w:lineRule="auto"/>
    </w:pPr>
    <w:rPr>
      <w:rFonts w:eastAsia="Times New Roman" w:cs="Arial"/>
      <w:color w:val="000000"/>
      <w:sz w:val="16"/>
      <w:szCs w:val="16"/>
      <w:lang w:eastAsia="cs-CZ"/>
    </w:rPr>
  </w:style>
  <w:style w:type="paragraph" w:customStyle="1" w:styleId="poznamka">
    <w:name w:val="poznamka"/>
    <w:basedOn w:val="Normln"/>
    <w:qFormat/>
    <w:rsid w:val="008A30EF"/>
    <w:pPr>
      <w:spacing w:after="60" w:line="240" w:lineRule="auto"/>
      <w:jc w:val="both"/>
    </w:pPr>
    <w:rPr>
      <w:i/>
      <w:sz w:val="14"/>
      <w:szCs w:val="14"/>
    </w:rPr>
  </w:style>
  <w:style w:type="paragraph" w:customStyle="1" w:styleId="zdroj">
    <w:name w:val="zdroj"/>
    <w:basedOn w:val="Normln"/>
    <w:qFormat/>
    <w:rsid w:val="008A30EF"/>
    <w:pPr>
      <w:spacing w:line="240" w:lineRule="auto"/>
      <w:jc w:val="right"/>
    </w:pPr>
    <w:rPr>
      <w:i/>
      <w:sz w:val="14"/>
      <w:szCs w:val="14"/>
    </w:rPr>
  </w:style>
  <w:style w:type="character" w:styleId="Hypertextovodkaz">
    <w:name w:val="Hyperlink"/>
    <w:uiPriority w:val="99"/>
    <w:unhideWhenUsed/>
    <w:rsid w:val="00FF75DD"/>
    <w:rPr>
      <w:color w:val="0000FF"/>
      <w:u w:val="single"/>
    </w:rPr>
  </w:style>
  <w:style w:type="paragraph" w:styleId="Seznamobrzk">
    <w:name w:val="table of figures"/>
    <w:basedOn w:val="Normln"/>
    <w:next w:val="Normln"/>
    <w:uiPriority w:val="99"/>
    <w:unhideWhenUsed/>
    <w:rsid w:val="00FF75DD"/>
    <w:pPr>
      <w:spacing w:before="120" w:after="200"/>
    </w:pPr>
  </w:style>
  <w:style w:type="table" w:styleId="Mkatabulky">
    <w:name w:val="Table Grid"/>
    <w:basedOn w:val="Normlntabulka"/>
    <w:uiPriority w:val="59"/>
    <w:rsid w:val="00FF75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75DD"/>
    <w:pPr>
      <w:spacing w:before="120" w:after="200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FF75DD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FF75DD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FF75DD"/>
    <w:pPr>
      <w:tabs>
        <w:tab w:val="center" w:pos="4536"/>
        <w:tab w:val="right" w:pos="9072"/>
      </w:tabs>
      <w:spacing w:before="120" w:after="200"/>
    </w:pPr>
  </w:style>
  <w:style w:type="character" w:customStyle="1" w:styleId="ZhlavChar">
    <w:name w:val="Záhlaví Char"/>
    <w:link w:val="Zhlav"/>
    <w:uiPriority w:val="99"/>
    <w:semiHidden/>
    <w:rsid w:val="00FF75DD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FF75DD"/>
    <w:pPr>
      <w:tabs>
        <w:tab w:val="center" w:pos="4536"/>
        <w:tab w:val="right" w:pos="9072"/>
      </w:tabs>
      <w:spacing w:before="120" w:after="200"/>
    </w:pPr>
  </w:style>
  <w:style w:type="character" w:customStyle="1" w:styleId="ZpatChar">
    <w:name w:val="Zápatí Char"/>
    <w:link w:val="Zpat"/>
    <w:uiPriority w:val="99"/>
    <w:semiHidden/>
    <w:rsid w:val="00FF75DD"/>
    <w:rPr>
      <w:rFonts w:ascii="Arial" w:hAnsi="Arial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F75DD"/>
    <w:pPr>
      <w:spacing w:before="120" w:after="200"/>
    </w:pPr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FF75DD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F75DD"/>
    <w:pPr>
      <w:spacing w:before="120" w:after="200"/>
    </w:pPr>
    <w:rPr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FF75DD"/>
    <w:rPr>
      <w:rFonts w:ascii="Arial" w:hAnsi="Arial"/>
      <w:lang w:eastAsia="en-US"/>
    </w:rPr>
  </w:style>
  <w:style w:type="character" w:styleId="Odkaznavysvtlivky">
    <w:name w:val="endnote reference"/>
    <w:uiPriority w:val="99"/>
    <w:semiHidden/>
    <w:unhideWhenUsed/>
    <w:rsid w:val="00FF75DD"/>
    <w:rPr>
      <w:vertAlign w:val="superscript"/>
    </w:rPr>
  </w:style>
  <w:style w:type="character" w:styleId="Odkaznakoment">
    <w:name w:val="annotation reference"/>
    <w:uiPriority w:val="99"/>
    <w:semiHidden/>
    <w:unhideWhenUsed/>
    <w:rsid w:val="00FF75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75DD"/>
    <w:pPr>
      <w:spacing w:before="120" w:after="200"/>
    </w:pPr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F75D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75D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F75DD"/>
    <w:rPr>
      <w:rFonts w:ascii="Arial" w:hAnsi="Arial"/>
      <w:b/>
      <w:bCs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F75D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FF75DD"/>
    <w:pPr>
      <w:spacing w:before="120" w:after="200"/>
    </w:pPr>
  </w:style>
  <w:style w:type="paragraph" w:styleId="Obsah2">
    <w:name w:val="toc 2"/>
    <w:basedOn w:val="Normln"/>
    <w:next w:val="Normln"/>
    <w:autoRedefine/>
    <w:uiPriority w:val="39"/>
    <w:unhideWhenUsed/>
    <w:rsid w:val="00FF75DD"/>
    <w:pPr>
      <w:spacing w:before="120" w:after="2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161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21DF6"/>
    <w:pPr>
      <w:keepNext/>
      <w:numPr>
        <w:numId w:val="5"/>
      </w:numPr>
      <w:spacing w:after="120" w:line="240" w:lineRule="auto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941239"/>
    <w:pPr>
      <w:keepNext/>
      <w:numPr>
        <w:ilvl w:val="1"/>
        <w:numId w:val="5"/>
      </w:numPr>
      <w:outlineLvl w:val="1"/>
    </w:pPr>
    <w:rPr>
      <w:rFonts w:eastAsia="Times New Roman"/>
      <w:b/>
      <w:bCs/>
      <w:iCs/>
      <w:sz w:val="22"/>
      <w:szCs w:val="28"/>
    </w:rPr>
  </w:style>
  <w:style w:type="paragraph" w:styleId="Nadpis3">
    <w:name w:val="heading 3"/>
    <w:basedOn w:val="Normln"/>
    <w:next w:val="Normln"/>
    <w:link w:val="Nadpis3Char"/>
    <w:qFormat/>
    <w:rsid w:val="008170C8"/>
    <w:pPr>
      <w:spacing w:before="240" w:after="120" w:line="264" w:lineRule="auto"/>
      <w:outlineLvl w:val="2"/>
    </w:pPr>
    <w:rPr>
      <w:rFonts w:eastAsia="Times New Roman"/>
      <w:b/>
      <w:bCs/>
      <w:iCs/>
      <w:sz w:val="22"/>
    </w:rPr>
  </w:style>
  <w:style w:type="paragraph" w:styleId="Nadpis4">
    <w:name w:val="heading 4"/>
    <w:basedOn w:val="Normln"/>
    <w:next w:val="Normln"/>
    <w:link w:val="Nadpis4Char"/>
    <w:qFormat/>
    <w:rsid w:val="008170C8"/>
    <w:pPr>
      <w:keepNext/>
      <w:spacing w:after="120"/>
      <w:outlineLvl w:val="3"/>
    </w:pPr>
    <w:rPr>
      <w:b/>
      <w:bCs/>
      <w:color w:val="FF0000"/>
    </w:rPr>
  </w:style>
  <w:style w:type="paragraph" w:styleId="Nadpis5">
    <w:name w:val="heading 5"/>
    <w:basedOn w:val="Normln"/>
    <w:next w:val="Normln"/>
    <w:link w:val="Nadpis5Char"/>
    <w:qFormat/>
    <w:rsid w:val="008170C8"/>
    <w:pPr>
      <w:keepNext/>
      <w:spacing w:before="200" w:after="60" w:line="264" w:lineRule="auto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8170C8"/>
    <w:pPr>
      <w:keepNext/>
      <w:spacing w:after="12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8170C8"/>
    <w:pPr>
      <w:keepNext/>
      <w:jc w:val="right"/>
      <w:outlineLvl w:val="6"/>
    </w:pPr>
    <w:rPr>
      <w:i/>
      <w:sz w:val="16"/>
      <w:szCs w:val="14"/>
    </w:rPr>
  </w:style>
  <w:style w:type="paragraph" w:styleId="Nadpis8">
    <w:name w:val="heading 8"/>
    <w:basedOn w:val="Normln"/>
    <w:next w:val="Normln"/>
    <w:link w:val="Nadpis8Char"/>
    <w:qFormat/>
    <w:rsid w:val="008170C8"/>
    <w:pPr>
      <w:keepNext/>
      <w:outlineLvl w:val="7"/>
    </w:pPr>
    <w:rPr>
      <w:b/>
      <w:bCs/>
      <w:color w:val="FF0000"/>
      <w:sz w:val="16"/>
      <w:szCs w:val="16"/>
    </w:rPr>
  </w:style>
  <w:style w:type="paragraph" w:styleId="Nadpis9">
    <w:name w:val="heading 9"/>
    <w:basedOn w:val="Normln"/>
    <w:next w:val="Normln"/>
    <w:link w:val="Nadpis9Char"/>
    <w:qFormat/>
    <w:rsid w:val="008170C8"/>
    <w:pPr>
      <w:keepNext/>
      <w:spacing w:before="240" w:after="120"/>
      <w:outlineLvl w:val="8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F5B5E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941239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customStyle="1" w:styleId="nadpisdefinice">
    <w:name w:val="nadpis definice"/>
    <w:basedOn w:val="Normln"/>
    <w:link w:val="nadpisdefiniceChar"/>
    <w:qFormat/>
    <w:rsid w:val="008170C8"/>
    <w:rPr>
      <w:sz w:val="32"/>
      <w:szCs w:val="32"/>
    </w:rPr>
  </w:style>
  <w:style w:type="character" w:customStyle="1" w:styleId="nadpisdefiniceChar">
    <w:name w:val="nadpis definice Char"/>
    <w:link w:val="nadpisdefinice"/>
    <w:rsid w:val="00565B2E"/>
    <w:rPr>
      <w:rFonts w:ascii="Arial" w:hAnsi="Arial" w:cs="Arial"/>
      <w:sz w:val="32"/>
      <w:szCs w:val="32"/>
      <w:lang w:eastAsia="en-US"/>
    </w:rPr>
  </w:style>
  <w:style w:type="paragraph" w:styleId="Titulek">
    <w:name w:val="caption"/>
    <w:basedOn w:val="Normln"/>
    <w:next w:val="Normln"/>
    <w:uiPriority w:val="35"/>
    <w:qFormat/>
    <w:rsid w:val="006435D7"/>
    <w:pPr>
      <w:spacing w:before="120" w:line="240" w:lineRule="auto"/>
    </w:pPr>
    <w:rPr>
      <w:b/>
      <w:bCs/>
      <w:sz w:val="16"/>
      <w:szCs w:val="20"/>
    </w:rPr>
  </w:style>
  <w:style w:type="character" w:customStyle="1" w:styleId="Nadpis3Char">
    <w:name w:val="Nadpis 3 Char"/>
    <w:link w:val="Nadpis3"/>
    <w:rsid w:val="008170C8"/>
    <w:rPr>
      <w:rFonts w:ascii="Arial" w:eastAsia="Times New Roman" w:hAnsi="Arial"/>
      <w:b/>
      <w:bCs/>
      <w:iCs/>
      <w:sz w:val="22"/>
      <w:szCs w:val="22"/>
      <w:lang w:eastAsia="en-US"/>
    </w:rPr>
  </w:style>
  <w:style w:type="character" w:customStyle="1" w:styleId="Nadpis4Char">
    <w:name w:val="Nadpis 4 Char"/>
    <w:link w:val="Nadpis4"/>
    <w:rsid w:val="008170C8"/>
    <w:rPr>
      <w:rFonts w:ascii="Arial" w:hAnsi="Arial"/>
      <w:b/>
      <w:bCs/>
      <w:color w:val="FF0000"/>
      <w:szCs w:val="22"/>
      <w:lang w:eastAsia="en-US"/>
    </w:rPr>
  </w:style>
  <w:style w:type="character" w:customStyle="1" w:styleId="Nadpis5Char">
    <w:name w:val="Nadpis 5 Char"/>
    <w:link w:val="Nadpis5"/>
    <w:rsid w:val="008170C8"/>
    <w:rPr>
      <w:rFonts w:ascii="Arial" w:hAnsi="Arial"/>
      <w:b/>
      <w:bCs/>
      <w:szCs w:val="22"/>
      <w:lang w:eastAsia="en-US"/>
    </w:rPr>
  </w:style>
  <w:style w:type="character" w:customStyle="1" w:styleId="Nadpis6Char">
    <w:name w:val="Nadpis 6 Char"/>
    <w:link w:val="Nadpis6"/>
    <w:rsid w:val="008170C8"/>
    <w:rPr>
      <w:rFonts w:ascii="Arial" w:hAnsi="Arial"/>
      <w:b/>
      <w:bCs/>
      <w:szCs w:val="22"/>
      <w:lang w:eastAsia="en-US"/>
    </w:rPr>
  </w:style>
  <w:style w:type="character" w:customStyle="1" w:styleId="Nadpis7Char">
    <w:name w:val="Nadpis 7 Char"/>
    <w:link w:val="Nadpis7"/>
    <w:rsid w:val="008170C8"/>
    <w:rPr>
      <w:rFonts w:ascii="Arial" w:hAnsi="Arial"/>
      <w:i/>
      <w:sz w:val="16"/>
      <w:szCs w:val="14"/>
      <w:lang w:eastAsia="en-US"/>
    </w:rPr>
  </w:style>
  <w:style w:type="character" w:customStyle="1" w:styleId="Nadpis8Char">
    <w:name w:val="Nadpis 8 Char"/>
    <w:link w:val="Nadpis8"/>
    <w:rsid w:val="008170C8"/>
    <w:rPr>
      <w:rFonts w:ascii="Arial" w:hAnsi="Arial" w:cs="Arial"/>
      <w:b/>
      <w:bCs/>
      <w:color w:val="FF0000"/>
      <w:sz w:val="16"/>
      <w:szCs w:val="16"/>
      <w:lang w:eastAsia="en-US"/>
    </w:rPr>
  </w:style>
  <w:style w:type="character" w:customStyle="1" w:styleId="Nadpis9Char">
    <w:name w:val="Nadpis 9 Char"/>
    <w:link w:val="Nadpis9"/>
    <w:rsid w:val="008170C8"/>
    <w:rPr>
      <w:rFonts w:ascii="Arial" w:hAnsi="Arial" w:cs="Arial"/>
      <w:b/>
      <w:bCs/>
      <w:sz w:val="16"/>
      <w:szCs w:val="16"/>
      <w:lang w:eastAsia="en-US"/>
    </w:rPr>
  </w:style>
  <w:style w:type="paragraph" w:customStyle="1" w:styleId="Titulektabulky">
    <w:name w:val="Titulek tabulky"/>
    <w:basedOn w:val="Titulek"/>
    <w:qFormat/>
    <w:rsid w:val="00221DF6"/>
    <w:pPr>
      <w:spacing w:after="60"/>
    </w:pPr>
  </w:style>
  <w:style w:type="paragraph" w:styleId="Odstavecseseznamem">
    <w:name w:val="List Paragraph"/>
    <w:basedOn w:val="Normln"/>
    <w:uiPriority w:val="34"/>
    <w:qFormat/>
    <w:rsid w:val="00941239"/>
    <w:pPr>
      <w:numPr>
        <w:numId w:val="22"/>
      </w:numPr>
      <w:spacing w:line="264" w:lineRule="auto"/>
      <w:ind w:left="426"/>
      <w:contextualSpacing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35D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435D7"/>
    <w:rPr>
      <w:rFonts w:ascii="Tahoma" w:hAnsi="Tahoma" w:cs="Tahoma"/>
      <w:sz w:val="16"/>
      <w:szCs w:val="16"/>
      <w:lang w:eastAsia="en-US"/>
    </w:rPr>
  </w:style>
  <w:style w:type="paragraph" w:customStyle="1" w:styleId="podtitulek">
    <w:name w:val="podtitulek"/>
    <w:basedOn w:val="Normln"/>
    <w:qFormat/>
    <w:rsid w:val="00BA3161"/>
    <w:pPr>
      <w:spacing w:before="60" w:line="240" w:lineRule="auto"/>
      <w:ind w:firstLine="709"/>
    </w:pPr>
    <w:rPr>
      <w:b/>
      <w:sz w:val="16"/>
      <w:szCs w:val="16"/>
    </w:rPr>
  </w:style>
  <w:style w:type="paragraph" w:customStyle="1" w:styleId="tabulka">
    <w:name w:val="tabulka"/>
    <w:basedOn w:val="Normln"/>
    <w:qFormat/>
    <w:rsid w:val="00BA3161"/>
    <w:pPr>
      <w:spacing w:line="240" w:lineRule="auto"/>
    </w:pPr>
    <w:rPr>
      <w:rFonts w:eastAsia="Times New Roman" w:cs="Arial"/>
      <w:color w:val="000000"/>
      <w:sz w:val="16"/>
      <w:szCs w:val="16"/>
      <w:lang w:eastAsia="cs-CZ"/>
    </w:rPr>
  </w:style>
  <w:style w:type="paragraph" w:customStyle="1" w:styleId="poznamka">
    <w:name w:val="poznamka"/>
    <w:basedOn w:val="Normln"/>
    <w:qFormat/>
    <w:rsid w:val="008A30EF"/>
    <w:pPr>
      <w:spacing w:after="60" w:line="240" w:lineRule="auto"/>
      <w:jc w:val="both"/>
    </w:pPr>
    <w:rPr>
      <w:i/>
      <w:sz w:val="14"/>
      <w:szCs w:val="14"/>
    </w:rPr>
  </w:style>
  <w:style w:type="paragraph" w:customStyle="1" w:styleId="zdroj">
    <w:name w:val="zdroj"/>
    <w:basedOn w:val="Normln"/>
    <w:qFormat/>
    <w:rsid w:val="008A30EF"/>
    <w:pPr>
      <w:spacing w:line="240" w:lineRule="auto"/>
      <w:jc w:val="right"/>
    </w:pPr>
    <w:rPr>
      <w:i/>
      <w:sz w:val="14"/>
      <w:szCs w:val="14"/>
    </w:rPr>
  </w:style>
  <w:style w:type="character" w:styleId="Hypertextovodkaz">
    <w:name w:val="Hyperlink"/>
    <w:uiPriority w:val="99"/>
    <w:unhideWhenUsed/>
    <w:rsid w:val="00FF75DD"/>
    <w:rPr>
      <w:color w:val="0000FF"/>
      <w:u w:val="single"/>
    </w:rPr>
  </w:style>
  <w:style w:type="paragraph" w:styleId="Seznamobrzk">
    <w:name w:val="table of figures"/>
    <w:basedOn w:val="Normln"/>
    <w:next w:val="Normln"/>
    <w:uiPriority w:val="99"/>
    <w:unhideWhenUsed/>
    <w:rsid w:val="00FF75DD"/>
    <w:pPr>
      <w:spacing w:before="120" w:after="200"/>
    </w:pPr>
  </w:style>
  <w:style w:type="table" w:styleId="Mkatabulky">
    <w:name w:val="Table Grid"/>
    <w:basedOn w:val="Normlntabulka"/>
    <w:uiPriority w:val="59"/>
    <w:rsid w:val="00FF75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75DD"/>
    <w:pPr>
      <w:spacing w:before="120" w:after="200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FF75DD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FF75DD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FF75DD"/>
    <w:pPr>
      <w:tabs>
        <w:tab w:val="center" w:pos="4536"/>
        <w:tab w:val="right" w:pos="9072"/>
      </w:tabs>
      <w:spacing w:before="120" w:after="200"/>
    </w:pPr>
  </w:style>
  <w:style w:type="character" w:customStyle="1" w:styleId="ZhlavChar">
    <w:name w:val="Záhlaví Char"/>
    <w:link w:val="Zhlav"/>
    <w:uiPriority w:val="99"/>
    <w:semiHidden/>
    <w:rsid w:val="00FF75DD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FF75DD"/>
    <w:pPr>
      <w:tabs>
        <w:tab w:val="center" w:pos="4536"/>
        <w:tab w:val="right" w:pos="9072"/>
      </w:tabs>
      <w:spacing w:before="120" w:after="200"/>
    </w:pPr>
  </w:style>
  <w:style w:type="character" w:customStyle="1" w:styleId="ZpatChar">
    <w:name w:val="Zápatí Char"/>
    <w:link w:val="Zpat"/>
    <w:uiPriority w:val="99"/>
    <w:semiHidden/>
    <w:rsid w:val="00FF75DD"/>
    <w:rPr>
      <w:rFonts w:ascii="Arial" w:hAnsi="Arial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F75DD"/>
    <w:pPr>
      <w:spacing w:before="120" w:after="200"/>
    </w:pPr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FF75DD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F75DD"/>
    <w:pPr>
      <w:spacing w:before="120" w:after="200"/>
    </w:pPr>
    <w:rPr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FF75DD"/>
    <w:rPr>
      <w:rFonts w:ascii="Arial" w:hAnsi="Arial"/>
      <w:lang w:eastAsia="en-US"/>
    </w:rPr>
  </w:style>
  <w:style w:type="character" w:styleId="Odkaznavysvtlivky">
    <w:name w:val="endnote reference"/>
    <w:uiPriority w:val="99"/>
    <w:semiHidden/>
    <w:unhideWhenUsed/>
    <w:rsid w:val="00FF75DD"/>
    <w:rPr>
      <w:vertAlign w:val="superscript"/>
    </w:rPr>
  </w:style>
  <w:style w:type="character" w:styleId="Odkaznakoment">
    <w:name w:val="annotation reference"/>
    <w:uiPriority w:val="99"/>
    <w:semiHidden/>
    <w:unhideWhenUsed/>
    <w:rsid w:val="00FF75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75DD"/>
    <w:pPr>
      <w:spacing w:before="120" w:after="200"/>
    </w:pPr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F75D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75D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F75DD"/>
    <w:rPr>
      <w:rFonts w:ascii="Arial" w:hAnsi="Arial"/>
      <w:b/>
      <w:bCs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F75D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FF75DD"/>
    <w:pPr>
      <w:spacing w:before="120" w:after="200"/>
    </w:pPr>
  </w:style>
  <w:style w:type="paragraph" w:styleId="Obsah2">
    <w:name w:val="toc 2"/>
    <w:basedOn w:val="Normln"/>
    <w:next w:val="Normln"/>
    <w:autoRedefine/>
    <w:uiPriority w:val="39"/>
    <w:unhideWhenUsed/>
    <w:rsid w:val="00FF75DD"/>
    <w:pPr>
      <w:spacing w:before="120" w:after="2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904D8-CC16-472B-B37F-0C189AA3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8</Pages>
  <Words>3947</Words>
  <Characters>23288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peroutkova6027</dc:creator>
  <cp:lastModifiedBy>Marek Štampach</cp:lastModifiedBy>
  <cp:revision>14</cp:revision>
  <cp:lastPrinted>2013-12-17T13:36:00Z</cp:lastPrinted>
  <dcterms:created xsi:type="dcterms:W3CDTF">2015-01-06T08:38:00Z</dcterms:created>
  <dcterms:modified xsi:type="dcterms:W3CDTF">2015-01-19T13:40:00Z</dcterms:modified>
</cp:coreProperties>
</file>