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9F534D" w:rsidRDefault="005E5054" w:rsidP="00152449">
      <w:pPr>
        <w:pStyle w:val="datum"/>
        <w:rPr>
          <w:lang w:val="en-GB"/>
        </w:rPr>
      </w:pPr>
      <w:r w:rsidRPr="009F534D">
        <w:rPr>
          <w:lang w:val="en-GB"/>
        </w:rPr>
        <w:t>4</w:t>
      </w:r>
      <w:r w:rsidR="003B28C5" w:rsidRPr="009F534D">
        <w:rPr>
          <w:lang w:val="en-GB"/>
        </w:rPr>
        <w:t xml:space="preserve"> August</w:t>
      </w:r>
      <w:r w:rsidR="0039500D" w:rsidRPr="009F534D">
        <w:rPr>
          <w:lang w:val="en-GB"/>
        </w:rPr>
        <w:t xml:space="preserve"> 2014</w:t>
      </w:r>
    </w:p>
    <w:p w:rsidR="001B4EF5" w:rsidRPr="009F534D" w:rsidRDefault="003B28C5" w:rsidP="00417198">
      <w:pPr>
        <w:pStyle w:val="Nzev"/>
        <w:rPr>
          <w:lang w:val="en-GB"/>
        </w:rPr>
      </w:pPr>
      <w:r w:rsidRPr="009F534D">
        <w:rPr>
          <w:lang w:val="en-GB"/>
        </w:rPr>
        <w:t xml:space="preserve">Commuting from the </w:t>
      </w:r>
      <w:proofErr w:type="spellStart"/>
      <w:r w:rsidR="0009333D" w:rsidRPr="009F534D">
        <w:rPr>
          <w:lang w:val="en-GB"/>
        </w:rPr>
        <w:t>Středočesk</w:t>
      </w:r>
      <w:r w:rsidRPr="009F534D">
        <w:rPr>
          <w:lang w:val="en-GB"/>
        </w:rPr>
        <w:t>ý</w:t>
      </w:r>
      <w:proofErr w:type="spellEnd"/>
      <w:r w:rsidRPr="009F534D">
        <w:rPr>
          <w:lang w:val="en-GB"/>
        </w:rPr>
        <w:t xml:space="preserve"> Region Has Shown an Important Effect on Total Employment in Prague</w:t>
      </w:r>
    </w:p>
    <w:p w:rsidR="00276CDB" w:rsidRPr="009F534D" w:rsidRDefault="003B28C5" w:rsidP="00276CDB">
      <w:pPr>
        <w:pStyle w:val="Perex"/>
        <w:rPr>
          <w:lang w:val="en-GB"/>
        </w:rPr>
      </w:pPr>
      <w:r w:rsidRPr="009F534D">
        <w:rPr>
          <w:lang w:val="en-GB"/>
        </w:rPr>
        <w:t>Intensity of inter-regional commuting to work is very different</w:t>
      </w:r>
      <w:r w:rsidR="0009333D" w:rsidRPr="009F534D">
        <w:rPr>
          <w:lang w:val="en-GB"/>
        </w:rPr>
        <w:t>.</w:t>
      </w:r>
      <w:r w:rsidRPr="009F534D">
        <w:rPr>
          <w:lang w:val="en-GB"/>
        </w:rPr>
        <w:t xml:space="preserve"> It is high especially in between Prague </w:t>
      </w:r>
      <w:r w:rsidR="0089732E">
        <w:rPr>
          <w:lang w:val="en-GB"/>
        </w:rPr>
        <w:t xml:space="preserve">and </w:t>
      </w:r>
      <w:r w:rsidRPr="009F534D">
        <w:rPr>
          <w:lang w:val="en-GB"/>
        </w:rPr>
        <w:t xml:space="preserve">a large </w:t>
      </w:r>
      <w:r w:rsidR="0089732E">
        <w:rPr>
          <w:lang w:val="en-GB"/>
        </w:rPr>
        <w:t>area</w:t>
      </w:r>
      <w:r w:rsidRPr="009F534D">
        <w:rPr>
          <w:lang w:val="en-GB"/>
        </w:rPr>
        <w:t xml:space="preserve"> of the </w:t>
      </w:r>
      <w:proofErr w:type="spellStart"/>
      <w:r w:rsidR="00E74ED8" w:rsidRPr="009F534D">
        <w:rPr>
          <w:lang w:val="en-GB"/>
        </w:rPr>
        <w:t>Středočesk</w:t>
      </w:r>
      <w:r w:rsidRPr="009F534D">
        <w:rPr>
          <w:lang w:val="en-GB"/>
        </w:rPr>
        <w:t>ý</w:t>
      </w:r>
      <w:proofErr w:type="spellEnd"/>
      <w:r w:rsidRPr="009F534D">
        <w:rPr>
          <w:lang w:val="en-GB"/>
        </w:rPr>
        <w:t xml:space="preserve"> Region</w:t>
      </w:r>
      <w:r w:rsidR="00E74ED8" w:rsidRPr="009F534D">
        <w:rPr>
          <w:lang w:val="en-GB"/>
        </w:rPr>
        <w:t>.</w:t>
      </w:r>
      <w:r w:rsidR="0009333D" w:rsidRPr="009F534D">
        <w:rPr>
          <w:lang w:val="en-GB"/>
        </w:rPr>
        <w:t xml:space="preserve"> </w:t>
      </w:r>
      <w:r w:rsidRPr="009F534D">
        <w:rPr>
          <w:lang w:val="en-GB"/>
        </w:rPr>
        <w:t xml:space="preserve">In other regions of the Czech Republic this type of movement </w:t>
      </w:r>
      <w:r w:rsidR="00DD4B23" w:rsidRPr="009F534D">
        <w:rPr>
          <w:lang w:val="en-GB"/>
        </w:rPr>
        <w:t>to</w:t>
      </w:r>
      <w:r w:rsidRPr="009F534D">
        <w:rPr>
          <w:lang w:val="en-GB"/>
        </w:rPr>
        <w:t xml:space="preserve"> work affects employment in regions</w:t>
      </w:r>
      <w:r w:rsidR="00DD4B23" w:rsidRPr="009F534D">
        <w:rPr>
          <w:lang w:val="en-GB"/>
        </w:rPr>
        <w:t>,</w:t>
      </w:r>
      <w:r w:rsidRPr="009F534D">
        <w:rPr>
          <w:lang w:val="en-GB"/>
        </w:rPr>
        <w:t xml:space="preserve"> </w:t>
      </w:r>
      <w:r w:rsidR="00DD4B23" w:rsidRPr="009F534D">
        <w:rPr>
          <w:lang w:val="en-GB"/>
        </w:rPr>
        <w:t xml:space="preserve">in which people </w:t>
      </w:r>
      <w:r w:rsidRPr="009F534D">
        <w:rPr>
          <w:lang w:val="en-GB"/>
        </w:rPr>
        <w:t>commut</w:t>
      </w:r>
      <w:r w:rsidR="00DD4B23" w:rsidRPr="009F534D">
        <w:rPr>
          <w:lang w:val="en-GB"/>
        </w:rPr>
        <w:t>e</w:t>
      </w:r>
      <w:r w:rsidRPr="009F534D">
        <w:rPr>
          <w:lang w:val="en-GB"/>
        </w:rPr>
        <w:t xml:space="preserve"> in</w:t>
      </w:r>
      <w:r w:rsidR="0089732E">
        <w:rPr>
          <w:lang w:val="en-GB"/>
        </w:rPr>
        <w:t>to</w:t>
      </w:r>
      <w:r w:rsidRPr="009F534D">
        <w:rPr>
          <w:lang w:val="en-GB"/>
        </w:rPr>
        <w:t xml:space="preserve"> and out</w:t>
      </w:r>
      <w:r w:rsidR="0089732E">
        <w:rPr>
          <w:lang w:val="en-GB"/>
        </w:rPr>
        <w:t xml:space="preserve"> of them</w:t>
      </w:r>
      <w:r w:rsidR="00DD4B23" w:rsidRPr="009F534D">
        <w:rPr>
          <w:lang w:val="en-GB"/>
        </w:rPr>
        <w:t>,</w:t>
      </w:r>
      <w:r w:rsidRPr="009F534D">
        <w:rPr>
          <w:lang w:val="en-GB"/>
        </w:rPr>
        <w:t xml:space="preserve"> at substantially lower level. </w:t>
      </w:r>
    </w:p>
    <w:p w:rsidR="00615A63" w:rsidRPr="009F534D" w:rsidRDefault="003B28C5" w:rsidP="005E5054">
      <w:pPr>
        <w:rPr>
          <w:lang w:val="en-GB"/>
        </w:rPr>
      </w:pPr>
      <w:r w:rsidRPr="009F534D">
        <w:rPr>
          <w:lang w:val="en-GB"/>
        </w:rPr>
        <w:t>It is clear from results of the Labour Force Sample Survey</w:t>
      </w:r>
      <w:r w:rsidR="0043258F" w:rsidRPr="009F534D">
        <w:rPr>
          <w:lang w:val="en-GB"/>
        </w:rPr>
        <w:t xml:space="preserve"> (</w:t>
      </w:r>
      <w:r w:rsidRPr="009F534D">
        <w:rPr>
          <w:lang w:val="en-GB"/>
        </w:rPr>
        <w:t>LFSS</w:t>
      </w:r>
      <w:proofErr w:type="gramStart"/>
      <w:r w:rsidR="0043258F" w:rsidRPr="009F534D">
        <w:rPr>
          <w:lang w:val="en-GB"/>
        </w:rPr>
        <w:t>)</w:t>
      </w:r>
      <w:r w:rsidR="0089732E">
        <w:rPr>
          <w:lang w:val="en-GB"/>
        </w:rPr>
        <w:t>,</w:t>
      </w:r>
      <w:r w:rsidR="0043258F" w:rsidRPr="009F534D">
        <w:rPr>
          <w:lang w:val="en-GB"/>
        </w:rPr>
        <w:t xml:space="preserve"> </w:t>
      </w:r>
      <w:r w:rsidRPr="009F534D">
        <w:rPr>
          <w:lang w:val="en-GB"/>
        </w:rPr>
        <w:t>that</w:t>
      </w:r>
      <w:proofErr w:type="gramEnd"/>
      <w:r w:rsidRPr="009F534D">
        <w:rPr>
          <w:lang w:val="en-GB"/>
        </w:rPr>
        <w:t xml:space="preserve"> employment trends vary in respective regions of the Czech Republic. These differences</w:t>
      </w:r>
      <w:r w:rsidR="00DD4B23" w:rsidRPr="009F534D">
        <w:rPr>
          <w:lang w:val="en-GB"/>
        </w:rPr>
        <w:t xml:space="preserve"> are</w:t>
      </w:r>
      <w:r w:rsidRPr="009F534D">
        <w:rPr>
          <w:lang w:val="en-GB"/>
        </w:rPr>
        <w:t xml:space="preserve">, first of all, a result of the number and structure of jobs </w:t>
      </w:r>
      <w:r w:rsidR="0043258F" w:rsidRPr="009F534D">
        <w:rPr>
          <w:lang w:val="en-GB"/>
        </w:rPr>
        <w:t>a</w:t>
      </w:r>
      <w:r w:rsidRPr="009F534D">
        <w:rPr>
          <w:lang w:val="en-GB"/>
        </w:rPr>
        <w:t xml:space="preserve">nd the following </w:t>
      </w:r>
      <w:r w:rsidR="0089732E">
        <w:rPr>
          <w:lang w:val="en-GB"/>
        </w:rPr>
        <w:t>options</w:t>
      </w:r>
      <w:r w:rsidRPr="009F534D">
        <w:rPr>
          <w:lang w:val="en-GB"/>
        </w:rPr>
        <w:t xml:space="preserve"> to apply professional knowledge and skills. Movement for work under the conditions of the Czech Republic is an important factor responding to the number of jobs. </w:t>
      </w:r>
    </w:p>
    <w:p w:rsidR="00615A63" w:rsidRPr="009F534D" w:rsidRDefault="00615A63" w:rsidP="005E5054">
      <w:pPr>
        <w:rPr>
          <w:lang w:val="en-GB"/>
        </w:rPr>
      </w:pPr>
    </w:p>
    <w:p w:rsidR="005E5054" w:rsidRPr="009F534D" w:rsidRDefault="0009333D" w:rsidP="005E5054">
      <w:pPr>
        <w:rPr>
          <w:lang w:val="en-GB"/>
        </w:rPr>
      </w:pPr>
      <w:r w:rsidRPr="009F534D">
        <w:rPr>
          <w:lang w:val="en-GB"/>
        </w:rPr>
        <w:t>Data o</w:t>
      </w:r>
      <w:r w:rsidR="003B28C5" w:rsidRPr="009F534D">
        <w:rPr>
          <w:lang w:val="en-GB"/>
        </w:rPr>
        <w:t>n</w:t>
      </w:r>
      <w:r w:rsidRPr="009F534D">
        <w:rPr>
          <w:lang w:val="en-GB"/>
        </w:rPr>
        <w:t xml:space="preserve"> </w:t>
      </w:r>
      <w:r w:rsidR="003B28C5" w:rsidRPr="009F534D">
        <w:rPr>
          <w:lang w:val="en-GB"/>
        </w:rPr>
        <w:t xml:space="preserve">regional employment relate to persons </w:t>
      </w:r>
      <w:r w:rsidR="00406587" w:rsidRPr="009F534D">
        <w:rPr>
          <w:lang w:val="en-GB"/>
        </w:rPr>
        <w:t>making</w:t>
      </w:r>
      <w:r w:rsidR="003B28C5" w:rsidRPr="009F534D">
        <w:rPr>
          <w:lang w:val="en-GB"/>
        </w:rPr>
        <w:t xml:space="preserve"> their usual </w:t>
      </w:r>
      <w:r w:rsidR="0089732E">
        <w:rPr>
          <w:lang w:val="en-GB"/>
        </w:rPr>
        <w:t>residence</w:t>
      </w:r>
      <w:r w:rsidR="003B28C5" w:rsidRPr="009F534D">
        <w:rPr>
          <w:lang w:val="en-GB"/>
        </w:rPr>
        <w:t xml:space="preserve"> </w:t>
      </w:r>
      <w:r w:rsidR="0089732E">
        <w:rPr>
          <w:lang w:val="en-GB"/>
        </w:rPr>
        <w:t>i</w:t>
      </w:r>
      <w:r w:rsidR="003B28C5" w:rsidRPr="009F534D">
        <w:rPr>
          <w:lang w:val="en-GB"/>
        </w:rPr>
        <w:t xml:space="preserve">n the respective region irrespectively they actually work on the </w:t>
      </w:r>
      <w:r w:rsidR="0089732E" w:rsidRPr="009F534D">
        <w:rPr>
          <w:lang w:val="en-GB"/>
        </w:rPr>
        <w:t xml:space="preserve">region </w:t>
      </w:r>
      <w:r w:rsidR="003B28C5" w:rsidRPr="009F534D">
        <w:rPr>
          <w:lang w:val="en-GB"/>
        </w:rPr>
        <w:t xml:space="preserve">territory or not. </w:t>
      </w:r>
      <w:r w:rsidR="00406587" w:rsidRPr="009F534D">
        <w:rPr>
          <w:lang w:val="en-GB"/>
        </w:rPr>
        <w:t>The survey</w:t>
      </w:r>
      <w:r w:rsidR="00A77FBC" w:rsidRPr="009F534D">
        <w:rPr>
          <w:lang w:val="en-GB"/>
        </w:rPr>
        <w:t>,</w:t>
      </w:r>
      <w:r w:rsidR="00406587" w:rsidRPr="009F534D">
        <w:rPr>
          <w:lang w:val="en-GB"/>
        </w:rPr>
        <w:t xml:space="preserve"> however, enable</w:t>
      </w:r>
      <w:r w:rsidR="00DD4B23" w:rsidRPr="009F534D">
        <w:rPr>
          <w:lang w:val="en-GB"/>
        </w:rPr>
        <w:t>s</w:t>
      </w:r>
      <w:r w:rsidR="00406587" w:rsidRPr="009F534D">
        <w:rPr>
          <w:lang w:val="en-GB"/>
        </w:rPr>
        <w:t xml:space="preserve"> </w:t>
      </w:r>
      <w:r w:rsidR="00A77FBC" w:rsidRPr="009F534D">
        <w:rPr>
          <w:lang w:val="en-GB"/>
        </w:rPr>
        <w:t>to</w:t>
      </w:r>
      <w:r w:rsidR="00406587" w:rsidRPr="009F534D">
        <w:rPr>
          <w:lang w:val="en-GB"/>
        </w:rPr>
        <w:t xml:space="preserve"> obtain a closer look on the commuting across borders of the </w:t>
      </w:r>
      <w:r w:rsidR="00DD4B23" w:rsidRPr="009F534D">
        <w:rPr>
          <w:lang w:val="en-GB"/>
        </w:rPr>
        <w:t>respondent home</w:t>
      </w:r>
      <w:r w:rsidR="00406587" w:rsidRPr="009F534D">
        <w:rPr>
          <w:lang w:val="en-GB"/>
        </w:rPr>
        <w:t xml:space="preserve"> region </w:t>
      </w:r>
      <w:r w:rsidR="0018223B" w:rsidRPr="009F534D">
        <w:rPr>
          <w:lang w:val="en-GB"/>
        </w:rPr>
        <w:t xml:space="preserve">(NUTS3). </w:t>
      </w:r>
      <w:r w:rsidR="00406587" w:rsidRPr="009F534D">
        <w:rPr>
          <w:lang w:val="en-GB"/>
        </w:rPr>
        <w:t xml:space="preserve">The LFSS </w:t>
      </w:r>
      <w:r w:rsidR="00A77FBC" w:rsidRPr="009F534D">
        <w:rPr>
          <w:lang w:val="en-GB"/>
        </w:rPr>
        <w:t>does</w:t>
      </w:r>
      <w:r w:rsidR="00406587" w:rsidRPr="009F534D">
        <w:rPr>
          <w:lang w:val="en-GB"/>
        </w:rPr>
        <w:t xml:space="preserve"> not recognise frequency of commuting yet in </w:t>
      </w:r>
      <w:r w:rsidR="00A77FBC" w:rsidRPr="009F534D">
        <w:rPr>
          <w:lang w:val="en-GB"/>
        </w:rPr>
        <w:t>most</w:t>
      </w:r>
      <w:r w:rsidR="00406587" w:rsidRPr="009F534D">
        <w:rPr>
          <w:lang w:val="en-GB"/>
        </w:rPr>
        <w:t xml:space="preserve"> cases it is a daily movement even though shares of weekly, monthly, or irregular commuting will be higher than in the case</w:t>
      </w:r>
      <w:r w:rsidR="008400C4" w:rsidRPr="009F534D">
        <w:rPr>
          <w:lang w:val="en-GB"/>
        </w:rPr>
        <w:t>s</w:t>
      </w:r>
      <w:r w:rsidR="00406587" w:rsidRPr="009F534D">
        <w:rPr>
          <w:lang w:val="en-GB"/>
        </w:rPr>
        <w:t xml:space="preserve"> of intra</w:t>
      </w:r>
      <w:r w:rsidR="0089732E">
        <w:rPr>
          <w:lang w:val="en-GB"/>
        </w:rPr>
        <w:t>-</w:t>
      </w:r>
      <w:r w:rsidR="00406587" w:rsidRPr="009F534D">
        <w:rPr>
          <w:lang w:val="en-GB"/>
        </w:rPr>
        <w:t xml:space="preserve">regional and </w:t>
      </w:r>
      <w:r w:rsidR="008400C4" w:rsidRPr="009F534D">
        <w:rPr>
          <w:lang w:val="en-GB"/>
        </w:rPr>
        <w:t>intra</w:t>
      </w:r>
      <w:r w:rsidR="00031FF6">
        <w:rPr>
          <w:lang w:val="en-GB"/>
        </w:rPr>
        <w:t>-</w:t>
      </w:r>
      <w:r w:rsidR="00406587" w:rsidRPr="009F534D">
        <w:rPr>
          <w:lang w:val="en-GB"/>
        </w:rPr>
        <w:t xml:space="preserve">district commuting, respectively. </w:t>
      </w:r>
    </w:p>
    <w:p w:rsidR="008055E9" w:rsidRPr="009F534D" w:rsidRDefault="008055E9" w:rsidP="005E5054">
      <w:pPr>
        <w:rPr>
          <w:lang w:val="en-GB"/>
        </w:rPr>
      </w:pPr>
    </w:p>
    <w:p w:rsidR="008055E9" w:rsidRPr="009F534D" w:rsidRDefault="008055E9" w:rsidP="003B54AB">
      <w:pPr>
        <w:jc w:val="left"/>
        <w:rPr>
          <w:b/>
          <w:lang w:val="en-GB"/>
        </w:rPr>
      </w:pPr>
      <w:r w:rsidRPr="009F534D">
        <w:rPr>
          <w:b/>
          <w:lang w:val="en-GB"/>
        </w:rPr>
        <w:t xml:space="preserve">A. </w:t>
      </w:r>
      <w:proofErr w:type="gramStart"/>
      <w:r w:rsidR="000E59D5" w:rsidRPr="009F534D">
        <w:rPr>
          <w:b/>
          <w:lang w:val="en-GB"/>
        </w:rPr>
        <w:t>In</w:t>
      </w:r>
      <w:proofErr w:type="gramEnd"/>
      <w:r w:rsidR="000E59D5" w:rsidRPr="009F534D">
        <w:rPr>
          <w:b/>
          <w:lang w:val="en-GB"/>
        </w:rPr>
        <w:t xml:space="preserve"> 2013 </w:t>
      </w:r>
      <w:r w:rsidR="008F0BF8" w:rsidRPr="009F534D">
        <w:rPr>
          <w:b/>
          <w:lang w:val="en-GB"/>
        </w:rPr>
        <w:t xml:space="preserve">Almost Three Hundred Persons Commuted </w:t>
      </w:r>
      <w:r w:rsidR="00DD4B23" w:rsidRPr="009F534D">
        <w:rPr>
          <w:b/>
          <w:lang w:val="en-GB"/>
        </w:rPr>
        <w:t xml:space="preserve">out of </w:t>
      </w:r>
      <w:r w:rsidR="008F0BF8" w:rsidRPr="009F534D">
        <w:rPr>
          <w:b/>
          <w:lang w:val="en-GB"/>
        </w:rPr>
        <w:t xml:space="preserve">Their Home Region </w:t>
      </w:r>
      <w:r w:rsidR="0096141C">
        <w:rPr>
          <w:b/>
          <w:lang w:val="en-GB"/>
        </w:rPr>
        <w:t>for</w:t>
      </w:r>
      <w:r w:rsidR="00DD4B23" w:rsidRPr="009F534D">
        <w:rPr>
          <w:b/>
          <w:lang w:val="en-GB"/>
        </w:rPr>
        <w:t xml:space="preserve"> </w:t>
      </w:r>
      <w:r w:rsidR="008F0BF8" w:rsidRPr="009F534D">
        <w:rPr>
          <w:b/>
          <w:lang w:val="en-GB"/>
        </w:rPr>
        <w:t>Work</w:t>
      </w:r>
    </w:p>
    <w:p w:rsidR="0018223B" w:rsidRPr="009F534D" w:rsidRDefault="00DD4B23" w:rsidP="005E5054">
      <w:pPr>
        <w:rPr>
          <w:lang w:val="en-GB"/>
        </w:rPr>
      </w:pPr>
      <w:r w:rsidRPr="009F534D">
        <w:rPr>
          <w:lang w:val="en-GB"/>
        </w:rPr>
        <w:t xml:space="preserve">In </w:t>
      </w:r>
      <w:r w:rsidR="0018223B" w:rsidRPr="009F534D">
        <w:rPr>
          <w:lang w:val="en-GB"/>
        </w:rPr>
        <w:t xml:space="preserve">2013 </w:t>
      </w:r>
      <w:r w:rsidRPr="009F534D">
        <w:rPr>
          <w:lang w:val="en-GB"/>
        </w:rPr>
        <w:t xml:space="preserve">298 thousand persons, i.e. 6% of all working persons having </w:t>
      </w:r>
      <w:r w:rsidR="0096141C">
        <w:rPr>
          <w:lang w:val="en-GB"/>
        </w:rPr>
        <w:t xml:space="preserve">their residence </w:t>
      </w:r>
      <w:r w:rsidRPr="009F534D">
        <w:rPr>
          <w:lang w:val="en-GB"/>
        </w:rPr>
        <w:t xml:space="preserve">on the Czech Republic territory commuted across their </w:t>
      </w:r>
      <w:r w:rsidR="008400C4" w:rsidRPr="009F534D">
        <w:rPr>
          <w:lang w:val="en-GB"/>
        </w:rPr>
        <w:t>home</w:t>
      </w:r>
      <w:r w:rsidRPr="009F534D">
        <w:rPr>
          <w:lang w:val="en-GB"/>
        </w:rPr>
        <w:t xml:space="preserve"> region borders </w:t>
      </w:r>
      <w:r w:rsidR="0096141C">
        <w:rPr>
          <w:lang w:val="en-GB"/>
        </w:rPr>
        <w:t>for</w:t>
      </w:r>
      <w:r w:rsidRPr="009F534D">
        <w:rPr>
          <w:lang w:val="en-GB"/>
        </w:rPr>
        <w:t xml:space="preserve"> work to other regions. </w:t>
      </w:r>
      <w:r w:rsidR="008400C4" w:rsidRPr="009F534D">
        <w:rPr>
          <w:lang w:val="en-GB"/>
        </w:rPr>
        <w:t>Frequency of commuting in</w:t>
      </w:r>
      <w:r w:rsidR="0096141C">
        <w:rPr>
          <w:lang w:val="en-GB"/>
        </w:rPr>
        <w:t>to</w:t>
      </w:r>
      <w:r w:rsidR="008400C4" w:rsidRPr="009F534D">
        <w:rPr>
          <w:lang w:val="en-GB"/>
        </w:rPr>
        <w:t xml:space="preserve"> and out </w:t>
      </w:r>
      <w:r w:rsidR="0096141C">
        <w:rPr>
          <w:lang w:val="en-GB"/>
        </w:rPr>
        <w:t xml:space="preserve">of a region </w:t>
      </w:r>
      <w:r w:rsidR="008400C4" w:rsidRPr="009F534D">
        <w:rPr>
          <w:lang w:val="en-GB"/>
        </w:rPr>
        <w:t>by region is very different. Prague, which 168 thousand persons were commuting in</w:t>
      </w:r>
      <w:r w:rsidR="0096141C">
        <w:rPr>
          <w:lang w:val="en-GB"/>
        </w:rPr>
        <w:t>to</w:t>
      </w:r>
      <w:r w:rsidR="008400C4" w:rsidRPr="009F534D">
        <w:rPr>
          <w:lang w:val="en-GB"/>
        </w:rPr>
        <w:t xml:space="preserve"> from other regions, i.e. over 56% of all persons commuting inter</w:t>
      </w:r>
      <w:r w:rsidR="00031FF6">
        <w:rPr>
          <w:lang w:val="en-GB"/>
        </w:rPr>
        <w:t>-</w:t>
      </w:r>
      <w:r w:rsidR="008400C4" w:rsidRPr="009F534D">
        <w:rPr>
          <w:lang w:val="en-GB"/>
        </w:rPr>
        <w:t>regionally</w:t>
      </w:r>
      <w:r w:rsidR="0096141C" w:rsidRPr="0096141C">
        <w:rPr>
          <w:lang w:val="en-GB"/>
        </w:rPr>
        <w:t xml:space="preserve"> </w:t>
      </w:r>
      <w:r w:rsidR="0096141C" w:rsidRPr="009F534D">
        <w:rPr>
          <w:lang w:val="en-GB"/>
        </w:rPr>
        <w:t>in the last year</w:t>
      </w:r>
      <w:r w:rsidR="008400C4" w:rsidRPr="009F534D">
        <w:rPr>
          <w:lang w:val="en-GB"/>
        </w:rPr>
        <w:t xml:space="preserve">, occupies an extraordinary position. Every fifth working person in Prague lives outside the Capital City. The second most frequent destination is the </w:t>
      </w:r>
      <w:proofErr w:type="spellStart"/>
      <w:r w:rsidR="006D45A4" w:rsidRPr="009F534D">
        <w:rPr>
          <w:lang w:val="en-GB"/>
        </w:rPr>
        <w:t>Středočeský</w:t>
      </w:r>
      <w:proofErr w:type="spellEnd"/>
      <w:r w:rsidR="006D45A4" w:rsidRPr="009F534D">
        <w:rPr>
          <w:lang w:val="en-GB"/>
        </w:rPr>
        <w:t xml:space="preserve"> </w:t>
      </w:r>
      <w:r w:rsidR="008400C4" w:rsidRPr="009F534D">
        <w:rPr>
          <w:lang w:val="en-GB"/>
        </w:rPr>
        <w:t>Region</w:t>
      </w:r>
      <w:r w:rsidR="006D45A4" w:rsidRPr="009F534D">
        <w:rPr>
          <w:lang w:val="en-GB"/>
        </w:rPr>
        <w:t xml:space="preserve">, </w:t>
      </w:r>
      <w:r w:rsidR="008400C4" w:rsidRPr="009F534D">
        <w:rPr>
          <w:lang w:val="en-GB"/>
        </w:rPr>
        <w:t>which 43 thousand persons (over 14% of persons commuting inter</w:t>
      </w:r>
      <w:r w:rsidR="00031FF6">
        <w:rPr>
          <w:lang w:val="en-GB"/>
        </w:rPr>
        <w:t>-</w:t>
      </w:r>
      <w:r w:rsidR="008400C4" w:rsidRPr="009F534D">
        <w:rPr>
          <w:lang w:val="en-GB"/>
        </w:rPr>
        <w:t xml:space="preserve">regionally) were commuting into </w:t>
      </w:r>
      <w:r w:rsidR="0096141C">
        <w:rPr>
          <w:lang w:val="en-GB"/>
        </w:rPr>
        <w:t xml:space="preserve">for </w:t>
      </w:r>
      <w:r w:rsidR="008400C4" w:rsidRPr="009F534D">
        <w:rPr>
          <w:lang w:val="en-GB"/>
        </w:rPr>
        <w:t>work</w:t>
      </w:r>
      <w:r w:rsidR="00E5289E" w:rsidRPr="009F534D">
        <w:rPr>
          <w:lang w:val="en-GB"/>
        </w:rPr>
        <w:t xml:space="preserve">. </w:t>
      </w:r>
      <w:r w:rsidR="008400C4" w:rsidRPr="009F534D">
        <w:rPr>
          <w:lang w:val="en-GB"/>
        </w:rPr>
        <w:t xml:space="preserve">Numbers of </w:t>
      </w:r>
      <w:r w:rsidR="00586211" w:rsidRPr="009F534D">
        <w:rPr>
          <w:lang w:val="en-GB"/>
        </w:rPr>
        <w:t>inter</w:t>
      </w:r>
      <w:r w:rsidR="00586211">
        <w:rPr>
          <w:lang w:val="en-GB"/>
        </w:rPr>
        <w:t>-</w:t>
      </w:r>
      <w:r w:rsidR="00586211" w:rsidRPr="009F534D">
        <w:rPr>
          <w:lang w:val="en-GB"/>
        </w:rPr>
        <w:t xml:space="preserve">regional </w:t>
      </w:r>
      <w:r w:rsidR="008400C4" w:rsidRPr="009F534D">
        <w:rPr>
          <w:lang w:val="en-GB"/>
        </w:rPr>
        <w:t>commut</w:t>
      </w:r>
      <w:r w:rsidR="00586211">
        <w:rPr>
          <w:lang w:val="en-GB"/>
        </w:rPr>
        <w:t>ers</w:t>
      </w:r>
      <w:r w:rsidR="008400C4" w:rsidRPr="009F534D">
        <w:rPr>
          <w:lang w:val="en-GB"/>
        </w:rPr>
        <w:t xml:space="preserve"> </w:t>
      </w:r>
      <w:r w:rsidR="00586211">
        <w:rPr>
          <w:lang w:val="en-GB"/>
        </w:rPr>
        <w:t>in</w:t>
      </w:r>
      <w:r w:rsidR="008400C4" w:rsidRPr="009F534D">
        <w:rPr>
          <w:lang w:val="en-GB"/>
        </w:rPr>
        <w:t>to other regions of the Czech Republic are substantially lower.</w:t>
      </w:r>
      <w:r w:rsidR="00003444" w:rsidRPr="009F534D">
        <w:rPr>
          <w:lang w:val="en-GB"/>
        </w:rPr>
        <w:t xml:space="preserve"> </w:t>
      </w:r>
      <w:r w:rsidR="008400C4" w:rsidRPr="009F534D">
        <w:rPr>
          <w:lang w:val="en-GB"/>
        </w:rPr>
        <w:t xml:space="preserve">There were 16 thousand persons commuting to workplaces in the </w:t>
      </w:r>
      <w:proofErr w:type="spellStart"/>
      <w:r w:rsidR="00FC743D" w:rsidRPr="009F534D">
        <w:rPr>
          <w:lang w:val="en-GB"/>
        </w:rPr>
        <w:t>Jihomoravsk</w:t>
      </w:r>
      <w:r w:rsidR="008400C4" w:rsidRPr="009F534D">
        <w:rPr>
          <w:lang w:val="en-GB"/>
        </w:rPr>
        <w:t>ý</w:t>
      </w:r>
      <w:proofErr w:type="spellEnd"/>
      <w:r w:rsidR="008400C4" w:rsidRPr="009F534D">
        <w:rPr>
          <w:lang w:val="en-GB"/>
        </w:rPr>
        <w:t xml:space="preserve"> Region</w:t>
      </w:r>
      <w:r w:rsidR="00003444" w:rsidRPr="009F534D">
        <w:rPr>
          <w:lang w:val="en-GB"/>
        </w:rPr>
        <w:t xml:space="preserve">, </w:t>
      </w:r>
      <w:r w:rsidR="008400C4" w:rsidRPr="009F534D">
        <w:rPr>
          <w:lang w:val="en-GB"/>
        </w:rPr>
        <w:t xml:space="preserve">in other regions the numbers were from </w:t>
      </w:r>
      <w:r w:rsidR="00FC3175" w:rsidRPr="009F534D">
        <w:rPr>
          <w:lang w:val="en-GB"/>
        </w:rPr>
        <w:t>2 t</w:t>
      </w:r>
      <w:r w:rsidR="008400C4" w:rsidRPr="009F534D">
        <w:rPr>
          <w:lang w:val="en-GB"/>
        </w:rPr>
        <w:t>housand working person</w:t>
      </w:r>
      <w:r w:rsidR="00586211">
        <w:rPr>
          <w:lang w:val="en-GB"/>
        </w:rPr>
        <w:t>s</w:t>
      </w:r>
      <w:r w:rsidR="008400C4" w:rsidRPr="009F534D">
        <w:rPr>
          <w:lang w:val="en-GB"/>
        </w:rPr>
        <w:t xml:space="preserve"> to the </w:t>
      </w:r>
      <w:proofErr w:type="spellStart"/>
      <w:r w:rsidR="00FC3175" w:rsidRPr="009F534D">
        <w:rPr>
          <w:lang w:val="en-GB"/>
        </w:rPr>
        <w:t>Karlovarsk</w:t>
      </w:r>
      <w:r w:rsidR="008400C4" w:rsidRPr="009F534D">
        <w:rPr>
          <w:lang w:val="en-GB"/>
        </w:rPr>
        <w:t>ý</w:t>
      </w:r>
      <w:proofErr w:type="spellEnd"/>
      <w:r w:rsidR="008400C4" w:rsidRPr="009F534D">
        <w:rPr>
          <w:lang w:val="en-GB"/>
        </w:rPr>
        <w:t xml:space="preserve"> Region up to less than </w:t>
      </w:r>
      <w:r w:rsidR="00FC743D" w:rsidRPr="009F534D">
        <w:rPr>
          <w:lang w:val="en-GB"/>
        </w:rPr>
        <w:t>10 t</w:t>
      </w:r>
      <w:r w:rsidR="008400C4" w:rsidRPr="009F534D">
        <w:rPr>
          <w:lang w:val="en-GB"/>
        </w:rPr>
        <w:t xml:space="preserve">housand persons to the </w:t>
      </w:r>
      <w:proofErr w:type="spellStart"/>
      <w:r w:rsidR="00FC743D" w:rsidRPr="009F534D">
        <w:rPr>
          <w:lang w:val="en-GB"/>
        </w:rPr>
        <w:t>Královéhra</w:t>
      </w:r>
      <w:r w:rsidR="00E5289E" w:rsidRPr="009F534D">
        <w:rPr>
          <w:lang w:val="en-GB"/>
        </w:rPr>
        <w:t>de</w:t>
      </w:r>
      <w:r w:rsidR="00FC743D" w:rsidRPr="009F534D">
        <w:rPr>
          <w:lang w:val="en-GB"/>
        </w:rPr>
        <w:t>ck</w:t>
      </w:r>
      <w:r w:rsidR="008400C4" w:rsidRPr="009F534D">
        <w:rPr>
          <w:lang w:val="en-GB"/>
        </w:rPr>
        <w:t>ý</w:t>
      </w:r>
      <w:proofErr w:type="spellEnd"/>
      <w:r w:rsidR="008400C4" w:rsidRPr="009F534D">
        <w:rPr>
          <w:lang w:val="en-GB"/>
        </w:rPr>
        <w:t xml:space="preserve"> Region</w:t>
      </w:r>
      <w:r w:rsidR="00FC743D" w:rsidRPr="009F534D">
        <w:rPr>
          <w:lang w:val="en-GB"/>
        </w:rPr>
        <w:t xml:space="preserve"> (</w:t>
      </w:r>
      <w:r w:rsidR="008400C4" w:rsidRPr="009F534D">
        <w:rPr>
          <w:lang w:val="en-GB"/>
        </w:rPr>
        <w:t xml:space="preserve">here it is </w:t>
      </w:r>
      <w:r w:rsidR="00111C5A" w:rsidRPr="009F534D">
        <w:rPr>
          <w:lang w:val="en-GB"/>
        </w:rPr>
        <w:t>necessary</w:t>
      </w:r>
      <w:r w:rsidR="008400C4" w:rsidRPr="009F534D">
        <w:rPr>
          <w:lang w:val="en-GB"/>
        </w:rPr>
        <w:t xml:space="preserve"> to keep in mind that absolute values of the </w:t>
      </w:r>
      <w:r w:rsidR="00111C5A" w:rsidRPr="009F534D">
        <w:rPr>
          <w:lang w:val="en-GB"/>
        </w:rPr>
        <w:t>sample</w:t>
      </w:r>
      <w:r w:rsidR="008400C4" w:rsidRPr="009F534D">
        <w:rPr>
          <w:lang w:val="en-GB"/>
        </w:rPr>
        <w:t xml:space="preserve"> survey </w:t>
      </w:r>
      <w:r w:rsidR="00111C5A" w:rsidRPr="009F534D">
        <w:rPr>
          <w:lang w:val="en-GB"/>
        </w:rPr>
        <w:t xml:space="preserve">results </w:t>
      </w:r>
      <w:r w:rsidR="008400C4" w:rsidRPr="009F534D">
        <w:rPr>
          <w:lang w:val="en-GB"/>
        </w:rPr>
        <w:t xml:space="preserve">below </w:t>
      </w:r>
      <w:r w:rsidR="00FC743D" w:rsidRPr="009F534D">
        <w:rPr>
          <w:lang w:val="en-GB"/>
        </w:rPr>
        <w:t>3 t</w:t>
      </w:r>
      <w:r w:rsidR="008400C4" w:rsidRPr="009F534D">
        <w:rPr>
          <w:lang w:val="en-GB"/>
        </w:rPr>
        <w:t xml:space="preserve">housand are of lower </w:t>
      </w:r>
      <w:r w:rsidR="00111C5A" w:rsidRPr="009F534D">
        <w:rPr>
          <w:lang w:val="en-GB"/>
        </w:rPr>
        <w:t>reliability</w:t>
      </w:r>
      <w:r w:rsidR="00003444" w:rsidRPr="009F534D">
        <w:rPr>
          <w:lang w:val="en-GB"/>
        </w:rPr>
        <w:t>)</w:t>
      </w:r>
      <w:r w:rsidR="00FC743D" w:rsidRPr="009F534D">
        <w:rPr>
          <w:lang w:val="en-GB"/>
        </w:rPr>
        <w:t>.</w:t>
      </w:r>
    </w:p>
    <w:p w:rsidR="00546594" w:rsidRPr="009F534D" w:rsidRDefault="00546594" w:rsidP="005E5054">
      <w:pPr>
        <w:rPr>
          <w:i/>
          <w:color w:val="FF0000"/>
          <w:sz w:val="18"/>
          <w:lang w:val="en-GB"/>
        </w:rPr>
      </w:pPr>
    </w:p>
    <w:p w:rsidR="006571DC" w:rsidRPr="009F534D" w:rsidRDefault="00406587" w:rsidP="005E5054">
      <w:pPr>
        <w:rPr>
          <w:i/>
          <w:sz w:val="18"/>
          <w:lang w:val="en-GB"/>
        </w:rPr>
      </w:pPr>
      <w:r w:rsidRPr="009F534D">
        <w:rPr>
          <w:i/>
          <w:sz w:val="18"/>
          <w:lang w:val="en-GB"/>
        </w:rPr>
        <w:t>Methodological Note</w:t>
      </w:r>
      <w:r w:rsidR="00F16524" w:rsidRPr="009F534D">
        <w:rPr>
          <w:i/>
          <w:sz w:val="18"/>
          <w:lang w:val="en-GB"/>
        </w:rPr>
        <w:t xml:space="preserve">: </w:t>
      </w:r>
      <w:r w:rsidR="00490A52" w:rsidRPr="009F534D">
        <w:rPr>
          <w:i/>
          <w:sz w:val="18"/>
          <w:lang w:val="en-GB"/>
        </w:rPr>
        <w:t xml:space="preserve">The number of persons commuting out </w:t>
      </w:r>
      <w:r w:rsidR="00663B2F">
        <w:rPr>
          <w:i/>
          <w:sz w:val="18"/>
          <w:lang w:val="en-GB"/>
        </w:rPr>
        <w:t>for</w:t>
      </w:r>
      <w:r w:rsidR="00490A52" w:rsidRPr="009F534D">
        <w:rPr>
          <w:i/>
          <w:sz w:val="18"/>
          <w:lang w:val="en-GB"/>
        </w:rPr>
        <w:t xml:space="preserve"> work is increased by cases of persons working abroad</w:t>
      </w:r>
      <w:r w:rsidR="006571DC" w:rsidRPr="009F534D">
        <w:rPr>
          <w:i/>
          <w:sz w:val="18"/>
          <w:lang w:val="en-GB"/>
        </w:rPr>
        <w:t>. T</w:t>
      </w:r>
      <w:r w:rsidR="00490A52" w:rsidRPr="009F534D">
        <w:rPr>
          <w:i/>
          <w:sz w:val="18"/>
          <w:lang w:val="en-GB"/>
        </w:rPr>
        <w:t>he survey in households, however, captures these persons solely in part because in numerous cases it is even impossible to get in contact with them.</w:t>
      </w:r>
      <w:r w:rsidR="006571DC" w:rsidRPr="009F534D">
        <w:rPr>
          <w:i/>
          <w:sz w:val="18"/>
          <w:lang w:val="en-GB"/>
        </w:rPr>
        <w:t xml:space="preserve"> </w:t>
      </w:r>
      <w:r w:rsidR="00490A52" w:rsidRPr="009F534D">
        <w:rPr>
          <w:i/>
          <w:sz w:val="18"/>
          <w:lang w:val="en-GB"/>
        </w:rPr>
        <w:t>It is clear from available data tha</w:t>
      </w:r>
      <w:r w:rsidR="00663B2F">
        <w:rPr>
          <w:i/>
          <w:sz w:val="18"/>
          <w:lang w:val="en-GB"/>
        </w:rPr>
        <w:t>t</w:t>
      </w:r>
      <w:r w:rsidR="00490A52" w:rsidRPr="009F534D">
        <w:rPr>
          <w:i/>
          <w:sz w:val="18"/>
          <w:lang w:val="en-GB"/>
        </w:rPr>
        <w:t xml:space="preserve"> commuting </w:t>
      </w:r>
      <w:r w:rsidR="00663B2F" w:rsidRPr="009F534D">
        <w:rPr>
          <w:i/>
          <w:sz w:val="18"/>
          <w:lang w:val="en-GB"/>
        </w:rPr>
        <w:t xml:space="preserve">abroad </w:t>
      </w:r>
      <w:r w:rsidR="00663B2F">
        <w:rPr>
          <w:i/>
          <w:sz w:val="18"/>
          <w:lang w:val="en-GB"/>
        </w:rPr>
        <w:t>for</w:t>
      </w:r>
      <w:r w:rsidR="00490A52" w:rsidRPr="009F534D">
        <w:rPr>
          <w:i/>
          <w:sz w:val="18"/>
          <w:lang w:val="en-GB"/>
        </w:rPr>
        <w:t xml:space="preserve"> work is more important in </w:t>
      </w:r>
      <w:r w:rsidR="00031FF6">
        <w:rPr>
          <w:i/>
          <w:sz w:val="18"/>
          <w:lang w:val="en-GB"/>
        </w:rPr>
        <w:t xml:space="preserve">the </w:t>
      </w:r>
      <w:proofErr w:type="spellStart"/>
      <w:r w:rsidR="00CA40B4" w:rsidRPr="009F534D">
        <w:rPr>
          <w:i/>
          <w:sz w:val="18"/>
          <w:lang w:val="en-GB"/>
        </w:rPr>
        <w:t>Karlovarsk</w:t>
      </w:r>
      <w:r w:rsidR="00490A52" w:rsidRPr="009F534D">
        <w:rPr>
          <w:i/>
          <w:sz w:val="18"/>
          <w:lang w:val="en-GB"/>
        </w:rPr>
        <w:t>ý</w:t>
      </w:r>
      <w:proofErr w:type="spellEnd"/>
      <w:r w:rsidR="00490A52" w:rsidRPr="009F534D">
        <w:rPr>
          <w:i/>
          <w:sz w:val="18"/>
          <w:lang w:val="en-GB"/>
        </w:rPr>
        <w:t xml:space="preserve"> Region</w:t>
      </w:r>
      <w:r w:rsidR="00CA40B4" w:rsidRPr="009F534D">
        <w:rPr>
          <w:i/>
          <w:sz w:val="18"/>
          <w:lang w:val="en-GB"/>
        </w:rPr>
        <w:t xml:space="preserve">, </w:t>
      </w:r>
      <w:proofErr w:type="spellStart"/>
      <w:r w:rsidR="00CA40B4" w:rsidRPr="009F534D">
        <w:rPr>
          <w:i/>
          <w:sz w:val="18"/>
          <w:lang w:val="en-GB"/>
        </w:rPr>
        <w:t>Plzeňsk</w:t>
      </w:r>
      <w:r w:rsidR="00490A52" w:rsidRPr="009F534D">
        <w:rPr>
          <w:i/>
          <w:sz w:val="18"/>
          <w:lang w:val="en-GB"/>
        </w:rPr>
        <w:t>ý</w:t>
      </w:r>
      <w:proofErr w:type="spellEnd"/>
      <w:r w:rsidR="00490A52" w:rsidRPr="009F534D">
        <w:rPr>
          <w:i/>
          <w:sz w:val="18"/>
          <w:lang w:val="en-GB"/>
        </w:rPr>
        <w:t xml:space="preserve"> Region</w:t>
      </w:r>
      <w:r w:rsidR="00CA40B4" w:rsidRPr="009F534D">
        <w:rPr>
          <w:i/>
          <w:sz w:val="18"/>
          <w:lang w:val="en-GB"/>
        </w:rPr>
        <w:t xml:space="preserve">, </w:t>
      </w:r>
      <w:proofErr w:type="spellStart"/>
      <w:r w:rsidR="00CA40B4" w:rsidRPr="009F534D">
        <w:rPr>
          <w:i/>
          <w:sz w:val="18"/>
          <w:lang w:val="en-GB"/>
        </w:rPr>
        <w:t>Jihočesk</w:t>
      </w:r>
      <w:r w:rsidR="00490A52" w:rsidRPr="009F534D">
        <w:rPr>
          <w:i/>
          <w:sz w:val="18"/>
          <w:lang w:val="en-GB"/>
        </w:rPr>
        <w:t>ý</w:t>
      </w:r>
      <w:proofErr w:type="spellEnd"/>
      <w:r w:rsidR="00490A52" w:rsidRPr="009F534D">
        <w:rPr>
          <w:i/>
          <w:sz w:val="18"/>
          <w:lang w:val="en-GB"/>
        </w:rPr>
        <w:t xml:space="preserve"> Region,</w:t>
      </w:r>
      <w:r w:rsidR="00CA40B4" w:rsidRPr="009F534D">
        <w:rPr>
          <w:i/>
          <w:sz w:val="18"/>
          <w:lang w:val="en-GB"/>
        </w:rPr>
        <w:t xml:space="preserve"> a</w:t>
      </w:r>
      <w:r w:rsidR="00490A52" w:rsidRPr="009F534D">
        <w:rPr>
          <w:i/>
          <w:sz w:val="18"/>
          <w:lang w:val="en-GB"/>
        </w:rPr>
        <w:t>nd</w:t>
      </w:r>
      <w:r w:rsidR="00CA40B4" w:rsidRPr="009F534D">
        <w:rPr>
          <w:i/>
          <w:sz w:val="18"/>
          <w:lang w:val="en-GB"/>
        </w:rPr>
        <w:t xml:space="preserve"> </w:t>
      </w:r>
      <w:r w:rsidR="00663B2F">
        <w:rPr>
          <w:i/>
          <w:sz w:val="18"/>
          <w:lang w:val="en-GB"/>
        </w:rPr>
        <w:t xml:space="preserve">the </w:t>
      </w:r>
      <w:proofErr w:type="spellStart"/>
      <w:r w:rsidR="00CA40B4" w:rsidRPr="009F534D">
        <w:rPr>
          <w:i/>
          <w:sz w:val="18"/>
          <w:lang w:val="en-GB"/>
        </w:rPr>
        <w:t>Jihomoravsk</w:t>
      </w:r>
      <w:r w:rsidR="00490A52" w:rsidRPr="009F534D">
        <w:rPr>
          <w:i/>
          <w:sz w:val="18"/>
          <w:lang w:val="en-GB"/>
        </w:rPr>
        <w:t>ý</w:t>
      </w:r>
      <w:proofErr w:type="spellEnd"/>
      <w:r w:rsidR="00490A52" w:rsidRPr="009F534D">
        <w:rPr>
          <w:i/>
          <w:sz w:val="18"/>
          <w:lang w:val="en-GB"/>
        </w:rPr>
        <w:t xml:space="preserve"> Region where these </w:t>
      </w:r>
      <w:r w:rsidR="00663B2F">
        <w:rPr>
          <w:i/>
          <w:sz w:val="18"/>
          <w:lang w:val="en-GB"/>
        </w:rPr>
        <w:t xml:space="preserve">persons </w:t>
      </w:r>
      <w:r w:rsidR="00490A52" w:rsidRPr="009F534D">
        <w:rPr>
          <w:i/>
          <w:sz w:val="18"/>
          <w:lang w:val="en-GB"/>
        </w:rPr>
        <w:t xml:space="preserve">are mostly so-called </w:t>
      </w:r>
      <w:r w:rsidR="00031FF6">
        <w:rPr>
          <w:i/>
          <w:sz w:val="18"/>
          <w:lang w:val="en-GB"/>
        </w:rPr>
        <w:t>“</w:t>
      </w:r>
      <w:proofErr w:type="spellStart"/>
      <w:r w:rsidR="00490A52" w:rsidRPr="00663B2F">
        <w:rPr>
          <w:i/>
          <w:sz w:val="18"/>
          <w:lang w:val="en-GB"/>
        </w:rPr>
        <w:t>pend</w:t>
      </w:r>
      <w:r w:rsidR="00663B2F" w:rsidRPr="00663B2F">
        <w:rPr>
          <w:i/>
          <w:sz w:val="18"/>
          <w:lang w:val="en-GB"/>
        </w:rPr>
        <w:t>u</w:t>
      </w:r>
      <w:r w:rsidR="00490A52" w:rsidRPr="00663B2F">
        <w:rPr>
          <w:i/>
          <w:sz w:val="18"/>
          <w:lang w:val="en-GB"/>
        </w:rPr>
        <w:t>l</w:t>
      </w:r>
      <w:r w:rsidR="00663B2F" w:rsidRPr="00663B2F">
        <w:rPr>
          <w:i/>
          <w:sz w:val="18"/>
          <w:lang w:val="en-GB"/>
        </w:rPr>
        <w:t>um</w:t>
      </w:r>
      <w:r w:rsidR="00490A52" w:rsidRPr="00663B2F">
        <w:rPr>
          <w:i/>
          <w:sz w:val="18"/>
          <w:lang w:val="en-GB"/>
        </w:rPr>
        <w:t>ers</w:t>
      </w:r>
      <w:proofErr w:type="spellEnd"/>
      <w:r w:rsidR="00031FF6" w:rsidRPr="00663B2F">
        <w:rPr>
          <w:i/>
          <w:sz w:val="18"/>
          <w:lang w:val="en-GB"/>
        </w:rPr>
        <w:t>”</w:t>
      </w:r>
      <w:r w:rsidR="00031FF6">
        <w:rPr>
          <w:i/>
          <w:sz w:val="18"/>
          <w:lang w:val="en-GB"/>
        </w:rPr>
        <w:t xml:space="preserve"> (commuters abroad) </w:t>
      </w:r>
      <w:r w:rsidR="00490A52" w:rsidRPr="009F534D">
        <w:rPr>
          <w:i/>
          <w:sz w:val="18"/>
          <w:lang w:val="en-GB"/>
        </w:rPr>
        <w:t>who commute to work daily or in a shorter cycle</w:t>
      </w:r>
      <w:r w:rsidR="00CA40B4" w:rsidRPr="009F534D">
        <w:rPr>
          <w:i/>
          <w:sz w:val="18"/>
          <w:lang w:val="en-GB"/>
        </w:rPr>
        <w:t xml:space="preserve">. </w:t>
      </w:r>
      <w:r w:rsidR="00663B2F">
        <w:rPr>
          <w:i/>
          <w:sz w:val="18"/>
          <w:lang w:val="en-GB"/>
        </w:rPr>
        <w:t xml:space="preserve">In </w:t>
      </w:r>
      <w:r w:rsidR="00663B2F" w:rsidRPr="009F534D">
        <w:rPr>
          <w:i/>
          <w:sz w:val="18"/>
          <w:lang w:val="en-GB"/>
        </w:rPr>
        <w:t>most</w:t>
      </w:r>
      <w:r w:rsidR="00663B2F">
        <w:rPr>
          <w:i/>
          <w:sz w:val="18"/>
          <w:lang w:val="en-GB"/>
        </w:rPr>
        <w:t xml:space="preserve"> cases </w:t>
      </w:r>
      <w:r w:rsidR="00490A52" w:rsidRPr="009F534D">
        <w:rPr>
          <w:i/>
          <w:sz w:val="18"/>
          <w:lang w:val="en-GB"/>
        </w:rPr>
        <w:t xml:space="preserve">these are working </w:t>
      </w:r>
      <w:r w:rsidR="00490A52" w:rsidRPr="009F534D">
        <w:rPr>
          <w:i/>
          <w:sz w:val="18"/>
          <w:lang w:val="en-GB"/>
        </w:rPr>
        <w:lastRenderedPageBreak/>
        <w:t>persons who found jobs in neighbouring countries of Germany and Austria, respectively.</w:t>
      </w:r>
      <w:r w:rsidR="00CA40B4" w:rsidRPr="009F534D">
        <w:rPr>
          <w:i/>
          <w:sz w:val="18"/>
          <w:lang w:val="en-GB"/>
        </w:rPr>
        <w:t xml:space="preserve"> </w:t>
      </w:r>
      <w:r w:rsidR="00490A52" w:rsidRPr="009F534D">
        <w:rPr>
          <w:i/>
          <w:sz w:val="18"/>
          <w:lang w:val="en-GB"/>
        </w:rPr>
        <w:t xml:space="preserve">Because the sample survey is carried out only in private households </w:t>
      </w:r>
      <w:r w:rsidR="00CA40B4" w:rsidRPr="009F534D">
        <w:rPr>
          <w:i/>
          <w:sz w:val="18"/>
          <w:lang w:val="en-GB"/>
        </w:rPr>
        <w:t>a</w:t>
      </w:r>
      <w:r w:rsidR="00490A52" w:rsidRPr="009F534D">
        <w:rPr>
          <w:i/>
          <w:sz w:val="18"/>
          <w:lang w:val="en-GB"/>
        </w:rPr>
        <w:t xml:space="preserve">nd </w:t>
      </w:r>
      <w:r w:rsidR="00A77FBC" w:rsidRPr="009F534D">
        <w:rPr>
          <w:i/>
          <w:sz w:val="18"/>
          <w:lang w:val="en-GB"/>
        </w:rPr>
        <w:t>its</w:t>
      </w:r>
      <w:r w:rsidR="00490A52" w:rsidRPr="009F534D">
        <w:rPr>
          <w:i/>
          <w:sz w:val="18"/>
          <w:lang w:val="en-GB"/>
        </w:rPr>
        <w:t xml:space="preserve"> subject matter is not persons in accommodation establishments</w:t>
      </w:r>
      <w:r w:rsidR="0092037E" w:rsidRPr="009F534D">
        <w:rPr>
          <w:i/>
          <w:sz w:val="18"/>
          <w:lang w:val="en-GB"/>
        </w:rPr>
        <w:t xml:space="preserve">, </w:t>
      </w:r>
      <w:r w:rsidR="00A77FBC" w:rsidRPr="009F534D">
        <w:rPr>
          <w:i/>
          <w:sz w:val="18"/>
          <w:lang w:val="en-GB"/>
        </w:rPr>
        <w:t>further categories of working persons, fist of all foreign nationals</w:t>
      </w:r>
      <w:r w:rsidR="00717BEF" w:rsidRPr="009F534D">
        <w:rPr>
          <w:i/>
          <w:sz w:val="18"/>
          <w:lang w:val="en-GB"/>
        </w:rPr>
        <w:t xml:space="preserve">, </w:t>
      </w:r>
      <w:r w:rsidR="00A77FBC" w:rsidRPr="009F534D">
        <w:rPr>
          <w:i/>
          <w:sz w:val="18"/>
          <w:lang w:val="en-GB"/>
        </w:rPr>
        <w:t>are captured just partly. The procedure selected</w:t>
      </w:r>
      <w:r w:rsidR="00663B2F">
        <w:rPr>
          <w:i/>
          <w:sz w:val="18"/>
          <w:lang w:val="en-GB"/>
        </w:rPr>
        <w:t>,</w:t>
      </w:r>
      <w:r w:rsidR="00A77FBC" w:rsidRPr="009F534D">
        <w:rPr>
          <w:i/>
          <w:sz w:val="18"/>
          <w:lang w:val="en-GB"/>
        </w:rPr>
        <w:t xml:space="preserve"> however, trustfully documents the inter-regional movements of respondents</w:t>
      </w:r>
      <w:r w:rsidR="00CA40B4" w:rsidRPr="009F534D">
        <w:rPr>
          <w:i/>
          <w:sz w:val="18"/>
          <w:lang w:val="en-GB"/>
        </w:rPr>
        <w:t xml:space="preserve">, </w:t>
      </w:r>
      <w:r w:rsidR="00A77FBC" w:rsidRPr="009F534D">
        <w:rPr>
          <w:i/>
          <w:sz w:val="18"/>
          <w:lang w:val="en-GB"/>
        </w:rPr>
        <w:t xml:space="preserve">who live in private households and are the Czech Republic citizens in a vast majority. </w:t>
      </w:r>
    </w:p>
    <w:p w:rsidR="008055E9" w:rsidRPr="009F534D" w:rsidRDefault="008055E9" w:rsidP="005E5054">
      <w:pPr>
        <w:rPr>
          <w:sz w:val="18"/>
          <w:lang w:val="en-GB"/>
        </w:rPr>
      </w:pPr>
    </w:p>
    <w:tbl>
      <w:tblPr>
        <w:tblW w:w="8505" w:type="dxa"/>
        <w:jc w:val="center"/>
        <w:tblLayout w:type="fixed"/>
        <w:tblCellMar>
          <w:left w:w="70" w:type="dxa"/>
          <w:right w:w="70" w:type="dxa"/>
        </w:tblCellMar>
        <w:tblLook w:val="04A0"/>
      </w:tblPr>
      <w:tblGrid>
        <w:gridCol w:w="2127"/>
        <w:gridCol w:w="2126"/>
        <w:gridCol w:w="2126"/>
        <w:gridCol w:w="2126"/>
      </w:tblGrid>
      <w:tr w:rsidR="008055E9" w:rsidRPr="009F534D" w:rsidTr="0064164F">
        <w:trPr>
          <w:trHeight w:val="255"/>
          <w:jc w:val="center"/>
        </w:trPr>
        <w:tc>
          <w:tcPr>
            <w:tcW w:w="2268" w:type="dxa"/>
            <w:gridSpan w:val="4"/>
            <w:tcBorders>
              <w:top w:val="nil"/>
              <w:left w:val="nil"/>
              <w:bottom w:val="nil"/>
              <w:right w:val="nil"/>
            </w:tcBorders>
            <w:shd w:val="clear" w:color="auto" w:fill="auto"/>
            <w:noWrap/>
            <w:vAlign w:val="bottom"/>
            <w:hideMark/>
          </w:tcPr>
          <w:p w:rsidR="008055E9" w:rsidRPr="009F534D" w:rsidRDefault="0064164F" w:rsidP="001B7CB5">
            <w:pPr>
              <w:spacing w:line="240" w:lineRule="auto"/>
              <w:jc w:val="left"/>
              <w:rPr>
                <w:rFonts w:eastAsia="Times New Roman" w:cs="Arial"/>
                <w:b/>
                <w:bCs/>
                <w:szCs w:val="20"/>
                <w:lang w:val="en-GB" w:eastAsia="cs-CZ"/>
              </w:rPr>
            </w:pPr>
            <w:r w:rsidRPr="009F534D">
              <w:rPr>
                <w:rFonts w:eastAsia="Times New Roman" w:cs="Arial"/>
                <w:b/>
                <w:bCs/>
                <w:szCs w:val="20"/>
                <w:lang w:val="en-GB" w:eastAsia="cs-CZ"/>
              </w:rPr>
              <w:t xml:space="preserve">Number of persons commuting out </w:t>
            </w:r>
            <w:r w:rsidR="00D329E1" w:rsidRPr="009F534D">
              <w:rPr>
                <w:rFonts w:eastAsia="Times New Roman" w:cs="Arial"/>
                <w:b/>
                <w:bCs/>
                <w:szCs w:val="20"/>
                <w:lang w:val="en-GB" w:eastAsia="cs-CZ"/>
              </w:rPr>
              <w:t xml:space="preserve">of </w:t>
            </w:r>
            <w:r w:rsidRPr="009F534D">
              <w:rPr>
                <w:rFonts w:eastAsia="Times New Roman" w:cs="Arial"/>
                <w:b/>
                <w:bCs/>
                <w:szCs w:val="20"/>
                <w:lang w:val="en-GB" w:eastAsia="cs-CZ"/>
              </w:rPr>
              <w:t>and in</w:t>
            </w:r>
            <w:r w:rsidR="00D329E1" w:rsidRPr="009F534D">
              <w:rPr>
                <w:rFonts w:eastAsia="Times New Roman" w:cs="Arial"/>
                <w:b/>
                <w:bCs/>
                <w:szCs w:val="20"/>
                <w:lang w:val="en-GB" w:eastAsia="cs-CZ"/>
              </w:rPr>
              <w:t xml:space="preserve">to </w:t>
            </w:r>
            <w:r w:rsidRPr="009F534D">
              <w:rPr>
                <w:rFonts w:eastAsia="Times New Roman" w:cs="Arial"/>
                <w:b/>
                <w:bCs/>
                <w:szCs w:val="20"/>
                <w:lang w:val="en-GB" w:eastAsia="cs-CZ"/>
              </w:rPr>
              <w:t xml:space="preserve">respective regions </w:t>
            </w:r>
            <w:r w:rsidRPr="009F534D">
              <w:rPr>
                <w:rFonts w:eastAsia="Times New Roman" w:cs="Arial"/>
                <w:b/>
                <w:bCs/>
                <w:szCs w:val="20"/>
                <w:lang w:val="en-GB" w:eastAsia="cs-CZ"/>
              </w:rPr>
              <w:br/>
              <w:t xml:space="preserve">of the Czech Republic in </w:t>
            </w:r>
            <w:r w:rsidR="008055E9" w:rsidRPr="009F534D">
              <w:rPr>
                <w:rFonts w:eastAsia="Times New Roman" w:cs="Arial"/>
                <w:b/>
                <w:bCs/>
                <w:szCs w:val="20"/>
                <w:lang w:val="en-GB" w:eastAsia="cs-CZ"/>
              </w:rPr>
              <w:t>2013</w:t>
            </w:r>
          </w:p>
        </w:tc>
      </w:tr>
      <w:tr w:rsidR="008055E9" w:rsidRPr="009F534D" w:rsidTr="0064164F">
        <w:trPr>
          <w:trHeight w:val="270"/>
          <w:jc w:val="center"/>
        </w:trPr>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64164F" w:rsidP="00E871B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Thousand</w:t>
            </w:r>
          </w:p>
        </w:tc>
      </w:tr>
      <w:tr w:rsidR="008055E9" w:rsidRPr="009F534D" w:rsidTr="0064164F">
        <w:trPr>
          <w:trHeight w:val="390"/>
          <w:jc w:val="center"/>
        </w:trPr>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8055E9" w:rsidRPr="009F534D" w:rsidRDefault="0064164F" w:rsidP="0019140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Region</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8055E9" w:rsidRPr="009F534D" w:rsidRDefault="0064164F" w:rsidP="0019140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Number of persons commuting out</w:t>
            </w:r>
            <w:r w:rsidR="0083403A">
              <w:rPr>
                <w:rFonts w:eastAsia="Times New Roman" w:cs="Arial"/>
                <w:sz w:val="16"/>
                <w:szCs w:val="16"/>
                <w:lang w:val="en-GB" w:eastAsia="cs-CZ"/>
              </w:rPr>
              <w:t xml:space="preserve"> of</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8055E9" w:rsidRPr="009F534D" w:rsidRDefault="0064164F" w:rsidP="0064164F">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Number of persons commuting in</w:t>
            </w:r>
            <w:r w:rsidR="0083403A">
              <w:rPr>
                <w:rFonts w:eastAsia="Times New Roman" w:cs="Arial"/>
                <w:sz w:val="16"/>
                <w:szCs w:val="16"/>
                <w:lang w:val="en-GB" w:eastAsia="cs-CZ"/>
              </w:rPr>
              <w:t>to</w:t>
            </w:r>
          </w:p>
        </w:tc>
        <w:tc>
          <w:tcPr>
            <w:tcW w:w="2268" w:type="dxa"/>
            <w:tcBorders>
              <w:top w:val="single" w:sz="8" w:space="0" w:color="auto"/>
              <w:left w:val="nil"/>
              <w:bottom w:val="single" w:sz="8" w:space="0" w:color="auto"/>
              <w:right w:val="nil"/>
            </w:tcBorders>
            <w:shd w:val="clear" w:color="auto" w:fill="auto"/>
            <w:noWrap/>
            <w:vAlign w:val="center"/>
            <w:hideMark/>
          </w:tcPr>
          <w:p w:rsidR="008055E9" w:rsidRPr="009F534D" w:rsidRDefault="0064164F" w:rsidP="00E871B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Difference in</w:t>
            </w:r>
            <w:r w:rsidR="00E871B0" w:rsidRPr="009F534D">
              <w:rPr>
                <w:rFonts w:eastAsia="Times New Roman" w:cs="Arial"/>
                <w:sz w:val="16"/>
                <w:szCs w:val="16"/>
                <w:lang w:val="en-GB" w:eastAsia="cs-CZ"/>
              </w:rPr>
              <w:t xml:space="preserve"> the number of </w:t>
            </w:r>
            <w:r w:rsidRPr="009F534D">
              <w:rPr>
                <w:rFonts w:eastAsia="Times New Roman" w:cs="Arial"/>
                <w:sz w:val="16"/>
                <w:szCs w:val="16"/>
                <w:lang w:val="en-GB" w:eastAsia="cs-CZ"/>
              </w:rPr>
              <w:t xml:space="preserve"> commuting persons</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xml:space="preserve">Hl. m. </w:t>
            </w:r>
            <w:proofErr w:type="spellStart"/>
            <w:r w:rsidRPr="009F534D">
              <w:rPr>
                <w:rFonts w:eastAsia="Times New Roman" w:cs="Arial"/>
                <w:sz w:val="16"/>
                <w:szCs w:val="16"/>
                <w:lang w:val="en-GB" w:eastAsia="cs-CZ"/>
              </w:rPr>
              <w:t>Praha</w:t>
            </w:r>
            <w:proofErr w:type="spellEnd"/>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25</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167</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9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142</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Středočeský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131</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42</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5</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-89</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Jihočeský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0</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Plzeňský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4</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Karlovarský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0</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Ústecký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13</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4</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2</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Liberecký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13</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4</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7</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Královéhradecký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17</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8</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-7</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Pardubický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14</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4</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Vysočina</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13</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5</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Jihomoravský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16</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16</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2</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-0</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Olomoucký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10</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1</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Zlínský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11</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0</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r>
      <w:tr w:rsidR="008055E9" w:rsidRPr="009F534D" w:rsidTr="0064164F">
        <w:trPr>
          <w:trHeight w:val="255"/>
          <w:jc w:val="center"/>
        </w:trPr>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Moravskoslezský</w:t>
            </w:r>
            <w:proofErr w:type="spellEnd"/>
            <w:r w:rsidRPr="009F534D">
              <w:rPr>
                <w:rFonts w:eastAsia="Times New Roman" w:cs="Arial"/>
                <w:sz w:val="16"/>
                <w:szCs w:val="16"/>
                <w:lang w:val="en-GB" w:eastAsia="cs-CZ"/>
              </w:rPr>
              <w:t xml:space="preserve"> </w:t>
            </w:r>
          </w:p>
        </w:tc>
        <w:tc>
          <w:tcPr>
            <w:tcW w:w="2268" w:type="dxa"/>
            <w:tcBorders>
              <w:top w:val="nil"/>
              <w:left w:val="nil"/>
              <w:bottom w:val="nil"/>
              <w:right w:val="single" w:sz="4" w:space="0" w:color="auto"/>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8</w:t>
            </w:r>
          </w:p>
        </w:tc>
        <w:tc>
          <w:tcPr>
            <w:tcW w:w="2268" w:type="dxa"/>
            <w:tcBorders>
              <w:top w:val="nil"/>
              <w:left w:val="single" w:sz="4" w:space="0" w:color="auto"/>
              <w:bottom w:val="nil"/>
              <w:right w:val="nil"/>
            </w:tcBorders>
            <w:shd w:val="clear" w:color="auto" w:fill="auto"/>
            <w:noWrap/>
            <w:vAlign w:val="bottom"/>
            <w:hideMark/>
          </w:tcPr>
          <w:p w:rsidR="008055E9" w:rsidRPr="009F534D" w:rsidRDefault="008055E9" w:rsidP="0019140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w:t>
            </w:r>
            <w:r w:rsidR="0064164F"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r>
      <w:tr w:rsidR="008055E9" w:rsidRPr="009F534D" w:rsidTr="0064164F">
        <w:trPr>
          <w:trHeight w:val="120"/>
          <w:jc w:val="center"/>
        </w:trPr>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r>
      <w:tr w:rsidR="008055E9" w:rsidRPr="009F534D" w:rsidTr="0064164F">
        <w:trPr>
          <w:trHeight w:val="255"/>
          <w:jc w:val="center"/>
        </w:trPr>
        <w:tc>
          <w:tcPr>
            <w:tcW w:w="2268" w:type="dxa"/>
            <w:tcBorders>
              <w:top w:val="nil"/>
              <w:left w:val="nil"/>
              <w:bottom w:val="nil"/>
              <w:right w:val="nil"/>
            </w:tcBorders>
            <w:shd w:val="clear" w:color="auto" w:fill="auto"/>
            <w:noWrap/>
            <w:vAlign w:val="bottom"/>
            <w:hideMark/>
          </w:tcPr>
          <w:p w:rsidR="008055E9" w:rsidRPr="009F534D" w:rsidRDefault="0064164F" w:rsidP="0064164F">
            <w:pPr>
              <w:spacing w:line="240" w:lineRule="auto"/>
              <w:jc w:val="left"/>
              <w:rPr>
                <w:rFonts w:eastAsia="Times New Roman" w:cs="Arial"/>
                <w:i/>
                <w:iCs/>
                <w:sz w:val="18"/>
                <w:szCs w:val="18"/>
                <w:lang w:val="en-GB" w:eastAsia="cs-CZ"/>
              </w:rPr>
            </w:pPr>
            <w:r w:rsidRPr="009F534D">
              <w:rPr>
                <w:rFonts w:eastAsia="Times New Roman" w:cs="Arial"/>
                <w:i/>
                <w:iCs/>
                <w:sz w:val="18"/>
                <w:szCs w:val="18"/>
                <w:lang w:val="en-GB" w:eastAsia="cs-CZ"/>
              </w:rPr>
              <w:t>Source</w:t>
            </w:r>
            <w:r w:rsidR="008055E9" w:rsidRPr="009F534D">
              <w:rPr>
                <w:rFonts w:eastAsia="Times New Roman" w:cs="Arial"/>
                <w:i/>
                <w:iCs/>
                <w:sz w:val="18"/>
                <w:szCs w:val="18"/>
                <w:lang w:val="en-GB" w:eastAsia="cs-CZ"/>
              </w:rPr>
              <w:t xml:space="preserve">: </w:t>
            </w:r>
            <w:r w:rsidRPr="009F534D">
              <w:rPr>
                <w:rFonts w:eastAsia="Times New Roman" w:cs="Arial"/>
                <w:i/>
                <w:iCs/>
                <w:sz w:val="18"/>
                <w:szCs w:val="18"/>
                <w:lang w:val="en-GB" w:eastAsia="cs-CZ"/>
              </w:rPr>
              <w:t>CZSO </w:t>
            </w:r>
            <w:r w:rsidR="008055E9" w:rsidRPr="009F534D">
              <w:rPr>
                <w:rFonts w:eastAsia="Times New Roman" w:cs="Arial"/>
                <w:i/>
                <w:iCs/>
                <w:sz w:val="18"/>
                <w:szCs w:val="18"/>
                <w:lang w:val="en-GB" w:eastAsia="cs-CZ"/>
              </w:rPr>
              <w:t>-</w:t>
            </w:r>
            <w:r w:rsidRPr="009F534D">
              <w:rPr>
                <w:rFonts w:eastAsia="Times New Roman" w:cs="Arial"/>
                <w:i/>
                <w:iCs/>
                <w:sz w:val="18"/>
                <w:szCs w:val="18"/>
                <w:lang w:val="en-GB" w:eastAsia="cs-CZ"/>
              </w:rPr>
              <w:t> LFSS</w:t>
            </w: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c>
          <w:tcPr>
            <w:tcW w:w="2268" w:type="dxa"/>
            <w:tcBorders>
              <w:top w:val="nil"/>
              <w:left w:val="nil"/>
              <w:bottom w:val="nil"/>
              <w:right w:val="nil"/>
            </w:tcBorders>
            <w:shd w:val="clear" w:color="auto" w:fill="auto"/>
            <w:noWrap/>
            <w:vAlign w:val="bottom"/>
            <w:hideMark/>
          </w:tcPr>
          <w:p w:rsidR="008055E9" w:rsidRPr="009F534D" w:rsidRDefault="008055E9" w:rsidP="00191400">
            <w:pPr>
              <w:spacing w:line="240" w:lineRule="auto"/>
              <w:jc w:val="left"/>
              <w:rPr>
                <w:rFonts w:eastAsia="Times New Roman" w:cs="Arial"/>
                <w:szCs w:val="20"/>
                <w:lang w:val="en-GB" w:eastAsia="cs-CZ"/>
              </w:rPr>
            </w:pPr>
          </w:p>
        </w:tc>
      </w:tr>
    </w:tbl>
    <w:p w:rsidR="005E5054" w:rsidRPr="009F534D" w:rsidRDefault="005E5054" w:rsidP="005E5054">
      <w:pPr>
        <w:rPr>
          <w:lang w:val="en-GB"/>
        </w:rPr>
      </w:pPr>
    </w:p>
    <w:p w:rsidR="00045796" w:rsidRPr="009F534D" w:rsidRDefault="00111C5A" w:rsidP="005E5054">
      <w:pPr>
        <w:rPr>
          <w:lang w:val="en-GB"/>
        </w:rPr>
      </w:pPr>
      <w:r w:rsidRPr="009F534D">
        <w:rPr>
          <w:lang w:val="en-GB"/>
        </w:rPr>
        <w:t>Data on inter</w:t>
      </w:r>
      <w:r w:rsidR="0066184A">
        <w:rPr>
          <w:lang w:val="en-GB"/>
        </w:rPr>
        <w:t>-</w:t>
      </w:r>
      <w:r w:rsidRPr="009F534D">
        <w:rPr>
          <w:lang w:val="en-GB"/>
        </w:rPr>
        <w:t xml:space="preserve">regional commuting into </w:t>
      </w:r>
      <w:r w:rsidR="0066184A">
        <w:rPr>
          <w:lang w:val="en-GB"/>
        </w:rPr>
        <w:t xml:space="preserve">another region for </w:t>
      </w:r>
      <w:r w:rsidRPr="009F534D">
        <w:rPr>
          <w:lang w:val="en-GB"/>
        </w:rPr>
        <w:t>work were published also for Q</w:t>
      </w:r>
      <w:r w:rsidR="00045796" w:rsidRPr="009F534D">
        <w:rPr>
          <w:lang w:val="en-GB"/>
        </w:rPr>
        <w:t>3</w:t>
      </w:r>
      <w:r w:rsidRPr="009F534D">
        <w:rPr>
          <w:lang w:val="en-GB"/>
        </w:rPr>
        <w:t> </w:t>
      </w:r>
      <w:r w:rsidR="00045796" w:rsidRPr="009F534D">
        <w:rPr>
          <w:lang w:val="en-GB"/>
        </w:rPr>
        <w:t xml:space="preserve">2009. </w:t>
      </w:r>
      <w:r w:rsidRPr="009F534D">
        <w:rPr>
          <w:lang w:val="en-GB"/>
        </w:rPr>
        <w:t xml:space="preserve">The survey methodology was identical and at a lower seasonal dependence of this type </w:t>
      </w:r>
      <w:r w:rsidR="0066184A">
        <w:rPr>
          <w:lang w:val="en-GB"/>
        </w:rPr>
        <w:t xml:space="preserve">commuting </w:t>
      </w:r>
      <w:r w:rsidRPr="009F534D">
        <w:rPr>
          <w:lang w:val="en-GB"/>
        </w:rPr>
        <w:t>results can be compared well</w:t>
      </w:r>
      <w:r w:rsidR="00045796" w:rsidRPr="009F534D">
        <w:rPr>
          <w:lang w:val="en-GB"/>
        </w:rPr>
        <w:t>.</w:t>
      </w:r>
      <w:r w:rsidR="00220993" w:rsidRPr="009F534D">
        <w:rPr>
          <w:lang w:val="en-GB"/>
        </w:rPr>
        <w:t xml:space="preserve"> </w:t>
      </w:r>
      <w:r w:rsidRPr="009F534D">
        <w:rPr>
          <w:lang w:val="en-GB"/>
        </w:rPr>
        <w:t xml:space="preserve">Compared to </w:t>
      </w:r>
      <w:r w:rsidR="00220993" w:rsidRPr="009F534D">
        <w:rPr>
          <w:lang w:val="en-GB"/>
        </w:rPr>
        <w:t>2009</w:t>
      </w:r>
      <w:r w:rsidR="0066184A">
        <w:rPr>
          <w:lang w:val="en-GB"/>
        </w:rPr>
        <w:t>,</w:t>
      </w:r>
      <w:r w:rsidR="00220993" w:rsidRPr="009F534D">
        <w:rPr>
          <w:lang w:val="en-GB"/>
        </w:rPr>
        <w:t xml:space="preserve"> </w:t>
      </w:r>
      <w:r w:rsidRPr="009F534D">
        <w:rPr>
          <w:lang w:val="en-GB"/>
        </w:rPr>
        <w:t>in</w:t>
      </w:r>
      <w:r w:rsidR="00220993" w:rsidRPr="009F534D">
        <w:rPr>
          <w:lang w:val="en-GB"/>
        </w:rPr>
        <w:t xml:space="preserve"> 2013 </w:t>
      </w:r>
      <w:r w:rsidR="0066184A">
        <w:rPr>
          <w:lang w:val="en-GB"/>
        </w:rPr>
        <w:t xml:space="preserve">the </w:t>
      </w:r>
      <w:r w:rsidRPr="009F534D">
        <w:rPr>
          <w:lang w:val="en-GB"/>
        </w:rPr>
        <w:t xml:space="preserve">positive difference in commuting </w:t>
      </w:r>
      <w:r w:rsidR="0066184A">
        <w:rPr>
          <w:lang w:val="en-GB"/>
        </w:rPr>
        <w:t>in</w:t>
      </w:r>
      <w:r w:rsidRPr="009F534D">
        <w:rPr>
          <w:lang w:val="en-GB"/>
        </w:rPr>
        <w:t xml:space="preserve">to Prague and the negative difference </w:t>
      </w:r>
      <w:r w:rsidR="0066184A" w:rsidRPr="009F534D">
        <w:rPr>
          <w:lang w:val="en-GB"/>
        </w:rPr>
        <w:t xml:space="preserve">in commuting </w:t>
      </w:r>
      <w:r w:rsidR="0066184A">
        <w:rPr>
          <w:lang w:val="en-GB"/>
        </w:rPr>
        <w:t>in</w:t>
      </w:r>
      <w:r w:rsidR="0066184A" w:rsidRPr="009F534D">
        <w:rPr>
          <w:lang w:val="en-GB"/>
        </w:rPr>
        <w:t xml:space="preserve">to </w:t>
      </w:r>
      <w:r w:rsidRPr="009F534D">
        <w:rPr>
          <w:lang w:val="en-GB"/>
        </w:rPr>
        <w:t xml:space="preserve">the </w:t>
      </w:r>
      <w:proofErr w:type="spellStart"/>
      <w:r w:rsidR="00220993" w:rsidRPr="009F534D">
        <w:rPr>
          <w:lang w:val="en-GB"/>
        </w:rPr>
        <w:t>Středočesk</w:t>
      </w:r>
      <w:r w:rsidRPr="009F534D">
        <w:rPr>
          <w:lang w:val="en-GB"/>
        </w:rPr>
        <w:t>ý</w:t>
      </w:r>
      <w:proofErr w:type="spellEnd"/>
      <w:r w:rsidRPr="009F534D">
        <w:rPr>
          <w:lang w:val="en-GB"/>
        </w:rPr>
        <w:t xml:space="preserve"> Region increased significantly; in other regions changes are small while the levels are lower anyway. </w:t>
      </w:r>
    </w:p>
    <w:p w:rsidR="00821870" w:rsidRPr="009F534D" w:rsidRDefault="00821870" w:rsidP="005E5054">
      <w:pPr>
        <w:rPr>
          <w:lang w:val="en-GB"/>
        </w:rPr>
      </w:pPr>
    </w:p>
    <w:p w:rsidR="0066715A" w:rsidRPr="009F534D" w:rsidRDefault="00111C5A" w:rsidP="005E5054">
      <w:pPr>
        <w:rPr>
          <w:lang w:val="en-GB"/>
        </w:rPr>
      </w:pPr>
      <w:r w:rsidRPr="009F534D">
        <w:rPr>
          <w:lang w:val="en-GB"/>
        </w:rPr>
        <w:t xml:space="preserve">Prague and the </w:t>
      </w:r>
      <w:proofErr w:type="spellStart"/>
      <w:r w:rsidR="00821870" w:rsidRPr="009F534D">
        <w:rPr>
          <w:lang w:val="en-GB"/>
        </w:rPr>
        <w:t>Středočeský</w:t>
      </w:r>
      <w:proofErr w:type="spellEnd"/>
      <w:r w:rsidR="00821870" w:rsidRPr="009F534D">
        <w:rPr>
          <w:lang w:val="en-GB"/>
        </w:rPr>
        <w:t xml:space="preserve"> </w:t>
      </w:r>
      <w:r w:rsidRPr="009F534D">
        <w:rPr>
          <w:lang w:val="en-GB"/>
        </w:rPr>
        <w:t xml:space="preserve">Region showed by far the strongest relation. In 2013 </w:t>
      </w:r>
      <w:r w:rsidR="00AA232C" w:rsidRPr="009F534D">
        <w:rPr>
          <w:lang w:val="en-GB"/>
        </w:rPr>
        <w:t xml:space="preserve">there were 127 thousand working persons commuting </w:t>
      </w:r>
      <w:r w:rsidR="0066184A">
        <w:rPr>
          <w:lang w:val="en-GB"/>
        </w:rPr>
        <w:t>in</w:t>
      </w:r>
      <w:r w:rsidR="00AA232C" w:rsidRPr="009F534D">
        <w:rPr>
          <w:lang w:val="en-GB"/>
        </w:rPr>
        <w:t xml:space="preserve">to Prague from the </w:t>
      </w:r>
      <w:proofErr w:type="spellStart"/>
      <w:r w:rsidR="00821870" w:rsidRPr="009F534D">
        <w:rPr>
          <w:lang w:val="en-GB"/>
        </w:rPr>
        <w:t>Středočesk</w:t>
      </w:r>
      <w:r w:rsidR="00AA232C" w:rsidRPr="009F534D">
        <w:rPr>
          <w:lang w:val="en-GB"/>
        </w:rPr>
        <w:t>ý</w:t>
      </w:r>
      <w:proofErr w:type="spellEnd"/>
      <w:r w:rsidR="00AA232C" w:rsidRPr="009F534D">
        <w:rPr>
          <w:lang w:val="en-GB"/>
        </w:rPr>
        <w:t xml:space="preserve"> region.</w:t>
      </w:r>
      <w:r w:rsidR="00124C15" w:rsidRPr="009F534D">
        <w:rPr>
          <w:lang w:val="en-GB"/>
        </w:rPr>
        <w:t xml:space="preserve"> </w:t>
      </w:r>
      <w:r w:rsidR="00D329E1" w:rsidRPr="009F534D">
        <w:rPr>
          <w:lang w:val="en-GB"/>
        </w:rPr>
        <w:t xml:space="preserve">This is by almost </w:t>
      </w:r>
      <w:r w:rsidR="00821870" w:rsidRPr="009F534D">
        <w:rPr>
          <w:lang w:val="en-GB"/>
        </w:rPr>
        <w:t>30 t</w:t>
      </w:r>
      <w:r w:rsidR="00D329E1" w:rsidRPr="009F534D">
        <w:rPr>
          <w:lang w:val="en-GB"/>
        </w:rPr>
        <w:t>housand persons more compared to th</w:t>
      </w:r>
      <w:r w:rsidR="0066184A">
        <w:rPr>
          <w:lang w:val="en-GB"/>
        </w:rPr>
        <w:t>ose</w:t>
      </w:r>
      <w:r w:rsidR="00D329E1" w:rsidRPr="009F534D">
        <w:rPr>
          <w:lang w:val="en-GB"/>
        </w:rPr>
        <w:t xml:space="preserve"> in 2009. </w:t>
      </w:r>
      <w:r w:rsidR="00BB48C8" w:rsidRPr="009F534D">
        <w:rPr>
          <w:lang w:val="en-GB"/>
        </w:rPr>
        <w:t xml:space="preserve">In </w:t>
      </w:r>
      <w:r w:rsidR="00D329E1" w:rsidRPr="009F534D">
        <w:rPr>
          <w:lang w:val="en-GB"/>
        </w:rPr>
        <w:t xml:space="preserve">the opposite direction, from Prague to the </w:t>
      </w:r>
      <w:proofErr w:type="spellStart"/>
      <w:r w:rsidR="00821870" w:rsidRPr="009F534D">
        <w:rPr>
          <w:lang w:val="en-GB"/>
        </w:rPr>
        <w:t>Středočesk</w:t>
      </w:r>
      <w:r w:rsidR="00BB48C8" w:rsidRPr="009F534D">
        <w:rPr>
          <w:lang w:val="en-GB"/>
        </w:rPr>
        <w:t>ý</w:t>
      </w:r>
      <w:proofErr w:type="spellEnd"/>
      <w:r w:rsidR="00BB48C8" w:rsidRPr="009F534D">
        <w:rPr>
          <w:lang w:val="en-GB"/>
        </w:rPr>
        <w:t xml:space="preserve"> Region there were </w:t>
      </w:r>
      <w:r w:rsidR="00821870" w:rsidRPr="009F534D">
        <w:rPr>
          <w:lang w:val="en-GB"/>
        </w:rPr>
        <w:t>21 t</w:t>
      </w:r>
      <w:r w:rsidR="00BB48C8" w:rsidRPr="009F534D">
        <w:rPr>
          <w:lang w:val="en-GB"/>
        </w:rPr>
        <w:t xml:space="preserve">housand persons commuting and their number also increased by </w:t>
      </w:r>
      <w:r w:rsidR="006A527F" w:rsidRPr="009F534D">
        <w:rPr>
          <w:lang w:val="en-GB"/>
        </w:rPr>
        <w:t>6 </w:t>
      </w:r>
      <w:r w:rsidR="00CB4A0E" w:rsidRPr="009F534D">
        <w:rPr>
          <w:lang w:val="en-GB"/>
        </w:rPr>
        <w:t>thousand</w:t>
      </w:r>
      <w:r w:rsidR="00BB48C8" w:rsidRPr="009F534D">
        <w:rPr>
          <w:lang w:val="en-GB"/>
        </w:rPr>
        <w:t xml:space="preserve"> </w:t>
      </w:r>
      <w:r w:rsidR="00CB4A0E" w:rsidRPr="009F534D">
        <w:rPr>
          <w:lang w:val="en-GB"/>
        </w:rPr>
        <w:t>persons</w:t>
      </w:r>
      <w:r w:rsidR="00BB48C8" w:rsidRPr="009F534D">
        <w:rPr>
          <w:lang w:val="en-GB"/>
        </w:rPr>
        <w:t xml:space="preserve"> </w:t>
      </w:r>
      <w:r w:rsidR="00CB4A0E" w:rsidRPr="009F534D">
        <w:rPr>
          <w:lang w:val="en-GB"/>
        </w:rPr>
        <w:t>compared</w:t>
      </w:r>
      <w:r w:rsidR="00BB48C8" w:rsidRPr="009F534D">
        <w:rPr>
          <w:lang w:val="en-GB"/>
        </w:rPr>
        <w:t xml:space="preserve"> to that in 2009. </w:t>
      </w:r>
      <w:r w:rsidR="00CB4A0E" w:rsidRPr="009F534D">
        <w:rPr>
          <w:lang w:val="en-GB"/>
        </w:rPr>
        <w:t xml:space="preserve">Commuting from the </w:t>
      </w:r>
      <w:proofErr w:type="spellStart"/>
      <w:r w:rsidR="00CB4A0E" w:rsidRPr="009F534D">
        <w:rPr>
          <w:lang w:val="en-GB"/>
        </w:rPr>
        <w:t>Ústecký</w:t>
      </w:r>
      <w:proofErr w:type="spellEnd"/>
      <w:r w:rsidR="00CB4A0E" w:rsidRPr="009F534D">
        <w:rPr>
          <w:lang w:val="en-GB"/>
        </w:rPr>
        <w:t xml:space="preserve"> Region </w:t>
      </w:r>
      <w:r w:rsidR="0066184A">
        <w:rPr>
          <w:lang w:val="en-GB"/>
        </w:rPr>
        <w:t>in</w:t>
      </w:r>
      <w:r w:rsidR="00CB4A0E" w:rsidRPr="009F534D">
        <w:rPr>
          <w:lang w:val="en-GB"/>
        </w:rPr>
        <w:t xml:space="preserve">to Prague and from the </w:t>
      </w:r>
      <w:proofErr w:type="spellStart"/>
      <w:r w:rsidR="009C0905" w:rsidRPr="009F534D">
        <w:rPr>
          <w:lang w:val="en-GB"/>
        </w:rPr>
        <w:t>Libereck</w:t>
      </w:r>
      <w:r w:rsidR="00CB4A0E" w:rsidRPr="009F534D">
        <w:rPr>
          <w:lang w:val="en-GB"/>
        </w:rPr>
        <w:t>ý</w:t>
      </w:r>
      <w:proofErr w:type="spellEnd"/>
      <w:r w:rsidR="00CB4A0E" w:rsidRPr="009F534D">
        <w:rPr>
          <w:lang w:val="en-GB"/>
        </w:rPr>
        <w:t xml:space="preserve"> Region </w:t>
      </w:r>
      <w:r w:rsidR="0066184A">
        <w:rPr>
          <w:lang w:val="en-GB"/>
        </w:rPr>
        <w:t>in</w:t>
      </w:r>
      <w:r w:rsidR="00CB4A0E" w:rsidRPr="009F534D">
        <w:rPr>
          <w:lang w:val="en-GB"/>
        </w:rPr>
        <w:t xml:space="preserve">to the </w:t>
      </w:r>
      <w:proofErr w:type="spellStart"/>
      <w:r w:rsidR="009C0905" w:rsidRPr="009F534D">
        <w:rPr>
          <w:lang w:val="en-GB"/>
        </w:rPr>
        <w:t>Středočesk</w:t>
      </w:r>
      <w:r w:rsidR="00CB4A0E" w:rsidRPr="009F534D">
        <w:rPr>
          <w:lang w:val="en-GB"/>
        </w:rPr>
        <w:t>ý</w:t>
      </w:r>
      <w:proofErr w:type="spellEnd"/>
      <w:r w:rsidR="00CB4A0E" w:rsidRPr="009F534D">
        <w:rPr>
          <w:lang w:val="en-GB"/>
        </w:rPr>
        <w:t xml:space="preserve"> Region</w:t>
      </w:r>
      <w:r w:rsidR="009C0905" w:rsidRPr="009F534D">
        <w:rPr>
          <w:lang w:val="en-GB"/>
        </w:rPr>
        <w:t xml:space="preserve">, </w:t>
      </w:r>
      <w:r w:rsidR="00CB4A0E" w:rsidRPr="009F534D">
        <w:rPr>
          <w:lang w:val="en-GB"/>
        </w:rPr>
        <w:t>mutual commuting between the</w:t>
      </w:r>
      <w:r w:rsidR="009C0905" w:rsidRPr="009F534D">
        <w:rPr>
          <w:lang w:val="en-GB"/>
        </w:rPr>
        <w:t xml:space="preserve"> </w:t>
      </w:r>
      <w:proofErr w:type="spellStart"/>
      <w:r w:rsidR="009C0905" w:rsidRPr="009F534D">
        <w:rPr>
          <w:lang w:val="en-GB"/>
        </w:rPr>
        <w:t>Královéhradecký</w:t>
      </w:r>
      <w:proofErr w:type="spellEnd"/>
      <w:r w:rsidR="00CB4A0E" w:rsidRPr="009F534D">
        <w:rPr>
          <w:lang w:val="en-GB"/>
        </w:rPr>
        <w:t xml:space="preserve"> Region and the </w:t>
      </w:r>
      <w:proofErr w:type="spellStart"/>
      <w:r w:rsidR="009C0905" w:rsidRPr="009F534D">
        <w:rPr>
          <w:lang w:val="en-GB"/>
        </w:rPr>
        <w:t>Pardubický</w:t>
      </w:r>
      <w:proofErr w:type="spellEnd"/>
      <w:r w:rsidR="00CB4A0E" w:rsidRPr="009F534D">
        <w:rPr>
          <w:lang w:val="en-GB"/>
        </w:rPr>
        <w:t xml:space="preserve"> Region</w:t>
      </w:r>
      <w:r w:rsidR="0066184A">
        <w:rPr>
          <w:lang w:val="en-GB"/>
        </w:rPr>
        <w:t>,</w:t>
      </w:r>
      <w:r w:rsidR="00CB4A0E" w:rsidRPr="009F534D">
        <w:rPr>
          <w:lang w:val="en-GB"/>
        </w:rPr>
        <w:t xml:space="preserve"> </w:t>
      </w:r>
      <w:r w:rsidR="009C0905" w:rsidRPr="009F534D">
        <w:rPr>
          <w:lang w:val="en-GB"/>
        </w:rPr>
        <w:t>a</w:t>
      </w:r>
      <w:r w:rsidR="00CB4A0E" w:rsidRPr="009F534D">
        <w:rPr>
          <w:lang w:val="en-GB"/>
        </w:rPr>
        <w:t xml:space="preserve">nd commuting from the </w:t>
      </w:r>
      <w:proofErr w:type="spellStart"/>
      <w:r w:rsidR="009C0905" w:rsidRPr="009F534D">
        <w:rPr>
          <w:lang w:val="en-GB"/>
        </w:rPr>
        <w:t>Vysočina</w:t>
      </w:r>
      <w:proofErr w:type="spellEnd"/>
      <w:r w:rsidR="00CB4A0E" w:rsidRPr="009F534D">
        <w:rPr>
          <w:lang w:val="en-GB"/>
        </w:rPr>
        <w:t xml:space="preserve"> Region to the </w:t>
      </w:r>
      <w:proofErr w:type="spellStart"/>
      <w:r w:rsidR="009C0905" w:rsidRPr="009F534D">
        <w:rPr>
          <w:lang w:val="en-GB"/>
        </w:rPr>
        <w:t>Jihomoravsk</w:t>
      </w:r>
      <w:r w:rsidR="00CB4A0E" w:rsidRPr="009F534D">
        <w:rPr>
          <w:lang w:val="en-GB"/>
        </w:rPr>
        <w:t>ý</w:t>
      </w:r>
      <w:proofErr w:type="spellEnd"/>
      <w:r w:rsidR="00CB4A0E" w:rsidRPr="009F534D">
        <w:rPr>
          <w:lang w:val="en-GB"/>
        </w:rPr>
        <w:t xml:space="preserve"> Region were among the more significant in the last year. In all the aforementioned cases the numbers of commuters fell within the </w:t>
      </w:r>
      <w:r w:rsidR="009C0905" w:rsidRPr="009F534D">
        <w:rPr>
          <w:lang w:val="en-GB"/>
        </w:rPr>
        <w:t>interval</w:t>
      </w:r>
      <w:r w:rsidR="00CB4A0E" w:rsidRPr="009F534D">
        <w:rPr>
          <w:lang w:val="en-GB"/>
        </w:rPr>
        <w:t xml:space="preserve"> from </w:t>
      </w:r>
      <w:r w:rsidR="009C0905" w:rsidRPr="009F534D">
        <w:rPr>
          <w:lang w:val="en-GB"/>
        </w:rPr>
        <w:t>5</w:t>
      </w:r>
      <w:r w:rsidR="00CB4A0E" w:rsidRPr="009F534D">
        <w:rPr>
          <w:lang w:val="en-GB"/>
        </w:rPr>
        <w:t xml:space="preserve"> to </w:t>
      </w:r>
      <w:r w:rsidR="009C0905" w:rsidRPr="009F534D">
        <w:rPr>
          <w:lang w:val="en-GB"/>
        </w:rPr>
        <w:t>6 t</w:t>
      </w:r>
      <w:r w:rsidR="00CB4A0E" w:rsidRPr="009F534D">
        <w:rPr>
          <w:lang w:val="en-GB"/>
        </w:rPr>
        <w:t>housand persons</w:t>
      </w:r>
      <w:r w:rsidR="009C0905" w:rsidRPr="009F534D">
        <w:rPr>
          <w:lang w:val="en-GB"/>
        </w:rPr>
        <w:t>.</w:t>
      </w:r>
    </w:p>
    <w:p w:rsidR="006C35A5" w:rsidRPr="009F534D" w:rsidRDefault="006C35A5" w:rsidP="005E5054">
      <w:pPr>
        <w:rPr>
          <w:lang w:val="en-GB"/>
        </w:rPr>
      </w:pPr>
    </w:p>
    <w:p w:rsidR="00D3790D" w:rsidRPr="009F534D" w:rsidRDefault="00ED7678" w:rsidP="005E5054">
      <w:pPr>
        <w:rPr>
          <w:lang w:val="en-GB"/>
        </w:rPr>
      </w:pPr>
      <w:r w:rsidRPr="009F534D">
        <w:rPr>
          <w:lang w:val="en-GB"/>
        </w:rPr>
        <w:t>All the regions, except</w:t>
      </w:r>
      <w:r w:rsidR="0066184A">
        <w:rPr>
          <w:lang w:val="en-GB"/>
        </w:rPr>
        <w:t xml:space="preserve"> for</w:t>
      </w:r>
      <w:r w:rsidRPr="009F534D">
        <w:rPr>
          <w:lang w:val="en-GB"/>
        </w:rPr>
        <w:t xml:space="preserve"> the Hl. m. </w:t>
      </w:r>
      <w:proofErr w:type="spellStart"/>
      <w:r w:rsidRPr="009F534D">
        <w:rPr>
          <w:lang w:val="en-GB"/>
        </w:rPr>
        <w:t>Praha</w:t>
      </w:r>
      <w:proofErr w:type="spellEnd"/>
      <w:r w:rsidRPr="009F534D">
        <w:rPr>
          <w:lang w:val="en-GB"/>
        </w:rPr>
        <w:t xml:space="preserve"> Region</w:t>
      </w:r>
      <w:r w:rsidR="0066184A">
        <w:rPr>
          <w:lang w:val="en-GB"/>
        </w:rPr>
        <w:t>,</w:t>
      </w:r>
      <w:r w:rsidR="00282F16" w:rsidRPr="009F534D">
        <w:rPr>
          <w:lang w:val="en-GB"/>
        </w:rPr>
        <w:t xml:space="preserve"> </w:t>
      </w:r>
      <w:r w:rsidRPr="009F534D">
        <w:rPr>
          <w:lang w:val="en-GB"/>
        </w:rPr>
        <w:t xml:space="preserve">have shown </w:t>
      </w:r>
      <w:r w:rsidR="0066184A">
        <w:rPr>
          <w:lang w:val="en-GB"/>
        </w:rPr>
        <w:t xml:space="preserve">a </w:t>
      </w:r>
      <w:r w:rsidRPr="009F534D">
        <w:rPr>
          <w:lang w:val="en-GB"/>
        </w:rPr>
        <w:t>negative difference</w:t>
      </w:r>
      <w:r w:rsidR="0066184A">
        <w:rPr>
          <w:lang w:val="en-GB"/>
        </w:rPr>
        <w:t>,</w:t>
      </w:r>
      <w:r w:rsidRPr="009F534D">
        <w:rPr>
          <w:lang w:val="en-GB"/>
        </w:rPr>
        <w:t xml:space="preserve"> </w:t>
      </w:r>
      <w:r w:rsidR="0066184A" w:rsidRPr="009F534D">
        <w:rPr>
          <w:lang w:val="en-GB"/>
        </w:rPr>
        <w:t>although minimum in certain cases</w:t>
      </w:r>
      <w:r w:rsidR="0066184A">
        <w:rPr>
          <w:lang w:val="en-GB"/>
        </w:rPr>
        <w:t>,</w:t>
      </w:r>
      <w:r w:rsidR="0066184A" w:rsidRPr="009F534D">
        <w:rPr>
          <w:lang w:val="en-GB"/>
        </w:rPr>
        <w:t xml:space="preserve"> </w:t>
      </w:r>
      <w:r w:rsidRPr="009F534D">
        <w:rPr>
          <w:lang w:val="en-GB"/>
        </w:rPr>
        <w:t>of the inter</w:t>
      </w:r>
      <w:r w:rsidR="0066184A">
        <w:rPr>
          <w:lang w:val="en-GB"/>
        </w:rPr>
        <w:t>-</w:t>
      </w:r>
      <w:r w:rsidRPr="009F534D">
        <w:rPr>
          <w:lang w:val="en-GB"/>
        </w:rPr>
        <w:t xml:space="preserve">regional commuting. Taking </w:t>
      </w:r>
      <w:r w:rsidR="0066184A">
        <w:rPr>
          <w:lang w:val="en-GB"/>
        </w:rPr>
        <w:t xml:space="preserve">it as </w:t>
      </w:r>
      <w:proofErr w:type="gramStart"/>
      <w:r w:rsidR="0066184A">
        <w:rPr>
          <w:lang w:val="en-GB"/>
        </w:rPr>
        <w:t xml:space="preserve">a </w:t>
      </w:r>
      <w:r w:rsidRPr="009F534D">
        <w:rPr>
          <w:lang w:val="en-GB"/>
        </w:rPr>
        <w:t>whole males</w:t>
      </w:r>
      <w:proofErr w:type="gramEnd"/>
      <w:r w:rsidRPr="009F534D">
        <w:rPr>
          <w:lang w:val="en-GB"/>
        </w:rPr>
        <w:t xml:space="preserve"> commute </w:t>
      </w:r>
      <w:r w:rsidRPr="009F534D">
        <w:rPr>
          <w:lang w:val="en-GB"/>
        </w:rPr>
        <w:lastRenderedPageBreak/>
        <w:t xml:space="preserve">more frequently than females </w:t>
      </w:r>
      <w:r w:rsidR="00243730" w:rsidRPr="009F534D">
        <w:rPr>
          <w:lang w:val="en-GB"/>
        </w:rPr>
        <w:t>(</w:t>
      </w:r>
      <w:r w:rsidRPr="009F534D">
        <w:rPr>
          <w:lang w:val="en-GB"/>
        </w:rPr>
        <w:t>the ratio is two to one</w:t>
      </w:r>
      <w:r w:rsidR="00243730" w:rsidRPr="009F534D">
        <w:rPr>
          <w:lang w:val="en-GB"/>
        </w:rPr>
        <w:t>).</w:t>
      </w:r>
      <w:r w:rsidR="0021298F" w:rsidRPr="009F534D">
        <w:rPr>
          <w:lang w:val="en-GB"/>
        </w:rPr>
        <w:t xml:space="preserve"> </w:t>
      </w:r>
      <w:r w:rsidRPr="009F534D">
        <w:rPr>
          <w:lang w:val="en-GB"/>
        </w:rPr>
        <w:t xml:space="preserve">Compared to situation in </w:t>
      </w:r>
      <w:r w:rsidR="00EF4E0F" w:rsidRPr="009F534D">
        <w:rPr>
          <w:lang w:val="en-GB"/>
        </w:rPr>
        <w:t xml:space="preserve">2009 </w:t>
      </w:r>
      <w:r w:rsidRPr="009F534D">
        <w:rPr>
          <w:lang w:val="en-GB"/>
        </w:rPr>
        <w:t xml:space="preserve">a high increase in the number of females commuting from the </w:t>
      </w:r>
      <w:proofErr w:type="spellStart"/>
      <w:r w:rsidRPr="009F534D">
        <w:rPr>
          <w:lang w:val="en-GB"/>
        </w:rPr>
        <w:t>Středočeský</w:t>
      </w:r>
      <w:proofErr w:type="spellEnd"/>
      <w:r w:rsidRPr="009F534D">
        <w:rPr>
          <w:lang w:val="en-GB"/>
        </w:rPr>
        <w:t xml:space="preserve"> Region </w:t>
      </w:r>
      <w:r w:rsidR="007036FE">
        <w:rPr>
          <w:lang w:val="en-GB"/>
        </w:rPr>
        <w:t>int</w:t>
      </w:r>
      <w:r w:rsidRPr="009F534D">
        <w:rPr>
          <w:lang w:val="en-GB"/>
        </w:rPr>
        <w:t>o the Capital City</w:t>
      </w:r>
      <w:r w:rsidR="007036FE">
        <w:rPr>
          <w:lang w:val="en-GB"/>
        </w:rPr>
        <w:t xml:space="preserve"> can be observed</w:t>
      </w:r>
      <w:r w:rsidRPr="009F534D">
        <w:rPr>
          <w:lang w:val="en-GB"/>
        </w:rPr>
        <w:t xml:space="preserve">. This way the positive difference of female commuters to Prague has grown by 12 thousand persons over four years and neared to </w:t>
      </w:r>
      <w:r w:rsidR="00D540C2">
        <w:rPr>
          <w:lang w:val="en-GB"/>
        </w:rPr>
        <w:t xml:space="preserve">the limit of </w:t>
      </w:r>
      <w:r w:rsidRPr="009F534D">
        <w:rPr>
          <w:lang w:val="en-GB"/>
        </w:rPr>
        <w:t xml:space="preserve">60 thousand persons in </w:t>
      </w:r>
      <w:r w:rsidR="00EF4E0F" w:rsidRPr="009F534D">
        <w:rPr>
          <w:lang w:val="en-GB"/>
        </w:rPr>
        <w:t>2013. T</w:t>
      </w:r>
      <w:r w:rsidRPr="009F534D">
        <w:rPr>
          <w:lang w:val="en-GB"/>
        </w:rPr>
        <w:t>he development of the negative difference in commuting in</w:t>
      </w:r>
      <w:r w:rsidR="00D540C2">
        <w:rPr>
          <w:lang w:val="en-GB"/>
        </w:rPr>
        <w:t>to</w:t>
      </w:r>
      <w:r w:rsidRPr="009F534D">
        <w:rPr>
          <w:lang w:val="en-GB"/>
        </w:rPr>
        <w:t xml:space="preserve"> the </w:t>
      </w:r>
      <w:proofErr w:type="spellStart"/>
      <w:r w:rsidR="00EF4E0F" w:rsidRPr="009F534D">
        <w:rPr>
          <w:lang w:val="en-GB"/>
        </w:rPr>
        <w:t>Středočesk</w:t>
      </w:r>
      <w:r w:rsidRPr="009F534D">
        <w:rPr>
          <w:lang w:val="en-GB"/>
        </w:rPr>
        <w:t>ý</w:t>
      </w:r>
      <w:proofErr w:type="spellEnd"/>
      <w:r w:rsidRPr="009F534D">
        <w:rPr>
          <w:lang w:val="en-GB"/>
        </w:rPr>
        <w:t xml:space="preserve"> Region </w:t>
      </w:r>
      <w:r w:rsidR="007126DE" w:rsidRPr="009F534D">
        <w:rPr>
          <w:lang w:val="en-GB"/>
        </w:rPr>
        <w:t xml:space="preserve">corresponds to this where the negative difference of </w:t>
      </w:r>
      <w:r w:rsidR="00D540C2">
        <w:rPr>
          <w:lang w:val="en-GB"/>
        </w:rPr>
        <w:t xml:space="preserve">the </w:t>
      </w:r>
      <w:r w:rsidR="007126DE" w:rsidRPr="009F534D">
        <w:rPr>
          <w:lang w:val="en-GB"/>
        </w:rPr>
        <w:t xml:space="preserve">male and female commuting </w:t>
      </w:r>
      <w:r w:rsidR="00D540C2">
        <w:rPr>
          <w:lang w:val="en-GB"/>
        </w:rPr>
        <w:t>in</w:t>
      </w:r>
      <w:r w:rsidR="007126DE" w:rsidRPr="009F534D">
        <w:rPr>
          <w:lang w:val="en-GB"/>
        </w:rPr>
        <w:t xml:space="preserve">to the region are virtually identical </w:t>
      </w:r>
      <w:r w:rsidR="0062271A" w:rsidRPr="009F534D">
        <w:rPr>
          <w:lang w:val="en-GB"/>
        </w:rPr>
        <w:t>(</w:t>
      </w:r>
      <w:r w:rsidR="007126DE" w:rsidRPr="009F534D">
        <w:rPr>
          <w:lang w:val="en-GB"/>
        </w:rPr>
        <w:t xml:space="preserve">almost </w:t>
      </w:r>
      <w:r w:rsidR="0062271A" w:rsidRPr="009F534D">
        <w:rPr>
          <w:lang w:val="en-GB"/>
        </w:rPr>
        <w:t>45</w:t>
      </w:r>
      <w:r w:rsidR="007126DE" w:rsidRPr="009F534D">
        <w:rPr>
          <w:lang w:val="en-GB"/>
        </w:rPr>
        <w:t> thousand persons each</w:t>
      </w:r>
      <w:r w:rsidR="00C339B8" w:rsidRPr="009F534D">
        <w:rPr>
          <w:lang w:val="en-GB"/>
        </w:rPr>
        <w:t>)</w:t>
      </w:r>
      <w:r w:rsidR="0062271A" w:rsidRPr="009F534D">
        <w:rPr>
          <w:lang w:val="en-GB"/>
        </w:rPr>
        <w:t>.</w:t>
      </w:r>
      <w:r w:rsidR="0062271A" w:rsidRPr="009F534D">
        <w:rPr>
          <w:color w:val="FF0000"/>
          <w:lang w:val="en-GB"/>
        </w:rPr>
        <w:t xml:space="preserve"> </w:t>
      </w:r>
      <w:r w:rsidR="0062271A" w:rsidRPr="009F534D">
        <w:rPr>
          <w:lang w:val="en-GB"/>
        </w:rPr>
        <w:t>T</w:t>
      </w:r>
      <w:r w:rsidR="007126DE" w:rsidRPr="009F534D">
        <w:rPr>
          <w:lang w:val="en-GB"/>
        </w:rPr>
        <w:t>his development was, inter alia, affected by the fact it is mostly younger people with small children or those setting families in a new residence, respectively</w:t>
      </w:r>
      <w:r w:rsidR="00D540C2">
        <w:rPr>
          <w:lang w:val="en-GB"/>
        </w:rPr>
        <w:t>,</w:t>
      </w:r>
      <w:r w:rsidR="007126DE" w:rsidRPr="009F534D">
        <w:rPr>
          <w:lang w:val="en-GB"/>
        </w:rPr>
        <w:t xml:space="preserve"> who move into the </w:t>
      </w:r>
      <w:proofErr w:type="spellStart"/>
      <w:r w:rsidR="007126DE" w:rsidRPr="009F534D">
        <w:rPr>
          <w:lang w:val="en-GB"/>
        </w:rPr>
        <w:t>Středočeský</w:t>
      </w:r>
      <w:proofErr w:type="spellEnd"/>
      <w:r w:rsidR="007126DE" w:rsidRPr="009F534D">
        <w:rPr>
          <w:lang w:val="en-GB"/>
        </w:rPr>
        <w:t xml:space="preserve"> Region from Prague and </w:t>
      </w:r>
      <w:r w:rsidR="00D540C2">
        <w:rPr>
          <w:lang w:val="en-GB"/>
        </w:rPr>
        <w:t xml:space="preserve">then </w:t>
      </w:r>
      <w:r w:rsidR="007126DE" w:rsidRPr="009F534D">
        <w:rPr>
          <w:lang w:val="en-GB"/>
        </w:rPr>
        <w:t>mothers return back to their former jobs after their parental leaves have been terminated</w:t>
      </w:r>
      <w:r w:rsidR="0062271A" w:rsidRPr="009F534D">
        <w:rPr>
          <w:lang w:val="en-GB"/>
        </w:rPr>
        <w:t>.</w:t>
      </w:r>
    </w:p>
    <w:p w:rsidR="0062271A" w:rsidRPr="009F534D" w:rsidRDefault="0062271A" w:rsidP="005E5054">
      <w:pPr>
        <w:rPr>
          <w:lang w:val="en-GB"/>
        </w:rPr>
      </w:pPr>
    </w:p>
    <w:tbl>
      <w:tblPr>
        <w:tblW w:w="8505" w:type="dxa"/>
        <w:jc w:val="center"/>
        <w:tblInd w:w="58" w:type="dxa"/>
        <w:tblCellMar>
          <w:left w:w="70" w:type="dxa"/>
          <w:right w:w="70" w:type="dxa"/>
        </w:tblCellMar>
        <w:tblLook w:val="04A0"/>
      </w:tblPr>
      <w:tblGrid>
        <w:gridCol w:w="4477"/>
        <w:gridCol w:w="1634"/>
        <w:gridCol w:w="1197"/>
        <w:gridCol w:w="1197"/>
      </w:tblGrid>
      <w:tr w:rsidR="00BB488A" w:rsidRPr="009F534D" w:rsidTr="00BB488A">
        <w:trPr>
          <w:trHeight w:val="510"/>
          <w:jc w:val="center"/>
        </w:trPr>
        <w:tc>
          <w:tcPr>
            <w:tcW w:w="8220" w:type="dxa"/>
            <w:gridSpan w:val="4"/>
            <w:tcBorders>
              <w:top w:val="nil"/>
              <w:left w:val="nil"/>
              <w:bottom w:val="nil"/>
              <w:right w:val="nil"/>
            </w:tcBorders>
            <w:shd w:val="clear" w:color="auto" w:fill="auto"/>
            <w:vAlign w:val="bottom"/>
            <w:hideMark/>
          </w:tcPr>
          <w:p w:rsidR="00BB488A" w:rsidRPr="009F534D" w:rsidRDefault="00111C5A" w:rsidP="002C38F8">
            <w:pPr>
              <w:spacing w:line="240" w:lineRule="auto"/>
              <w:jc w:val="left"/>
              <w:rPr>
                <w:rFonts w:eastAsia="Times New Roman" w:cs="Arial"/>
                <w:b/>
                <w:bCs/>
                <w:szCs w:val="20"/>
                <w:lang w:val="en-GB" w:eastAsia="cs-CZ"/>
              </w:rPr>
            </w:pPr>
            <w:r w:rsidRPr="009F534D">
              <w:rPr>
                <w:rFonts w:eastAsia="Times New Roman" w:cs="Arial"/>
                <w:b/>
                <w:bCs/>
                <w:szCs w:val="20"/>
                <w:lang w:val="en-GB" w:eastAsia="cs-CZ"/>
              </w:rPr>
              <w:t>Differences in the numbers of males and females</w:t>
            </w:r>
            <w:r w:rsidR="00BB488A" w:rsidRPr="009F534D">
              <w:rPr>
                <w:rFonts w:eastAsia="Times New Roman" w:cs="Arial"/>
                <w:b/>
                <w:bCs/>
                <w:szCs w:val="20"/>
                <w:lang w:val="en-GB" w:eastAsia="cs-CZ"/>
              </w:rPr>
              <w:t xml:space="preserve"> </w:t>
            </w:r>
            <w:r w:rsidRPr="009F534D">
              <w:rPr>
                <w:rFonts w:eastAsia="Times New Roman" w:cs="Arial"/>
                <w:b/>
                <w:bCs/>
                <w:szCs w:val="20"/>
                <w:lang w:val="en-GB" w:eastAsia="cs-CZ"/>
              </w:rPr>
              <w:t>inter</w:t>
            </w:r>
            <w:r w:rsidR="00031FF6">
              <w:rPr>
                <w:rFonts w:eastAsia="Times New Roman" w:cs="Arial"/>
                <w:b/>
                <w:bCs/>
                <w:szCs w:val="20"/>
                <w:lang w:val="en-GB" w:eastAsia="cs-CZ"/>
              </w:rPr>
              <w:t>-</w:t>
            </w:r>
            <w:r w:rsidRPr="009F534D">
              <w:rPr>
                <w:rFonts w:eastAsia="Times New Roman" w:cs="Arial"/>
                <w:b/>
                <w:bCs/>
                <w:szCs w:val="20"/>
                <w:lang w:val="en-GB" w:eastAsia="cs-CZ"/>
              </w:rPr>
              <w:t xml:space="preserve">regionally commuting </w:t>
            </w:r>
            <w:r w:rsidR="002F3974">
              <w:rPr>
                <w:rFonts w:eastAsia="Times New Roman" w:cs="Arial"/>
                <w:b/>
                <w:bCs/>
                <w:szCs w:val="20"/>
                <w:lang w:val="en-GB" w:eastAsia="cs-CZ"/>
              </w:rPr>
              <w:t>for</w:t>
            </w:r>
            <w:r w:rsidRPr="009F534D">
              <w:rPr>
                <w:rFonts w:eastAsia="Times New Roman" w:cs="Arial"/>
                <w:b/>
                <w:bCs/>
                <w:szCs w:val="20"/>
                <w:lang w:val="en-GB" w:eastAsia="cs-CZ"/>
              </w:rPr>
              <w:t xml:space="preserve"> work in </w:t>
            </w:r>
            <w:r w:rsidR="00BB488A" w:rsidRPr="009F534D">
              <w:rPr>
                <w:rFonts w:eastAsia="Times New Roman" w:cs="Arial"/>
                <w:b/>
                <w:bCs/>
                <w:szCs w:val="20"/>
                <w:lang w:val="en-GB" w:eastAsia="cs-CZ"/>
              </w:rPr>
              <w:t>2013</w:t>
            </w:r>
            <w:r w:rsidR="007126DE" w:rsidRPr="009F534D">
              <w:rPr>
                <w:rFonts w:eastAsia="Times New Roman" w:cs="Arial"/>
                <w:b/>
                <w:bCs/>
                <w:szCs w:val="20"/>
                <w:lang w:val="en-GB" w:eastAsia="cs-CZ"/>
              </w:rPr>
              <w:t xml:space="preserve"> </w:t>
            </w:r>
            <w:r w:rsidR="00BB488A" w:rsidRPr="009F534D">
              <w:rPr>
                <w:rFonts w:eastAsia="Times New Roman" w:cs="Arial"/>
                <w:b/>
                <w:bCs/>
                <w:szCs w:val="20"/>
                <w:lang w:val="en-GB" w:eastAsia="cs-CZ"/>
              </w:rPr>
              <w:t>(</w:t>
            </w:r>
            <w:r w:rsidRPr="009F534D">
              <w:rPr>
                <w:rFonts w:eastAsia="Times New Roman" w:cs="Arial"/>
                <w:b/>
                <w:bCs/>
                <w:szCs w:val="20"/>
                <w:lang w:val="en-GB" w:eastAsia="cs-CZ"/>
              </w:rPr>
              <w:t xml:space="preserve">excludes commuting </w:t>
            </w:r>
            <w:r w:rsidR="002F3974" w:rsidRPr="009F534D">
              <w:rPr>
                <w:rFonts w:eastAsia="Times New Roman" w:cs="Arial"/>
                <w:b/>
                <w:bCs/>
                <w:szCs w:val="20"/>
                <w:lang w:val="en-GB" w:eastAsia="cs-CZ"/>
              </w:rPr>
              <w:t xml:space="preserve">abroad </w:t>
            </w:r>
            <w:r w:rsidR="002F3974">
              <w:rPr>
                <w:rFonts w:eastAsia="Times New Roman" w:cs="Arial"/>
                <w:b/>
                <w:bCs/>
                <w:szCs w:val="20"/>
                <w:lang w:val="en-GB" w:eastAsia="cs-CZ"/>
              </w:rPr>
              <w:t>for</w:t>
            </w:r>
            <w:r w:rsidRPr="009F534D">
              <w:rPr>
                <w:rFonts w:eastAsia="Times New Roman" w:cs="Arial"/>
                <w:b/>
                <w:bCs/>
                <w:szCs w:val="20"/>
                <w:lang w:val="en-GB" w:eastAsia="cs-CZ"/>
              </w:rPr>
              <w:t xml:space="preserve"> work</w:t>
            </w:r>
            <w:r w:rsidR="00BB488A" w:rsidRPr="009F534D">
              <w:rPr>
                <w:rFonts w:eastAsia="Times New Roman" w:cs="Arial"/>
                <w:b/>
                <w:bCs/>
                <w:szCs w:val="20"/>
                <w:lang w:val="en-GB" w:eastAsia="cs-CZ"/>
              </w:rPr>
              <w:t>)</w:t>
            </w:r>
          </w:p>
        </w:tc>
      </w:tr>
      <w:tr w:rsidR="00BB488A" w:rsidRPr="009F534D" w:rsidTr="00BB488A">
        <w:trPr>
          <w:trHeight w:val="270"/>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579" w:type="dxa"/>
            <w:tcBorders>
              <w:top w:val="nil"/>
              <w:left w:val="nil"/>
              <w:bottom w:val="single" w:sz="8" w:space="0" w:color="auto"/>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157" w:type="dxa"/>
            <w:tcBorders>
              <w:top w:val="nil"/>
              <w:left w:val="nil"/>
              <w:bottom w:val="single" w:sz="8" w:space="0" w:color="auto"/>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157" w:type="dxa"/>
            <w:tcBorders>
              <w:top w:val="nil"/>
              <w:left w:val="nil"/>
              <w:bottom w:val="single" w:sz="8" w:space="0" w:color="auto"/>
              <w:right w:val="nil"/>
            </w:tcBorders>
            <w:shd w:val="clear" w:color="auto" w:fill="auto"/>
            <w:noWrap/>
            <w:vAlign w:val="bottom"/>
            <w:hideMark/>
          </w:tcPr>
          <w:p w:rsidR="00BB488A" w:rsidRPr="009F534D" w:rsidRDefault="00E871B0"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Thousand</w:t>
            </w:r>
          </w:p>
        </w:tc>
      </w:tr>
      <w:tr w:rsidR="00BB488A" w:rsidRPr="009F534D" w:rsidTr="00BB488A">
        <w:trPr>
          <w:trHeight w:val="540"/>
          <w:jc w:val="center"/>
        </w:trPr>
        <w:tc>
          <w:tcPr>
            <w:tcW w:w="4327" w:type="dxa"/>
            <w:vMerge w:val="restart"/>
            <w:tcBorders>
              <w:top w:val="single" w:sz="8" w:space="0" w:color="auto"/>
              <w:left w:val="nil"/>
              <w:bottom w:val="single" w:sz="8" w:space="0" w:color="000000"/>
              <w:right w:val="nil"/>
            </w:tcBorders>
            <w:shd w:val="clear" w:color="auto" w:fill="auto"/>
            <w:noWrap/>
            <w:vAlign w:val="center"/>
            <w:hideMark/>
          </w:tcPr>
          <w:p w:rsidR="00BB488A" w:rsidRPr="009F534D" w:rsidRDefault="00E871B0" w:rsidP="00BB488A">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Region</w:t>
            </w:r>
          </w:p>
        </w:tc>
        <w:tc>
          <w:tcPr>
            <w:tcW w:w="3893" w:type="dxa"/>
            <w:gridSpan w:val="3"/>
            <w:tcBorders>
              <w:top w:val="single" w:sz="8" w:space="0" w:color="auto"/>
              <w:left w:val="single" w:sz="4" w:space="0" w:color="auto"/>
              <w:bottom w:val="single" w:sz="4" w:space="0" w:color="auto"/>
            </w:tcBorders>
            <w:shd w:val="clear" w:color="auto" w:fill="auto"/>
            <w:noWrap/>
            <w:vAlign w:val="center"/>
            <w:hideMark/>
          </w:tcPr>
          <w:p w:rsidR="00BB488A" w:rsidRPr="009F534D" w:rsidRDefault="00E871B0" w:rsidP="002F3974">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Difference in the number of persons</w:t>
            </w:r>
            <w:r w:rsidR="002F3974" w:rsidRPr="009F534D">
              <w:rPr>
                <w:rFonts w:eastAsia="Times New Roman" w:cs="Arial"/>
                <w:sz w:val="16"/>
                <w:szCs w:val="16"/>
                <w:lang w:val="en-GB" w:eastAsia="cs-CZ"/>
              </w:rPr>
              <w:t xml:space="preserve"> commuting</w:t>
            </w:r>
            <w:r w:rsidR="002F3974">
              <w:rPr>
                <w:rFonts w:eastAsia="Times New Roman" w:cs="Arial"/>
                <w:sz w:val="16"/>
                <w:szCs w:val="16"/>
                <w:lang w:val="en-GB" w:eastAsia="cs-CZ"/>
              </w:rPr>
              <w:t xml:space="preserve"> into the region</w:t>
            </w:r>
          </w:p>
        </w:tc>
      </w:tr>
      <w:tr w:rsidR="00BB488A" w:rsidRPr="009F534D" w:rsidTr="00BB488A">
        <w:trPr>
          <w:trHeight w:val="270"/>
          <w:jc w:val="center"/>
        </w:trPr>
        <w:tc>
          <w:tcPr>
            <w:tcW w:w="4327" w:type="dxa"/>
            <w:vMerge/>
            <w:tcBorders>
              <w:top w:val="single" w:sz="8" w:space="0" w:color="auto"/>
              <w:left w:val="nil"/>
              <w:bottom w:val="single" w:sz="8" w:space="0" w:color="000000"/>
              <w:right w:val="nil"/>
            </w:tcBorders>
            <w:vAlign w:val="center"/>
            <w:hideMark/>
          </w:tcPr>
          <w:p w:rsidR="00BB488A" w:rsidRPr="009F534D" w:rsidRDefault="00BB488A" w:rsidP="00BB488A">
            <w:pPr>
              <w:spacing w:line="240" w:lineRule="auto"/>
              <w:jc w:val="left"/>
              <w:rPr>
                <w:rFonts w:eastAsia="Times New Roman" w:cs="Arial"/>
                <w:sz w:val="16"/>
                <w:szCs w:val="16"/>
                <w:lang w:val="en-GB" w:eastAsia="cs-CZ"/>
              </w:rPr>
            </w:pPr>
          </w:p>
        </w:tc>
        <w:tc>
          <w:tcPr>
            <w:tcW w:w="1579" w:type="dxa"/>
            <w:tcBorders>
              <w:top w:val="nil"/>
              <w:left w:val="single" w:sz="4" w:space="0" w:color="auto"/>
              <w:bottom w:val="single" w:sz="8" w:space="0" w:color="auto"/>
              <w:right w:val="single" w:sz="4" w:space="0" w:color="auto"/>
            </w:tcBorders>
            <w:shd w:val="clear" w:color="auto" w:fill="auto"/>
            <w:noWrap/>
            <w:vAlign w:val="center"/>
            <w:hideMark/>
          </w:tcPr>
          <w:p w:rsidR="00BB488A" w:rsidRPr="009F534D" w:rsidRDefault="00E871B0" w:rsidP="00BB488A">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Total</w:t>
            </w:r>
          </w:p>
        </w:tc>
        <w:tc>
          <w:tcPr>
            <w:tcW w:w="1157" w:type="dxa"/>
            <w:tcBorders>
              <w:top w:val="nil"/>
              <w:left w:val="nil"/>
              <w:bottom w:val="single" w:sz="8" w:space="0" w:color="auto"/>
              <w:right w:val="single" w:sz="4" w:space="0" w:color="auto"/>
            </w:tcBorders>
            <w:shd w:val="clear" w:color="auto" w:fill="auto"/>
            <w:noWrap/>
            <w:vAlign w:val="center"/>
            <w:hideMark/>
          </w:tcPr>
          <w:p w:rsidR="00BB488A" w:rsidRPr="009F534D" w:rsidRDefault="00E871B0" w:rsidP="00BB488A">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Males</w:t>
            </w:r>
          </w:p>
        </w:tc>
        <w:tc>
          <w:tcPr>
            <w:tcW w:w="1157" w:type="dxa"/>
            <w:tcBorders>
              <w:top w:val="nil"/>
              <w:left w:val="nil"/>
              <w:bottom w:val="single" w:sz="8" w:space="0" w:color="auto"/>
              <w:right w:val="nil"/>
            </w:tcBorders>
            <w:shd w:val="clear" w:color="auto" w:fill="auto"/>
            <w:noWrap/>
            <w:vAlign w:val="center"/>
            <w:hideMark/>
          </w:tcPr>
          <w:p w:rsidR="00BB488A" w:rsidRPr="009F534D" w:rsidRDefault="00E871B0" w:rsidP="00BB488A">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Females</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xml:space="preserve">Hl. m. </w:t>
            </w:r>
            <w:proofErr w:type="spellStart"/>
            <w:r w:rsidRPr="009F534D">
              <w:rPr>
                <w:rFonts w:eastAsia="Times New Roman" w:cs="Arial"/>
                <w:sz w:val="16"/>
                <w:szCs w:val="16"/>
                <w:lang w:val="en-GB" w:eastAsia="cs-CZ"/>
              </w:rPr>
              <w:t>Praha</w:t>
            </w:r>
            <w:proofErr w:type="spellEnd"/>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142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Středočeský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-44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-44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Jihočeský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9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Plzeňský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Karlovarský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Ústecký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Liberecký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Královéhradecký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Pardubický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Vysočina</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Jihomoravský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9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Olomoucký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Zlínský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Moravskoslezský</w:t>
            </w:r>
            <w:proofErr w:type="spellEnd"/>
            <w:r w:rsidRPr="009F534D">
              <w:rPr>
                <w:rFonts w:eastAsia="Times New Roman" w:cs="Arial"/>
                <w:sz w:val="16"/>
                <w:szCs w:val="16"/>
                <w:lang w:val="en-GB" w:eastAsia="cs-CZ"/>
              </w:rPr>
              <w:t xml:space="preserve"> </w:t>
            </w:r>
          </w:p>
        </w:tc>
        <w:tc>
          <w:tcPr>
            <w:tcW w:w="1579" w:type="dxa"/>
            <w:tcBorders>
              <w:top w:val="nil"/>
              <w:left w:val="single" w:sz="4" w:space="0" w:color="auto"/>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c>
          <w:tcPr>
            <w:tcW w:w="1157" w:type="dxa"/>
            <w:tcBorders>
              <w:top w:val="nil"/>
              <w:left w:val="nil"/>
              <w:bottom w:val="nil"/>
              <w:right w:val="single" w:sz="4" w:space="0" w:color="auto"/>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r>
      <w:tr w:rsidR="00BB488A" w:rsidRPr="009F534D" w:rsidTr="00BB488A">
        <w:trPr>
          <w:trHeight w:val="120"/>
          <w:jc w:val="center"/>
        </w:trPr>
        <w:tc>
          <w:tcPr>
            <w:tcW w:w="432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579"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r>
      <w:tr w:rsidR="00BB488A" w:rsidRPr="009F534D" w:rsidTr="00BB488A">
        <w:trPr>
          <w:trHeight w:val="255"/>
          <w:jc w:val="center"/>
        </w:trPr>
        <w:tc>
          <w:tcPr>
            <w:tcW w:w="4327" w:type="dxa"/>
            <w:tcBorders>
              <w:top w:val="nil"/>
              <w:left w:val="nil"/>
              <w:bottom w:val="nil"/>
              <w:right w:val="nil"/>
            </w:tcBorders>
            <w:shd w:val="clear" w:color="auto" w:fill="auto"/>
            <w:noWrap/>
            <w:vAlign w:val="bottom"/>
            <w:hideMark/>
          </w:tcPr>
          <w:p w:rsidR="00BB488A" w:rsidRPr="009F534D" w:rsidRDefault="00E871B0" w:rsidP="00BB488A">
            <w:pPr>
              <w:spacing w:line="240" w:lineRule="auto"/>
              <w:jc w:val="left"/>
              <w:rPr>
                <w:rFonts w:eastAsia="Times New Roman" w:cs="Arial"/>
                <w:i/>
                <w:iCs/>
                <w:sz w:val="18"/>
                <w:szCs w:val="18"/>
                <w:lang w:val="en-GB" w:eastAsia="cs-CZ"/>
              </w:rPr>
            </w:pPr>
            <w:r w:rsidRPr="009F534D">
              <w:rPr>
                <w:rFonts w:eastAsia="Times New Roman" w:cs="Arial"/>
                <w:i/>
                <w:iCs/>
                <w:sz w:val="18"/>
                <w:szCs w:val="18"/>
                <w:lang w:val="en-GB" w:eastAsia="cs-CZ"/>
              </w:rPr>
              <w:t>Source: CZSO - LFSS</w:t>
            </w:r>
          </w:p>
        </w:tc>
        <w:tc>
          <w:tcPr>
            <w:tcW w:w="1579"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c>
          <w:tcPr>
            <w:tcW w:w="1157" w:type="dxa"/>
            <w:tcBorders>
              <w:top w:val="nil"/>
              <w:left w:val="nil"/>
              <w:bottom w:val="nil"/>
              <w:right w:val="nil"/>
            </w:tcBorders>
            <w:shd w:val="clear" w:color="auto" w:fill="auto"/>
            <w:noWrap/>
            <w:vAlign w:val="bottom"/>
            <w:hideMark/>
          </w:tcPr>
          <w:p w:rsidR="00BB488A" w:rsidRPr="009F534D" w:rsidRDefault="00BB488A" w:rsidP="00BB488A">
            <w:pPr>
              <w:spacing w:line="240" w:lineRule="auto"/>
              <w:jc w:val="left"/>
              <w:rPr>
                <w:rFonts w:eastAsia="Times New Roman" w:cs="Arial"/>
                <w:szCs w:val="20"/>
                <w:lang w:val="en-GB" w:eastAsia="cs-CZ"/>
              </w:rPr>
            </w:pPr>
          </w:p>
        </w:tc>
      </w:tr>
    </w:tbl>
    <w:p w:rsidR="0062271A" w:rsidRPr="009F534D" w:rsidRDefault="0062271A" w:rsidP="005E5054">
      <w:pPr>
        <w:rPr>
          <w:color w:val="FF0000"/>
          <w:lang w:val="en-GB"/>
        </w:rPr>
      </w:pPr>
    </w:p>
    <w:p w:rsidR="003D5E9A" w:rsidRPr="009F534D" w:rsidRDefault="003D5E9A" w:rsidP="004A336F">
      <w:pPr>
        <w:jc w:val="left"/>
        <w:rPr>
          <w:b/>
          <w:lang w:val="en-GB"/>
        </w:rPr>
      </w:pPr>
      <w:r w:rsidRPr="009F534D">
        <w:rPr>
          <w:b/>
          <w:lang w:val="en-GB"/>
        </w:rPr>
        <w:t xml:space="preserve">B. </w:t>
      </w:r>
      <w:r w:rsidR="00982086" w:rsidRPr="009F534D">
        <w:rPr>
          <w:b/>
          <w:lang w:val="en-GB"/>
        </w:rPr>
        <w:t xml:space="preserve">Commuters to </w:t>
      </w:r>
      <w:r w:rsidR="008F0BF8" w:rsidRPr="009F534D">
        <w:rPr>
          <w:b/>
          <w:lang w:val="en-GB"/>
        </w:rPr>
        <w:t xml:space="preserve">Other Region </w:t>
      </w:r>
      <w:r w:rsidR="00927807">
        <w:rPr>
          <w:b/>
          <w:lang w:val="en-GB"/>
        </w:rPr>
        <w:t xml:space="preserve">for Work </w:t>
      </w:r>
      <w:r w:rsidR="00E65463" w:rsidRPr="009F534D">
        <w:rPr>
          <w:b/>
          <w:lang w:val="en-GB"/>
        </w:rPr>
        <w:t xml:space="preserve">Are </w:t>
      </w:r>
      <w:r w:rsidR="008F0BF8" w:rsidRPr="009F534D">
        <w:rPr>
          <w:b/>
          <w:lang w:val="en-GB"/>
        </w:rPr>
        <w:t xml:space="preserve">Often </w:t>
      </w:r>
      <w:r w:rsidR="00982086" w:rsidRPr="009F534D">
        <w:rPr>
          <w:b/>
          <w:lang w:val="en-GB"/>
        </w:rPr>
        <w:t xml:space="preserve">of </w:t>
      </w:r>
      <w:r w:rsidR="008F0BF8" w:rsidRPr="009F534D">
        <w:rPr>
          <w:b/>
          <w:lang w:val="en-GB"/>
        </w:rPr>
        <w:t xml:space="preserve">Younger Productive Age and </w:t>
      </w:r>
      <w:r w:rsidR="00E65463" w:rsidRPr="009F534D">
        <w:rPr>
          <w:b/>
          <w:lang w:val="en-GB"/>
        </w:rPr>
        <w:t xml:space="preserve">Have </w:t>
      </w:r>
      <w:r w:rsidR="008F0BF8" w:rsidRPr="009F534D">
        <w:rPr>
          <w:b/>
          <w:lang w:val="en-GB"/>
        </w:rPr>
        <w:t>Higher Educational Attainment</w:t>
      </w:r>
    </w:p>
    <w:p w:rsidR="008C59E1" w:rsidRPr="009F534D" w:rsidRDefault="00982086" w:rsidP="005E5054">
      <w:pPr>
        <w:rPr>
          <w:lang w:val="en-GB"/>
        </w:rPr>
      </w:pPr>
      <w:r w:rsidRPr="009F534D">
        <w:rPr>
          <w:lang w:val="en-GB"/>
        </w:rPr>
        <w:t xml:space="preserve">The population of commuters across borders of their usual residence region </w:t>
      </w:r>
      <w:r w:rsidR="00927807">
        <w:rPr>
          <w:lang w:val="en-GB"/>
        </w:rPr>
        <w:t xml:space="preserve">for work demonstrates </w:t>
      </w:r>
      <w:r w:rsidRPr="009F534D">
        <w:rPr>
          <w:lang w:val="en-GB"/>
        </w:rPr>
        <w:t xml:space="preserve">certain different </w:t>
      </w:r>
      <w:r w:rsidR="00927807">
        <w:rPr>
          <w:lang w:val="en-GB"/>
        </w:rPr>
        <w:t xml:space="preserve">features </w:t>
      </w:r>
      <w:r w:rsidRPr="009F534D">
        <w:rPr>
          <w:lang w:val="en-GB"/>
        </w:rPr>
        <w:t>from the population of all people having one o</w:t>
      </w:r>
      <w:r w:rsidR="00927807">
        <w:rPr>
          <w:lang w:val="en-GB"/>
        </w:rPr>
        <w:t>r</w:t>
      </w:r>
      <w:r w:rsidRPr="009F534D">
        <w:rPr>
          <w:lang w:val="en-GB"/>
        </w:rPr>
        <w:t xml:space="preserve"> main job in the Czech Republic. Firstly, commuters </w:t>
      </w:r>
      <w:r w:rsidR="00927807">
        <w:rPr>
          <w:lang w:val="en-GB"/>
        </w:rPr>
        <w:t>out in</w:t>
      </w:r>
      <w:r w:rsidRPr="009F534D">
        <w:rPr>
          <w:lang w:val="en-GB"/>
        </w:rPr>
        <w:t xml:space="preserve">to other region are substantially younger. While the share of persons up to </w:t>
      </w:r>
      <w:r w:rsidR="005F05AA" w:rsidRPr="009F534D">
        <w:rPr>
          <w:lang w:val="en-GB"/>
        </w:rPr>
        <w:t xml:space="preserve">34 </w:t>
      </w:r>
      <w:r w:rsidRPr="009F534D">
        <w:rPr>
          <w:lang w:val="en-GB"/>
        </w:rPr>
        <w:t xml:space="preserve">years of age </w:t>
      </w:r>
      <w:r w:rsidR="005F05AA" w:rsidRPr="009F534D">
        <w:rPr>
          <w:lang w:val="en-GB"/>
        </w:rPr>
        <w:t xml:space="preserve">let </w:t>
      </w:r>
      <w:r w:rsidRPr="009F534D">
        <w:rPr>
          <w:lang w:val="en-GB"/>
        </w:rPr>
        <w:t>i</w:t>
      </w:r>
      <w:r w:rsidR="00E6174B" w:rsidRPr="009F534D">
        <w:rPr>
          <w:lang w:val="en-GB"/>
        </w:rPr>
        <w:t>n</w:t>
      </w:r>
      <w:r w:rsidRPr="009F534D">
        <w:rPr>
          <w:lang w:val="en-GB"/>
        </w:rPr>
        <w:t xml:space="preserve"> total employment is less than thirty per cent, in the population of commuters </w:t>
      </w:r>
      <w:r w:rsidR="00927807">
        <w:rPr>
          <w:lang w:val="en-GB"/>
        </w:rPr>
        <w:t xml:space="preserve">out of their home region </w:t>
      </w:r>
      <w:r w:rsidRPr="009F534D">
        <w:rPr>
          <w:lang w:val="en-GB"/>
        </w:rPr>
        <w:t xml:space="preserve">they accounted for </w:t>
      </w:r>
      <w:r w:rsidR="005F05AA" w:rsidRPr="009F534D">
        <w:rPr>
          <w:lang w:val="en-GB"/>
        </w:rPr>
        <w:t xml:space="preserve">37%. </w:t>
      </w:r>
      <w:r w:rsidRPr="009F534D">
        <w:rPr>
          <w:lang w:val="en-GB"/>
        </w:rPr>
        <w:t xml:space="preserve">It </w:t>
      </w:r>
      <w:r w:rsidR="00927807">
        <w:rPr>
          <w:lang w:val="en-GB"/>
        </w:rPr>
        <w:t xml:space="preserve">is </w:t>
      </w:r>
      <w:r w:rsidRPr="009F534D">
        <w:rPr>
          <w:lang w:val="en-GB"/>
        </w:rPr>
        <w:t>needless to say that the share of the young decreased compared to that in</w:t>
      </w:r>
      <w:r w:rsidR="007A5540" w:rsidRPr="009F534D">
        <w:rPr>
          <w:lang w:val="en-GB"/>
        </w:rPr>
        <w:t xml:space="preserve"> 2009</w:t>
      </w:r>
      <w:r w:rsidR="008C59E1" w:rsidRPr="009F534D">
        <w:rPr>
          <w:lang w:val="en-GB"/>
        </w:rPr>
        <w:t xml:space="preserve">, </w:t>
      </w:r>
      <w:r w:rsidRPr="009F534D">
        <w:rPr>
          <w:lang w:val="en-GB"/>
        </w:rPr>
        <w:t xml:space="preserve">which relates to shifts in the age structure of the population and long–term migration movements. </w:t>
      </w:r>
    </w:p>
    <w:p w:rsidR="00982086" w:rsidRPr="009F534D" w:rsidRDefault="00982086" w:rsidP="005E5054">
      <w:pPr>
        <w:rPr>
          <w:lang w:val="en-GB"/>
        </w:rPr>
      </w:pPr>
    </w:p>
    <w:p w:rsidR="001A78A2" w:rsidRPr="009F534D" w:rsidRDefault="007F1E24" w:rsidP="005E5054">
      <w:pPr>
        <w:rPr>
          <w:lang w:val="en-GB"/>
        </w:rPr>
      </w:pPr>
      <w:r w:rsidRPr="009F534D">
        <w:rPr>
          <w:lang w:val="en-GB"/>
        </w:rPr>
        <w:lastRenderedPageBreak/>
        <w:t xml:space="preserve">It is mostly persons with secondary education, having A-level examinations or apprenticeship certificates (ISCED 3, 4), who commute </w:t>
      </w:r>
      <w:r w:rsidR="00B5304C">
        <w:rPr>
          <w:lang w:val="en-GB"/>
        </w:rPr>
        <w:t>across</w:t>
      </w:r>
      <w:r w:rsidRPr="009F534D">
        <w:rPr>
          <w:lang w:val="en-GB"/>
        </w:rPr>
        <w:t xml:space="preserve"> their home region borders</w:t>
      </w:r>
      <w:r w:rsidR="00B5304C">
        <w:rPr>
          <w:lang w:val="en-GB"/>
        </w:rPr>
        <w:t>.</w:t>
      </w:r>
      <w:r w:rsidRPr="009F534D">
        <w:rPr>
          <w:lang w:val="en-GB"/>
        </w:rPr>
        <w:t xml:space="preserve"> Their share in the number of </w:t>
      </w:r>
      <w:r w:rsidR="00B5304C">
        <w:rPr>
          <w:lang w:val="en-GB"/>
        </w:rPr>
        <w:t xml:space="preserve">persons </w:t>
      </w:r>
      <w:r w:rsidRPr="009F534D">
        <w:rPr>
          <w:lang w:val="en-GB"/>
        </w:rPr>
        <w:t xml:space="preserve">commuting out </w:t>
      </w:r>
      <w:r w:rsidR="00B5304C">
        <w:rPr>
          <w:lang w:val="en-GB"/>
        </w:rPr>
        <w:t>of a region</w:t>
      </w:r>
      <w:r w:rsidRPr="009F534D">
        <w:rPr>
          <w:lang w:val="en-GB"/>
        </w:rPr>
        <w:t xml:space="preserve"> reached </w:t>
      </w:r>
      <w:r w:rsidR="00BE23B1" w:rsidRPr="009F534D">
        <w:rPr>
          <w:lang w:val="en-GB"/>
        </w:rPr>
        <w:t>62</w:t>
      </w:r>
      <w:r w:rsidR="003F6B93" w:rsidRPr="009F534D">
        <w:rPr>
          <w:lang w:val="en-GB"/>
        </w:rPr>
        <w:t xml:space="preserve">%, </w:t>
      </w:r>
      <w:r w:rsidRPr="009F534D">
        <w:rPr>
          <w:lang w:val="en-GB"/>
        </w:rPr>
        <w:t xml:space="preserve">while persons having this educational attainment contributed to the total number of persons with one or main job by almost three quarters. </w:t>
      </w:r>
      <w:r w:rsidR="003F6B93" w:rsidRPr="009F534D">
        <w:rPr>
          <w:lang w:val="en-GB"/>
        </w:rPr>
        <w:t>T</w:t>
      </w:r>
      <w:r w:rsidRPr="009F534D">
        <w:rPr>
          <w:lang w:val="en-GB"/>
        </w:rPr>
        <w:t xml:space="preserve">he </w:t>
      </w:r>
      <w:r w:rsidR="003F6B93" w:rsidRPr="009F534D">
        <w:rPr>
          <w:lang w:val="en-GB"/>
        </w:rPr>
        <w:t>dif</w:t>
      </w:r>
      <w:r w:rsidRPr="009F534D">
        <w:rPr>
          <w:lang w:val="en-GB"/>
        </w:rPr>
        <w:t>f</w:t>
      </w:r>
      <w:r w:rsidR="003F6B93" w:rsidRPr="009F534D">
        <w:rPr>
          <w:lang w:val="en-GB"/>
        </w:rPr>
        <w:t>erence</w:t>
      </w:r>
      <w:r w:rsidRPr="009F534D">
        <w:rPr>
          <w:lang w:val="en-GB"/>
        </w:rPr>
        <w:t xml:space="preserve"> is mirrored in the share of higher education graduates </w:t>
      </w:r>
      <w:r w:rsidR="003F6B93" w:rsidRPr="009F534D">
        <w:rPr>
          <w:lang w:val="en-GB"/>
        </w:rPr>
        <w:t>(</w:t>
      </w:r>
      <w:r w:rsidR="006A2351" w:rsidRPr="009F534D">
        <w:rPr>
          <w:lang w:val="en-GB"/>
        </w:rPr>
        <w:t>ISCED 5, </w:t>
      </w:r>
      <w:r w:rsidR="003F6B93" w:rsidRPr="009F534D">
        <w:rPr>
          <w:lang w:val="en-GB"/>
        </w:rPr>
        <w:t xml:space="preserve">6). </w:t>
      </w:r>
      <w:r w:rsidRPr="009F534D">
        <w:rPr>
          <w:lang w:val="en-GB"/>
        </w:rPr>
        <w:t xml:space="preserve">While the share of working persons with this educational attainment </w:t>
      </w:r>
      <w:r w:rsidR="00B5304C" w:rsidRPr="009F534D">
        <w:rPr>
          <w:lang w:val="en-GB"/>
        </w:rPr>
        <w:t xml:space="preserve">in the whole national economy </w:t>
      </w:r>
      <w:r w:rsidRPr="009F534D">
        <w:rPr>
          <w:lang w:val="en-GB"/>
        </w:rPr>
        <w:t xml:space="preserve">reached </w:t>
      </w:r>
      <w:r w:rsidR="003F6B93" w:rsidRPr="009F534D">
        <w:rPr>
          <w:lang w:val="en-GB"/>
        </w:rPr>
        <w:t xml:space="preserve">22%, </w:t>
      </w:r>
      <w:r w:rsidRPr="009F534D">
        <w:rPr>
          <w:lang w:val="en-GB"/>
        </w:rPr>
        <w:t xml:space="preserve">in the population of commuters across their home region borders it was over one third of respondents. </w:t>
      </w:r>
    </w:p>
    <w:p w:rsidR="00EC6EB2" w:rsidRPr="009F534D" w:rsidRDefault="00EC6EB2" w:rsidP="005E5054">
      <w:pPr>
        <w:rPr>
          <w:lang w:val="en-GB"/>
        </w:rPr>
      </w:pPr>
    </w:p>
    <w:tbl>
      <w:tblPr>
        <w:tblW w:w="8583" w:type="dxa"/>
        <w:jc w:val="center"/>
        <w:tblInd w:w="55" w:type="dxa"/>
        <w:tblLayout w:type="fixed"/>
        <w:tblCellMar>
          <w:left w:w="70" w:type="dxa"/>
          <w:right w:w="70" w:type="dxa"/>
        </w:tblCellMar>
        <w:tblLook w:val="04A0"/>
      </w:tblPr>
      <w:tblGrid>
        <w:gridCol w:w="930"/>
        <w:gridCol w:w="1434"/>
        <w:gridCol w:w="1504"/>
        <w:gridCol w:w="2409"/>
        <w:gridCol w:w="2306"/>
      </w:tblGrid>
      <w:tr w:rsidR="002A7C15" w:rsidRPr="009F534D" w:rsidTr="00EC6EB2">
        <w:trPr>
          <w:trHeight w:val="510"/>
          <w:jc w:val="center"/>
        </w:trPr>
        <w:tc>
          <w:tcPr>
            <w:tcW w:w="8583" w:type="dxa"/>
            <w:gridSpan w:val="5"/>
            <w:tcBorders>
              <w:top w:val="nil"/>
              <w:left w:val="nil"/>
              <w:bottom w:val="nil"/>
              <w:right w:val="nil"/>
            </w:tcBorders>
            <w:shd w:val="clear" w:color="auto" w:fill="auto"/>
            <w:vAlign w:val="center"/>
            <w:hideMark/>
          </w:tcPr>
          <w:p w:rsidR="002A7C15" w:rsidRPr="009F534D" w:rsidRDefault="00EC6EB2" w:rsidP="00B5304C">
            <w:pPr>
              <w:spacing w:line="240" w:lineRule="auto"/>
              <w:jc w:val="left"/>
              <w:rPr>
                <w:lang w:val="en-GB"/>
              </w:rPr>
            </w:pPr>
            <w:r w:rsidRPr="009F534D">
              <w:rPr>
                <w:lang w:val="en-GB"/>
              </w:rPr>
              <w:br w:type="page"/>
            </w:r>
            <w:r w:rsidRPr="009F534D">
              <w:rPr>
                <w:lang w:val="en-GB"/>
              </w:rPr>
              <w:br w:type="page"/>
            </w:r>
            <w:r w:rsidRPr="009F534D">
              <w:rPr>
                <w:lang w:val="en-GB"/>
              </w:rPr>
              <w:br w:type="page"/>
            </w:r>
            <w:r w:rsidR="007F1E24" w:rsidRPr="009F534D">
              <w:rPr>
                <w:rFonts w:eastAsia="Times New Roman" w:cs="Arial"/>
                <w:b/>
                <w:bCs/>
                <w:szCs w:val="20"/>
                <w:lang w:val="en-GB" w:eastAsia="cs-CZ"/>
              </w:rPr>
              <w:t xml:space="preserve">Comparison of population of commuters across their home region borders </w:t>
            </w:r>
            <w:r w:rsidR="00B5304C">
              <w:rPr>
                <w:rFonts w:eastAsia="Times New Roman" w:cs="Arial"/>
                <w:b/>
                <w:bCs/>
                <w:szCs w:val="20"/>
                <w:lang w:val="en-GB" w:eastAsia="cs-CZ"/>
              </w:rPr>
              <w:t xml:space="preserve">for </w:t>
            </w:r>
            <w:r w:rsidR="00B5304C" w:rsidRPr="009F534D">
              <w:rPr>
                <w:rFonts w:eastAsia="Times New Roman" w:cs="Arial"/>
                <w:b/>
                <w:bCs/>
                <w:szCs w:val="20"/>
                <w:lang w:val="en-GB" w:eastAsia="cs-CZ"/>
              </w:rPr>
              <w:t>work</w:t>
            </w:r>
            <w:r w:rsidR="007F1E24" w:rsidRPr="009F534D">
              <w:rPr>
                <w:rFonts w:eastAsia="Times New Roman" w:cs="Arial"/>
                <w:b/>
                <w:bCs/>
                <w:szCs w:val="20"/>
                <w:lang w:val="en-GB" w:eastAsia="cs-CZ"/>
              </w:rPr>
              <w:t xml:space="preserve"> to the structure of all working persons in the national economy in </w:t>
            </w:r>
            <w:r w:rsidR="002A7C15" w:rsidRPr="009F534D">
              <w:rPr>
                <w:rFonts w:eastAsia="Times New Roman" w:cs="Arial"/>
                <w:b/>
                <w:bCs/>
                <w:szCs w:val="20"/>
                <w:lang w:val="en-GB" w:eastAsia="cs-CZ"/>
              </w:rPr>
              <w:t>2013</w:t>
            </w:r>
          </w:p>
        </w:tc>
      </w:tr>
      <w:tr w:rsidR="002A7C15" w:rsidRPr="009F534D" w:rsidTr="00124C15">
        <w:trPr>
          <w:trHeight w:val="270"/>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50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2409"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2306" w:type="dxa"/>
            <w:tcBorders>
              <w:top w:val="nil"/>
              <w:left w:val="nil"/>
              <w:bottom w:val="nil"/>
              <w:right w:val="nil"/>
            </w:tcBorders>
            <w:shd w:val="clear" w:color="auto" w:fill="auto"/>
            <w:noWrap/>
            <w:vAlign w:val="bottom"/>
            <w:hideMark/>
          </w:tcPr>
          <w:p w:rsidR="002A7C15" w:rsidRPr="009F534D" w:rsidRDefault="00E871B0" w:rsidP="00E871B0">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Percentage</w:t>
            </w:r>
          </w:p>
        </w:tc>
      </w:tr>
      <w:tr w:rsidR="002A7C15" w:rsidRPr="009F534D" w:rsidTr="00124C15">
        <w:trPr>
          <w:trHeight w:val="840"/>
          <w:jc w:val="center"/>
        </w:trPr>
        <w:tc>
          <w:tcPr>
            <w:tcW w:w="3868" w:type="dxa"/>
            <w:gridSpan w:val="3"/>
            <w:tcBorders>
              <w:top w:val="single" w:sz="8" w:space="0" w:color="auto"/>
              <w:left w:val="nil"/>
              <w:bottom w:val="single" w:sz="8" w:space="0" w:color="auto"/>
              <w:right w:val="single" w:sz="4" w:space="0" w:color="auto"/>
            </w:tcBorders>
            <w:shd w:val="clear" w:color="auto" w:fill="auto"/>
            <w:noWrap/>
            <w:vAlign w:val="center"/>
            <w:hideMark/>
          </w:tcPr>
          <w:p w:rsidR="002A7C15" w:rsidRPr="009F534D" w:rsidRDefault="00E871B0" w:rsidP="002A7C15">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Indicator</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2A7C15" w:rsidRPr="009F534D" w:rsidRDefault="00124C15" w:rsidP="00B5304C">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Persons commuting across their home region borders </w:t>
            </w:r>
            <w:r w:rsidR="00B5304C">
              <w:rPr>
                <w:rFonts w:eastAsia="Times New Roman" w:cs="Arial"/>
                <w:sz w:val="16"/>
                <w:szCs w:val="16"/>
                <w:lang w:val="en-GB" w:eastAsia="cs-CZ"/>
              </w:rPr>
              <w:t xml:space="preserve">for </w:t>
            </w:r>
            <w:r w:rsidR="00B5304C" w:rsidRPr="009F534D">
              <w:rPr>
                <w:rFonts w:eastAsia="Times New Roman" w:cs="Arial"/>
                <w:sz w:val="16"/>
                <w:szCs w:val="16"/>
                <w:lang w:val="en-GB" w:eastAsia="cs-CZ"/>
              </w:rPr>
              <w:t>work</w:t>
            </w:r>
          </w:p>
        </w:tc>
        <w:tc>
          <w:tcPr>
            <w:tcW w:w="2306" w:type="dxa"/>
            <w:tcBorders>
              <w:top w:val="single" w:sz="8" w:space="0" w:color="auto"/>
              <w:left w:val="nil"/>
              <w:bottom w:val="single" w:sz="8" w:space="0" w:color="auto"/>
              <w:right w:val="nil"/>
            </w:tcBorders>
            <w:shd w:val="clear" w:color="auto" w:fill="auto"/>
            <w:vAlign w:val="center"/>
            <w:hideMark/>
          </w:tcPr>
          <w:p w:rsidR="002A7C15" w:rsidRPr="009F534D" w:rsidRDefault="00124C15" w:rsidP="00124C15">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T</w:t>
            </w:r>
            <w:r w:rsidR="00B5304C">
              <w:rPr>
                <w:rFonts w:eastAsia="Times New Roman" w:cs="Arial"/>
                <w:sz w:val="16"/>
                <w:szCs w:val="16"/>
                <w:lang w:val="en-GB" w:eastAsia="cs-CZ"/>
              </w:rPr>
              <w:t>he t</w:t>
            </w:r>
            <w:r w:rsidRPr="009F534D">
              <w:rPr>
                <w:rFonts w:eastAsia="Times New Roman" w:cs="Arial"/>
                <w:sz w:val="16"/>
                <w:szCs w:val="16"/>
                <w:lang w:val="en-GB" w:eastAsia="cs-CZ"/>
              </w:rPr>
              <w:t xml:space="preserve">otal number of working persons having residence in the Czech Republic </w:t>
            </w:r>
          </w:p>
        </w:tc>
      </w:tr>
      <w:tr w:rsidR="002A7C15" w:rsidRPr="009F534D" w:rsidTr="00124C15">
        <w:trPr>
          <w:trHeight w:val="300"/>
          <w:jc w:val="center"/>
        </w:trPr>
        <w:tc>
          <w:tcPr>
            <w:tcW w:w="930" w:type="dxa"/>
            <w:tcBorders>
              <w:top w:val="nil"/>
              <w:left w:val="nil"/>
              <w:bottom w:val="nil"/>
              <w:right w:val="nil"/>
            </w:tcBorders>
            <w:shd w:val="clear" w:color="auto" w:fill="auto"/>
            <w:noWrap/>
            <w:vAlign w:val="center"/>
            <w:hideMark/>
          </w:tcPr>
          <w:p w:rsidR="002A7C15" w:rsidRPr="009F534D" w:rsidRDefault="00E871B0"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Total</w:t>
            </w:r>
            <w:r w:rsidR="002A7C15" w:rsidRPr="009F534D">
              <w:rPr>
                <w:rFonts w:eastAsia="Times New Roman" w:cs="Arial"/>
                <w:sz w:val="16"/>
                <w:szCs w:val="16"/>
                <w:lang w:val="en-GB" w:eastAsia="cs-CZ"/>
              </w:rPr>
              <w:t xml:space="preserve"> </w:t>
            </w:r>
          </w:p>
        </w:tc>
        <w:tc>
          <w:tcPr>
            <w:tcW w:w="1434" w:type="dxa"/>
            <w:tcBorders>
              <w:top w:val="nil"/>
              <w:left w:val="nil"/>
              <w:bottom w:val="nil"/>
              <w:right w:val="nil"/>
            </w:tcBorders>
            <w:shd w:val="clear" w:color="auto" w:fill="auto"/>
            <w:noWrap/>
            <w:vAlign w:val="center"/>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504" w:type="dxa"/>
            <w:tcBorders>
              <w:top w:val="nil"/>
              <w:left w:val="nil"/>
              <w:bottom w:val="nil"/>
              <w:right w:val="single" w:sz="4" w:space="0" w:color="auto"/>
            </w:tcBorders>
            <w:shd w:val="clear" w:color="auto" w:fill="auto"/>
            <w:noWrap/>
            <w:vAlign w:val="center"/>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center"/>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100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2306" w:type="dxa"/>
            <w:tcBorders>
              <w:top w:val="nil"/>
              <w:left w:val="nil"/>
              <w:bottom w:val="nil"/>
              <w:right w:val="nil"/>
            </w:tcBorders>
            <w:shd w:val="clear" w:color="auto" w:fill="auto"/>
            <w:noWrap/>
            <w:vAlign w:val="center"/>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100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2A7C15" w:rsidRPr="009F534D" w:rsidTr="00124C15">
        <w:trPr>
          <w:trHeight w:val="255"/>
          <w:jc w:val="center"/>
        </w:trPr>
        <w:tc>
          <w:tcPr>
            <w:tcW w:w="2364" w:type="dxa"/>
            <w:gridSpan w:val="2"/>
            <w:tcBorders>
              <w:top w:val="nil"/>
              <w:left w:val="nil"/>
              <w:bottom w:val="nil"/>
              <w:right w:val="nil"/>
            </w:tcBorders>
            <w:shd w:val="clear" w:color="auto" w:fill="auto"/>
            <w:noWrap/>
            <w:vAlign w:val="bottom"/>
            <w:hideMark/>
          </w:tcPr>
          <w:p w:rsidR="002A7C15" w:rsidRPr="009F534D" w:rsidRDefault="00E871B0"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Age group</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r>
      <w:tr w:rsidR="002A7C15" w:rsidRPr="009F534D" w:rsidTr="00124C15">
        <w:trPr>
          <w:trHeight w:val="255"/>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E871B0"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Up t</w:t>
            </w:r>
            <w:r w:rsidR="002A7C15" w:rsidRPr="009F534D">
              <w:rPr>
                <w:rFonts w:eastAsia="Times New Roman" w:cs="Arial"/>
                <w:sz w:val="16"/>
                <w:szCs w:val="16"/>
                <w:lang w:val="en-GB" w:eastAsia="cs-CZ"/>
              </w:rPr>
              <w:t xml:space="preserve">o 34 </w:t>
            </w:r>
            <w:r w:rsidRPr="009F534D">
              <w:rPr>
                <w:rFonts w:eastAsia="Times New Roman" w:cs="Arial"/>
                <w:sz w:val="16"/>
                <w:szCs w:val="16"/>
                <w:lang w:val="en-GB" w:eastAsia="cs-CZ"/>
              </w:rPr>
              <w:t>years</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2A7C15" w:rsidRPr="009F534D" w:rsidTr="00124C15">
        <w:trPr>
          <w:trHeight w:val="255"/>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2A7C15"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xml:space="preserve">35-59 </w:t>
            </w:r>
            <w:r w:rsidR="00E871B0" w:rsidRPr="009F534D">
              <w:rPr>
                <w:rFonts w:eastAsia="Times New Roman" w:cs="Arial"/>
                <w:sz w:val="16"/>
                <w:szCs w:val="16"/>
                <w:lang w:val="en-GB" w:eastAsia="cs-CZ"/>
              </w:rPr>
              <w:t xml:space="preserve">years </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r>
      <w:tr w:rsidR="002A7C15" w:rsidRPr="009F534D" w:rsidTr="00124C15">
        <w:trPr>
          <w:trHeight w:val="255"/>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2A7C15"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60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 </w:t>
            </w:r>
            <w:r w:rsidR="00E871B0" w:rsidRPr="009F534D">
              <w:rPr>
                <w:rFonts w:eastAsia="Times New Roman" w:cs="Arial"/>
                <w:sz w:val="16"/>
                <w:szCs w:val="16"/>
                <w:lang w:val="en-GB" w:eastAsia="cs-CZ"/>
              </w:rPr>
              <w:t>years</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r>
      <w:tr w:rsidR="002A7C15" w:rsidRPr="009F534D" w:rsidTr="00124C15">
        <w:trPr>
          <w:trHeight w:val="300"/>
          <w:jc w:val="center"/>
        </w:trPr>
        <w:tc>
          <w:tcPr>
            <w:tcW w:w="2364" w:type="dxa"/>
            <w:gridSpan w:val="2"/>
            <w:tcBorders>
              <w:top w:val="nil"/>
              <w:left w:val="nil"/>
              <w:bottom w:val="nil"/>
              <w:right w:val="nil"/>
            </w:tcBorders>
            <w:shd w:val="clear" w:color="auto" w:fill="auto"/>
            <w:noWrap/>
            <w:vAlign w:val="bottom"/>
            <w:hideMark/>
          </w:tcPr>
          <w:p w:rsidR="002A7C15" w:rsidRPr="009F534D" w:rsidRDefault="00E871B0"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Educational attainment</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r>
      <w:tr w:rsidR="002A7C15" w:rsidRPr="009F534D" w:rsidTr="00124C15">
        <w:trPr>
          <w:trHeight w:val="255"/>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ISCED 0-2</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r>
      <w:tr w:rsidR="002A7C15" w:rsidRPr="009F534D" w:rsidTr="00124C15">
        <w:trPr>
          <w:trHeight w:val="255"/>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ISCED 3-4</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73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5 </w:t>
            </w:r>
          </w:p>
        </w:tc>
      </w:tr>
      <w:tr w:rsidR="002A7C15" w:rsidRPr="009F534D" w:rsidTr="00124C15">
        <w:trPr>
          <w:trHeight w:val="255"/>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ISCED 5-6</w:t>
            </w:r>
          </w:p>
        </w:tc>
        <w:tc>
          <w:tcPr>
            <w:tcW w:w="1504"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2409" w:type="dxa"/>
            <w:tcBorders>
              <w:top w:val="nil"/>
              <w:left w:val="nil"/>
              <w:bottom w:val="nil"/>
              <w:right w:val="single" w:sz="4" w:space="0" w:color="auto"/>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r>
      <w:tr w:rsidR="002A7C15" w:rsidRPr="009F534D" w:rsidTr="00124C15">
        <w:trPr>
          <w:trHeight w:val="120"/>
          <w:jc w:val="center"/>
        </w:trPr>
        <w:tc>
          <w:tcPr>
            <w:tcW w:w="930"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43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150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2409"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r>
      <w:tr w:rsidR="002A7C15" w:rsidRPr="009F534D" w:rsidTr="00124C15">
        <w:trPr>
          <w:trHeight w:val="255"/>
          <w:jc w:val="center"/>
        </w:trPr>
        <w:tc>
          <w:tcPr>
            <w:tcW w:w="2364" w:type="dxa"/>
            <w:gridSpan w:val="2"/>
            <w:tcBorders>
              <w:top w:val="nil"/>
              <w:left w:val="nil"/>
              <w:bottom w:val="nil"/>
              <w:right w:val="nil"/>
            </w:tcBorders>
            <w:shd w:val="clear" w:color="auto" w:fill="auto"/>
            <w:noWrap/>
            <w:vAlign w:val="bottom"/>
            <w:hideMark/>
          </w:tcPr>
          <w:p w:rsidR="002A7C15" w:rsidRPr="009F534D" w:rsidRDefault="00E871B0" w:rsidP="002A7C15">
            <w:pPr>
              <w:spacing w:line="240" w:lineRule="auto"/>
              <w:jc w:val="left"/>
              <w:rPr>
                <w:rFonts w:eastAsia="Times New Roman" w:cs="Arial"/>
                <w:i/>
                <w:iCs/>
                <w:sz w:val="18"/>
                <w:szCs w:val="18"/>
                <w:lang w:val="en-GB" w:eastAsia="cs-CZ"/>
              </w:rPr>
            </w:pPr>
            <w:r w:rsidRPr="009F534D">
              <w:rPr>
                <w:rFonts w:eastAsia="Times New Roman" w:cs="Arial"/>
                <w:i/>
                <w:iCs/>
                <w:sz w:val="18"/>
                <w:szCs w:val="18"/>
                <w:lang w:val="en-GB" w:eastAsia="cs-CZ"/>
              </w:rPr>
              <w:t>Source: CZSO - LFSS</w:t>
            </w:r>
          </w:p>
        </w:tc>
        <w:tc>
          <w:tcPr>
            <w:tcW w:w="1504"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2409"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c>
          <w:tcPr>
            <w:tcW w:w="2306" w:type="dxa"/>
            <w:tcBorders>
              <w:top w:val="nil"/>
              <w:left w:val="nil"/>
              <w:bottom w:val="nil"/>
              <w:right w:val="nil"/>
            </w:tcBorders>
            <w:shd w:val="clear" w:color="auto" w:fill="auto"/>
            <w:noWrap/>
            <w:vAlign w:val="bottom"/>
            <w:hideMark/>
          </w:tcPr>
          <w:p w:rsidR="002A7C15" w:rsidRPr="009F534D" w:rsidRDefault="002A7C15" w:rsidP="002A7C15">
            <w:pPr>
              <w:spacing w:line="240" w:lineRule="auto"/>
              <w:jc w:val="left"/>
              <w:rPr>
                <w:rFonts w:eastAsia="Times New Roman" w:cs="Arial"/>
                <w:szCs w:val="20"/>
                <w:lang w:val="en-GB" w:eastAsia="cs-CZ"/>
              </w:rPr>
            </w:pPr>
          </w:p>
        </w:tc>
      </w:tr>
    </w:tbl>
    <w:p w:rsidR="002A7C15" w:rsidRPr="009F534D" w:rsidRDefault="002A7C15" w:rsidP="005E5054">
      <w:pPr>
        <w:rPr>
          <w:lang w:val="en-GB"/>
        </w:rPr>
      </w:pPr>
    </w:p>
    <w:p w:rsidR="0062271A" w:rsidRPr="009F534D" w:rsidRDefault="000445A2" w:rsidP="00EC6EB2">
      <w:pPr>
        <w:rPr>
          <w:lang w:val="en-GB"/>
        </w:rPr>
      </w:pPr>
      <w:r w:rsidRPr="009F534D">
        <w:rPr>
          <w:lang w:val="en-GB"/>
        </w:rPr>
        <w:t xml:space="preserve">The commuters </w:t>
      </w:r>
      <w:r w:rsidR="007A3024">
        <w:rPr>
          <w:lang w:val="en-GB"/>
        </w:rPr>
        <w:t xml:space="preserve">out of the region </w:t>
      </w:r>
      <w:r w:rsidRPr="009F534D">
        <w:rPr>
          <w:lang w:val="en-GB"/>
        </w:rPr>
        <w:t>are</w:t>
      </w:r>
      <w:r w:rsidR="007A3024">
        <w:rPr>
          <w:lang w:val="en-GB"/>
        </w:rPr>
        <w:t>,</w:t>
      </w:r>
      <w:r w:rsidRPr="009F534D">
        <w:rPr>
          <w:lang w:val="en-GB"/>
        </w:rPr>
        <w:t xml:space="preserve"> first of all</w:t>
      </w:r>
      <w:r w:rsidR="007A3024">
        <w:rPr>
          <w:lang w:val="en-GB"/>
        </w:rPr>
        <w:t>,</w:t>
      </w:r>
      <w:r w:rsidRPr="009F534D">
        <w:rPr>
          <w:lang w:val="en-GB"/>
        </w:rPr>
        <w:t xml:space="preserve"> those working in jobs requiring a higher educational attainment</w:t>
      </w:r>
      <w:r w:rsidR="005B7299" w:rsidRPr="009F534D">
        <w:rPr>
          <w:lang w:val="en-GB"/>
        </w:rPr>
        <w:t xml:space="preserve">. </w:t>
      </w:r>
      <w:r w:rsidRPr="009F534D">
        <w:rPr>
          <w:lang w:val="en-GB"/>
        </w:rPr>
        <w:t>The</w:t>
      </w:r>
      <w:r w:rsidR="007A3024">
        <w:rPr>
          <w:lang w:val="en-GB"/>
        </w:rPr>
        <w:t xml:space="preserve">y come from </w:t>
      </w:r>
      <w:r w:rsidRPr="009F534D">
        <w:rPr>
          <w:lang w:val="en-GB"/>
        </w:rPr>
        <w:t xml:space="preserve">groups of </w:t>
      </w:r>
      <w:r w:rsidR="00051B45" w:rsidRPr="009F534D">
        <w:rPr>
          <w:lang w:val="en-GB"/>
        </w:rPr>
        <w:t>managers</w:t>
      </w:r>
      <w:r w:rsidR="005B7299" w:rsidRPr="009F534D">
        <w:rPr>
          <w:lang w:val="en-GB"/>
        </w:rPr>
        <w:t xml:space="preserve">, </w:t>
      </w:r>
      <w:r w:rsidR="00051B45" w:rsidRPr="009F534D">
        <w:rPr>
          <w:lang w:val="en-GB"/>
        </w:rPr>
        <w:t xml:space="preserve">professionals, </w:t>
      </w:r>
      <w:r w:rsidR="005B7299" w:rsidRPr="009F534D">
        <w:rPr>
          <w:lang w:val="en-GB"/>
        </w:rPr>
        <w:t>a</w:t>
      </w:r>
      <w:r w:rsidR="00051B45" w:rsidRPr="009F534D">
        <w:rPr>
          <w:lang w:val="en-GB"/>
        </w:rPr>
        <w:t>nd</w:t>
      </w:r>
      <w:r w:rsidR="005B7299" w:rsidRPr="009F534D">
        <w:rPr>
          <w:lang w:val="en-GB"/>
        </w:rPr>
        <w:t xml:space="preserve"> </w:t>
      </w:r>
      <w:r w:rsidR="00051B45" w:rsidRPr="009F534D">
        <w:rPr>
          <w:lang w:val="en-GB"/>
        </w:rPr>
        <w:t>technicians and associate professionals</w:t>
      </w:r>
      <w:r w:rsidR="005B7299" w:rsidRPr="009F534D">
        <w:rPr>
          <w:lang w:val="en-GB"/>
        </w:rPr>
        <w:t xml:space="preserve">. </w:t>
      </w:r>
      <w:r w:rsidRPr="009F534D">
        <w:rPr>
          <w:lang w:val="en-GB"/>
        </w:rPr>
        <w:t>It holds</w:t>
      </w:r>
      <w:r w:rsidR="007A3024">
        <w:rPr>
          <w:lang w:val="en-GB"/>
        </w:rPr>
        <w:t>,</w:t>
      </w:r>
      <w:r w:rsidRPr="009F534D">
        <w:rPr>
          <w:lang w:val="en-GB"/>
        </w:rPr>
        <w:t xml:space="preserve"> </w:t>
      </w:r>
      <w:r w:rsidR="007A3024" w:rsidRPr="009F534D">
        <w:rPr>
          <w:lang w:val="en-GB"/>
        </w:rPr>
        <w:t>to a lesser extent</w:t>
      </w:r>
      <w:r w:rsidR="007A3024">
        <w:rPr>
          <w:lang w:val="en-GB"/>
        </w:rPr>
        <w:t>,</w:t>
      </w:r>
      <w:r w:rsidR="007A3024" w:rsidRPr="009F534D">
        <w:rPr>
          <w:lang w:val="en-GB"/>
        </w:rPr>
        <w:t xml:space="preserve"> </w:t>
      </w:r>
      <w:r w:rsidRPr="009F534D">
        <w:rPr>
          <w:lang w:val="en-GB"/>
        </w:rPr>
        <w:t xml:space="preserve">also to clerical </w:t>
      </w:r>
      <w:r w:rsidR="00EF6305" w:rsidRPr="009F534D">
        <w:rPr>
          <w:lang w:val="en-GB"/>
        </w:rPr>
        <w:t xml:space="preserve">support </w:t>
      </w:r>
      <w:r w:rsidRPr="009F534D">
        <w:rPr>
          <w:lang w:val="en-GB"/>
        </w:rPr>
        <w:t>workers</w:t>
      </w:r>
      <w:r w:rsidR="003456A3" w:rsidRPr="009F534D">
        <w:rPr>
          <w:lang w:val="en-GB"/>
        </w:rPr>
        <w:t>.</w:t>
      </w:r>
      <w:r w:rsidR="00B00705" w:rsidRPr="009F534D">
        <w:rPr>
          <w:lang w:val="en-GB"/>
        </w:rPr>
        <w:t xml:space="preserve"> </w:t>
      </w:r>
      <w:r w:rsidR="00EF6305" w:rsidRPr="009F534D">
        <w:rPr>
          <w:lang w:val="en-GB"/>
        </w:rPr>
        <w:t xml:space="preserve">Two thirds of all </w:t>
      </w:r>
      <w:r w:rsidR="007A3024" w:rsidRPr="009F534D">
        <w:rPr>
          <w:lang w:val="en-GB"/>
        </w:rPr>
        <w:t>inter</w:t>
      </w:r>
      <w:r w:rsidR="007A3024">
        <w:rPr>
          <w:lang w:val="en-GB"/>
        </w:rPr>
        <w:t>-</w:t>
      </w:r>
      <w:r w:rsidR="007A3024" w:rsidRPr="009F534D">
        <w:rPr>
          <w:lang w:val="en-GB"/>
        </w:rPr>
        <w:t xml:space="preserve">regional </w:t>
      </w:r>
      <w:r w:rsidR="00EF6305" w:rsidRPr="009F534D">
        <w:rPr>
          <w:lang w:val="en-GB"/>
        </w:rPr>
        <w:t>commut</w:t>
      </w:r>
      <w:r w:rsidR="007A3024">
        <w:rPr>
          <w:lang w:val="en-GB"/>
        </w:rPr>
        <w:t>ers</w:t>
      </w:r>
      <w:r w:rsidR="00EF6305" w:rsidRPr="009F534D">
        <w:rPr>
          <w:lang w:val="en-GB"/>
        </w:rPr>
        <w:t xml:space="preserve"> worked at these jobs</w:t>
      </w:r>
      <w:r w:rsidR="000918B7" w:rsidRPr="009F534D">
        <w:rPr>
          <w:lang w:val="en-GB"/>
        </w:rPr>
        <w:t xml:space="preserve">, </w:t>
      </w:r>
      <w:r w:rsidR="00EF6305" w:rsidRPr="009F534D">
        <w:rPr>
          <w:lang w:val="en-GB"/>
        </w:rPr>
        <w:t>i.e. by</w:t>
      </w:r>
      <w:r w:rsidR="000918B7" w:rsidRPr="009F534D">
        <w:rPr>
          <w:lang w:val="en-GB"/>
        </w:rPr>
        <w:t xml:space="preserve"> 15</w:t>
      </w:r>
      <w:r w:rsidR="00051B45" w:rsidRPr="009F534D">
        <w:rPr>
          <w:lang w:val="en-GB"/>
        </w:rPr>
        <w:t> </w:t>
      </w:r>
      <w:r w:rsidR="000918B7" w:rsidRPr="009F534D">
        <w:rPr>
          <w:lang w:val="en-GB"/>
        </w:rPr>
        <w:t>p</w:t>
      </w:r>
      <w:r w:rsidR="00EF6305" w:rsidRPr="009F534D">
        <w:rPr>
          <w:lang w:val="en-GB"/>
        </w:rPr>
        <w:t>e</w:t>
      </w:r>
      <w:r w:rsidR="000918B7" w:rsidRPr="009F534D">
        <w:rPr>
          <w:lang w:val="en-GB"/>
        </w:rPr>
        <w:t>rcent</w:t>
      </w:r>
      <w:r w:rsidR="00EF6305" w:rsidRPr="009F534D">
        <w:rPr>
          <w:lang w:val="en-GB"/>
        </w:rPr>
        <w:t>age</w:t>
      </w:r>
      <w:r w:rsidR="00051B45" w:rsidRPr="009F534D">
        <w:rPr>
          <w:lang w:val="en-GB"/>
        </w:rPr>
        <w:t> </w:t>
      </w:r>
      <w:proofErr w:type="gramStart"/>
      <w:r w:rsidR="00EF6305" w:rsidRPr="009F534D">
        <w:rPr>
          <w:lang w:val="en-GB"/>
        </w:rPr>
        <w:t>points</w:t>
      </w:r>
      <w:proofErr w:type="gramEnd"/>
      <w:r w:rsidR="00EF6305" w:rsidRPr="009F534D">
        <w:rPr>
          <w:lang w:val="en-GB"/>
        </w:rPr>
        <w:t xml:space="preserve"> higher share than that in the whole population of working persons in the Czech Republic. On the contrary, any other main group of the CZ</w:t>
      </w:r>
      <w:r w:rsidR="00EF6305" w:rsidRPr="009F534D">
        <w:rPr>
          <w:lang w:val="en-GB"/>
        </w:rPr>
        <w:noBreakHyphen/>
        <w:t xml:space="preserve">ISCO as </w:t>
      </w:r>
      <w:r w:rsidR="00051B45" w:rsidRPr="009F534D">
        <w:rPr>
          <w:lang w:val="en-GB"/>
        </w:rPr>
        <w:t>service and sales workers</w:t>
      </w:r>
      <w:r w:rsidR="00EF6305" w:rsidRPr="009F534D">
        <w:rPr>
          <w:lang w:val="en-GB"/>
        </w:rPr>
        <w:t xml:space="preserve">, </w:t>
      </w:r>
      <w:r w:rsidR="00051B45" w:rsidRPr="009F534D">
        <w:rPr>
          <w:lang w:val="en-GB"/>
        </w:rPr>
        <w:t>craft and related trades workers</w:t>
      </w:r>
      <w:r w:rsidR="00EF6305" w:rsidRPr="009F534D">
        <w:rPr>
          <w:lang w:val="en-GB"/>
        </w:rPr>
        <w:t xml:space="preserve">, </w:t>
      </w:r>
      <w:r w:rsidR="00051B45" w:rsidRPr="009F534D">
        <w:rPr>
          <w:lang w:val="en-GB"/>
        </w:rPr>
        <w:t xml:space="preserve">plant and machine operators, and assemblers, </w:t>
      </w:r>
      <w:r w:rsidR="00EF6305" w:rsidRPr="009F534D">
        <w:rPr>
          <w:lang w:val="en-GB"/>
        </w:rPr>
        <w:t>a</w:t>
      </w:r>
      <w:r w:rsidR="00051B45" w:rsidRPr="009F534D">
        <w:rPr>
          <w:lang w:val="en-GB"/>
        </w:rPr>
        <w:t>nd</w:t>
      </w:r>
      <w:r w:rsidR="00EF6305" w:rsidRPr="009F534D">
        <w:rPr>
          <w:lang w:val="en-GB"/>
        </w:rPr>
        <w:t xml:space="preserve"> </w:t>
      </w:r>
      <w:r w:rsidR="00051B45" w:rsidRPr="009F534D">
        <w:rPr>
          <w:lang w:val="en-GB"/>
        </w:rPr>
        <w:t xml:space="preserve">elementary occupations demonstrated </w:t>
      </w:r>
      <w:r w:rsidR="00EF6305" w:rsidRPr="009F534D">
        <w:rPr>
          <w:lang w:val="en-GB"/>
        </w:rPr>
        <w:t>lower shares in the inter</w:t>
      </w:r>
      <w:r w:rsidR="003715A0">
        <w:rPr>
          <w:lang w:val="en-GB"/>
        </w:rPr>
        <w:t>-</w:t>
      </w:r>
      <w:r w:rsidR="00EF6305" w:rsidRPr="009F534D">
        <w:rPr>
          <w:lang w:val="en-GB"/>
        </w:rPr>
        <w:t>regional commuters</w:t>
      </w:r>
      <w:r w:rsidR="000918B7" w:rsidRPr="009F534D">
        <w:rPr>
          <w:lang w:val="en-GB"/>
        </w:rPr>
        <w:t>.</w:t>
      </w:r>
    </w:p>
    <w:p w:rsidR="001A78A2" w:rsidRPr="009F534D" w:rsidRDefault="001A78A2" w:rsidP="005E5054">
      <w:pPr>
        <w:rPr>
          <w:lang w:val="en-GB"/>
        </w:rPr>
      </w:pPr>
    </w:p>
    <w:p w:rsidR="004C65E7" w:rsidRPr="009F534D" w:rsidRDefault="004C65E7" w:rsidP="00152449">
      <w:pPr>
        <w:jc w:val="center"/>
        <w:rPr>
          <w:lang w:val="en-GB"/>
        </w:rPr>
      </w:pPr>
      <w:r w:rsidRPr="009F534D">
        <w:rPr>
          <w:lang w:val="en-GB"/>
        </w:rPr>
        <w:br w:type="page"/>
      </w:r>
      <w:r w:rsidR="00152449" w:rsidRPr="00152449">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51pt">
            <v:imagedata r:id="rId8" o:title=""/>
          </v:shape>
        </w:pict>
      </w:r>
    </w:p>
    <w:p w:rsidR="00152449" w:rsidRDefault="00152449" w:rsidP="005E5054">
      <w:pPr>
        <w:rPr>
          <w:lang w:val="en-GB"/>
        </w:rPr>
      </w:pPr>
    </w:p>
    <w:p w:rsidR="006F6C25" w:rsidRPr="009F534D" w:rsidRDefault="003E7802" w:rsidP="005E5054">
      <w:pPr>
        <w:rPr>
          <w:lang w:val="en-GB"/>
        </w:rPr>
      </w:pPr>
      <w:r w:rsidRPr="009F534D">
        <w:rPr>
          <w:lang w:val="en-GB"/>
        </w:rPr>
        <w:t xml:space="preserve">Working persons commuting across their home region borders are relatively younger and have a higher educational attainment and are mostly employees, which is also an interesting fact. While employees share in total employment in 2013 was </w:t>
      </w:r>
      <w:r w:rsidR="00085912" w:rsidRPr="009F534D">
        <w:rPr>
          <w:lang w:val="en-GB"/>
        </w:rPr>
        <w:t xml:space="preserve">82%, </w:t>
      </w:r>
      <w:r w:rsidRPr="009F534D">
        <w:rPr>
          <w:lang w:val="en-GB"/>
        </w:rPr>
        <w:t xml:space="preserve">then their share in the population of </w:t>
      </w:r>
      <w:r w:rsidR="00813607">
        <w:rPr>
          <w:lang w:val="en-GB"/>
        </w:rPr>
        <w:t xml:space="preserve">the </w:t>
      </w:r>
      <w:r w:rsidRPr="009F534D">
        <w:rPr>
          <w:lang w:val="en-GB"/>
        </w:rPr>
        <w:t>inter</w:t>
      </w:r>
      <w:r w:rsidR="00813607">
        <w:rPr>
          <w:lang w:val="en-GB"/>
        </w:rPr>
        <w:t>-</w:t>
      </w:r>
      <w:r w:rsidRPr="009F534D">
        <w:rPr>
          <w:lang w:val="en-GB"/>
        </w:rPr>
        <w:t xml:space="preserve">regional commuters </w:t>
      </w:r>
      <w:r w:rsidR="00813607">
        <w:rPr>
          <w:lang w:val="en-GB"/>
        </w:rPr>
        <w:t>for</w:t>
      </w:r>
      <w:r w:rsidRPr="009F534D">
        <w:rPr>
          <w:lang w:val="en-GB"/>
        </w:rPr>
        <w:t xml:space="preserve"> work attained over </w:t>
      </w:r>
      <w:r w:rsidR="00085912" w:rsidRPr="009F534D">
        <w:rPr>
          <w:lang w:val="en-GB"/>
        </w:rPr>
        <w:t>90%.</w:t>
      </w:r>
    </w:p>
    <w:p w:rsidR="008036C3" w:rsidRPr="009F534D" w:rsidRDefault="008036C3" w:rsidP="005E5054">
      <w:pPr>
        <w:rPr>
          <w:lang w:val="en-GB"/>
        </w:rPr>
      </w:pPr>
    </w:p>
    <w:p w:rsidR="003B54AB" w:rsidRPr="009F534D" w:rsidRDefault="003B54AB" w:rsidP="003B54AB">
      <w:pPr>
        <w:jc w:val="left"/>
        <w:rPr>
          <w:b/>
          <w:lang w:val="en-GB"/>
        </w:rPr>
      </w:pPr>
      <w:r w:rsidRPr="009F534D">
        <w:rPr>
          <w:b/>
          <w:lang w:val="en-GB"/>
        </w:rPr>
        <w:t xml:space="preserve">C. </w:t>
      </w:r>
      <w:r w:rsidR="008F0BF8" w:rsidRPr="009F534D">
        <w:rPr>
          <w:b/>
          <w:lang w:val="en-GB"/>
        </w:rPr>
        <w:t xml:space="preserve">There Is a Strong Tie in between Prague and </w:t>
      </w:r>
      <w:r w:rsidR="0056134A" w:rsidRPr="009F534D">
        <w:rPr>
          <w:b/>
          <w:lang w:val="en-GB"/>
        </w:rPr>
        <w:t xml:space="preserve">the </w:t>
      </w:r>
      <w:proofErr w:type="spellStart"/>
      <w:r w:rsidR="00D262B4" w:rsidRPr="009F534D">
        <w:rPr>
          <w:b/>
          <w:lang w:val="en-GB"/>
        </w:rPr>
        <w:t>Středočeský</w:t>
      </w:r>
      <w:proofErr w:type="spellEnd"/>
      <w:r w:rsidR="008F0BF8" w:rsidRPr="009F534D">
        <w:rPr>
          <w:b/>
          <w:lang w:val="en-GB"/>
        </w:rPr>
        <w:t xml:space="preserve"> Region</w:t>
      </w:r>
    </w:p>
    <w:p w:rsidR="0083066F" w:rsidRDefault="00C62310" w:rsidP="005E5054">
      <w:pPr>
        <w:rPr>
          <w:lang w:val="en-GB"/>
        </w:rPr>
      </w:pPr>
      <w:r w:rsidRPr="009F534D">
        <w:rPr>
          <w:lang w:val="en-GB"/>
        </w:rPr>
        <w:t>A half of all inter</w:t>
      </w:r>
      <w:r w:rsidR="00031FF6">
        <w:rPr>
          <w:lang w:val="en-GB"/>
        </w:rPr>
        <w:t>-</w:t>
      </w:r>
      <w:r w:rsidRPr="009F534D">
        <w:rPr>
          <w:lang w:val="en-GB"/>
        </w:rPr>
        <w:t xml:space="preserve">regional commuters </w:t>
      </w:r>
      <w:r w:rsidR="0056134A">
        <w:rPr>
          <w:lang w:val="en-GB"/>
        </w:rPr>
        <w:t>for</w:t>
      </w:r>
      <w:r w:rsidRPr="009F534D">
        <w:rPr>
          <w:lang w:val="en-GB"/>
        </w:rPr>
        <w:t xml:space="preserve"> work </w:t>
      </w:r>
      <w:proofErr w:type="gramStart"/>
      <w:r w:rsidRPr="009F534D">
        <w:rPr>
          <w:lang w:val="en-GB"/>
        </w:rPr>
        <w:t>travels</w:t>
      </w:r>
      <w:proofErr w:type="gramEnd"/>
      <w:r w:rsidRPr="009F534D">
        <w:rPr>
          <w:lang w:val="en-GB"/>
        </w:rPr>
        <w:t xml:space="preserve"> </w:t>
      </w:r>
      <w:r w:rsidR="0056134A">
        <w:rPr>
          <w:lang w:val="en-GB"/>
        </w:rPr>
        <w:t xml:space="preserve">just </w:t>
      </w:r>
      <w:r w:rsidRPr="009F534D">
        <w:rPr>
          <w:lang w:val="en-GB"/>
        </w:rPr>
        <w:t xml:space="preserve">in between the </w:t>
      </w:r>
      <w:proofErr w:type="spellStart"/>
      <w:r w:rsidR="0083066F" w:rsidRPr="009F534D">
        <w:rPr>
          <w:lang w:val="en-GB"/>
        </w:rPr>
        <w:t>Středočeský</w:t>
      </w:r>
      <w:proofErr w:type="spellEnd"/>
      <w:r w:rsidRPr="009F534D">
        <w:rPr>
          <w:lang w:val="en-GB"/>
        </w:rPr>
        <w:t xml:space="preserve"> Region and </w:t>
      </w:r>
      <w:r w:rsidR="0083066F" w:rsidRPr="009F534D">
        <w:rPr>
          <w:lang w:val="en-GB"/>
        </w:rPr>
        <w:t>Pra</w:t>
      </w:r>
      <w:r w:rsidRPr="009F534D">
        <w:rPr>
          <w:lang w:val="en-GB"/>
        </w:rPr>
        <w:t>gue</w:t>
      </w:r>
      <w:r w:rsidR="0083066F" w:rsidRPr="009F534D">
        <w:rPr>
          <w:lang w:val="en-GB"/>
        </w:rPr>
        <w:t>.</w:t>
      </w:r>
      <w:r w:rsidR="00370F76" w:rsidRPr="009F534D">
        <w:rPr>
          <w:lang w:val="en-GB"/>
        </w:rPr>
        <w:t xml:space="preserve"> </w:t>
      </w:r>
      <w:r w:rsidRPr="009F534D">
        <w:rPr>
          <w:lang w:val="en-GB"/>
        </w:rPr>
        <w:t xml:space="preserve">The mutual tie has been </w:t>
      </w:r>
      <w:r w:rsidR="0056134A">
        <w:rPr>
          <w:lang w:val="en-GB"/>
        </w:rPr>
        <w:t xml:space="preserve">even </w:t>
      </w:r>
      <w:r w:rsidRPr="009F534D">
        <w:rPr>
          <w:lang w:val="en-GB"/>
        </w:rPr>
        <w:t xml:space="preserve">reinforced because intensity of movement </w:t>
      </w:r>
      <w:r w:rsidR="0056134A">
        <w:rPr>
          <w:lang w:val="en-GB"/>
        </w:rPr>
        <w:t>for</w:t>
      </w:r>
      <w:r w:rsidRPr="009F534D">
        <w:rPr>
          <w:lang w:val="en-GB"/>
        </w:rPr>
        <w:t xml:space="preserve"> work in between these two regions has been permanently growing</w:t>
      </w:r>
      <w:r w:rsidR="00370F76" w:rsidRPr="009F534D">
        <w:rPr>
          <w:lang w:val="en-GB"/>
        </w:rPr>
        <w:t xml:space="preserve">. </w:t>
      </w:r>
      <w:r w:rsidRPr="009F534D">
        <w:rPr>
          <w:lang w:val="en-GB"/>
        </w:rPr>
        <w:t xml:space="preserve">It is a result of interactions of demographic and economic factors and </w:t>
      </w:r>
      <w:r w:rsidR="00DA3C2F" w:rsidRPr="009F534D">
        <w:rPr>
          <w:lang w:val="en-GB"/>
        </w:rPr>
        <w:t>changes</w:t>
      </w:r>
      <w:r w:rsidRPr="009F534D">
        <w:rPr>
          <w:lang w:val="en-GB"/>
        </w:rPr>
        <w:t xml:space="preserve"> to </w:t>
      </w:r>
      <w:r w:rsidR="00DA3C2F" w:rsidRPr="009F534D">
        <w:rPr>
          <w:lang w:val="en-GB"/>
        </w:rPr>
        <w:t xml:space="preserve">the </w:t>
      </w:r>
      <w:r w:rsidRPr="009F534D">
        <w:rPr>
          <w:lang w:val="en-GB"/>
        </w:rPr>
        <w:t xml:space="preserve">settlement structure of the regions. </w:t>
      </w:r>
      <w:r w:rsidR="00DA3C2F" w:rsidRPr="009F534D">
        <w:rPr>
          <w:b/>
          <w:lang w:val="en-GB"/>
        </w:rPr>
        <w:t>Movement</w:t>
      </w:r>
      <w:r w:rsidRPr="009F534D">
        <w:rPr>
          <w:b/>
          <w:lang w:val="en-GB"/>
        </w:rPr>
        <w:t xml:space="preserve"> </w:t>
      </w:r>
      <w:r w:rsidR="0056134A">
        <w:rPr>
          <w:b/>
          <w:lang w:val="en-GB"/>
        </w:rPr>
        <w:t>for</w:t>
      </w:r>
      <w:r w:rsidRPr="009F534D">
        <w:rPr>
          <w:b/>
          <w:lang w:val="en-GB"/>
        </w:rPr>
        <w:t xml:space="preserve"> work in between the two regions </w:t>
      </w:r>
      <w:r w:rsidR="00DA3C2F" w:rsidRPr="009F534D">
        <w:rPr>
          <w:b/>
          <w:lang w:val="en-GB"/>
        </w:rPr>
        <w:t xml:space="preserve">is substantially affected by the fact that the </w:t>
      </w:r>
      <w:proofErr w:type="spellStart"/>
      <w:r w:rsidR="00DA3C2F" w:rsidRPr="009F534D">
        <w:rPr>
          <w:b/>
          <w:lang w:val="en-GB"/>
        </w:rPr>
        <w:t>Středočeský</w:t>
      </w:r>
      <w:proofErr w:type="spellEnd"/>
      <w:r w:rsidR="00DA3C2F" w:rsidRPr="009F534D">
        <w:rPr>
          <w:b/>
          <w:lang w:val="en-GB"/>
        </w:rPr>
        <w:t xml:space="preserve"> Region </w:t>
      </w:r>
      <w:r w:rsidR="0056134A" w:rsidRPr="009F534D">
        <w:rPr>
          <w:b/>
          <w:lang w:val="en-GB"/>
        </w:rPr>
        <w:t xml:space="preserve">population </w:t>
      </w:r>
      <w:r w:rsidR="00DA3C2F" w:rsidRPr="009F534D">
        <w:rPr>
          <w:b/>
          <w:lang w:val="en-GB"/>
        </w:rPr>
        <w:t>has been growing mostly as a result of migration of economically active population from the Capital City</w:t>
      </w:r>
      <w:r w:rsidR="00AF7554" w:rsidRPr="009F534D">
        <w:rPr>
          <w:lang w:val="en-GB"/>
        </w:rPr>
        <w:t xml:space="preserve">. </w:t>
      </w:r>
      <w:r w:rsidR="00D26467" w:rsidRPr="009F534D">
        <w:rPr>
          <w:lang w:val="en-GB"/>
        </w:rPr>
        <w:t>M</w:t>
      </w:r>
      <w:r w:rsidR="00AF7554" w:rsidRPr="009F534D">
        <w:rPr>
          <w:lang w:val="en-GB"/>
        </w:rPr>
        <w:t>igra</w:t>
      </w:r>
      <w:r w:rsidR="00DA3C2F" w:rsidRPr="009F534D">
        <w:rPr>
          <w:lang w:val="en-GB"/>
        </w:rPr>
        <w:t xml:space="preserve">tion from </w:t>
      </w:r>
      <w:r w:rsidR="00AF7554" w:rsidRPr="009F534D">
        <w:rPr>
          <w:lang w:val="en-GB"/>
        </w:rPr>
        <w:t>Pra</w:t>
      </w:r>
      <w:r w:rsidR="00DA3C2F" w:rsidRPr="009F534D">
        <w:rPr>
          <w:lang w:val="en-GB"/>
        </w:rPr>
        <w:t xml:space="preserve">gue into the </w:t>
      </w:r>
      <w:proofErr w:type="spellStart"/>
      <w:r w:rsidR="00D26467" w:rsidRPr="009F534D">
        <w:rPr>
          <w:lang w:val="en-GB"/>
        </w:rPr>
        <w:t>Středočesk</w:t>
      </w:r>
      <w:r w:rsidR="00DA3C2F" w:rsidRPr="009F534D">
        <w:rPr>
          <w:lang w:val="en-GB"/>
        </w:rPr>
        <w:t>ý</w:t>
      </w:r>
      <w:proofErr w:type="spellEnd"/>
      <w:r w:rsidR="00DA3C2F" w:rsidRPr="009F534D">
        <w:rPr>
          <w:lang w:val="en-GB"/>
        </w:rPr>
        <w:t xml:space="preserve"> Region is the biggest migration flow in among all regions of the Czech Republic. Many </w:t>
      </w:r>
      <w:proofErr w:type="spellStart"/>
      <w:r w:rsidR="00DA3C2F" w:rsidRPr="009F534D">
        <w:rPr>
          <w:lang w:val="en-GB"/>
        </w:rPr>
        <w:t>Praguers</w:t>
      </w:r>
      <w:proofErr w:type="spellEnd"/>
      <w:r w:rsidR="00DA3C2F" w:rsidRPr="009F534D">
        <w:rPr>
          <w:lang w:val="en-GB"/>
        </w:rPr>
        <w:t xml:space="preserve"> find their residence in the </w:t>
      </w:r>
      <w:proofErr w:type="spellStart"/>
      <w:r w:rsidR="00DA3C2F" w:rsidRPr="009F534D">
        <w:rPr>
          <w:lang w:val="en-GB"/>
        </w:rPr>
        <w:t>Středočeský</w:t>
      </w:r>
      <w:proofErr w:type="spellEnd"/>
      <w:r w:rsidR="00DA3C2F" w:rsidRPr="009F534D">
        <w:rPr>
          <w:lang w:val="en-GB"/>
        </w:rPr>
        <w:t xml:space="preserve"> Region and then subsequently increase the number of commuters </w:t>
      </w:r>
      <w:r w:rsidR="00E559E0">
        <w:rPr>
          <w:lang w:val="en-GB"/>
        </w:rPr>
        <w:t>in</w:t>
      </w:r>
      <w:r w:rsidR="00DA3C2F" w:rsidRPr="009F534D">
        <w:rPr>
          <w:lang w:val="en-GB"/>
        </w:rPr>
        <w:t xml:space="preserve">to Prague </w:t>
      </w:r>
      <w:r w:rsidR="00E559E0">
        <w:rPr>
          <w:lang w:val="en-GB"/>
        </w:rPr>
        <w:t xml:space="preserve">for </w:t>
      </w:r>
      <w:r w:rsidR="00DA3C2F" w:rsidRPr="009F534D">
        <w:rPr>
          <w:lang w:val="en-GB"/>
        </w:rPr>
        <w:t>work</w:t>
      </w:r>
      <w:r w:rsidR="005207FA" w:rsidRPr="009F534D">
        <w:rPr>
          <w:lang w:val="en-GB"/>
        </w:rPr>
        <w:t>.</w:t>
      </w:r>
    </w:p>
    <w:p w:rsidR="00E559E0" w:rsidRPr="009F534D" w:rsidRDefault="00E559E0" w:rsidP="005E5054">
      <w:pPr>
        <w:rPr>
          <w:lang w:val="en-GB"/>
        </w:rPr>
      </w:pPr>
    </w:p>
    <w:p w:rsidR="001C5200" w:rsidRPr="009F534D" w:rsidRDefault="00631F26" w:rsidP="005E5054">
      <w:pPr>
        <w:rPr>
          <w:lang w:val="en-GB"/>
        </w:rPr>
      </w:pPr>
      <w:r w:rsidRPr="009F534D">
        <w:rPr>
          <w:lang w:val="en-GB"/>
        </w:rPr>
        <w:lastRenderedPageBreak/>
        <w:t>These are</w:t>
      </w:r>
      <w:r w:rsidR="00B22171" w:rsidRPr="009F534D">
        <w:rPr>
          <w:lang w:val="en-GB"/>
        </w:rPr>
        <w:t>,</w:t>
      </w:r>
      <w:r w:rsidRPr="009F534D">
        <w:rPr>
          <w:lang w:val="en-GB"/>
        </w:rPr>
        <w:t xml:space="preserve"> first of all</w:t>
      </w:r>
      <w:r w:rsidR="00B22171" w:rsidRPr="009F534D">
        <w:rPr>
          <w:lang w:val="en-GB"/>
        </w:rPr>
        <w:t>,</w:t>
      </w:r>
      <w:r w:rsidRPr="009F534D">
        <w:rPr>
          <w:lang w:val="en-GB"/>
        </w:rPr>
        <w:t xml:space="preserve"> </w:t>
      </w:r>
      <w:r w:rsidR="00C80C68" w:rsidRPr="009F534D">
        <w:rPr>
          <w:lang w:val="en-GB"/>
        </w:rPr>
        <w:t>younger working persons of productive age and, moreover, the number of moving children has also been increasing</w:t>
      </w:r>
      <w:r w:rsidR="001C5200" w:rsidRPr="009F534D">
        <w:rPr>
          <w:lang w:val="en-GB"/>
        </w:rPr>
        <w:t>. T</w:t>
      </w:r>
      <w:r w:rsidR="00C80C68" w:rsidRPr="009F534D">
        <w:rPr>
          <w:lang w:val="en-GB"/>
        </w:rPr>
        <w:t>hese facts</w:t>
      </w:r>
      <w:r w:rsidR="00E559E0">
        <w:rPr>
          <w:lang w:val="en-GB"/>
        </w:rPr>
        <w:t>,</w:t>
      </w:r>
      <w:r w:rsidR="00C80C68" w:rsidRPr="009F534D">
        <w:rPr>
          <w:lang w:val="en-GB"/>
        </w:rPr>
        <w:t xml:space="preserve"> along with the subsequent family reproduction</w:t>
      </w:r>
      <w:r w:rsidR="00E559E0">
        <w:rPr>
          <w:lang w:val="en-GB"/>
        </w:rPr>
        <w:t>,</w:t>
      </w:r>
      <w:r w:rsidR="00C80C68" w:rsidRPr="009F534D">
        <w:rPr>
          <w:lang w:val="en-GB"/>
        </w:rPr>
        <w:t xml:space="preserve"> has been leading both to growing commuting to educational facilities in Prague and t</w:t>
      </w:r>
      <w:r w:rsidR="001C5200" w:rsidRPr="009F534D">
        <w:rPr>
          <w:lang w:val="en-GB"/>
        </w:rPr>
        <w:t>o</w:t>
      </w:r>
      <w:r w:rsidR="00C80C68" w:rsidRPr="009F534D">
        <w:rPr>
          <w:lang w:val="en-GB"/>
        </w:rPr>
        <w:t xml:space="preserve"> immerging issues with capacities of preschool and school facilities in municipalities of the people residence. </w:t>
      </w:r>
    </w:p>
    <w:p w:rsidR="001C569C" w:rsidRPr="009F534D" w:rsidRDefault="001C569C" w:rsidP="005E5054">
      <w:pPr>
        <w:rPr>
          <w:lang w:val="en-GB"/>
        </w:rPr>
      </w:pPr>
    </w:p>
    <w:p w:rsidR="001C5200" w:rsidRPr="009F534D" w:rsidRDefault="00C80C68" w:rsidP="005E5054">
      <w:pPr>
        <w:rPr>
          <w:lang w:val="en-GB"/>
        </w:rPr>
      </w:pPr>
      <w:r w:rsidRPr="009F534D">
        <w:rPr>
          <w:lang w:val="en-GB"/>
        </w:rPr>
        <w:t xml:space="preserve">The highest number of </w:t>
      </w:r>
      <w:proofErr w:type="spellStart"/>
      <w:r w:rsidRPr="009F534D">
        <w:rPr>
          <w:lang w:val="en-GB"/>
        </w:rPr>
        <w:t>Praguers</w:t>
      </w:r>
      <w:proofErr w:type="spellEnd"/>
      <w:r w:rsidRPr="009F534D">
        <w:rPr>
          <w:lang w:val="en-GB"/>
        </w:rPr>
        <w:t xml:space="preserve"> has moved into adjacent districts of </w:t>
      </w:r>
      <w:proofErr w:type="spellStart"/>
      <w:r w:rsidR="006C3990" w:rsidRPr="009F534D">
        <w:rPr>
          <w:lang w:val="en-GB"/>
        </w:rPr>
        <w:t>Praha-východ</w:t>
      </w:r>
      <w:proofErr w:type="spellEnd"/>
      <w:r w:rsidR="006C3990" w:rsidRPr="009F534D">
        <w:rPr>
          <w:lang w:val="en-GB"/>
        </w:rPr>
        <w:t xml:space="preserve"> a</w:t>
      </w:r>
      <w:r w:rsidRPr="009F534D">
        <w:rPr>
          <w:lang w:val="en-GB"/>
        </w:rPr>
        <w:t>nd</w:t>
      </w:r>
      <w:r w:rsidR="006C3990" w:rsidRPr="009F534D">
        <w:rPr>
          <w:lang w:val="en-GB"/>
        </w:rPr>
        <w:t xml:space="preserve"> </w:t>
      </w:r>
      <w:proofErr w:type="spellStart"/>
      <w:r w:rsidR="006C3990" w:rsidRPr="009F534D">
        <w:rPr>
          <w:lang w:val="en-GB"/>
        </w:rPr>
        <w:t>Praha-z</w:t>
      </w:r>
      <w:r w:rsidR="00FA473A" w:rsidRPr="009F534D">
        <w:rPr>
          <w:lang w:val="en-GB"/>
        </w:rPr>
        <w:t>ápad</w:t>
      </w:r>
      <w:proofErr w:type="spellEnd"/>
      <w:r w:rsidR="00FA473A" w:rsidRPr="009F534D">
        <w:rPr>
          <w:lang w:val="en-GB"/>
        </w:rPr>
        <w:t xml:space="preserve">. </w:t>
      </w:r>
      <w:r w:rsidRPr="009F534D">
        <w:rPr>
          <w:lang w:val="en-GB"/>
        </w:rPr>
        <w:t xml:space="preserve">A great number of them </w:t>
      </w:r>
      <w:proofErr w:type="gramStart"/>
      <w:r w:rsidRPr="009F534D">
        <w:rPr>
          <w:lang w:val="en-GB"/>
        </w:rPr>
        <w:t>has</w:t>
      </w:r>
      <w:proofErr w:type="gramEnd"/>
      <w:r w:rsidRPr="009F534D">
        <w:rPr>
          <w:lang w:val="en-GB"/>
        </w:rPr>
        <w:t xml:space="preserve"> also found permanent residence in districts of </w:t>
      </w:r>
      <w:proofErr w:type="spellStart"/>
      <w:r w:rsidR="0019792F" w:rsidRPr="009F534D">
        <w:rPr>
          <w:lang w:val="en-GB"/>
        </w:rPr>
        <w:t>Mělník</w:t>
      </w:r>
      <w:proofErr w:type="spellEnd"/>
      <w:r w:rsidR="0019792F" w:rsidRPr="009F534D">
        <w:rPr>
          <w:lang w:val="en-GB"/>
        </w:rPr>
        <w:t xml:space="preserve">, </w:t>
      </w:r>
      <w:proofErr w:type="spellStart"/>
      <w:r w:rsidR="0019792F" w:rsidRPr="009F534D">
        <w:rPr>
          <w:lang w:val="en-GB"/>
        </w:rPr>
        <w:t>Kladno</w:t>
      </w:r>
      <w:proofErr w:type="spellEnd"/>
      <w:r w:rsidRPr="009F534D">
        <w:rPr>
          <w:lang w:val="en-GB"/>
        </w:rPr>
        <w:t>,</w:t>
      </w:r>
      <w:r w:rsidR="0019792F" w:rsidRPr="009F534D">
        <w:rPr>
          <w:lang w:val="en-GB"/>
        </w:rPr>
        <w:t xml:space="preserve"> a</w:t>
      </w:r>
      <w:r w:rsidRPr="009F534D">
        <w:rPr>
          <w:lang w:val="en-GB"/>
        </w:rPr>
        <w:t>nd</w:t>
      </w:r>
      <w:r w:rsidR="0019792F" w:rsidRPr="009F534D">
        <w:rPr>
          <w:lang w:val="en-GB"/>
        </w:rPr>
        <w:t xml:space="preserve"> </w:t>
      </w:r>
      <w:proofErr w:type="spellStart"/>
      <w:r w:rsidR="0019792F" w:rsidRPr="009F534D">
        <w:rPr>
          <w:lang w:val="en-GB"/>
        </w:rPr>
        <w:t>Beroun</w:t>
      </w:r>
      <w:proofErr w:type="spellEnd"/>
      <w:r w:rsidR="00FA473A" w:rsidRPr="009F534D">
        <w:rPr>
          <w:lang w:val="en-GB"/>
        </w:rPr>
        <w:t>.</w:t>
      </w:r>
      <w:r w:rsidR="004D4FF7" w:rsidRPr="009F534D">
        <w:rPr>
          <w:lang w:val="en-GB"/>
        </w:rPr>
        <w:t xml:space="preserve"> </w:t>
      </w:r>
      <w:r w:rsidRPr="009F534D">
        <w:rPr>
          <w:lang w:val="en-GB"/>
        </w:rPr>
        <w:t>The table below gives numbers of persons</w:t>
      </w:r>
      <w:r w:rsidR="000C7802" w:rsidRPr="009F534D">
        <w:rPr>
          <w:lang w:val="en-GB"/>
        </w:rPr>
        <w:t>,</w:t>
      </w:r>
      <w:r w:rsidRPr="009F534D">
        <w:rPr>
          <w:lang w:val="en-GB"/>
        </w:rPr>
        <w:t xml:space="preserve"> who changed their Prague residence for a permanent residence in districts of the </w:t>
      </w:r>
      <w:proofErr w:type="spellStart"/>
      <w:r w:rsidRPr="009F534D">
        <w:rPr>
          <w:lang w:val="en-GB"/>
        </w:rPr>
        <w:t>Středočeský</w:t>
      </w:r>
      <w:proofErr w:type="spellEnd"/>
      <w:r w:rsidRPr="009F534D">
        <w:rPr>
          <w:lang w:val="en-GB"/>
        </w:rPr>
        <w:t xml:space="preserve"> Region, and vice versa</w:t>
      </w:r>
      <w:r w:rsidR="002E7988">
        <w:rPr>
          <w:lang w:val="en-GB"/>
        </w:rPr>
        <w:t>,</w:t>
      </w:r>
      <w:r w:rsidRPr="009F534D">
        <w:rPr>
          <w:lang w:val="en-GB"/>
        </w:rPr>
        <w:t xml:space="preserve"> in the period from </w:t>
      </w:r>
      <w:r w:rsidR="008D5E8D" w:rsidRPr="009F534D">
        <w:rPr>
          <w:lang w:val="en-GB"/>
        </w:rPr>
        <w:t xml:space="preserve">2009 </w:t>
      </w:r>
      <w:r w:rsidRPr="009F534D">
        <w:rPr>
          <w:lang w:val="en-GB"/>
        </w:rPr>
        <w:t>to</w:t>
      </w:r>
      <w:r w:rsidR="008D5E8D" w:rsidRPr="009F534D">
        <w:rPr>
          <w:lang w:val="en-GB"/>
        </w:rPr>
        <w:t xml:space="preserve"> 2013</w:t>
      </w:r>
      <w:r w:rsidR="004D4FF7" w:rsidRPr="009F534D">
        <w:rPr>
          <w:lang w:val="en-GB"/>
        </w:rPr>
        <w:t>.</w:t>
      </w:r>
    </w:p>
    <w:p w:rsidR="003B2DB6" w:rsidRPr="009F534D" w:rsidRDefault="003B2DB6" w:rsidP="005E5054">
      <w:pPr>
        <w:rPr>
          <w:lang w:val="en-GB"/>
        </w:rPr>
      </w:pPr>
    </w:p>
    <w:tbl>
      <w:tblPr>
        <w:tblW w:w="8588" w:type="dxa"/>
        <w:jc w:val="center"/>
        <w:tblInd w:w="56" w:type="dxa"/>
        <w:tblLayout w:type="fixed"/>
        <w:tblCellMar>
          <w:left w:w="70" w:type="dxa"/>
          <w:right w:w="70" w:type="dxa"/>
        </w:tblCellMar>
        <w:tblLook w:val="04A0"/>
      </w:tblPr>
      <w:tblGrid>
        <w:gridCol w:w="2141"/>
        <w:gridCol w:w="425"/>
        <w:gridCol w:w="1358"/>
        <w:gridCol w:w="649"/>
        <w:gridCol w:w="1683"/>
        <w:gridCol w:w="324"/>
        <w:gridCol w:w="2008"/>
      </w:tblGrid>
      <w:tr w:rsidR="006F0B1D" w:rsidRPr="009F534D" w:rsidTr="004D586B">
        <w:trPr>
          <w:trHeight w:val="510"/>
          <w:jc w:val="center"/>
        </w:trPr>
        <w:tc>
          <w:tcPr>
            <w:tcW w:w="8588" w:type="dxa"/>
            <w:gridSpan w:val="7"/>
            <w:tcBorders>
              <w:top w:val="nil"/>
              <w:left w:val="nil"/>
              <w:bottom w:val="nil"/>
              <w:right w:val="nil"/>
            </w:tcBorders>
            <w:shd w:val="clear" w:color="auto" w:fill="auto"/>
            <w:vAlign w:val="bottom"/>
            <w:hideMark/>
          </w:tcPr>
          <w:p w:rsidR="006F0B1D" w:rsidRPr="009F534D" w:rsidRDefault="006F0B1D" w:rsidP="00751DE1">
            <w:pPr>
              <w:spacing w:line="240" w:lineRule="auto"/>
              <w:jc w:val="left"/>
              <w:rPr>
                <w:rFonts w:eastAsia="Times New Roman" w:cs="Arial"/>
                <w:b/>
                <w:bCs/>
                <w:szCs w:val="20"/>
                <w:lang w:val="en-GB" w:eastAsia="cs-CZ"/>
              </w:rPr>
            </w:pPr>
            <w:r w:rsidRPr="009F534D">
              <w:rPr>
                <w:rFonts w:eastAsia="Times New Roman" w:cs="Arial"/>
                <w:b/>
                <w:bCs/>
                <w:szCs w:val="20"/>
                <w:lang w:val="en-GB" w:eastAsia="cs-CZ"/>
              </w:rPr>
              <w:t>Migra</w:t>
            </w:r>
            <w:r w:rsidR="00751DE1" w:rsidRPr="009F534D">
              <w:rPr>
                <w:rFonts w:eastAsia="Times New Roman" w:cs="Arial"/>
                <w:b/>
                <w:bCs/>
                <w:szCs w:val="20"/>
                <w:lang w:val="en-GB" w:eastAsia="cs-CZ"/>
              </w:rPr>
              <w:t>tion movements</w:t>
            </w:r>
            <w:r w:rsidRPr="009F534D">
              <w:rPr>
                <w:rFonts w:eastAsia="Times New Roman" w:cs="Arial"/>
                <w:b/>
                <w:bCs/>
                <w:szCs w:val="20"/>
                <w:lang w:val="en-GB" w:eastAsia="cs-CZ"/>
              </w:rPr>
              <w:t xml:space="preserve"> (</w:t>
            </w:r>
            <w:r w:rsidR="00751DE1" w:rsidRPr="009F534D">
              <w:rPr>
                <w:rFonts w:eastAsia="Times New Roman" w:cs="Arial"/>
                <w:b/>
                <w:bCs/>
                <w:szCs w:val="20"/>
                <w:lang w:val="en-GB" w:eastAsia="cs-CZ"/>
              </w:rPr>
              <w:t>changes in permanent residence</w:t>
            </w:r>
            <w:r w:rsidRPr="009F534D">
              <w:rPr>
                <w:rFonts w:eastAsia="Times New Roman" w:cs="Arial"/>
                <w:b/>
                <w:bCs/>
                <w:szCs w:val="20"/>
                <w:lang w:val="en-GB" w:eastAsia="cs-CZ"/>
              </w:rPr>
              <w:t>)</w:t>
            </w:r>
            <w:r w:rsidR="00751DE1" w:rsidRPr="009F534D">
              <w:rPr>
                <w:rFonts w:eastAsia="Times New Roman" w:cs="Arial"/>
                <w:b/>
                <w:bCs/>
                <w:szCs w:val="20"/>
                <w:lang w:val="en-GB" w:eastAsia="cs-CZ"/>
              </w:rPr>
              <w:t xml:space="preserve"> in between</w:t>
            </w:r>
            <w:r w:rsidRPr="009F534D">
              <w:rPr>
                <w:rFonts w:eastAsia="Times New Roman" w:cs="Arial"/>
                <w:b/>
                <w:bCs/>
                <w:szCs w:val="20"/>
                <w:lang w:val="en-GB" w:eastAsia="cs-CZ"/>
              </w:rPr>
              <w:t xml:space="preserve"> Pra</w:t>
            </w:r>
            <w:r w:rsidR="00751DE1" w:rsidRPr="009F534D">
              <w:rPr>
                <w:rFonts w:eastAsia="Times New Roman" w:cs="Arial"/>
                <w:b/>
                <w:bCs/>
                <w:szCs w:val="20"/>
                <w:lang w:val="en-GB" w:eastAsia="cs-CZ"/>
              </w:rPr>
              <w:t xml:space="preserve">gue and districts of the </w:t>
            </w:r>
            <w:proofErr w:type="spellStart"/>
            <w:r w:rsidRPr="009F534D">
              <w:rPr>
                <w:rFonts w:eastAsia="Times New Roman" w:cs="Arial"/>
                <w:b/>
                <w:bCs/>
                <w:szCs w:val="20"/>
                <w:lang w:val="en-GB" w:eastAsia="cs-CZ"/>
              </w:rPr>
              <w:t>Středočesk</w:t>
            </w:r>
            <w:r w:rsidR="00751DE1" w:rsidRPr="009F534D">
              <w:rPr>
                <w:rFonts w:eastAsia="Times New Roman" w:cs="Arial"/>
                <w:b/>
                <w:bCs/>
                <w:szCs w:val="20"/>
                <w:lang w:val="en-GB" w:eastAsia="cs-CZ"/>
              </w:rPr>
              <w:t>ý</w:t>
            </w:r>
            <w:proofErr w:type="spellEnd"/>
            <w:r w:rsidR="00751DE1" w:rsidRPr="009F534D">
              <w:rPr>
                <w:rFonts w:eastAsia="Times New Roman" w:cs="Arial"/>
                <w:b/>
                <w:bCs/>
                <w:szCs w:val="20"/>
                <w:lang w:val="en-GB" w:eastAsia="cs-CZ"/>
              </w:rPr>
              <w:t xml:space="preserve"> Region within the period from 2009 to </w:t>
            </w:r>
            <w:r w:rsidRPr="009F534D">
              <w:rPr>
                <w:rFonts w:eastAsia="Times New Roman" w:cs="Arial"/>
                <w:b/>
                <w:bCs/>
                <w:szCs w:val="20"/>
                <w:lang w:val="en-GB" w:eastAsia="cs-CZ"/>
              </w:rPr>
              <w:t>2013</w:t>
            </w:r>
          </w:p>
        </w:tc>
      </w:tr>
      <w:tr w:rsidR="006F0B1D" w:rsidRPr="009F534D" w:rsidTr="004D586B">
        <w:trPr>
          <w:trHeight w:val="270"/>
          <w:jc w:val="center"/>
        </w:trPr>
        <w:tc>
          <w:tcPr>
            <w:tcW w:w="2141" w:type="dxa"/>
            <w:tcBorders>
              <w:top w:val="nil"/>
              <w:left w:val="nil"/>
              <w:bottom w:val="nil"/>
              <w:right w:val="nil"/>
            </w:tcBorders>
            <w:shd w:val="clear" w:color="auto" w:fill="auto"/>
            <w:noWrap/>
            <w:vAlign w:val="bottom"/>
            <w:hideMark/>
          </w:tcPr>
          <w:p w:rsidR="006F0B1D" w:rsidRPr="009F534D" w:rsidRDefault="006F0B1D" w:rsidP="006F0B1D">
            <w:pPr>
              <w:spacing w:line="240" w:lineRule="auto"/>
              <w:jc w:val="left"/>
              <w:rPr>
                <w:rFonts w:eastAsia="Times New Roman" w:cs="Arial"/>
                <w:szCs w:val="20"/>
                <w:lang w:val="en-GB" w:eastAsia="cs-CZ"/>
              </w:rPr>
            </w:pPr>
          </w:p>
        </w:tc>
        <w:tc>
          <w:tcPr>
            <w:tcW w:w="1783" w:type="dxa"/>
            <w:gridSpan w:val="2"/>
            <w:tcBorders>
              <w:top w:val="nil"/>
              <w:left w:val="nil"/>
              <w:bottom w:val="nil"/>
              <w:right w:val="nil"/>
            </w:tcBorders>
            <w:shd w:val="clear" w:color="auto" w:fill="auto"/>
            <w:noWrap/>
            <w:vAlign w:val="bottom"/>
            <w:hideMark/>
          </w:tcPr>
          <w:p w:rsidR="006F0B1D" w:rsidRPr="009F534D" w:rsidRDefault="006F0B1D" w:rsidP="006F0B1D">
            <w:pPr>
              <w:spacing w:line="240" w:lineRule="auto"/>
              <w:jc w:val="left"/>
              <w:rPr>
                <w:rFonts w:eastAsia="Times New Roman" w:cs="Arial"/>
                <w:szCs w:val="20"/>
                <w:lang w:val="en-GB" w:eastAsia="cs-CZ"/>
              </w:rPr>
            </w:pPr>
          </w:p>
        </w:tc>
        <w:tc>
          <w:tcPr>
            <w:tcW w:w="2332" w:type="dxa"/>
            <w:gridSpan w:val="2"/>
            <w:tcBorders>
              <w:top w:val="nil"/>
              <w:left w:val="nil"/>
              <w:bottom w:val="nil"/>
              <w:right w:val="nil"/>
            </w:tcBorders>
            <w:shd w:val="clear" w:color="auto" w:fill="auto"/>
            <w:noWrap/>
            <w:vAlign w:val="bottom"/>
            <w:hideMark/>
          </w:tcPr>
          <w:p w:rsidR="006F0B1D" w:rsidRPr="009F534D" w:rsidRDefault="006F0B1D" w:rsidP="006F0B1D">
            <w:pPr>
              <w:spacing w:line="240" w:lineRule="auto"/>
              <w:jc w:val="left"/>
              <w:rPr>
                <w:rFonts w:eastAsia="Times New Roman" w:cs="Arial"/>
                <w:szCs w:val="20"/>
                <w:lang w:val="en-GB" w:eastAsia="cs-CZ"/>
              </w:rPr>
            </w:pPr>
          </w:p>
        </w:tc>
        <w:tc>
          <w:tcPr>
            <w:tcW w:w="2332" w:type="dxa"/>
            <w:gridSpan w:val="2"/>
            <w:tcBorders>
              <w:top w:val="nil"/>
              <w:left w:val="nil"/>
              <w:bottom w:val="nil"/>
              <w:right w:val="nil"/>
            </w:tcBorders>
            <w:shd w:val="clear" w:color="auto" w:fill="auto"/>
            <w:noWrap/>
            <w:vAlign w:val="bottom"/>
            <w:hideMark/>
          </w:tcPr>
          <w:p w:rsidR="006F0B1D" w:rsidRPr="009F534D" w:rsidRDefault="00E871B0" w:rsidP="006F0B1D">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Number of persons</w:t>
            </w:r>
          </w:p>
        </w:tc>
      </w:tr>
      <w:tr w:rsidR="006F0B1D" w:rsidRPr="009F534D" w:rsidTr="004D586B">
        <w:trPr>
          <w:trHeight w:val="750"/>
          <w:jc w:val="center"/>
        </w:trPr>
        <w:tc>
          <w:tcPr>
            <w:tcW w:w="2566" w:type="dxa"/>
            <w:gridSpan w:val="2"/>
            <w:tcBorders>
              <w:top w:val="single" w:sz="8" w:space="0" w:color="auto"/>
              <w:left w:val="nil"/>
              <w:bottom w:val="single" w:sz="8" w:space="0" w:color="auto"/>
              <w:right w:val="single" w:sz="4" w:space="0" w:color="auto"/>
            </w:tcBorders>
            <w:shd w:val="clear" w:color="auto" w:fill="auto"/>
            <w:noWrap/>
            <w:vAlign w:val="center"/>
            <w:hideMark/>
          </w:tcPr>
          <w:p w:rsidR="006F0B1D" w:rsidRPr="009F534D" w:rsidRDefault="00E871B0" w:rsidP="00E871B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Region</w:t>
            </w:r>
            <w:r w:rsidR="006F0B1D" w:rsidRPr="009F534D">
              <w:rPr>
                <w:rFonts w:eastAsia="Times New Roman" w:cs="Arial"/>
                <w:sz w:val="16"/>
                <w:szCs w:val="16"/>
                <w:lang w:val="en-GB" w:eastAsia="cs-CZ"/>
              </w:rPr>
              <w:t xml:space="preserve"> / </w:t>
            </w:r>
            <w:r w:rsidRPr="009F534D">
              <w:rPr>
                <w:rFonts w:eastAsia="Times New Roman" w:cs="Arial"/>
                <w:sz w:val="16"/>
                <w:szCs w:val="16"/>
                <w:lang w:val="en-GB" w:eastAsia="cs-CZ"/>
              </w:rPr>
              <w:t>District</w:t>
            </w:r>
          </w:p>
        </w:tc>
        <w:tc>
          <w:tcPr>
            <w:tcW w:w="2007" w:type="dxa"/>
            <w:gridSpan w:val="2"/>
            <w:tcBorders>
              <w:top w:val="single" w:sz="8" w:space="0" w:color="auto"/>
              <w:left w:val="nil"/>
              <w:bottom w:val="single" w:sz="8" w:space="0" w:color="auto"/>
              <w:right w:val="single" w:sz="4" w:space="0" w:color="auto"/>
            </w:tcBorders>
            <w:shd w:val="clear" w:color="auto" w:fill="auto"/>
            <w:vAlign w:val="center"/>
            <w:hideMark/>
          </w:tcPr>
          <w:p w:rsidR="006F0B1D" w:rsidRPr="009F534D" w:rsidRDefault="00751DE1" w:rsidP="00751DE1">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Persons moving in</w:t>
            </w:r>
            <w:r w:rsidR="002E7988">
              <w:rPr>
                <w:rFonts w:eastAsia="Times New Roman" w:cs="Arial"/>
                <w:sz w:val="16"/>
                <w:szCs w:val="16"/>
                <w:lang w:val="en-GB" w:eastAsia="cs-CZ"/>
              </w:rPr>
              <w:t>to</w:t>
            </w:r>
            <w:r w:rsidRPr="009F534D">
              <w:rPr>
                <w:rFonts w:eastAsia="Times New Roman" w:cs="Arial"/>
                <w:sz w:val="16"/>
                <w:szCs w:val="16"/>
                <w:lang w:val="en-GB" w:eastAsia="cs-CZ"/>
              </w:rPr>
              <w:t xml:space="preserve"> from Prague</w:t>
            </w:r>
          </w:p>
        </w:tc>
        <w:tc>
          <w:tcPr>
            <w:tcW w:w="2007" w:type="dxa"/>
            <w:gridSpan w:val="2"/>
            <w:tcBorders>
              <w:top w:val="single" w:sz="8" w:space="0" w:color="auto"/>
              <w:left w:val="nil"/>
              <w:bottom w:val="single" w:sz="8" w:space="0" w:color="auto"/>
              <w:right w:val="single" w:sz="4" w:space="0" w:color="auto"/>
            </w:tcBorders>
            <w:shd w:val="clear" w:color="auto" w:fill="auto"/>
            <w:vAlign w:val="center"/>
            <w:hideMark/>
          </w:tcPr>
          <w:p w:rsidR="006F0B1D" w:rsidRPr="009F534D" w:rsidRDefault="00751DE1" w:rsidP="00751DE1">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Persons moving out </w:t>
            </w:r>
            <w:r w:rsidR="002E7988">
              <w:rPr>
                <w:rFonts w:eastAsia="Times New Roman" w:cs="Arial"/>
                <w:sz w:val="16"/>
                <w:szCs w:val="16"/>
                <w:lang w:val="en-GB" w:eastAsia="cs-CZ"/>
              </w:rPr>
              <w:t>in</w:t>
            </w:r>
            <w:r w:rsidRPr="009F534D">
              <w:rPr>
                <w:rFonts w:eastAsia="Times New Roman" w:cs="Arial"/>
                <w:sz w:val="16"/>
                <w:szCs w:val="16"/>
                <w:lang w:val="en-GB" w:eastAsia="cs-CZ"/>
              </w:rPr>
              <w:t>to Prague</w:t>
            </w:r>
          </w:p>
        </w:tc>
        <w:tc>
          <w:tcPr>
            <w:tcW w:w="2008" w:type="dxa"/>
            <w:tcBorders>
              <w:top w:val="single" w:sz="8" w:space="0" w:color="auto"/>
              <w:left w:val="nil"/>
              <w:bottom w:val="single" w:sz="8" w:space="0" w:color="auto"/>
              <w:right w:val="nil"/>
            </w:tcBorders>
            <w:shd w:val="clear" w:color="auto" w:fill="auto"/>
            <w:vAlign w:val="center"/>
            <w:hideMark/>
          </w:tcPr>
          <w:p w:rsidR="006F0B1D" w:rsidRPr="009F534D" w:rsidRDefault="00751DE1" w:rsidP="00751DE1">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Difference of migration in between the </w:t>
            </w:r>
            <w:proofErr w:type="spellStart"/>
            <w:r w:rsidR="003245D1" w:rsidRPr="009F534D">
              <w:rPr>
                <w:rFonts w:eastAsia="Times New Roman" w:cs="Arial"/>
                <w:sz w:val="16"/>
                <w:szCs w:val="16"/>
                <w:lang w:val="en-GB" w:eastAsia="cs-CZ"/>
              </w:rPr>
              <w:t>Středočeský</w:t>
            </w:r>
            <w:proofErr w:type="spellEnd"/>
            <w:r w:rsidRPr="009F534D">
              <w:rPr>
                <w:rFonts w:eastAsia="Times New Roman" w:cs="Arial"/>
                <w:sz w:val="16"/>
                <w:szCs w:val="16"/>
                <w:lang w:val="en-GB" w:eastAsia="cs-CZ"/>
              </w:rPr>
              <w:t xml:space="preserve"> Region and </w:t>
            </w:r>
            <w:r w:rsidR="006F0B1D" w:rsidRPr="009F534D">
              <w:rPr>
                <w:rFonts w:eastAsia="Times New Roman" w:cs="Arial"/>
                <w:sz w:val="16"/>
                <w:szCs w:val="16"/>
                <w:lang w:val="en-GB" w:eastAsia="cs-CZ"/>
              </w:rPr>
              <w:t>Pra</w:t>
            </w:r>
            <w:r w:rsidRPr="009F534D">
              <w:rPr>
                <w:rFonts w:eastAsia="Times New Roman" w:cs="Arial"/>
                <w:sz w:val="16"/>
                <w:szCs w:val="16"/>
                <w:lang w:val="en-GB" w:eastAsia="cs-CZ"/>
              </w:rPr>
              <w:t>gue</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E871B0">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Středočeský</w:t>
            </w:r>
            <w:proofErr w:type="spellEnd"/>
            <w:r w:rsidRPr="009F534D">
              <w:rPr>
                <w:rFonts w:eastAsia="Times New Roman" w:cs="Arial"/>
                <w:sz w:val="16"/>
                <w:szCs w:val="16"/>
                <w:lang w:val="en-GB" w:eastAsia="cs-CZ"/>
              </w:rPr>
              <w:t xml:space="preserve"> </w:t>
            </w:r>
            <w:r w:rsidR="00E871B0" w:rsidRPr="009F534D">
              <w:rPr>
                <w:rFonts w:eastAsia="Times New Roman" w:cs="Arial"/>
                <w:sz w:val="16"/>
                <w:szCs w:val="16"/>
                <w:lang w:val="en-GB" w:eastAsia="cs-CZ"/>
              </w:rPr>
              <w:t>Region</w:t>
            </w:r>
            <w:r w:rsidRPr="009F534D">
              <w:rPr>
                <w:rFonts w:eastAsia="Times New Roman" w:cs="Arial"/>
                <w:sz w:val="16"/>
                <w:szCs w:val="16"/>
                <w:lang w:val="en-GB" w:eastAsia="cs-CZ"/>
              </w:rPr>
              <w:t>:</w:t>
            </w:r>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77214 </w:t>
            </w:r>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36275 </w:t>
            </w:r>
          </w:p>
        </w:tc>
        <w:tc>
          <w:tcPr>
            <w:tcW w:w="2008" w:type="dxa"/>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40939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Benešov</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3733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1776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1957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Beroun</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4667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1657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3010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Kladno</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5364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3098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2266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Kolín</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3384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1744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1640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Kutná</w:t>
            </w:r>
            <w:proofErr w:type="spellEnd"/>
            <w:r w:rsidRPr="009F534D">
              <w:rPr>
                <w:rFonts w:eastAsia="Times New Roman" w:cs="Arial"/>
                <w:sz w:val="16"/>
                <w:szCs w:val="16"/>
                <w:lang w:val="en-GB" w:eastAsia="cs-CZ"/>
              </w:rPr>
              <w:t xml:space="preserve"> </w:t>
            </w:r>
            <w:proofErr w:type="spellStart"/>
            <w:r w:rsidRPr="009F534D">
              <w:rPr>
                <w:rFonts w:eastAsia="Times New Roman" w:cs="Arial"/>
                <w:sz w:val="16"/>
                <w:szCs w:val="16"/>
                <w:lang w:val="en-GB" w:eastAsia="cs-CZ"/>
              </w:rPr>
              <w:t>Hora</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1345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1007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338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Mělník</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5593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3780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1813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Mladá</w:t>
            </w:r>
            <w:proofErr w:type="spellEnd"/>
            <w:r w:rsidRPr="009F534D">
              <w:rPr>
                <w:rFonts w:eastAsia="Times New Roman" w:cs="Arial"/>
                <w:sz w:val="16"/>
                <w:szCs w:val="16"/>
                <w:lang w:val="en-GB" w:eastAsia="cs-CZ"/>
              </w:rPr>
              <w:t xml:space="preserve"> </w:t>
            </w:r>
            <w:proofErr w:type="spellStart"/>
            <w:r w:rsidRPr="009F534D">
              <w:rPr>
                <w:rFonts w:eastAsia="Times New Roman" w:cs="Arial"/>
                <w:sz w:val="16"/>
                <w:szCs w:val="16"/>
                <w:lang w:val="en-GB" w:eastAsia="cs-CZ"/>
              </w:rPr>
              <w:t>Boleslav</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2067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2176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-109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Nymburk</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4151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2463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1688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Praha-východ</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22949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8694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14255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Praha-západ</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19478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7046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12432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Příbram</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3131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1727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1404 </w:t>
            </w:r>
          </w:p>
        </w:tc>
      </w:tr>
      <w:tr w:rsidR="00B22C4C" w:rsidRPr="009F534D" w:rsidTr="004D586B">
        <w:trPr>
          <w:trHeight w:val="255"/>
          <w:jc w:val="center"/>
        </w:trPr>
        <w:tc>
          <w:tcPr>
            <w:tcW w:w="2566" w:type="dxa"/>
            <w:gridSpan w:val="2"/>
            <w:tcBorders>
              <w:top w:val="nil"/>
              <w:left w:val="nil"/>
              <w:bottom w:val="nil"/>
              <w:right w:val="single" w:sz="4" w:space="0" w:color="auto"/>
            </w:tcBorders>
            <w:shd w:val="clear" w:color="auto" w:fill="auto"/>
            <w:noWrap/>
            <w:vAlign w:val="bottom"/>
            <w:hideMark/>
          </w:tcPr>
          <w:p w:rsidR="00B22C4C" w:rsidRPr="009F534D" w:rsidRDefault="00B22C4C" w:rsidP="006F0B1D">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Rakovník</w:t>
            </w:r>
            <w:proofErr w:type="spellEnd"/>
          </w:p>
        </w:tc>
        <w:tc>
          <w:tcPr>
            <w:tcW w:w="2007" w:type="dxa"/>
            <w:gridSpan w:val="2"/>
            <w:tcBorders>
              <w:top w:val="nil"/>
              <w:left w:val="nil"/>
              <w:bottom w:val="nil"/>
              <w:right w:val="single" w:sz="4" w:space="0" w:color="auto"/>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1352 </w:t>
            </w:r>
          </w:p>
        </w:tc>
        <w:tc>
          <w:tcPr>
            <w:tcW w:w="2007" w:type="dxa"/>
            <w:gridSpan w:val="2"/>
            <w:tcBorders>
              <w:top w:val="nil"/>
              <w:left w:val="nil"/>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1107 </w:t>
            </w:r>
          </w:p>
        </w:tc>
        <w:tc>
          <w:tcPr>
            <w:tcW w:w="2008" w:type="dxa"/>
            <w:tcBorders>
              <w:top w:val="nil"/>
              <w:left w:val="single" w:sz="4" w:space="0" w:color="auto"/>
              <w:bottom w:val="nil"/>
              <w:right w:val="nil"/>
            </w:tcBorders>
            <w:shd w:val="clear" w:color="auto" w:fill="auto"/>
            <w:noWrap/>
            <w:vAlign w:val="bottom"/>
            <w:hideMark/>
          </w:tcPr>
          <w:p w:rsidR="00B22C4C" w:rsidRPr="009F534D" w:rsidRDefault="00B22C4C">
            <w:pPr>
              <w:jc w:val="right"/>
              <w:rPr>
                <w:rFonts w:cs="Arial"/>
                <w:sz w:val="16"/>
                <w:szCs w:val="16"/>
                <w:lang w:val="en-GB"/>
              </w:rPr>
            </w:pPr>
            <w:r w:rsidRPr="009F534D">
              <w:rPr>
                <w:rFonts w:cs="Arial"/>
                <w:sz w:val="16"/>
                <w:szCs w:val="16"/>
                <w:lang w:val="en-GB"/>
              </w:rPr>
              <w:t xml:space="preserve">245 </w:t>
            </w:r>
          </w:p>
        </w:tc>
      </w:tr>
      <w:tr w:rsidR="006F0B1D" w:rsidRPr="009F534D" w:rsidTr="004D586B">
        <w:trPr>
          <w:trHeight w:val="120"/>
          <w:jc w:val="center"/>
        </w:trPr>
        <w:tc>
          <w:tcPr>
            <w:tcW w:w="2141" w:type="dxa"/>
            <w:tcBorders>
              <w:top w:val="nil"/>
              <w:left w:val="nil"/>
              <w:bottom w:val="nil"/>
              <w:right w:val="nil"/>
            </w:tcBorders>
            <w:shd w:val="clear" w:color="auto" w:fill="auto"/>
            <w:noWrap/>
            <w:vAlign w:val="bottom"/>
            <w:hideMark/>
          </w:tcPr>
          <w:p w:rsidR="006F0B1D" w:rsidRPr="009F534D" w:rsidRDefault="006F0B1D" w:rsidP="006F0B1D">
            <w:pPr>
              <w:spacing w:line="240" w:lineRule="auto"/>
              <w:jc w:val="left"/>
              <w:rPr>
                <w:rFonts w:eastAsia="Times New Roman" w:cs="Arial"/>
                <w:szCs w:val="20"/>
                <w:lang w:val="en-GB" w:eastAsia="cs-CZ"/>
              </w:rPr>
            </w:pPr>
          </w:p>
        </w:tc>
        <w:tc>
          <w:tcPr>
            <w:tcW w:w="1783" w:type="dxa"/>
            <w:gridSpan w:val="2"/>
            <w:tcBorders>
              <w:top w:val="nil"/>
              <w:left w:val="nil"/>
              <w:bottom w:val="nil"/>
              <w:right w:val="nil"/>
            </w:tcBorders>
            <w:shd w:val="clear" w:color="auto" w:fill="auto"/>
            <w:noWrap/>
            <w:vAlign w:val="bottom"/>
            <w:hideMark/>
          </w:tcPr>
          <w:p w:rsidR="006F0B1D" w:rsidRPr="009F534D" w:rsidRDefault="006F0B1D" w:rsidP="006F0B1D">
            <w:pPr>
              <w:spacing w:line="240" w:lineRule="auto"/>
              <w:jc w:val="left"/>
              <w:rPr>
                <w:rFonts w:eastAsia="Times New Roman" w:cs="Arial"/>
                <w:szCs w:val="20"/>
                <w:lang w:val="en-GB" w:eastAsia="cs-CZ"/>
              </w:rPr>
            </w:pPr>
          </w:p>
        </w:tc>
        <w:tc>
          <w:tcPr>
            <w:tcW w:w="2332" w:type="dxa"/>
            <w:gridSpan w:val="2"/>
            <w:tcBorders>
              <w:top w:val="nil"/>
              <w:left w:val="nil"/>
              <w:bottom w:val="nil"/>
              <w:right w:val="nil"/>
            </w:tcBorders>
            <w:shd w:val="clear" w:color="auto" w:fill="auto"/>
            <w:noWrap/>
            <w:vAlign w:val="bottom"/>
            <w:hideMark/>
          </w:tcPr>
          <w:p w:rsidR="006F0B1D" w:rsidRPr="009F534D" w:rsidRDefault="006F0B1D" w:rsidP="006F0B1D">
            <w:pPr>
              <w:spacing w:line="240" w:lineRule="auto"/>
              <w:jc w:val="left"/>
              <w:rPr>
                <w:rFonts w:eastAsia="Times New Roman" w:cs="Arial"/>
                <w:szCs w:val="20"/>
                <w:lang w:val="en-GB" w:eastAsia="cs-CZ"/>
              </w:rPr>
            </w:pPr>
          </w:p>
        </w:tc>
        <w:tc>
          <w:tcPr>
            <w:tcW w:w="2332" w:type="dxa"/>
            <w:gridSpan w:val="2"/>
            <w:tcBorders>
              <w:top w:val="nil"/>
              <w:left w:val="nil"/>
              <w:bottom w:val="nil"/>
              <w:right w:val="nil"/>
            </w:tcBorders>
            <w:shd w:val="clear" w:color="auto" w:fill="auto"/>
            <w:noWrap/>
            <w:vAlign w:val="bottom"/>
            <w:hideMark/>
          </w:tcPr>
          <w:p w:rsidR="006F0B1D" w:rsidRPr="009F534D" w:rsidRDefault="006F0B1D" w:rsidP="006F0B1D">
            <w:pPr>
              <w:spacing w:line="240" w:lineRule="auto"/>
              <w:jc w:val="left"/>
              <w:rPr>
                <w:rFonts w:eastAsia="Times New Roman" w:cs="Arial"/>
                <w:szCs w:val="20"/>
                <w:lang w:val="en-GB" w:eastAsia="cs-CZ"/>
              </w:rPr>
            </w:pPr>
          </w:p>
        </w:tc>
      </w:tr>
      <w:tr w:rsidR="00E6284C" w:rsidRPr="009F534D" w:rsidTr="004D586B">
        <w:trPr>
          <w:trHeight w:val="255"/>
          <w:jc w:val="center"/>
        </w:trPr>
        <w:tc>
          <w:tcPr>
            <w:tcW w:w="3924" w:type="dxa"/>
            <w:gridSpan w:val="3"/>
            <w:tcBorders>
              <w:top w:val="nil"/>
              <w:left w:val="nil"/>
              <w:bottom w:val="nil"/>
              <w:right w:val="nil"/>
            </w:tcBorders>
            <w:shd w:val="clear" w:color="auto" w:fill="auto"/>
            <w:noWrap/>
            <w:vAlign w:val="bottom"/>
            <w:hideMark/>
          </w:tcPr>
          <w:p w:rsidR="00E6284C" w:rsidRPr="009F534D" w:rsidRDefault="00E871B0" w:rsidP="00E871B0">
            <w:pPr>
              <w:spacing w:line="240" w:lineRule="auto"/>
              <w:jc w:val="left"/>
              <w:rPr>
                <w:rFonts w:eastAsia="Times New Roman" w:cs="Arial"/>
                <w:szCs w:val="20"/>
                <w:lang w:val="en-GB" w:eastAsia="cs-CZ"/>
              </w:rPr>
            </w:pPr>
            <w:r w:rsidRPr="009F534D">
              <w:rPr>
                <w:rFonts w:eastAsia="Times New Roman" w:cs="Arial"/>
                <w:i/>
                <w:iCs/>
                <w:sz w:val="18"/>
                <w:szCs w:val="18"/>
                <w:lang w:val="en-GB" w:eastAsia="cs-CZ"/>
              </w:rPr>
              <w:t>Source: CZSO - demographic</w:t>
            </w:r>
            <w:r w:rsidR="000F7B81" w:rsidRPr="009F534D">
              <w:rPr>
                <w:rFonts w:eastAsia="Times New Roman" w:cs="Arial"/>
                <w:i/>
                <w:iCs/>
                <w:sz w:val="18"/>
                <w:szCs w:val="18"/>
                <w:lang w:val="en-GB" w:eastAsia="cs-CZ"/>
              </w:rPr>
              <w:t xml:space="preserve"> statisti</w:t>
            </w:r>
            <w:r w:rsidRPr="009F534D">
              <w:rPr>
                <w:rFonts w:eastAsia="Times New Roman" w:cs="Arial"/>
                <w:i/>
                <w:iCs/>
                <w:sz w:val="18"/>
                <w:szCs w:val="18"/>
                <w:lang w:val="en-GB" w:eastAsia="cs-CZ"/>
              </w:rPr>
              <w:t>cs</w:t>
            </w:r>
          </w:p>
        </w:tc>
        <w:tc>
          <w:tcPr>
            <w:tcW w:w="2332" w:type="dxa"/>
            <w:gridSpan w:val="2"/>
            <w:tcBorders>
              <w:top w:val="nil"/>
              <w:left w:val="nil"/>
              <w:bottom w:val="nil"/>
              <w:right w:val="nil"/>
            </w:tcBorders>
            <w:shd w:val="clear" w:color="auto" w:fill="auto"/>
            <w:noWrap/>
            <w:vAlign w:val="bottom"/>
            <w:hideMark/>
          </w:tcPr>
          <w:p w:rsidR="00E6284C" w:rsidRPr="009F534D" w:rsidRDefault="00E6284C" w:rsidP="006F0B1D">
            <w:pPr>
              <w:spacing w:line="240" w:lineRule="auto"/>
              <w:jc w:val="left"/>
              <w:rPr>
                <w:rFonts w:eastAsia="Times New Roman" w:cs="Arial"/>
                <w:szCs w:val="20"/>
                <w:lang w:val="en-GB" w:eastAsia="cs-CZ"/>
              </w:rPr>
            </w:pPr>
          </w:p>
        </w:tc>
        <w:tc>
          <w:tcPr>
            <w:tcW w:w="2332" w:type="dxa"/>
            <w:gridSpan w:val="2"/>
            <w:tcBorders>
              <w:top w:val="nil"/>
              <w:left w:val="nil"/>
              <w:bottom w:val="nil"/>
              <w:right w:val="nil"/>
            </w:tcBorders>
            <w:shd w:val="clear" w:color="auto" w:fill="auto"/>
            <w:noWrap/>
            <w:vAlign w:val="bottom"/>
            <w:hideMark/>
          </w:tcPr>
          <w:p w:rsidR="00E6284C" w:rsidRPr="009F534D" w:rsidRDefault="00E6284C" w:rsidP="006F0B1D">
            <w:pPr>
              <w:spacing w:line="240" w:lineRule="auto"/>
              <w:jc w:val="left"/>
              <w:rPr>
                <w:rFonts w:eastAsia="Times New Roman" w:cs="Arial"/>
                <w:szCs w:val="20"/>
                <w:lang w:val="en-GB" w:eastAsia="cs-CZ"/>
              </w:rPr>
            </w:pPr>
          </w:p>
        </w:tc>
      </w:tr>
    </w:tbl>
    <w:p w:rsidR="00903A40" w:rsidRPr="009F534D" w:rsidRDefault="00903A40" w:rsidP="00E6284C">
      <w:pPr>
        <w:rPr>
          <w:sz w:val="16"/>
          <w:szCs w:val="16"/>
          <w:lang w:val="en-GB"/>
        </w:rPr>
      </w:pPr>
    </w:p>
    <w:p w:rsidR="00BC4C6B" w:rsidRPr="009F534D" w:rsidRDefault="000C7802" w:rsidP="00E6284C">
      <w:pPr>
        <w:rPr>
          <w:b/>
          <w:lang w:val="en-GB"/>
        </w:rPr>
      </w:pPr>
      <w:r w:rsidRPr="009F534D">
        <w:rPr>
          <w:sz w:val="16"/>
          <w:szCs w:val="16"/>
          <w:lang w:val="en-GB"/>
        </w:rPr>
        <w:t>Note</w:t>
      </w:r>
      <w:r w:rsidR="00E955E8" w:rsidRPr="009F534D">
        <w:rPr>
          <w:sz w:val="16"/>
          <w:szCs w:val="16"/>
          <w:lang w:val="en-GB"/>
        </w:rPr>
        <w:t xml:space="preserve">: </w:t>
      </w:r>
      <w:r w:rsidRPr="009F534D">
        <w:rPr>
          <w:sz w:val="16"/>
          <w:szCs w:val="16"/>
          <w:lang w:val="en-GB"/>
        </w:rPr>
        <w:t xml:space="preserve">Data of the demographic </w:t>
      </w:r>
      <w:r w:rsidR="00E955E8" w:rsidRPr="009F534D">
        <w:rPr>
          <w:sz w:val="16"/>
          <w:szCs w:val="16"/>
          <w:lang w:val="en-GB"/>
        </w:rPr>
        <w:t>statisti</w:t>
      </w:r>
      <w:r w:rsidRPr="009F534D">
        <w:rPr>
          <w:sz w:val="16"/>
          <w:szCs w:val="16"/>
          <w:lang w:val="en-GB"/>
        </w:rPr>
        <w:t>cs concerns change of the permanent residence. The sample survey</w:t>
      </w:r>
      <w:r w:rsidR="003B6B57">
        <w:rPr>
          <w:sz w:val="16"/>
          <w:szCs w:val="16"/>
          <w:lang w:val="en-GB"/>
        </w:rPr>
        <w:t>,</w:t>
      </w:r>
      <w:r w:rsidRPr="009F534D">
        <w:rPr>
          <w:sz w:val="16"/>
          <w:szCs w:val="16"/>
          <w:lang w:val="en-GB"/>
        </w:rPr>
        <w:t xml:space="preserve"> however, works with so-called usual residence</w:t>
      </w:r>
      <w:r w:rsidR="00C45F16" w:rsidRPr="009F534D">
        <w:rPr>
          <w:sz w:val="16"/>
          <w:szCs w:val="16"/>
          <w:lang w:val="en-GB"/>
        </w:rPr>
        <w:t xml:space="preserve">, </w:t>
      </w:r>
      <w:r w:rsidR="00667B2E" w:rsidRPr="009F534D">
        <w:rPr>
          <w:sz w:val="16"/>
          <w:szCs w:val="16"/>
          <w:lang w:val="en-GB"/>
        </w:rPr>
        <w:t>when respective members of the household take as their basic household the place where they live, sleep, and care for maintenance of the dwelling</w:t>
      </w:r>
      <w:r w:rsidR="00C45F16" w:rsidRPr="009F534D">
        <w:rPr>
          <w:sz w:val="16"/>
          <w:szCs w:val="16"/>
          <w:lang w:val="en-GB"/>
        </w:rPr>
        <w:t>.</w:t>
      </w:r>
      <w:r w:rsidR="00B358E1" w:rsidRPr="009F534D">
        <w:rPr>
          <w:sz w:val="16"/>
          <w:szCs w:val="16"/>
          <w:lang w:val="en-GB"/>
        </w:rPr>
        <w:t xml:space="preserve"> </w:t>
      </w:r>
      <w:r w:rsidR="00667B2E" w:rsidRPr="009F534D">
        <w:rPr>
          <w:sz w:val="16"/>
          <w:szCs w:val="16"/>
          <w:lang w:val="en-GB"/>
        </w:rPr>
        <w:t xml:space="preserve">In numerous cases the residence </w:t>
      </w:r>
      <w:r w:rsidR="00B358E1" w:rsidRPr="009F534D">
        <w:rPr>
          <w:sz w:val="16"/>
          <w:szCs w:val="16"/>
          <w:lang w:val="en-GB"/>
        </w:rPr>
        <w:t>de facto a</w:t>
      </w:r>
      <w:r w:rsidR="00667B2E" w:rsidRPr="009F534D">
        <w:rPr>
          <w:sz w:val="16"/>
          <w:szCs w:val="16"/>
          <w:lang w:val="en-GB"/>
        </w:rPr>
        <w:t xml:space="preserve">nd the residence </w:t>
      </w:r>
      <w:r w:rsidR="00B358E1" w:rsidRPr="009F534D">
        <w:rPr>
          <w:sz w:val="16"/>
          <w:szCs w:val="16"/>
          <w:lang w:val="en-GB"/>
        </w:rPr>
        <w:t xml:space="preserve">de </w:t>
      </w:r>
      <w:r w:rsidR="003B6B57">
        <w:rPr>
          <w:sz w:val="16"/>
          <w:szCs w:val="16"/>
          <w:lang w:val="en-GB"/>
        </w:rPr>
        <w:t>j</w:t>
      </w:r>
      <w:r w:rsidR="00B358E1" w:rsidRPr="009F534D">
        <w:rPr>
          <w:sz w:val="16"/>
          <w:szCs w:val="16"/>
          <w:lang w:val="en-GB"/>
        </w:rPr>
        <w:t xml:space="preserve">ure </w:t>
      </w:r>
      <w:r w:rsidR="00667B2E" w:rsidRPr="009F534D">
        <w:rPr>
          <w:sz w:val="16"/>
          <w:szCs w:val="16"/>
          <w:lang w:val="en-GB"/>
        </w:rPr>
        <w:t>are different</w:t>
      </w:r>
      <w:r w:rsidR="00B358E1" w:rsidRPr="009F534D">
        <w:rPr>
          <w:sz w:val="16"/>
          <w:szCs w:val="16"/>
          <w:lang w:val="en-GB"/>
        </w:rPr>
        <w:t>.</w:t>
      </w:r>
    </w:p>
    <w:p w:rsidR="00BC4C6B" w:rsidRPr="009F534D" w:rsidRDefault="00BC4C6B" w:rsidP="00BC4C6B">
      <w:pPr>
        <w:jc w:val="left"/>
        <w:rPr>
          <w:b/>
          <w:lang w:val="en-GB"/>
        </w:rPr>
      </w:pPr>
    </w:p>
    <w:p w:rsidR="00F066D8" w:rsidRPr="009F534D" w:rsidRDefault="006C3990" w:rsidP="005E5054">
      <w:pPr>
        <w:rPr>
          <w:lang w:val="en-GB"/>
        </w:rPr>
      </w:pPr>
      <w:proofErr w:type="spellStart"/>
      <w:r w:rsidRPr="009F534D">
        <w:rPr>
          <w:lang w:val="en-GB"/>
        </w:rPr>
        <w:t>Pra</w:t>
      </w:r>
      <w:r w:rsidR="00667B2E" w:rsidRPr="009F534D">
        <w:rPr>
          <w:lang w:val="en-GB"/>
        </w:rPr>
        <w:t>guers</w:t>
      </w:r>
      <w:proofErr w:type="spellEnd"/>
      <w:r w:rsidR="00667B2E" w:rsidRPr="009F534D">
        <w:rPr>
          <w:lang w:val="en-GB"/>
        </w:rPr>
        <w:t xml:space="preserve"> therefore </w:t>
      </w:r>
      <w:r w:rsidR="00E511CF">
        <w:rPr>
          <w:lang w:val="en-GB"/>
        </w:rPr>
        <w:t xml:space="preserve">have </w:t>
      </w:r>
      <w:r w:rsidR="00667B2E" w:rsidRPr="009F534D">
        <w:rPr>
          <w:lang w:val="en-GB"/>
        </w:rPr>
        <w:t>move</w:t>
      </w:r>
      <w:r w:rsidR="00E511CF">
        <w:rPr>
          <w:lang w:val="en-GB"/>
        </w:rPr>
        <w:t>d</w:t>
      </w:r>
      <w:r w:rsidR="00667B2E" w:rsidRPr="009F534D">
        <w:rPr>
          <w:lang w:val="en-GB"/>
        </w:rPr>
        <w:t xml:space="preserve"> into the </w:t>
      </w:r>
      <w:proofErr w:type="spellStart"/>
      <w:r w:rsidRPr="009F534D">
        <w:rPr>
          <w:lang w:val="en-GB"/>
        </w:rPr>
        <w:t>Středočesk</w:t>
      </w:r>
      <w:r w:rsidR="00667B2E" w:rsidRPr="009F534D">
        <w:rPr>
          <w:lang w:val="en-GB"/>
        </w:rPr>
        <w:t>ý</w:t>
      </w:r>
      <w:proofErr w:type="spellEnd"/>
      <w:r w:rsidR="00667B2E" w:rsidRPr="009F534D">
        <w:rPr>
          <w:lang w:val="en-GB"/>
        </w:rPr>
        <w:t xml:space="preserve"> Region, which, on the other side, leads to a great increase in the number of respondents commuting </w:t>
      </w:r>
      <w:r w:rsidR="00E511CF">
        <w:rPr>
          <w:lang w:val="en-GB"/>
        </w:rPr>
        <w:t>in</w:t>
      </w:r>
      <w:r w:rsidR="00667B2E" w:rsidRPr="009F534D">
        <w:rPr>
          <w:lang w:val="en-GB"/>
        </w:rPr>
        <w:t xml:space="preserve">to the Capital City </w:t>
      </w:r>
      <w:r w:rsidR="00E511CF">
        <w:rPr>
          <w:lang w:val="en-GB"/>
        </w:rPr>
        <w:t xml:space="preserve">for work </w:t>
      </w:r>
      <w:r w:rsidR="00667B2E" w:rsidRPr="009F534D">
        <w:rPr>
          <w:lang w:val="en-GB"/>
        </w:rPr>
        <w:t xml:space="preserve">from a great </w:t>
      </w:r>
      <w:r w:rsidR="00E511CF">
        <w:rPr>
          <w:lang w:val="en-GB"/>
        </w:rPr>
        <w:t>area</w:t>
      </w:r>
      <w:r w:rsidR="00667B2E" w:rsidRPr="009F534D">
        <w:rPr>
          <w:lang w:val="en-GB"/>
        </w:rPr>
        <w:t xml:space="preserve"> of the</w:t>
      </w:r>
      <w:r w:rsidRPr="009F534D">
        <w:rPr>
          <w:lang w:val="en-GB"/>
        </w:rPr>
        <w:t xml:space="preserve"> </w:t>
      </w:r>
      <w:proofErr w:type="spellStart"/>
      <w:r w:rsidR="00667B2E" w:rsidRPr="009F534D">
        <w:rPr>
          <w:lang w:val="en-GB"/>
        </w:rPr>
        <w:t>Středočeský</w:t>
      </w:r>
      <w:proofErr w:type="spellEnd"/>
      <w:r w:rsidR="00667B2E" w:rsidRPr="009F534D">
        <w:rPr>
          <w:lang w:val="en-GB"/>
        </w:rPr>
        <w:t xml:space="preserve"> Region</w:t>
      </w:r>
      <w:r w:rsidRPr="009F534D">
        <w:rPr>
          <w:lang w:val="en-GB"/>
        </w:rPr>
        <w:t xml:space="preserve">. </w:t>
      </w:r>
      <w:r w:rsidR="00667B2E" w:rsidRPr="009F534D">
        <w:rPr>
          <w:lang w:val="en-GB"/>
        </w:rPr>
        <w:t>Because of the sample size the survey may not publish data on commuting at the level of districts</w:t>
      </w:r>
      <w:r w:rsidR="00064321" w:rsidRPr="009F534D">
        <w:rPr>
          <w:lang w:val="en-GB"/>
        </w:rPr>
        <w:t xml:space="preserve">. </w:t>
      </w:r>
      <w:r w:rsidR="00667B2E" w:rsidRPr="009F534D">
        <w:rPr>
          <w:b/>
          <w:lang w:val="en-GB"/>
        </w:rPr>
        <w:t>Although, it is clear that over one half of commut</w:t>
      </w:r>
      <w:r w:rsidR="00E511CF">
        <w:rPr>
          <w:b/>
          <w:lang w:val="en-GB"/>
        </w:rPr>
        <w:t>ers</w:t>
      </w:r>
      <w:r w:rsidR="00667B2E" w:rsidRPr="009F534D">
        <w:rPr>
          <w:b/>
          <w:lang w:val="en-GB"/>
        </w:rPr>
        <w:t xml:space="preserve"> </w:t>
      </w:r>
      <w:r w:rsidR="00E511CF">
        <w:rPr>
          <w:b/>
          <w:lang w:val="en-GB"/>
        </w:rPr>
        <w:t>in</w:t>
      </w:r>
      <w:r w:rsidR="00667B2E" w:rsidRPr="009F534D">
        <w:rPr>
          <w:b/>
          <w:lang w:val="en-GB"/>
        </w:rPr>
        <w:t xml:space="preserve">to Prague have residence on territories of the districts of </w:t>
      </w:r>
      <w:proofErr w:type="spellStart"/>
      <w:r w:rsidRPr="009F534D">
        <w:rPr>
          <w:b/>
          <w:lang w:val="en-GB"/>
        </w:rPr>
        <w:t>Praha-východ</w:t>
      </w:r>
      <w:proofErr w:type="spellEnd"/>
      <w:r w:rsidRPr="009F534D">
        <w:rPr>
          <w:b/>
          <w:lang w:val="en-GB"/>
        </w:rPr>
        <w:t xml:space="preserve">, </w:t>
      </w:r>
      <w:proofErr w:type="spellStart"/>
      <w:r w:rsidRPr="009F534D">
        <w:rPr>
          <w:b/>
          <w:lang w:val="en-GB"/>
        </w:rPr>
        <w:t>Praha-z</w:t>
      </w:r>
      <w:r w:rsidR="00064321" w:rsidRPr="009F534D">
        <w:rPr>
          <w:b/>
          <w:lang w:val="en-GB"/>
        </w:rPr>
        <w:t>ápad</w:t>
      </w:r>
      <w:proofErr w:type="spellEnd"/>
      <w:r w:rsidR="00064321" w:rsidRPr="009F534D">
        <w:rPr>
          <w:b/>
          <w:lang w:val="en-GB"/>
        </w:rPr>
        <w:t>,</w:t>
      </w:r>
      <w:r w:rsidR="000F33C7" w:rsidRPr="009F534D">
        <w:rPr>
          <w:b/>
          <w:lang w:val="en-GB"/>
        </w:rPr>
        <w:t xml:space="preserve"> </w:t>
      </w:r>
      <w:proofErr w:type="spellStart"/>
      <w:r w:rsidR="000F33C7" w:rsidRPr="009F534D">
        <w:rPr>
          <w:b/>
          <w:lang w:val="en-GB"/>
        </w:rPr>
        <w:t>Kladno</w:t>
      </w:r>
      <w:proofErr w:type="spellEnd"/>
      <w:r w:rsidR="00667B2E" w:rsidRPr="009F534D">
        <w:rPr>
          <w:b/>
          <w:lang w:val="en-GB"/>
        </w:rPr>
        <w:t>,</w:t>
      </w:r>
      <w:r w:rsidR="000F33C7" w:rsidRPr="009F534D">
        <w:rPr>
          <w:b/>
          <w:lang w:val="en-GB"/>
        </w:rPr>
        <w:t xml:space="preserve"> a</w:t>
      </w:r>
      <w:r w:rsidR="00667B2E" w:rsidRPr="009F534D">
        <w:rPr>
          <w:b/>
          <w:lang w:val="en-GB"/>
        </w:rPr>
        <w:t>nd</w:t>
      </w:r>
      <w:r w:rsidR="00064321" w:rsidRPr="009F534D">
        <w:rPr>
          <w:b/>
          <w:lang w:val="en-GB"/>
        </w:rPr>
        <w:t xml:space="preserve"> </w:t>
      </w:r>
      <w:proofErr w:type="spellStart"/>
      <w:r w:rsidR="00064321" w:rsidRPr="009F534D">
        <w:rPr>
          <w:b/>
          <w:lang w:val="en-GB"/>
        </w:rPr>
        <w:t>Mělník</w:t>
      </w:r>
      <w:proofErr w:type="spellEnd"/>
      <w:r w:rsidR="00064321" w:rsidRPr="009F534D">
        <w:rPr>
          <w:lang w:val="en-GB"/>
        </w:rPr>
        <w:t>.</w:t>
      </w:r>
    </w:p>
    <w:p w:rsidR="00F066D8" w:rsidRPr="009F534D" w:rsidRDefault="00F066D8" w:rsidP="005E5054">
      <w:pPr>
        <w:rPr>
          <w:lang w:val="en-GB"/>
        </w:rPr>
      </w:pPr>
    </w:p>
    <w:p w:rsidR="00FE6BF3" w:rsidRPr="009F534D" w:rsidRDefault="00C46F7E" w:rsidP="005E5054">
      <w:pPr>
        <w:rPr>
          <w:lang w:val="en-GB"/>
        </w:rPr>
      </w:pPr>
      <w:r w:rsidRPr="009F534D">
        <w:rPr>
          <w:lang w:val="en-GB"/>
        </w:rPr>
        <w:lastRenderedPageBreak/>
        <w:t>It follows from the survey results that this type of movement for work is substantially used by higher education graduates of younger productive age</w:t>
      </w:r>
      <w:r w:rsidR="00F066D8" w:rsidRPr="009F534D">
        <w:rPr>
          <w:lang w:val="en-GB"/>
        </w:rPr>
        <w:t xml:space="preserve">, </w:t>
      </w:r>
      <w:r w:rsidRPr="009F534D">
        <w:rPr>
          <w:lang w:val="en-GB"/>
        </w:rPr>
        <w:t xml:space="preserve">who work mostly in the tertiary sector. This holds especially for the group of working persons who commute </w:t>
      </w:r>
      <w:r w:rsidR="00E511CF">
        <w:rPr>
          <w:lang w:val="en-GB"/>
        </w:rPr>
        <w:t>in</w:t>
      </w:r>
      <w:r w:rsidRPr="009F534D">
        <w:rPr>
          <w:lang w:val="en-GB"/>
        </w:rPr>
        <w:t xml:space="preserve">to Prague from municipalities of the </w:t>
      </w:r>
      <w:proofErr w:type="spellStart"/>
      <w:r w:rsidR="00F066D8" w:rsidRPr="009F534D">
        <w:rPr>
          <w:lang w:val="en-GB"/>
        </w:rPr>
        <w:t>Středočesk</w:t>
      </w:r>
      <w:r w:rsidRPr="009F534D">
        <w:rPr>
          <w:lang w:val="en-GB"/>
        </w:rPr>
        <w:t>ý</w:t>
      </w:r>
      <w:proofErr w:type="spellEnd"/>
      <w:r w:rsidRPr="009F534D">
        <w:rPr>
          <w:lang w:val="en-GB"/>
        </w:rPr>
        <w:t xml:space="preserve"> Region</w:t>
      </w:r>
      <w:r w:rsidR="00F066D8" w:rsidRPr="009F534D">
        <w:rPr>
          <w:lang w:val="en-GB"/>
        </w:rPr>
        <w:t xml:space="preserve">. </w:t>
      </w:r>
      <w:r w:rsidRPr="009F534D">
        <w:rPr>
          <w:lang w:val="en-GB"/>
        </w:rPr>
        <w:t xml:space="preserve">A vast majority of these commuters </w:t>
      </w:r>
      <w:r w:rsidR="00F066D8" w:rsidRPr="009F534D">
        <w:rPr>
          <w:lang w:val="en-GB"/>
        </w:rPr>
        <w:t xml:space="preserve">(85%) </w:t>
      </w:r>
      <w:r w:rsidRPr="009F534D">
        <w:rPr>
          <w:lang w:val="en-GB"/>
        </w:rPr>
        <w:t>works in services</w:t>
      </w:r>
      <w:r w:rsidR="00F066D8" w:rsidRPr="009F534D">
        <w:rPr>
          <w:lang w:val="en-GB"/>
        </w:rPr>
        <w:t xml:space="preserve">, </w:t>
      </w:r>
      <w:r w:rsidRPr="009F534D">
        <w:rPr>
          <w:lang w:val="en-GB"/>
        </w:rPr>
        <w:t>because jobs in the secondary sector are scarce in the Capital City</w:t>
      </w:r>
      <w:r w:rsidR="00F066D8" w:rsidRPr="009F534D">
        <w:rPr>
          <w:lang w:val="en-GB"/>
        </w:rPr>
        <w:t>.</w:t>
      </w:r>
      <w:r w:rsidR="0047377E" w:rsidRPr="009F534D">
        <w:rPr>
          <w:lang w:val="en-GB"/>
        </w:rPr>
        <w:t xml:space="preserve"> </w:t>
      </w:r>
      <w:r w:rsidRPr="009F534D">
        <w:rPr>
          <w:lang w:val="en-GB"/>
        </w:rPr>
        <w:t>On the contrary, in the group of inter</w:t>
      </w:r>
      <w:r w:rsidR="00E511CF">
        <w:rPr>
          <w:lang w:val="en-GB"/>
        </w:rPr>
        <w:t>-</w:t>
      </w:r>
      <w:r w:rsidRPr="009F534D">
        <w:rPr>
          <w:lang w:val="en-GB"/>
        </w:rPr>
        <w:t xml:space="preserve">regional commuters in other directions the share of manufacturing and construction was substantially higher </w:t>
      </w:r>
      <w:r w:rsidR="0047377E" w:rsidRPr="009F534D">
        <w:rPr>
          <w:lang w:val="en-GB"/>
        </w:rPr>
        <w:t xml:space="preserve">- </w:t>
      </w:r>
      <w:r w:rsidRPr="009F534D">
        <w:rPr>
          <w:lang w:val="en-GB"/>
        </w:rPr>
        <w:t>almost</w:t>
      </w:r>
      <w:r w:rsidR="0047377E" w:rsidRPr="009F534D">
        <w:rPr>
          <w:lang w:val="en-GB"/>
        </w:rPr>
        <w:t xml:space="preserve"> 40%.</w:t>
      </w:r>
      <w:r w:rsidR="00F066D8" w:rsidRPr="009F534D">
        <w:rPr>
          <w:lang w:val="en-GB"/>
        </w:rPr>
        <w:t xml:space="preserve"> </w:t>
      </w:r>
      <w:r w:rsidRPr="009F534D">
        <w:rPr>
          <w:lang w:val="en-GB"/>
        </w:rPr>
        <w:t xml:space="preserve">The specific feature of the group of commuters </w:t>
      </w:r>
      <w:r w:rsidR="00E511CF">
        <w:rPr>
          <w:lang w:val="en-GB"/>
        </w:rPr>
        <w:t>in</w:t>
      </w:r>
      <w:r w:rsidRPr="009F534D">
        <w:rPr>
          <w:lang w:val="en-GB"/>
        </w:rPr>
        <w:t xml:space="preserve">to the </w:t>
      </w:r>
      <w:r w:rsidR="00E511CF" w:rsidRPr="009F534D">
        <w:rPr>
          <w:lang w:val="en-GB"/>
        </w:rPr>
        <w:t xml:space="preserve">Capital City </w:t>
      </w:r>
      <w:r w:rsidRPr="009F534D">
        <w:rPr>
          <w:lang w:val="en-GB"/>
        </w:rPr>
        <w:t xml:space="preserve">from municipalities of the </w:t>
      </w:r>
      <w:proofErr w:type="spellStart"/>
      <w:r w:rsidR="00A57CE4" w:rsidRPr="009F534D">
        <w:rPr>
          <w:lang w:val="en-GB"/>
        </w:rPr>
        <w:t>Středočesk</w:t>
      </w:r>
      <w:r w:rsidRPr="009F534D">
        <w:rPr>
          <w:lang w:val="en-GB"/>
        </w:rPr>
        <w:t>ý</w:t>
      </w:r>
      <w:proofErr w:type="spellEnd"/>
      <w:r w:rsidRPr="009F534D">
        <w:rPr>
          <w:lang w:val="en-GB"/>
        </w:rPr>
        <w:t xml:space="preserve"> Region is confirmed also by the fact that three quarters of them are classified as managers, professionals, </w:t>
      </w:r>
      <w:r w:rsidR="00FC4485" w:rsidRPr="009F534D">
        <w:rPr>
          <w:lang w:val="en-GB"/>
        </w:rPr>
        <w:t>technicians and associate professionals,</w:t>
      </w:r>
      <w:r w:rsidR="00F066D8" w:rsidRPr="009F534D">
        <w:rPr>
          <w:lang w:val="en-GB"/>
        </w:rPr>
        <w:t xml:space="preserve"> o</w:t>
      </w:r>
      <w:r w:rsidR="00FC4485" w:rsidRPr="009F534D">
        <w:rPr>
          <w:lang w:val="en-GB"/>
        </w:rPr>
        <w:t>r as clerical support workers</w:t>
      </w:r>
      <w:r w:rsidR="00F066D8" w:rsidRPr="009F534D">
        <w:rPr>
          <w:lang w:val="en-GB"/>
        </w:rPr>
        <w:t xml:space="preserve">. </w:t>
      </w:r>
      <w:r w:rsidR="00FC4485" w:rsidRPr="009F534D">
        <w:rPr>
          <w:lang w:val="en-GB"/>
        </w:rPr>
        <w:t xml:space="preserve">Almost </w:t>
      </w:r>
      <w:r w:rsidR="00FE6BF3" w:rsidRPr="009F534D">
        <w:rPr>
          <w:lang w:val="en-GB"/>
        </w:rPr>
        <w:t xml:space="preserve">38% </w:t>
      </w:r>
      <w:r w:rsidR="00FC4485" w:rsidRPr="009F534D">
        <w:rPr>
          <w:lang w:val="en-GB"/>
        </w:rPr>
        <w:t>of these respondents ha</w:t>
      </w:r>
      <w:r w:rsidR="00E511CF">
        <w:rPr>
          <w:lang w:val="en-GB"/>
        </w:rPr>
        <w:t>ve</w:t>
      </w:r>
      <w:r w:rsidR="00FC4485" w:rsidRPr="009F534D">
        <w:rPr>
          <w:lang w:val="en-GB"/>
        </w:rPr>
        <w:t xml:space="preserve"> completed higher education</w:t>
      </w:r>
      <w:r w:rsidR="00FE6BF3" w:rsidRPr="009F534D">
        <w:rPr>
          <w:lang w:val="en-GB"/>
        </w:rPr>
        <w:t>.</w:t>
      </w:r>
      <w:r w:rsidR="00191400" w:rsidRPr="009F534D">
        <w:rPr>
          <w:lang w:val="en-GB"/>
        </w:rPr>
        <w:t xml:space="preserve"> </w:t>
      </w:r>
      <w:r w:rsidR="00FC4485" w:rsidRPr="009F534D">
        <w:rPr>
          <w:lang w:val="en-GB"/>
        </w:rPr>
        <w:t>Differences compared to the group of working persons commuting in other directions of inter</w:t>
      </w:r>
      <w:r w:rsidR="00E511CF">
        <w:rPr>
          <w:lang w:val="en-GB"/>
        </w:rPr>
        <w:t>-</w:t>
      </w:r>
      <w:r w:rsidR="00FC4485" w:rsidRPr="009F534D">
        <w:rPr>
          <w:lang w:val="en-GB"/>
        </w:rPr>
        <w:t>regional commuting can be seen in table below</w:t>
      </w:r>
      <w:r w:rsidR="00191400" w:rsidRPr="009F534D">
        <w:rPr>
          <w:lang w:val="en-GB"/>
        </w:rPr>
        <w:t>.</w:t>
      </w:r>
      <w:r w:rsidR="000E083E" w:rsidRPr="009F534D">
        <w:rPr>
          <w:lang w:val="en-GB"/>
        </w:rPr>
        <w:t xml:space="preserve"> </w:t>
      </w:r>
      <w:r w:rsidR="00FC4485" w:rsidRPr="009F534D">
        <w:rPr>
          <w:lang w:val="en-GB"/>
        </w:rPr>
        <w:t xml:space="preserve">The difference from the structure of all working persons in the Czech Republic can be obtained by comparing data from table on page </w:t>
      </w:r>
      <w:r w:rsidR="000E083E" w:rsidRPr="009F534D">
        <w:rPr>
          <w:lang w:val="en-GB"/>
        </w:rPr>
        <w:t>4</w:t>
      </w:r>
      <w:r w:rsidR="00705610" w:rsidRPr="009F534D">
        <w:rPr>
          <w:lang w:val="en-GB"/>
        </w:rPr>
        <w:t xml:space="preserve"> a</w:t>
      </w:r>
      <w:r w:rsidR="00FC4485" w:rsidRPr="009F534D">
        <w:rPr>
          <w:lang w:val="en-GB"/>
        </w:rPr>
        <w:t xml:space="preserve">nd </w:t>
      </w:r>
      <w:r w:rsidR="00705610" w:rsidRPr="009F534D">
        <w:rPr>
          <w:lang w:val="en-GB"/>
        </w:rPr>
        <w:t>gra</w:t>
      </w:r>
      <w:r w:rsidR="00FC4485" w:rsidRPr="009F534D">
        <w:rPr>
          <w:lang w:val="en-GB"/>
        </w:rPr>
        <w:t xml:space="preserve">ph on page </w:t>
      </w:r>
      <w:r w:rsidR="00705610" w:rsidRPr="009F534D">
        <w:rPr>
          <w:lang w:val="en-GB"/>
        </w:rPr>
        <w:t>5</w:t>
      </w:r>
      <w:r w:rsidR="000E083E" w:rsidRPr="009F534D">
        <w:rPr>
          <w:lang w:val="en-GB"/>
        </w:rPr>
        <w:t>.</w:t>
      </w:r>
    </w:p>
    <w:p w:rsidR="00191400" w:rsidRPr="009F534D" w:rsidRDefault="00191400" w:rsidP="005E5054">
      <w:pPr>
        <w:rPr>
          <w:lang w:val="en-GB"/>
        </w:rPr>
      </w:pPr>
    </w:p>
    <w:tbl>
      <w:tblPr>
        <w:tblW w:w="8588" w:type="dxa"/>
        <w:jc w:val="center"/>
        <w:tblInd w:w="56" w:type="dxa"/>
        <w:tblLayout w:type="fixed"/>
        <w:tblCellMar>
          <w:left w:w="70" w:type="dxa"/>
          <w:right w:w="70" w:type="dxa"/>
        </w:tblCellMar>
        <w:tblLook w:val="04A0"/>
      </w:tblPr>
      <w:tblGrid>
        <w:gridCol w:w="298"/>
        <w:gridCol w:w="3403"/>
        <w:gridCol w:w="991"/>
        <w:gridCol w:w="1948"/>
        <w:gridCol w:w="37"/>
        <w:gridCol w:w="1911"/>
      </w:tblGrid>
      <w:tr w:rsidR="002A0EEB" w:rsidRPr="009F534D" w:rsidTr="004D586B">
        <w:trPr>
          <w:trHeight w:val="510"/>
          <w:jc w:val="center"/>
        </w:trPr>
        <w:tc>
          <w:tcPr>
            <w:tcW w:w="8588" w:type="dxa"/>
            <w:gridSpan w:val="6"/>
            <w:tcBorders>
              <w:top w:val="nil"/>
              <w:left w:val="nil"/>
              <w:bottom w:val="nil"/>
              <w:right w:val="nil"/>
            </w:tcBorders>
            <w:shd w:val="clear" w:color="auto" w:fill="auto"/>
            <w:vAlign w:val="center"/>
            <w:hideMark/>
          </w:tcPr>
          <w:p w:rsidR="002A0EEB" w:rsidRPr="009F534D" w:rsidRDefault="00E87BBE" w:rsidP="00E511CF">
            <w:pPr>
              <w:spacing w:line="240" w:lineRule="auto"/>
              <w:jc w:val="left"/>
              <w:rPr>
                <w:rFonts w:eastAsia="Times New Roman" w:cs="Arial"/>
                <w:b/>
                <w:bCs/>
                <w:szCs w:val="20"/>
                <w:lang w:val="en-GB" w:eastAsia="cs-CZ"/>
              </w:rPr>
            </w:pPr>
            <w:r w:rsidRPr="009F534D">
              <w:rPr>
                <w:rFonts w:eastAsia="Times New Roman" w:cs="Arial"/>
                <w:b/>
                <w:bCs/>
                <w:szCs w:val="20"/>
                <w:lang w:val="en-GB" w:eastAsia="cs-CZ"/>
              </w:rPr>
              <w:t xml:space="preserve">Comparison </w:t>
            </w:r>
            <w:r w:rsidR="00124C15" w:rsidRPr="009F534D">
              <w:rPr>
                <w:rFonts w:eastAsia="Times New Roman" w:cs="Arial"/>
                <w:b/>
                <w:bCs/>
                <w:szCs w:val="20"/>
                <w:lang w:val="en-GB" w:eastAsia="cs-CZ"/>
              </w:rPr>
              <w:t xml:space="preserve">of structure of respondents commuting </w:t>
            </w:r>
            <w:r w:rsidR="00E511CF">
              <w:rPr>
                <w:rFonts w:eastAsia="Times New Roman" w:cs="Arial"/>
                <w:b/>
                <w:bCs/>
                <w:szCs w:val="20"/>
                <w:lang w:val="en-GB" w:eastAsia="cs-CZ"/>
              </w:rPr>
              <w:t>in</w:t>
            </w:r>
            <w:r w:rsidR="00E511CF" w:rsidRPr="009F534D">
              <w:rPr>
                <w:rFonts w:eastAsia="Times New Roman" w:cs="Arial"/>
                <w:b/>
                <w:bCs/>
                <w:szCs w:val="20"/>
                <w:lang w:val="en-GB" w:eastAsia="cs-CZ"/>
              </w:rPr>
              <w:t xml:space="preserve">to Prague </w:t>
            </w:r>
            <w:r w:rsidR="00124C15" w:rsidRPr="009F534D">
              <w:rPr>
                <w:rFonts w:eastAsia="Times New Roman" w:cs="Arial"/>
                <w:b/>
                <w:bCs/>
                <w:szCs w:val="20"/>
                <w:lang w:val="en-GB" w:eastAsia="cs-CZ"/>
              </w:rPr>
              <w:t>from th</w:t>
            </w:r>
            <w:r w:rsidR="0055672C" w:rsidRPr="009F534D">
              <w:rPr>
                <w:rFonts w:eastAsia="Times New Roman" w:cs="Arial"/>
                <w:b/>
                <w:bCs/>
                <w:szCs w:val="20"/>
                <w:lang w:val="en-GB" w:eastAsia="cs-CZ"/>
              </w:rPr>
              <w:t xml:space="preserve">e </w:t>
            </w:r>
            <w:proofErr w:type="spellStart"/>
            <w:r w:rsidR="0055672C" w:rsidRPr="009F534D">
              <w:rPr>
                <w:rFonts w:eastAsia="Times New Roman" w:cs="Arial"/>
                <w:b/>
                <w:bCs/>
                <w:szCs w:val="20"/>
                <w:lang w:val="en-GB" w:eastAsia="cs-CZ"/>
              </w:rPr>
              <w:t>Středočesk</w:t>
            </w:r>
            <w:r w:rsidR="00124C15" w:rsidRPr="009F534D">
              <w:rPr>
                <w:rFonts w:eastAsia="Times New Roman" w:cs="Arial"/>
                <w:b/>
                <w:bCs/>
                <w:szCs w:val="20"/>
                <w:lang w:val="en-GB" w:eastAsia="cs-CZ"/>
              </w:rPr>
              <w:t>ý</w:t>
            </w:r>
            <w:proofErr w:type="spellEnd"/>
            <w:r w:rsidR="00124C15" w:rsidRPr="009F534D">
              <w:rPr>
                <w:rFonts w:eastAsia="Times New Roman" w:cs="Arial"/>
                <w:b/>
                <w:bCs/>
                <w:szCs w:val="20"/>
                <w:lang w:val="en-GB" w:eastAsia="cs-CZ"/>
              </w:rPr>
              <w:t xml:space="preserve"> Region </w:t>
            </w:r>
            <w:r w:rsidR="00E511CF">
              <w:rPr>
                <w:rFonts w:eastAsia="Times New Roman" w:cs="Arial"/>
                <w:b/>
                <w:bCs/>
                <w:szCs w:val="20"/>
                <w:lang w:val="en-GB" w:eastAsia="cs-CZ"/>
              </w:rPr>
              <w:t>for</w:t>
            </w:r>
            <w:r w:rsidR="00E511CF" w:rsidRPr="009F534D">
              <w:rPr>
                <w:rFonts w:eastAsia="Times New Roman" w:cs="Arial"/>
                <w:b/>
                <w:bCs/>
                <w:szCs w:val="20"/>
                <w:lang w:val="en-GB" w:eastAsia="cs-CZ"/>
              </w:rPr>
              <w:t xml:space="preserve"> work </w:t>
            </w:r>
            <w:r w:rsidR="00124C15" w:rsidRPr="009F534D">
              <w:rPr>
                <w:rFonts w:eastAsia="Times New Roman" w:cs="Arial"/>
                <w:b/>
                <w:bCs/>
                <w:szCs w:val="20"/>
                <w:lang w:val="en-GB" w:eastAsia="cs-CZ"/>
              </w:rPr>
              <w:t xml:space="preserve">and </w:t>
            </w:r>
            <w:r w:rsidR="00E511CF">
              <w:rPr>
                <w:rFonts w:eastAsia="Times New Roman" w:cs="Arial"/>
                <w:b/>
                <w:bCs/>
                <w:szCs w:val="20"/>
                <w:lang w:val="en-GB" w:eastAsia="cs-CZ"/>
              </w:rPr>
              <w:t xml:space="preserve">structure </w:t>
            </w:r>
            <w:r w:rsidR="00124C15" w:rsidRPr="009F534D">
              <w:rPr>
                <w:rFonts w:eastAsia="Times New Roman" w:cs="Arial"/>
                <w:b/>
                <w:bCs/>
                <w:szCs w:val="20"/>
                <w:lang w:val="en-GB" w:eastAsia="cs-CZ"/>
              </w:rPr>
              <w:t xml:space="preserve">of the </w:t>
            </w:r>
            <w:r w:rsidR="00E511CF">
              <w:rPr>
                <w:rFonts w:eastAsia="Times New Roman" w:cs="Arial"/>
                <w:b/>
                <w:bCs/>
                <w:szCs w:val="20"/>
                <w:lang w:val="en-GB" w:eastAsia="cs-CZ"/>
              </w:rPr>
              <w:t>population</w:t>
            </w:r>
            <w:r w:rsidR="00124C15" w:rsidRPr="009F534D">
              <w:rPr>
                <w:rFonts w:eastAsia="Times New Roman" w:cs="Arial"/>
                <w:b/>
                <w:bCs/>
                <w:szCs w:val="20"/>
                <w:lang w:val="en-GB" w:eastAsia="cs-CZ"/>
              </w:rPr>
              <w:t xml:space="preserve"> o</w:t>
            </w:r>
            <w:r w:rsidR="00E511CF">
              <w:rPr>
                <w:rFonts w:eastAsia="Times New Roman" w:cs="Arial"/>
                <w:b/>
                <w:bCs/>
                <w:szCs w:val="20"/>
                <w:lang w:val="en-GB" w:eastAsia="cs-CZ"/>
              </w:rPr>
              <w:t>f</w:t>
            </w:r>
            <w:r w:rsidR="00124C15" w:rsidRPr="009F534D">
              <w:rPr>
                <w:rFonts w:eastAsia="Times New Roman" w:cs="Arial"/>
                <w:b/>
                <w:bCs/>
                <w:szCs w:val="20"/>
                <w:lang w:val="en-GB" w:eastAsia="cs-CZ"/>
              </w:rPr>
              <w:t xml:space="preserve"> other working persons commuting out of their home regions in </w:t>
            </w:r>
            <w:r w:rsidR="0055672C" w:rsidRPr="009F534D">
              <w:rPr>
                <w:rFonts w:eastAsia="Times New Roman" w:cs="Arial"/>
                <w:b/>
                <w:bCs/>
                <w:szCs w:val="20"/>
                <w:lang w:val="en-GB" w:eastAsia="cs-CZ"/>
              </w:rPr>
              <w:t>2013</w:t>
            </w:r>
          </w:p>
        </w:tc>
      </w:tr>
      <w:tr w:rsidR="002A0EEB" w:rsidRPr="009F534D" w:rsidTr="004D586B">
        <w:trPr>
          <w:trHeight w:val="270"/>
          <w:jc w:val="center"/>
        </w:trPr>
        <w:tc>
          <w:tcPr>
            <w:tcW w:w="298"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991"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1985" w:type="dxa"/>
            <w:gridSpan w:val="2"/>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1911" w:type="dxa"/>
            <w:tcBorders>
              <w:top w:val="nil"/>
              <w:left w:val="nil"/>
              <w:bottom w:val="nil"/>
              <w:right w:val="nil"/>
            </w:tcBorders>
            <w:shd w:val="clear" w:color="auto" w:fill="auto"/>
            <w:noWrap/>
            <w:vAlign w:val="bottom"/>
            <w:hideMark/>
          </w:tcPr>
          <w:p w:rsidR="002A0EEB" w:rsidRPr="009F534D" w:rsidRDefault="00E511CF" w:rsidP="005F426B">
            <w:pPr>
              <w:spacing w:line="240" w:lineRule="auto"/>
              <w:jc w:val="right"/>
              <w:rPr>
                <w:rFonts w:eastAsia="Times New Roman" w:cs="Arial"/>
                <w:sz w:val="16"/>
                <w:szCs w:val="16"/>
                <w:lang w:val="en-GB" w:eastAsia="cs-CZ"/>
              </w:rPr>
            </w:pPr>
            <w:r>
              <w:rPr>
                <w:rFonts w:eastAsia="Times New Roman" w:cs="Arial"/>
                <w:sz w:val="16"/>
                <w:szCs w:val="16"/>
                <w:lang w:val="en-GB" w:eastAsia="cs-CZ"/>
              </w:rPr>
              <w:t>Percentage</w:t>
            </w:r>
          </w:p>
        </w:tc>
      </w:tr>
      <w:tr w:rsidR="002A0EEB" w:rsidRPr="009F534D" w:rsidTr="004D586B">
        <w:trPr>
          <w:trHeight w:val="732"/>
          <w:jc w:val="center"/>
        </w:trPr>
        <w:tc>
          <w:tcPr>
            <w:tcW w:w="4692" w:type="dxa"/>
            <w:gridSpan w:val="3"/>
            <w:tcBorders>
              <w:top w:val="single" w:sz="8" w:space="0" w:color="auto"/>
              <w:left w:val="nil"/>
              <w:bottom w:val="single" w:sz="8" w:space="0" w:color="auto"/>
              <w:right w:val="single" w:sz="4" w:space="0" w:color="auto"/>
            </w:tcBorders>
            <w:shd w:val="clear" w:color="auto" w:fill="auto"/>
            <w:noWrap/>
            <w:vAlign w:val="center"/>
            <w:hideMark/>
          </w:tcPr>
          <w:p w:rsidR="002A0EEB" w:rsidRPr="009F534D" w:rsidRDefault="00751DE1"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Indicator</w:t>
            </w:r>
          </w:p>
        </w:tc>
        <w:tc>
          <w:tcPr>
            <w:tcW w:w="1948" w:type="dxa"/>
            <w:tcBorders>
              <w:top w:val="single" w:sz="8" w:space="0" w:color="auto"/>
              <w:left w:val="nil"/>
              <w:bottom w:val="single" w:sz="8" w:space="0" w:color="auto"/>
              <w:right w:val="single" w:sz="4" w:space="0" w:color="auto"/>
            </w:tcBorders>
            <w:shd w:val="clear" w:color="auto" w:fill="auto"/>
            <w:vAlign w:val="center"/>
            <w:hideMark/>
          </w:tcPr>
          <w:p w:rsidR="002A0EEB" w:rsidRPr="009F534D" w:rsidRDefault="00751DE1" w:rsidP="00E511CF">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Commuting </w:t>
            </w:r>
            <w:r w:rsidR="00E511CF">
              <w:rPr>
                <w:rFonts w:eastAsia="Times New Roman" w:cs="Arial"/>
                <w:sz w:val="16"/>
                <w:szCs w:val="16"/>
                <w:lang w:val="en-GB" w:eastAsia="cs-CZ"/>
              </w:rPr>
              <w:t>in</w:t>
            </w:r>
            <w:r w:rsidR="00E511CF" w:rsidRPr="009F534D">
              <w:rPr>
                <w:rFonts w:eastAsia="Times New Roman" w:cs="Arial"/>
                <w:sz w:val="16"/>
                <w:szCs w:val="16"/>
                <w:lang w:val="en-GB" w:eastAsia="cs-CZ"/>
              </w:rPr>
              <w:t xml:space="preserve">to Prague </w:t>
            </w:r>
            <w:r w:rsidR="00E87BBE" w:rsidRPr="009F534D">
              <w:rPr>
                <w:rFonts w:eastAsia="Times New Roman" w:cs="Arial"/>
                <w:sz w:val="16"/>
                <w:szCs w:val="16"/>
                <w:lang w:val="en-GB" w:eastAsia="cs-CZ"/>
              </w:rPr>
              <w:t xml:space="preserve">from the </w:t>
            </w:r>
            <w:proofErr w:type="spellStart"/>
            <w:r w:rsidR="0055672C" w:rsidRPr="009F534D">
              <w:rPr>
                <w:rFonts w:eastAsia="Times New Roman" w:cs="Arial"/>
                <w:sz w:val="16"/>
                <w:szCs w:val="16"/>
                <w:lang w:val="en-GB" w:eastAsia="cs-CZ"/>
              </w:rPr>
              <w:t>Středočesk</w:t>
            </w:r>
            <w:r w:rsidR="00E87BBE" w:rsidRPr="009F534D">
              <w:rPr>
                <w:rFonts w:eastAsia="Times New Roman" w:cs="Arial"/>
                <w:sz w:val="16"/>
                <w:szCs w:val="16"/>
                <w:lang w:val="en-GB" w:eastAsia="cs-CZ"/>
              </w:rPr>
              <w:t>ý</w:t>
            </w:r>
            <w:proofErr w:type="spellEnd"/>
            <w:r w:rsidR="00E87BBE" w:rsidRPr="009F534D">
              <w:rPr>
                <w:rFonts w:eastAsia="Times New Roman" w:cs="Arial"/>
                <w:sz w:val="16"/>
                <w:szCs w:val="16"/>
                <w:lang w:val="en-GB" w:eastAsia="cs-CZ"/>
              </w:rPr>
              <w:t xml:space="preserve"> Region </w:t>
            </w:r>
            <w:r w:rsidR="00E511CF">
              <w:rPr>
                <w:rFonts w:eastAsia="Times New Roman" w:cs="Arial"/>
                <w:sz w:val="16"/>
                <w:szCs w:val="16"/>
                <w:lang w:val="en-GB" w:eastAsia="cs-CZ"/>
              </w:rPr>
              <w:t>for</w:t>
            </w:r>
            <w:r w:rsidR="00E511CF" w:rsidRPr="009F534D">
              <w:rPr>
                <w:rFonts w:eastAsia="Times New Roman" w:cs="Arial"/>
                <w:sz w:val="16"/>
                <w:szCs w:val="16"/>
                <w:lang w:val="en-GB" w:eastAsia="cs-CZ"/>
              </w:rPr>
              <w:t xml:space="preserve"> work</w:t>
            </w:r>
          </w:p>
        </w:tc>
        <w:tc>
          <w:tcPr>
            <w:tcW w:w="1948" w:type="dxa"/>
            <w:gridSpan w:val="2"/>
            <w:tcBorders>
              <w:top w:val="single" w:sz="8" w:space="0" w:color="auto"/>
              <w:left w:val="nil"/>
              <w:bottom w:val="single" w:sz="8" w:space="0" w:color="auto"/>
              <w:right w:val="nil"/>
            </w:tcBorders>
            <w:shd w:val="clear" w:color="auto" w:fill="auto"/>
            <w:vAlign w:val="center"/>
            <w:hideMark/>
          </w:tcPr>
          <w:p w:rsidR="002A0EEB" w:rsidRPr="009F534D" w:rsidRDefault="0055672C" w:rsidP="00E511CF">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Ot</w:t>
            </w:r>
            <w:r w:rsidR="00E87BBE" w:rsidRPr="009F534D">
              <w:rPr>
                <w:rFonts w:eastAsia="Times New Roman" w:cs="Arial"/>
                <w:sz w:val="16"/>
                <w:szCs w:val="16"/>
                <w:lang w:val="en-GB" w:eastAsia="cs-CZ"/>
              </w:rPr>
              <w:t>her working person</w:t>
            </w:r>
            <w:r w:rsidR="00E511CF">
              <w:rPr>
                <w:rFonts w:eastAsia="Times New Roman" w:cs="Arial"/>
                <w:sz w:val="16"/>
                <w:szCs w:val="16"/>
                <w:lang w:val="en-GB" w:eastAsia="cs-CZ"/>
              </w:rPr>
              <w:t>s</w:t>
            </w:r>
            <w:r w:rsidR="00E87BBE" w:rsidRPr="009F534D">
              <w:rPr>
                <w:rFonts w:eastAsia="Times New Roman" w:cs="Arial"/>
                <w:sz w:val="16"/>
                <w:szCs w:val="16"/>
                <w:lang w:val="en-GB" w:eastAsia="cs-CZ"/>
              </w:rPr>
              <w:t xml:space="preserve"> commuting across their home region borders </w:t>
            </w:r>
            <w:r w:rsidR="00E511CF">
              <w:rPr>
                <w:rFonts w:eastAsia="Times New Roman" w:cs="Arial"/>
                <w:sz w:val="16"/>
                <w:szCs w:val="16"/>
                <w:lang w:val="en-GB" w:eastAsia="cs-CZ"/>
              </w:rPr>
              <w:t>for</w:t>
            </w:r>
            <w:r w:rsidR="00E87BBE" w:rsidRPr="009F534D">
              <w:rPr>
                <w:rFonts w:eastAsia="Times New Roman" w:cs="Arial"/>
                <w:sz w:val="16"/>
                <w:szCs w:val="16"/>
                <w:lang w:val="en-GB" w:eastAsia="cs-CZ"/>
              </w:rPr>
              <w:t xml:space="preserve"> work </w:t>
            </w:r>
          </w:p>
        </w:tc>
      </w:tr>
      <w:tr w:rsidR="002A0EEB" w:rsidRPr="009F534D" w:rsidTr="004D586B">
        <w:trPr>
          <w:trHeight w:val="260"/>
          <w:jc w:val="center"/>
        </w:trPr>
        <w:tc>
          <w:tcPr>
            <w:tcW w:w="4692" w:type="dxa"/>
            <w:gridSpan w:val="3"/>
            <w:tcBorders>
              <w:top w:val="nil"/>
              <w:left w:val="nil"/>
              <w:bottom w:val="nil"/>
              <w:right w:val="single" w:sz="4" w:space="0" w:color="auto"/>
            </w:tcBorders>
            <w:shd w:val="clear" w:color="auto" w:fill="auto"/>
            <w:noWrap/>
            <w:vAlign w:val="bottom"/>
            <w:hideMark/>
          </w:tcPr>
          <w:p w:rsidR="002A0EEB" w:rsidRPr="009F534D" w:rsidRDefault="00E871B0"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Total</w:t>
            </w:r>
            <w:r w:rsidR="002A0EEB" w:rsidRPr="009F534D">
              <w:rPr>
                <w:rFonts w:eastAsia="Times New Roman" w:cs="Arial"/>
                <w:sz w:val="16"/>
                <w:szCs w:val="16"/>
                <w:lang w:val="en-GB" w:eastAsia="cs-CZ"/>
              </w:rPr>
              <w:t xml:space="preserve"> </w:t>
            </w:r>
          </w:p>
        </w:tc>
        <w:tc>
          <w:tcPr>
            <w:tcW w:w="1948" w:type="dxa"/>
            <w:tcBorders>
              <w:top w:val="nil"/>
              <w:left w:val="nil"/>
              <w:bottom w:val="nil"/>
              <w:right w:val="single" w:sz="4" w:space="0" w:color="auto"/>
            </w:tcBorders>
            <w:shd w:val="clear" w:color="auto" w:fill="auto"/>
            <w:noWrap/>
            <w:vAlign w:val="bottom"/>
            <w:hideMark/>
          </w:tcPr>
          <w:p w:rsidR="002A0EEB" w:rsidRPr="009F534D" w:rsidRDefault="002A0EEB" w:rsidP="005F426B">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100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c>
          <w:tcPr>
            <w:tcW w:w="1948" w:type="dxa"/>
            <w:gridSpan w:val="2"/>
            <w:tcBorders>
              <w:top w:val="nil"/>
              <w:left w:val="nil"/>
              <w:bottom w:val="nil"/>
              <w:right w:val="nil"/>
            </w:tcBorders>
            <w:shd w:val="clear" w:color="auto" w:fill="auto"/>
            <w:noWrap/>
            <w:vAlign w:val="bottom"/>
            <w:hideMark/>
          </w:tcPr>
          <w:p w:rsidR="002A0EEB" w:rsidRPr="009F534D" w:rsidRDefault="002A0EEB" w:rsidP="005F426B">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100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2A0EEB" w:rsidRPr="009F534D" w:rsidTr="004D586B">
        <w:trPr>
          <w:trHeight w:val="227"/>
          <w:jc w:val="center"/>
        </w:trPr>
        <w:tc>
          <w:tcPr>
            <w:tcW w:w="3701" w:type="dxa"/>
            <w:gridSpan w:val="2"/>
            <w:tcBorders>
              <w:top w:val="nil"/>
              <w:left w:val="nil"/>
              <w:bottom w:val="nil"/>
              <w:right w:val="nil"/>
            </w:tcBorders>
            <w:shd w:val="clear" w:color="auto" w:fill="auto"/>
            <w:noWrap/>
            <w:vAlign w:val="bottom"/>
            <w:hideMark/>
          </w:tcPr>
          <w:p w:rsidR="002A0EEB" w:rsidRPr="009F534D" w:rsidRDefault="00E871B0"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Educational attainment</w:t>
            </w:r>
          </w:p>
        </w:tc>
        <w:tc>
          <w:tcPr>
            <w:tcW w:w="991" w:type="dxa"/>
            <w:tcBorders>
              <w:top w:val="nil"/>
              <w:left w:val="nil"/>
              <w:bottom w:val="nil"/>
              <w:right w:val="single" w:sz="4" w:space="0" w:color="auto"/>
            </w:tcBorders>
            <w:shd w:val="clear" w:color="auto" w:fill="auto"/>
            <w:noWrap/>
            <w:vAlign w:val="bottom"/>
            <w:hideMark/>
          </w:tcPr>
          <w:p w:rsidR="002A0EEB" w:rsidRPr="009F534D" w:rsidRDefault="002A0EEB"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tcBorders>
              <w:top w:val="nil"/>
              <w:left w:val="nil"/>
              <w:bottom w:val="nil"/>
              <w:right w:val="single" w:sz="4" w:space="0" w:color="auto"/>
            </w:tcBorders>
            <w:shd w:val="clear" w:color="auto" w:fill="auto"/>
            <w:noWrap/>
            <w:vAlign w:val="bottom"/>
            <w:hideMark/>
          </w:tcPr>
          <w:p w:rsidR="002A0EEB" w:rsidRPr="009F534D" w:rsidRDefault="002A0EEB"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gridSpan w:val="2"/>
            <w:tcBorders>
              <w:top w:val="nil"/>
              <w:left w:val="nil"/>
              <w:bottom w:val="nil"/>
              <w:right w:val="nil"/>
            </w:tcBorders>
            <w:shd w:val="clear" w:color="auto" w:fill="auto"/>
            <w:noWrap/>
            <w:vAlign w:val="bottom"/>
            <w:hideMark/>
          </w:tcPr>
          <w:p w:rsidR="002A0EEB" w:rsidRPr="009F534D" w:rsidRDefault="002A0EEB" w:rsidP="005F426B">
            <w:pPr>
              <w:spacing w:line="240" w:lineRule="auto"/>
              <w:jc w:val="right"/>
              <w:rPr>
                <w:rFonts w:eastAsia="Times New Roman" w:cs="Arial"/>
                <w:sz w:val="16"/>
                <w:szCs w:val="16"/>
                <w:lang w:val="en-GB" w:eastAsia="cs-CZ"/>
              </w:rPr>
            </w:pP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ISCED 0-2</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w:t>
            </w:r>
            <w:r w:rsidR="00E871B0" w:rsidRPr="009F534D">
              <w:rPr>
                <w:rFonts w:cs="Arial"/>
                <w:sz w:val="16"/>
                <w:szCs w:val="16"/>
                <w:lang w:val="en-GB"/>
              </w:rPr>
              <w:t>.</w:t>
            </w:r>
            <w:r w:rsidRPr="009F534D">
              <w:rPr>
                <w:rFonts w:cs="Arial"/>
                <w:sz w:val="16"/>
                <w:szCs w:val="16"/>
                <w:lang w:val="en-GB"/>
              </w:rPr>
              <w:t xml:space="preserve">4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4</w:t>
            </w:r>
            <w:r w:rsidR="00E871B0" w:rsidRPr="009F534D">
              <w:rPr>
                <w:rFonts w:cs="Arial"/>
                <w:sz w:val="16"/>
                <w:szCs w:val="16"/>
                <w:lang w:val="en-GB"/>
              </w:rPr>
              <w:t>.</w:t>
            </w:r>
            <w:r w:rsidRPr="009F534D">
              <w:rPr>
                <w:rFonts w:cs="Arial"/>
                <w:sz w:val="16"/>
                <w:szCs w:val="16"/>
                <w:lang w:val="en-GB"/>
              </w:rPr>
              <w:t xml:space="preserve">3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ISCED 3-4</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61</w:t>
            </w:r>
            <w:r w:rsidR="00E871B0" w:rsidRPr="009F534D">
              <w:rPr>
                <w:rFonts w:cs="Arial"/>
                <w:sz w:val="16"/>
                <w:szCs w:val="16"/>
                <w:lang w:val="en-GB"/>
              </w:rPr>
              <w:t>.</w:t>
            </w:r>
            <w:r w:rsidRPr="009F534D">
              <w:rPr>
                <w:rFonts w:cs="Arial"/>
                <w:sz w:val="16"/>
                <w:szCs w:val="16"/>
                <w:lang w:val="en-GB"/>
              </w:rPr>
              <w:t xml:space="preserve">0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63</w:t>
            </w:r>
            <w:r w:rsidR="00E871B0" w:rsidRPr="009F534D">
              <w:rPr>
                <w:rFonts w:cs="Arial"/>
                <w:sz w:val="16"/>
                <w:szCs w:val="16"/>
                <w:lang w:val="en-GB"/>
              </w:rPr>
              <w:t>.</w:t>
            </w:r>
            <w:r w:rsidRPr="009F534D">
              <w:rPr>
                <w:rFonts w:cs="Arial"/>
                <w:sz w:val="16"/>
                <w:szCs w:val="16"/>
                <w:lang w:val="en-GB"/>
              </w:rPr>
              <w:t xml:space="preserve">0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ISCED 5-6</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37</w:t>
            </w:r>
            <w:r w:rsidR="00E871B0" w:rsidRPr="009F534D">
              <w:rPr>
                <w:rFonts w:cs="Arial"/>
                <w:sz w:val="16"/>
                <w:szCs w:val="16"/>
                <w:lang w:val="en-GB"/>
              </w:rPr>
              <w:t>.</w:t>
            </w:r>
            <w:r w:rsidRPr="009F534D">
              <w:rPr>
                <w:rFonts w:cs="Arial"/>
                <w:sz w:val="16"/>
                <w:szCs w:val="16"/>
                <w:lang w:val="en-GB"/>
              </w:rPr>
              <w:t xml:space="preserve">6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32</w:t>
            </w:r>
            <w:r w:rsidR="00E871B0" w:rsidRPr="009F534D">
              <w:rPr>
                <w:rFonts w:cs="Arial"/>
                <w:sz w:val="16"/>
                <w:szCs w:val="16"/>
                <w:lang w:val="en-GB"/>
              </w:rPr>
              <w:t>.</w:t>
            </w:r>
            <w:r w:rsidRPr="009F534D">
              <w:rPr>
                <w:rFonts w:cs="Arial"/>
                <w:sz w:val="16"/>
                <w:szCs w:val="16"/>
                <w:lang w:val="en-GB"/>
              </w:rPr>
              <w:t xml:space="preserve">7 </w:t>
            </w:r>
          </w:p>
        </w:tc>
      </w:tr>
      <w:tr w:rsidR="0046392D" w:rsidRPr="009F534D" w:rsidTr="004D586B">
        <w:trPr>
          <w:trHeight w:val="462"/>
          <w:jc w:val="center"/>
        </w:trPr>
        <w:tc>
          <w:tcPr>
            <w:tcW w:w="3701" w:type="dxa"/>
            <w:gridSpan w:val="2"/>
            <w:tcBorders>
              <w:top w:val="nil"/>
              <w:left w:val="nil"/>
              <w:bottom w:val="nil"/>
              <w:right w:val="nil"/>
            </w:tcBorders>
            <w:shd w:val="clear" w:color="auto" w:fill="auto"/>
            <w:noWrap/>
            <w:vAlign w:val="bottom"/>
            <w:hideMark/>
          </w:tcPr>
          <w:p w:rsidR="0046392D" w:rsidRPr="009F534D" w:rsidRDefault="00E871B0"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Jobs by major group</w:t>
            </w:r>
            <w:r w:rsidR="00553929" w:rsidRPr="009F534D">
              <w:rPr>
                <w:rFonts w:eastAsia="Times New Roman" w:cs="Arial"/>
                <w:sz w:val="16"/>
                <w:szCs w:val="16"/>
                <w:lang w:val="en-GB" w:eastAsia="cs-CZ"/>
              </w:rPr>
              <w:t xml:space="preserve"> of</w:t>
            </w:r>
            <w:r w:rsidRPr="009F534D">
              <w:rPr>
                <w:rFonts w:eastAsia="Times New Roman" w:cs="Arial"/>
                <w:sz w:val="16"/>
                <w:szCs w:val="16"/>
                <w:lang w:val="en-GB" w:eastAsia="cs-CZ"/>
              </w:rPr>
              <w:t xml:space="preserve"> the </w:t>
            </w:r>
            <w:r w:rsidR="0046392D" w:rsidRPr="009F534D">
              <w:rPr>
                <w:rFonts w:eastAsia="Times New Roman" w:cs="Arial"/>
                <w:sz w:val="16"/>
                <w:szCs w:val="16"/>
                <w:lang w:val="en-GB" w:eastAsia="cs-CZ"/>
              </w:rPr>
              <w:t>CZ-ISCO:</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rPr>
                <w:rFonts w:cs="Arial"/>
                <w:sz w:val="16"/>
                <w:szCs w:val="16"/>
                <w:lang w:val="en-GB"/>
              </w:rPr>
            </w:pPr>
            <w:r w:rsidRPr="009F534D">
              <w:rPr>
                <w:rFonts w:cs="Arial"/>
                <w:sz w:val="16"/>
                <w:szCs w:val="16"/>
                <w:lang w:val="en-GB"/>
              </w:rPr>
              <w:t>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3C0FF7"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Managers</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1</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10</w:t>
            </w:r>
            <w:r w:rsidR="00E871B0" w:rsidRPr="009F534D">
              <w:rPr>
                <w:rFonts w:cs="Arial"/>
                <w:sz w:val="16"/>
                <w:szCs w:val="16"/>
                <w:lang w:val="en-GB"/>
              </w:rPr>
              <w:t>.</w:t>
            </w:r>
            <w:r w:rsidRPr="009F534D">
              <w:rPr>
                <w:rFonts w:cs="Arial"/>
                <w:sz w:val="16"/>
                <w:szCs w:val="16"/>
                <w:lang w:val="en-GB"/>
              </w:rPr>
              <w:t xml:space="preserve">2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8</w:t>
            </w:r>
            <w:r w:rsidR="00E871B0" w:rsidRPr="009F534D">
              <w:rPr>
                <w:rFonts w:cs="Arial"/>
                <w:sz w:val="16"/>
                <w:szCs w:val="16"/>
                <w:lang w:val="en-GB"/>
              </w:rPr>
              <w:t>.</w:t>
            </w:r>
            <w:r w:rsidRPr="009F534D">
              <w:rPr>
                <w:rFonts w:cs="Arial"/>
                <w:sz w:val="16"/>
                <w:szCs w:val="16"/>
                <w:lang w:val="en-GB"/>
              </w:rPr>
              <w:t xml:space="preserve">0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3C0FF7"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Professionals</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2</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23</w:t>
            </w:r>
            <w:r w:rsidR="00E871B0" w:rsidRPr="009F534D">
              <w:rPr>
                <w:rFonts w:cs="Arial"/>
                <w:sz w:val="16"/>
                <w:szCs w:val="16"/>
                <w:lang w:val="en-GB"/>
              </w:rPr>
              <w:t>.</w:t>
            </w:r>
            <w:r w:rsidRPr="009F534D">
              <w:rPr>
                <w:rFonts w:cs="Arial"/>
                <w:sz w:val="16"/>
                <w:szCs w:val="16"/>
                <w:lang w:val="en-GB"/>
              </w:rPr>
              <w:t xml:space="preserve">0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18</w:t>
            </w:r>
            <w:r w:rsidR="00E871B0" w:rsidRPr="009F534D">
              <w:rPr>
                <w:rFonts w:cs="Arial"/>
                <w:sz w:val="16"/>
                <w:szCs w:val="16"/>
                <w:lang w:val="en-GB"/>
              </w:rPr>
              <w:t>.</w:t>
            </w:r>
            <w:r w:rsidRPr="009F534D">
              <w:rPr>
                <w:rFonts w:cs="Arial"/>
                <w:sz w:val="16"/>
                <w:szCs w:val="16"/>
                <w:lang w:val="en-GB"/>
              </w:rPr>
              <w:t xml:space="preserve">0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3C0FF7"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Technicians and associate professionals</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3</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25</w:t>
            </w:r>
            <w:r w:rsidR="00E871B0" w:rsidRPr="009F534D">
              <w:rPr>
                <w:rFonts w:cs="Arial"/>
                <w:sz w:val="16"/>
                <w:szCs w:val="16"/>
                <w:lang w:val="en-GB"/>
              </w:rPr>
              <w:t>.</w:t>
            </w:r>
            <w:r w:rsidRPr="009F534D">
              <w:rPr>
                <w:rFonts w:cs="Arial"/>
                <w:sz w:val="16"/>
                <w:szCs w:val="16"/>
                <w:lang w:val="en-GB"/>
              </w:rPr>
              <w:t xml:space="preserve">2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20</w:t>
            </w:r>
            <w:r w:rsidR="00E871B0" w:rsidRPr="009F534D">
              <w:rPr>
                <w:rFonts w:cs="Arial"/>
                <w:sz w:val="16"/>
                <w:szCs w:val="16"/>
                <w:lang w:val="en-GB"/>
              </w:rPr>
              <w:t>.</w:t>
            </w:r>
            <w:r w:rsidRPr="009F534D">
              <w:rPr>
                <w:rFonts w:cs="Arial"/>
                <w:sz w:val="16"/>
                <w:szCs w:val="16"/>
                <w:lang w:val="en-GB"/>
              </w:rPr>
              <w:t xml:space="preserve">6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3C0FF7"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Clerical support workers</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4</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15</w:t>
            </w:r>
            <w:r w:rsidR="00E871B0" w:rsidRPr="009F534D">
              <w:rPr>
                <w:rFonts w:cs="Arial"/>
                <w:sz w:val="16"/>
                <w:szCs w:val="16"/>
                <w:lang w:val="en-GB"/>
              </w:rPr>
              <w:t>.</w:t>
            </w:r>
            <w:r w:rsidRPr="009F534D">
              <w:rPr>
                <w:rFonts w:cs="Arial"/>
                <w:sz w:val="16"/>
                <w:szCs w:val="16"/>
                <w:lang w:val="en-GB"/>
              </w:rPr>
              <w:t xml:space="preserve">0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8</w:t>
            </w:r>
            <w:r w:rsidR="00E871B0" w:rsidRPr="009F534D">
              <w:rPr>
                <w:rFonts w:cs="Arial"/>
                <w:sz w:val="16"/>
                <w:szCs w:val="16"/>
                <w:lang w:val="en-GB"/>
              </w:rPr>
              <w:t>.</w:t>
            </w:r>
            <w:r w:rsidRPr="009F534D">
              <w:rPr>
                <w:rFonts w:cs="Arial"/>
                <w:sz w:val="16"/>
                <w:szCs w:val="16"/>
                <w:lang w:val="en-GB"/>
              </w:rPr>
              <w:t xml:space="preserve">2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3C0FF7"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Service and sales workers</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5</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12</w:t>
            </w:r>
            <w:r w:rsidR="00E871B0" w:rsidRPr="009F534D">
              <w:rPr>
                <w:rFonts w:cs="Arial"/>
                <w:sz w:val="16"/>
                <w:szCs w:val="16"/>
                <w:lang w:val="en-GB"/>
              </w:rPr>
              <w:t>.</w:t>
            </w:r>
            <w:r w:rsidRPr="009F534D">
              <w:rPr>
                <w:rFonts w:cs="Arial"/>
                <w:sz w:val="16"/>
                <w:szCs w:val="16"/>
                <w:lang w:val="en-GB"/>
              </w:rPr>
              <w:t xml:space="preserve">1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9</w:t>
            </w:r>
            <w:r w:rsidR="00E871B0" w:rsidRPr="009F534D">
              <w:rPr>
                <w:rFonts w:cs="Arial"/>
                <w:sz w:val="16"/>
                <w:szCs w:val="16"/>
                <w:lang w:val="en-GB"/>
              </w:rPr>
              <w:t>.</w:t>
            </w:r>
            <w:r w:rsidRPr="009F534D">
              <w:rPr>
                <w:rFonts w:cs="Arial"/>
                <w:sz w:val="16"/>
                <w:szCs w:val="16"/>
                <w:lang w:val="en-GB"/>
              </w:rPr>
              <w:t xml:space="preserve">1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3C0FF7"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Craft and related trades workers</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7</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6</w:t>
            </w:r>
            <w:r w:rsidR="00E871B0" w:rsidRPr="009F534D">
              <w:rPr>
                <w:rFonts w:cs="Arial"/>
                <w:sz w:val="16"/>
                <w:szCs w:val="16"/>
                <w:lang w:val="en-GB"/>
              </w:rPr>
              <w:t>.</w:t>
            </w:r>
            <w:r w:rsidRPr="009F534D">
              <w:rPr>
                <w:rFonts w:cs="Arial"/>
                <w:sz w:val="16"/>
                <w:szCs w:val="16"/>
                <w:lang w:val="en-GB"/>
              </w:rPr>
              <w:t xml:space="preserve">4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15</w:t>
            </w:r>
            <w:r w:rsidR="00E871B0" w:rsidRPr="009F534D">
              <w:rPr>
                <w:rFonts w:cs="Arial"/>
                <w:sz w:val="16"/>
                <w:szCs w:val="16"/>
                <w:lang w:val="en-GB"/>
              </w:rPr>
              <w:t>.</w:t>
            </w:r>
            <w:r w:rsidRPr="009F534D">
              <w:rPr>
                <w:rFonts w:cs="Arial"/>
                <w:sz w:val="16"/>
                <w:szCs w:val="16"/>
                <w:lang w:val="en-GB"/>
              </w:rPr>
              <w:t xml:space="preserve">4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3C0FF7"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Plant and machine operators, and assemblers</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8</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4</w:t>
            </w:r>
            <w:r w:rsidR="00E871B0" w:rsidRPr="009F534D">
              <w:rPr>
                <w:rFonts w:cs="Arial"/>
                <w:sz w:val="16"/>
                <w:szCs w:val="16"/>
                <w:lang w:val="en-GB"/>
              </w:rPr>
              <w:t>.</w:t>
            </w:r>
            <w:r w:rsidRPr="009F534D">
              <w:rPr>
                <w:rFonts w:cs="Arial"/>
                <w:sz w:val="16"/>
                <w:szCs w:val="16"/>
                <w:lang w:val="en-GB"/>
              </w:rPr>
              <w:t xml:space="preserve">8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14</w:t>
            </w:r>
            <w:r w:rsidR="00E871B0" w:rsidRPr="009F534D">
              <w:rPr>
                <w:rFonts w:cs="Arial"/>
                <w:sz w:val="16"/>
                <w:szCs w:val="16"/>
                <w:lang w:val="en-GB"/>
              </w:rPr>
              <w:t>.</w:t>
            </w:r>
            <w:r w:rsidRPr="009F534D">
              <w:rPr>
                <w:rFonts w:cs="Arial"/>
                <w:sz w:val="16"/>
                <w:szCs w:val="16"/>
                <w:lang w:val="en-GB"/>
              </w:rPr>
              <w:t xml:space="preserve">8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p>
        </w:tc>
      </w:tr>
      <w:tr w:rsidR="0046392D" w:rsidRPr="009F534D" w:rsidTr="004D586B">
        <w:trPr>
          <w:trHeight w:val="252"/>
          <w:jc w:val="center"/>
        </w:trPr>
        <w:tc>
          <w:tcPr>
            <w:tcW w:w="3701" w:type="dxa"/>
            <w:gridSpan w:val="2"/>
            <w:tcBorders>
              <w:top w:val="nil"/>
              <w:left w:val="nil"/>
              <w:bottom w:val="nil"/>
              <w:right w:val="nil"/>
            </w:tcBorders>
            <w:shd w:val="clear" w:color="auto" w:fill="auto"/>
            <w:noWrap/>
            <w:vAlign w:val="bottom"/>
            <w:hideMark/>
          </w:tcPr>
          <w:p w:rsidR="0046392D" w:rsidRPr="009F534D" w:rsidRDefault="0046392D"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Se</w:t>
            </w:r>
            <w:r w:rsidR="00E871B0" w:rsidRPr="009F534D">
              <w:rPr>
                <w:rFonts w:eastAsia="Times New Roman" w:cs="Arial"/>
                <w:sz w:val="16"/>
                <w:szCs w:val="16"/>
                <w:lang w:val="en-GB" w:eastAsia="cs-CZ"/>
              </w:rPr>
              <w:t>c</w:t>
            </w:r>
            <w:r w:rsidRPr="009F534D">
              <w:rPr>
                <w:rFonts w:eastAsia="Times New Roman" w:cs="Arial"/>
                <w:sz w:val="16"/>
                <w:szCs w:val="16"/>
                <w:lang w:val="en-GB" w:eastAsia="cs-CZ"/>
              </w:rPr>
              <w:t>tor</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rPr>
                <w:rFonts w:cs="Arial"/>
                <w:sz w:val="16"/>
                <w:szCs w:val="16"/>
                <w:lang w:val="en-GB"/>
              </w:rPr>
            </w:pPr>
            <w:r w:rsidRPr="009F534D">
              <w:rPr>
                <w:rFonts w:cs="Arial"/>
                <w:sz w:val="16"/>
                <w:szCs w:val="16"/>
                <w:lang w:val="en-GB"/>
              </w:rPr>
              <w:t>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E871B0"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Primary</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5F426B">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A </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w:t>
            </w:r>
            <w:r w:rsidR="00E871B0" w:rsidRPr="009F534D">
              <w:rPr>
                <w:rFonts w:cs="Arial"/>
                <w:sz w:val="16"/>
                <w:szCs w:val="16"/>
                <w:lang w:val="en-GB"/>
              </w:rPr>
              <w:t>.</w:t>
            </w:r>
            <w:r w:rsidRPr="009F534D">
              <w:rPr>
                <w:rFonts w:cs="Arial"/>
                <w:sz w:val="16"/>
                <w:szCs w:val="16"/>
                <w:lang w:val="en-GB"/>
              </w:rPr>
              <w:t xml:space="preserve">0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w:t>
            </w:r>
            <w:r w:rsidR="00E871B0" w:rsidRPr="009F534D">
              <w:rPr>
                <w:rFonts w:cs="Arial"/>
                <w:sz w:val="16"/>
                <w:szCs w:val="16"/>
                <w:lang w:val="en-GB"/>
              </w:rPr>
              <w:t>.</w:t>
            </w:r>
            <w:r w:rsidRPr="009F534D">
              <w:rPr>
                <w:rFonts w:cs="Arial"/>
                <w:sz w:val="16"/>
                <w:szCs w:val="16"/>
                <w:lang w:val="en-GB"/>
              </w:rPr>
              <w:t xml:space="preserve">1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E871B0"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xml:space="preserve">Secondary </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E871B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B </w:t>
            </w:r>
            <w:r w:rsidR="00E871B0" w:rsidRPr="009F534D">
              <w:rPr>
                <w:rFonts w:eastAsia="Times New Roman" w:cs="Arial"/>
                <w:sz w:val="16"/>
                <w:szCs w:val="16"/>
                <w:lang w:val="en-GB" w:eastAsia="cs-CZ"/>
              </w:rPr>
              <w:t>to</w:t>
            </w:r>
            <w:r w:rsidRPr="009F534D">
              <w:rPr>
                <w:rFonts w:eastAsia="Times New Roman" w:cs="Arial"/>
                <w:sz w:val="16"/>
                <w:szCs w:val="16"/>
                <w:lang w:val="en-GB" w:eastAsia="cs-CZ"/>
              </w:rPr>
              <w:t xml:space="preserve"> F</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14</w:t>
            </w:r>
            <w:r w:rsidR="00E871B0" w:rsidRPr="009F534D">
              <w:rPr>
                <w:rFonts w:cs="Arial"/>
                <w:sz w:val="16"/>
                <w:szCs w:val="16"/>
                <w:lang w:val="en-GB"/>
              </w:rPr>
              <w:t>.</w:t>
            </w:r>
            <w:r w:rsidRPr="009F534D">
              <w:rPr>
                <w:rFonts w:cs="Arial"/>
                <w:sz w:val="16"/>
                <w:szCs w:val="16"/>
                <w:lang w:val="en-GB"/>
              </w:rPr>
              <w:t xml:space="preserve">2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39</w:t>
            </w:r>
            <w:r w:rsidR="00E871B0" w:rsidRPr="009F534D">
              <w:rPr>
                <w:rFonts w:cs="Arial"/>
                <w:sz w:val="16"/>
                <w:szCs w:val="16"/>
                <w:lang w:val="en-GB"/>
              </w:rPr>
              <w:t>.</w:t>
            </w:r>
            <w:r w:rsidRPr="009F534D">
              <w:rPr>
                <w:rFonts w:cs="Arial"/>
                <w:sz w:val="16"/>
                <w:szCs w:val="16"/>
                <w:lang w:val="en-GB"/>
              </w:rPr>
              <w:t xml:space="preserve">8 </w:t>
            </w:r>
          </w:p>
        </w:tc>
      </w:tr>
      <w:tr w:rsidR="0046392D" w:rsidRPr="009F534D" w:rsidTr="004D586B">
        <w:trPr>
          <w:trHeight w:val="227"/>
          <w:jc w:val="center"/>
        </w:trPr>
        <w:tc>
          <w:tcPr>
            <w:tcW w:w="298" w:type="dxa"/>
            <w:tcBorders>
              <w:top w:val="nil"/>
              <w:left w:val="nil"/>
              <w:bottom w:val="nil"/>
              <w:right w:val="nil"/>
            </w:tcBorders>
            <w:shd w:val="clear" w:color="auto" w:fill="auto"/>
            <w:noWrap/>
            <w:vAlign w:val="bottom"/>
            <w:hideMark/>
          </w:tcPr>
          <w:p w:rsidR="0046392D" w:rsidRPr="009F534D" w:rsidRDefault="0046392D" w:rsidP="005F426B">
            <w:pPr>
              <w:spacing w:line="240" w:lineRule="auto"/>
              <w:jc w:val="left"/>
              <w:rPr>
                <w:rFonts w:eastAsia="Times New Roman" w:cs="Arial"/>
                <w:sz w:val="16"/>
                <w:szCs w:val="16"/>
                <w:lang w:val="en-GB" w:eastAsia="cs-CZ"/>
              </w:rPr>
            </w:pPr>
          </w:p>
        </w:tc>
        <w:tc>
          <w:tcPr>
            <w:tcW w:w="3403" w:type="dxa"/>
            <w:tcBorders>
              <w:top w:val="nil"/>
              <w:left w:val="nil"/>
              <w:bottom w:val="nil"/>
              <w:right w:val="nil"/>
            </w:tcBorders>
            <w:shd w:val="clear" w:color="auto" w:fill="auto"/>
            <w:noWrap/>
            <w:vAlign w:val="bottom"/>
            <w:hideMark/>
          </w:tcPr>
          <w:p w:rsidR="0046392D" w:rsidRPr="009F534D" w:rsidRDefault="00E871B0"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xml:space="preserve">Tertiary </w:t>
            </w:r>
          </w:p>
        </w:tc>
        <w:tc>
          <w:tcPr>
            <w:tcW w:w="991" w:type="dxa"/>
            <w:tcBorders>
              <w:top w:val="nil"/>
              <w:left w:val="nil"/>
              <w:bottom w:val="nil"/>
              <w:right w:val="single" w:sz="4" w:space="0" w:color="auto"/>
            </w:tcBorders>
            <w:shd w:val="clear" w:color="auto" w:fill="auto"/>
            <w:noWrap/>
            <w:vAlign w:val="bottom"/>
            <w:hideMark/>
          </w:tcPr>
          <w:p w:rsidR="0046392D" w:rsidRPr="009F534D" w:rsidRDefault="0046392D" w:rsidP="00E871B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G </w:t>
            </w:r>
            <w:r w:rsidR="00E871B0" w:rsidRPr="009F534D">
              <w:rPr>
                <w:rFonts w:eastAsia="Times New Roman" w:cs="Arial"/>
                <w:sz w:val="16"/>
                <w:szCs w:val="16"/>
                <w:lang w:val="en-GB" w:eastAsia="cs-CZ"/>
              </w:rPr>
              <w:t>to</w:t>
            </w:r>
            <w:r w:rsidRPr="009F534D">
              <w:rPr>
                <w:rFonts w:eastAsia="Times New Roman" w:cs="Arial"/>
                <w:sz w:val="16"/>
                <w:szCs w:val="16"/>
                <w:lang w:val="en-GB" w:eastAsia="cs-CZ"/>
              </w:rPr>
              <w:t xml:space="preserve"> U</w:t>
            </w:r>
          </w:p>
        </w:tc>
        <w:tc>
          <w:tcPr>
            <w:tcW w:w="1948" w:type="dxa"/>
            <w:tcBorders>
              <w:top w:val="nil"/>
              <w:left w:val="nil"/>
              <w:bottom w:val="nil"/>
              <w:right w:val="single" w:sz="4" w:space="0" w:color="auto"/>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84</w:t>
            </w:r>
            <w:r w:rsidR="00E871B0" w:rsidRPr="009F534D">
              <w:rPr>
                <w:rFonts w:cs="Arial"/>
                <w:sz w:val="16"/>
                <w:szCs w:val="16"/>
                <w:lang w:val="en-GB"/>
              </w:rPr>
              <w:t>.</w:t>
            </w:r>
            <w:r w:rsidRPr="009F534D">
              <w:rPr>
                <w:rFonts w:cs="Arial"/>
                <w:sz w:val="16"/>
                <w:szCs w:val="16"/>
                <w:lang w:val="en-GB"/>
              </w:rPr>
              <w:t xml:space="preserve">8 </w:t>
            </w:r>
          </w:p>
        </w:tc>
        <w:tc>
          <w:tcPr>
            <w:tcW w:w="1948" w:type="dxa"/>
            <w:gridSpan w:val="2"/>
            <w:tcBorders>
              <w:top w:val="nil"/>
              <w:left w:val="nil"/>
              <w:bottom w:val="nil"/>
              <w:right w:val="nil"/>
            </w:tcBorders>
            <w:shd w:val="clear" w:color="auto" w:fill="auto"/>
            <w:noWrap/>
            <w:vAlign w:val="bottom"/>
            <w:hideMark/>
          </w:tcPr>
          <w:p w:rsidR="0046392D" w:rsidRPr="009F534D" w:rsidRDefault="0046392D">
            <w:pPr>
              <w:jc w:val="right"/>
              <w:rPr>
                <w:rFonts w:cs="Arial"/>
                <w:sz w:val="16"/>
                <w:szCs w:val="16"/>
                <w:lang w:val="en-GB"/>
              </w:rPr>
            </w:pPr>
            <w:r w:rsidRPr="009F534D">
              <w:rPr>
                <w:rFonts w:cs="Arial"/>
                <w:sz w:val="16"/>
                <w:szCs w:val="16"/>
                <w:lang w:val="en-GB"/>
              </w:rPr>
              <w:t>52</w:t>
            </w:r>
            <w:r w:rsidR="00E871B0" w:rsidRPr="009F534D">
              <w:rPr>
                <w:rFonts w:cs="Arial"/>
                <w:sz w:val="16"/>
                <w:szCs w:val="16"/>
                <w:lang w:val="en-GB"/>
              </w:rPr>
              <w:t>.</w:t>
            </w:r>
            <w:r w:rsidRPr="009F534D">
              <w:rPr>
                <w:rFonts w:cs="Arial"/>
                <w:sz w:val="16"/>
                <w:szCs w:val="16"/>
                <w:lang w:val="en-GB"/>
              </w:rPr>
              <w:t xml:space="preserve">8 </w:t>
            </w:r>
          </w:p>
        </w:tc>
      </w:tr>
      <w:tr w:rsidR="002A0EEB" w:rsidRPr="009F534D" w:rsidTr="004D586B">
        <w:trPr>
          <w:trHeight w:val="120"/>
          <w:jc w:val="center"/>
        </w:trPr>
        <w:tc>
          <w:tcPr>
            <w:tcW w:w="298"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3403"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991"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1985" w:type="dxa"/>
            <w:gridSpan w:val="2"/>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1911"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r>
      <w:tr w:rsidR="002A0EEB" w:rsidRPr="009F534D" w:rsidTr="004D586B">
        <w:trPr>
          <w:trHeight w:val="255"/>
          <w:jc w:val="center"/>
        </w:trPr>
        <w:tc>
          <w:tcPr>
            <w:tcW w:w="3701" w:type="dxa"/>
            <w:gridSpan w:val="2"/>
            <w:tcBorders>
              <w:top w:val="nil"/>
              <w:left w:val="nil"/>
              <w:bottom w:val="nil"/>
              <w:right w:val="nil"/>
            </w:tcBorders>
            <w:shd w:val="clear" w:color="auto" w:fill="auto"/>
            <w:noWrap/>
            <w:vAlign w:val="bottom"/>
            <w:hideMark/>
          </w:tcPr>
          <w:p w:rsidR="002A0EEB" w:rsidRPr="009F534D" w:rsidRDefault="00E871B0" w:rsidP="005F426B">
            <w:pPr>
              <w:spacing w:line="240" w:lineRule="auto"/>
              <w:jc w:val="left"/>
              <w:rPr>
                <w:rFonts w:eastAsia="Times New Roman" w:cs="Arial"/>
                <w:i/>
                <w:iCs/>
                <w:sz w:val="18"/>
                <w:szCs w:val="18"/>
                <w:lang w:val="en-GB" w:eastAsia="cs-CZ"/>
              </w:rPr>
            </w:pPr>
            <w:r w:rsidRPr="009F534D">
              <w:rPr>
                <w:rFonts w:eastAsia="Times New Roman" w:cs="Arial"/>
                <w:i/>
                <w:iCs/>
                <w:sz w:val="18"/>
                <w:szCs w:val="18"/>
                <w:lang w:val="en-GB" w:eastAsia="cs-CZ"/>
              </w:rPr>
              <w:t>Source: CZSO - LFSS</w:t>
            </w:r>
          </w:p>
        </w:tc>
        <w:tc>
          <w:tcPr>
            <w:tcW w:w="991"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1985" w:type="dxa"/>
            <w:gridSpan w:val="2"/>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c>
          <w:tcPr>
            <w:tcW w:w="1911" w:type="dxa"/>
            <w:tcBorders>
              <w:top w:val="nil"/>
              <w:left w:val="nil"/>
              <w:bottom w:val="nil"/>
              <w:right w:val="nil"/>
            </w:tcBorders>
            <w:shd w:val="clear" w:color="auto" w:fill="auto"/>
            <w:noWrap/>
            <w:vAlign w:val="bottom"/>
            <w:hideMark/>
          </w:tcPr>
          <w:p w:rsidR="002A0EEB" w:rsidRPr="009F534D" w:rsidRDefault="002A0EEB" w:rsidP="005F426B">
            <w:pPr>
              <w:spacing w:line="240" w:lineRule="auto"/>
              <w:jc w:val="left"/>
              <w:rPr>
                <w:rFonts w:eastAsia="Times New Roman" w:cs="Arial"/>
                <w:szCs w:val="20"/>
                <w:lang w:val="en-GB" w:eastAsia="cs-CZ"/>
              </w:rPr>
            </w:pPr>
          </w:p>
        </w:tc>
      </w:tr>
    </w:tbl>
    <w:p w:rsidR="008E124F" w:rsidRPr="009F534D" w:rsidRDefault="008E124F" w:rsidP="005E5054">
      <w:pPr>
        <w:rPr>
          <w:lang w:val="en-GB"/>
        </w:rPr>
      </w:pPr>
    </w:p>
    <w:p w:rsidR="008E124F" w:rsidRPr="009F534D" w:rsidRDefault="008E124F" w:rsidP="00003876">
      <w:pPr>
        <w:spacing w:before="120"/>
        <w:jc w:val="left"/>
        <w:rPr>
          <w:b/>
          <w:lang w:val="en-GB"/>
        </w:rPr>
      </w:pPr>
      <w:r w:rsidRPr="009F534D">
        <w:rPr>
          <w:b/>
          <w:lang w:val="en-GB"/>
        </w:rPr>
        <w:t xml:space="preserve">D. </w:t>
      </w:r>
      <w:r w:rsidR="00C62310" w:rsidRPr="009F534D">
        <w:rPr>
          <w:b/>
          <w:lang w:val="en-GB"/>
        </w:rPr>
        <w:t xml:space="preserve">Commuting </w:t>
      </w:r>
      <w:r w:rsidR="00C776C4">
        <w:rPr>
          <w:b/>
          <w:lang w:val="en-GB"/>
        </w:rPr>
        <w:t>in</w:t>
      </w:r>
      <w:r w:rsidR="00C62310" w:rsidRPr="009F534D">
        <w:rPr>
          <w:b/>
          <w:lang w:val="en-GB"/>
        </w:rPr>
        <w:t xml:space="preserve">to Large Cities Has Been Growing </w:t>
      </w:r>
    </w:p>
    <w:p w:rsidR="00D770DC" w:rsidRPr="009F534D" w:rsidRDefault="009F534D" w:rsidP="005E5054">
      <w:pPr>
        <w:rPr>
          <w:lang w:val="en-GB"/>
        </w:rPr>
      </w:pPr>
      <w:r w:rsidRPr="009F534D">
        <w:rPr>
          <w:lang w:val="en-GB"/>
        </w:rPr>
        <w:t>Importance of inter</w:t>
      </w:r>
      <w:r w:rsidR="00C776C4">
        <w:rPr>
          <w:lang w:val="en-GB"/>
        </w:rPr>
        <w:t>-</w:t>
      </w:r>
      <w:r w:rsidRPr="009F534D">
        <w:rPr>
          <w:lang w:val="en-GB"/>
        </w:rPr>
        <w:t xml:space="preserve">regional commuting </w:t>
      </w:r>
      <w:r w:rsidR="00C776C4">
        <w:rPr>
          <w:lang w:val="en-GB"/>
        </w:rPr>
        <w:t>for</w:t>
      </w:r>
      <w:r w:rsidRPr="009F534D">
        <w:rPr>
          <w:lang w:val="en-GB"/>
        </w:rPr>
        <w:t xml:space="preserve"> the total employment of respective regions can be documented by the value of the </w:t>
      </w:r>
      <w:r w:rsidR="00D770DC" w:rsidRPr="009F534D">
        <w:rPr>
          <w:b/>
          <w:lang w:val="en-GB"/>
        </w:rPr>
        <w:t>index</w:t>
      </w:r>
      <w:r w:rsidRPr="009F534D">
        <w:rPr>
          <w:b/>
          <w:lang w:val="en-GB"/>
        </w:rPr>
        <w:t xml:space="preserve"> of the number of working persons in the </w:t>
      </w:r>
      <w:r w:rsidR="00D770DC" w:rsidRPr="009F534D">
        <w:rPr>
          <w:b/>
          <w:lang w:val="en-GB"/>
        </w:rPr>
        <w:t>region</w:t>
      </w:r>
      <w:r w:rsidRPr="009F534D">
        <w:rPr>
          <w:b/>
          <w:lang w:val="en-GB"/>
        </w:rPr>
        <w:t xml:space="preserve"> to </w:t>
      </w:r>
      <w:r w:rsidRPr="009F534D">
        <w:rPr>
          <w:b/>
          <w:lang w:val="en-GB"/>
        </w:rPr>
        <w:lastRenderedPageBreak/>
        <w:t>the number of persons having one or main job and residence on the territory of the respective region</w:t>
      </w:r>
      <w:r w:rsidR="00D770DC" w:rsidRPr="009F534D">
        <w:rPr>
          <w:lang w:val="en-GB"/>
        </w:rPr>
        <w:t>.</w:t>
      </w:r>
      <w:r w:rsidR="00EF50CD" w:rsidRPr="009F534D">
        <w:rPr>
          <w:lang w:val="en-GB"/>
        </w:rPr>
        <w:t xml:space="preserve"> </w:t>
      </w:r>
      <w:r w:rsidRPr="009F534D">
        <w:rPr>
          <w:lang w:val="en-GB"/>
        </w:rPr>
        <w:t>In order to eliminate effects of potential fluctuations cause</w:t>
      </w:r>
      <w:r w:rsidR="0014088E">
        <w:rPr>
          <w:lang w:val="en-GB"/>
        </w:rPr>
        <w:t>d</w:t>
      </w:r>
      <w:r w:rsidRPr="009F534D">
        <w:rPr>
          <w:lang w:val="en-GB"/>
        </w:rPr>
        <w:t xml:space="preserve"> by the sample survey methodology the </w:t>
      </w:r>
      <w:r w:rsidR="00EF50CD" w:rsidRPr="009F534D">
        <w:rPr>
          <w:lang w:val="en-GB"/>
        </w:rPr>
        <w:t xml:space="preserve">index </w:t>
      </w:r>
      <w:r w:rsidRPr="009F534D">
        <w:rPr>
          <w:lang w:val="en-GB"/>
        </w:rPr>
        <w:t xml:space="preserve">was calculated as an average for the years </w:t>
      </w:r>
      <w:r w:rsidR="0014088E">
        <w:rPr>
          <w:lang w:val="en-GB"/>
        </w:rPr>
        <w:t xml:space="preserve">from </w:t>
      </w:r>
      <w:r w:rsidR="00EF50CD" w:rsidRPr="009F534D">
        <w:rPr>
          <w:lang w:val="en-GB"/>
        </w:rPr>
        <w:t xml:space="preserve">2011 </w:t>
      </w:r>
      <w:r w:rsidRPr="009F534D">
        <w:rPr>
          <w:lang w:val="en-GB"/>
        </w:rPr>
        <w:t>to</w:t>
      </w:r>
      <w:r w:rsidR="00EF50CD" w:rsidRPr="009F534D">
        <w:rPr>
          <w:lang w:val="en-GB"/>
        </w:rPr>
        <w:t xml:space="preserve"> 2013. </w:t>
      </w:r>
      <w:r w:rsidRPr="009F534D">
        <w:rPr>
          <w:lang w:val="en-GB"/>
        </w:rPr>
        <w:t xml:space="preserve">In this period the </w:t>
      </w:r>
      <w:r w:rsidR="00EF50CD" w:rsidRPr="009F534D">
        <w:rPr>
          <w:lang w:val="en-GB"/>
        </w:rPr>
        <w:t xml:space="preserve">index </w:t>
      </w:r>
      <w:r w:rsidRPr="009F534D">
        <w:rPr>
          <w:lang w:val="en-GB"/>
        </w:rPr>
        <w:t xml:space="preserve">for </w:t>
      </w:r>
      <w:r w:rsidR="00EF50CD" w:rsidRPr="009F534D">
        <w:rPr>
          <w:lang w:val="en-GB"/>
        </w:rPr>
        <w:t>Pra</w:t>
      </w:r>
      <w:r w:rsidRPr="009F534D">
        <w:rPr>
          <w:lang w:val="en-GB"/>
        </w:rPr>
        <w:t>gu</w:t>
      </w:r>
      <w:r w:rsidR="00EF50CD" w:rsidRPr="009F534D">
        <w:rPr>
          <w:lang w:val="en-GB"/>
        </w:rPr>
        <w:t xml:space="preserve">e </w:t>
      </w:r>
      <w:r w:rsidRPr="009F534D">
        <w:rPr>
          <w:lang w:val="en-GB"/>
        </w:rPr>
        <w:t xml:space="preserve">was </w:t>
      </w:r>
      <w:proofErr w:type="gramStart"/>
      <w:r w:rsidR="00EF50CD" w:rsidRPr="009F534D">
        <w:rPr>
          <w:lang w:val="en-GB"/>
        </w:rPr>
        <w:t>119</w:t>
      </w:r>
      <w:r w:rsidRPr="009F534D">
        <w:rPr>
          <w:lang w:val="en-GB"/>
        </w:rPr>
        <w:t>.</w:t>
      </w:r>
      <w:r w:rsidR="00EF50CD" w:rsidRPr="009F534D">
        <w:rPr>
          <w:lang w:val="en-GB"/>
        </w:rPr>
        <w:t>7,</w:t>
      </w:r>
      <w:proofErr w:type="gramEnd"/>
      <w:r w:rsidR="00EF50CD" w:rsidRPr="009F534D">
        <w:rPr>
          <w:lang w:val="en-GB"/>
        </w:rPr>
        <w:t xml:space="preserve"> </w:t>
      </w:r>
      <w:r w:rsidRPr="009F534D">
        <w:rPr>
          <w:lang w:val="en-GB"/>
        </w:rPr>
        <w:t xml:space="preserve">its value in any of other regions was below </w:t>
      </w:r>
      <w:r w:rsidR="00EF50CD" w:rsidRPr="009F534D">
        <w:rPr>
          <w:lang w:val="en-GB"/>
        </w:rPr>
        <w:t xml:space="preserve">100. </w:t>
      </w:r>
    </w:p>
    <w:p w:rsidR="00D770DC" w:rsidRPr="009F534D" w:rsidRDefault="00D770DC" w:rsidP="005E5054">
      <w:pPr>
        <w:rPr>
          <w:lang w:val="en-GB"/>
        </w:rPr>
      </w:pPr>
    </w:p>
    <w:p w:rsidR="00B7744C" w:rsidRPr="009F534D" w:rsidRDefault="00E84760" w:rsidP="005E5054">
      <w:pPr>
        <w:rPr>
          <w:lang w:val="en-GB"/>
        </w:rPr>
      </w:pPr>
      <w:r>
        <w:rPr>
          <w:lang w:val="en-GB"/>
        </w:rPr>
        <w:t>I</w:t>
      </w:r>
      <w:r w:rsidR="009B131B" w:rsidRPr="009F534D">
        <w:rPr>
          <w:lang w:val="en-GB"/>
        </w:rPr>
        <w:t>nter</w:t>
      </w:r>
      <w:r>
        <w:rPr>
          <w:lang w:val="en-GB"/>
        </w:rPr>
        <w:t>-</w:t>
      </w:r>
      <w:r w:rsidR="009B131B" w:rsidRPr="009F534D">
        <w:rPr>
          <w:lang w:val="en-GB"/>
        </w:rPr>
        <w:t>regional commuting represents solely a smaller portion of commuters out of their home municipality</w:t>
      </w:r>
      <w:r w:rsidRPr="00E84760">
        <w:rPr>
          <w:lang w:val="en-GB"/>
        </w:rPr>
        <w:t xml:space="preserve"> </w:t>
      </w:r>
      <w:r>
        <w:rPr>
          <w:lang w:val="en-GB"/>
        </w:rPr>
        <w:t>for</w:t>
      </w:r>
      <w:r w:rsidRPr="009F534D">
        <w:rPr>
          <w:lang w:val="en-GB"/>
        </w:rPr>
        <w:t xml:space="preserve"> work</w:t>
      </w:r>
      <w:r w:rsidR="00CA3941" w:rsidRPr="009F534D">
        <w:rPr>
          <w:lang w:val="en-GB"/>
        </w:rPr>
        <w:t xml:space="preserve">. </w:t>
      </w:r>
      <w:r w:rsidR="009B131B" w:rsidRPr="009F534D">
        <w:rPr>
          <w:lang w:val="en-GB"/>
        </w:rPr>
        <w:t>It does not capture frequent cases of inter</w:t>
      </w:r>
      <w:r w:rsidR="00031FF6">
        <w:rPr>
          <w:lang w:val="en-GB"/>
        </w:rPr>
        <w:t>-</w:t>
      </w:r>
      <w:r w:rsidR="009B131B" w:rsidRPr="009F534D">
        <w:rPr>
          <w:lang w:val="en-GB"/>
        </w:rPr>
        <w:t xml:space="preserve">district commuters within a region </w:t>
      </w:r>
      <w:r w:rsidR="00CA3941" w:rsidRPr="009F534D">
        <w:rPr>
          <w:lang w:val="en-GB"/>
        </w:rPr>
        <w:t>a</w:t>
      </w:r>
      <w:r w:rsidR="009B131B" w:rsidRPr="009F534D">
        <w:rPr>
          <w:lang w:val="en-GB"/>
        </w:rPr>
        <w:t>nd intra</w:t>
      </w:r>
      <w:r w:rsidR="00031FF6">
        <w:rPr>
          <w:lang w:val="en-GB"/>
        </w:rPr>
        <w:t>-</w:t>
      </w:r>
      <w:r w:rsidR="009B131B" w:rsidRPr="009F534D">
        <w:rPr>
          <w:lang w:val="en-GB"/>
        </w:rPr>
        <w:t>district commuters</w:t>
      </w:r>
      <w:r w:rsidR="00CA3941" w:rsidRPr="009F534D">
        <w:rPr>
          <w:lang w:val="en-GB"/>
        </w:rPr>
        <w:t xml:space="preserve">. </w:t>
      </w:r>
      <w:r w:rsidR="00C46F7E" w:rsidRPr="009F534D">
        <w:rPr>
          <w:lang w:val="en-GB"/>
        </w:rPr>
        <w:t>The aforementioned index can be employed again in order to get at least approximate evaluation of the commuting effect on employment in selected large districts</w:t>
      </w:r>
      <w:r w:rsidR="003267A8" w:rsidRPr="009F534D">
        <w:rPr>
          <w:lang w:val="en-GB"/>
        </w:rPr>
        <w:t>.</w:t>
      </w:r>
      <w:r w:rsidR="00CA3941" w:rsidRPr="009F534D">
        <w:rPr>
          <w:lang w:val="en-GB"/>
        </w:rPr>
        <w:t xml:space="preserve"> </w:t>
      </w:r>
      <w:r w:rsidR="00C46F7E" w:rsidRPr="009F534D">
        <w:rPr>
          <w:lang w:val="en-GB"/>
        </w:rPr>
        <w:t xml:space="preserve">It essentially reflects the difference in numbers of commuters </w:t>
      </w:r>
      <w:r>
        <w:rPr>
          <w:lang w:val="en-GB"/>
        </w:rPr>
        <w:t>in</w:t>
      </w:r>
      <w:r w:rsidR="00C46F7E" w:rsidRPr="009F534D">
        <w:rPr>
          <w:lang w:val="en-GB"/>
        </w:rPr>
        <w:t xml:space="preserve">to and out of the districts within the respective region, including the difference </w:t>
      </w:r>
      <w:r>
        <w:rPr>
          <w:lang w:val="en-GB"/>
        </w:rPr>
        <w:t>in</w:t>
      </w:r>
      <w:r w:rsidR="00C46F7E" w:rsidRPr="009F534D">
        <w:rPr>
          <w:lang w:val="en-GB"/>
        </w:rPr>
        <w:t xml:space="preserve"> </w:t>
      </w:r>
      <w:r>
        <w:rPr>
          <w:lang w:val="en-GB"/>
        </w:rPr>
        <w:t xml:space="preserve">the numbers of </w:t>
      </w:r>
      <w:r w:rsidR="00C46F7E" w:rsidRPr="009F534D">
        <w:rPr>
          <w:lang w:val="en-GB"/>
        </w:rPr>
        <w:t xml:space="preserve">commuters </w:t>
      </w:r>
      <w:r>
        <w:rPr>
          <w:lang w:val="en-GB"/>
        </w:rPr>
        <w:t xml:space="preserve">into </w:t>
      </w:r>
      <w:r w:rsidR="00C46F7E" w:rsidRPr="009F534D">
        <w:rPr>
          <w:lang w:val="en-GB"/>
        </w:rPr>
        <w:t xml:space="preserve">from districts from other region. </w:t>
      </w:r>
    </w:p>
    <w:p w:rsidR="003A5393" w:rsidRPr="009F534D" w:rsidRDefault="003A5393" w:rsidP="005E5054">
      <w:pPr>
        <w:rPr>
          <w:lang w:val="en-GB"/>
        </w:rPr>
      </w:pPr>
    </w:p>
    <w:p w:rsidR="00736AAB" w:rsidRPr="009F534D" w:rsidRDefault="001C4B9C" w:rsidP="005E5054">
      <w:pPr>
        <w:rPr>
          <w:lang w:val="en-GB"/>
        </w:rPr>
      </w:pPr>
      <w:r w:rsidRPr="009F534D">
        <w:rPr>
          <w:lang w:val="en-GB"/>
        </w:rPr>
        <w:t xml:space="preserve">The </w:t>
      </w:r>
      <w:r w:rsidR="00247F49" w:rsidRPr="009F534D">
        <w:rPr>
          <w:lang w:val="en-GB"/>
        </w:rPr>
        <w:t>index</w:t>
      </w:r>
      <w:r w:rsidRPr="009F534D">
        <w:rPr>
          <w:lang w:val="en-GB"/>
        </w:rPr>
        <w:t xml:space="preserve"> value for other large cities </w:t>
      </w:r>
      <w:r w:rsidR="00ED1711">
        <w:rPr>
          <w:lang w:val="en-GB"/>
        </w:rPr>
        <w:t>in</w:t>
      </w:r>
      <w:r w:rsidRPr="009F534D">
        <w:rPr>
          <w:lang w:val="en-GB"/>
        </w:rPr>
        <w:t xml:space="preserve"> the Czech Republic is easily comparable to the index value for </w:t>
      </w:r>
      <w:r w:rsidR="009B131B" w:rsidRPr="009F534D">
        <w:rPr>
          <w:lang w:val="en-GB"/>
        </w:rPr>
        <w:t>Prague</w:t>
      </w:r>
      <w:r w:rsidR="00CA3941" w:rsidRPr="009F534D">
        <w:rPr>
          <w:lang w:val="en-GB"/>
        </w:rPr>
        <w:t>.</w:t>
      </w:r>
      <w:r w:rsidR="00D060FD" w:rsidRPr="009F534D">
        <w:rPr>
          <w:lang w:val="en-GB"/>
        </w:rPr>
        <w:t xml:space="preserve"> </w:t>
      </w:r>
      <w:r w:rsidRPr="009F534D">
        <w:rPr>
          <w:lang w:val="en-GB"/>
        </w:rPr>
        <w:t xml:space="preserve">The highest value of the index can be found in </w:t>
      </w:r>
      <w:r w:rsidR="00ED1711">
        <w:rPr>
          <w:lang w:val="en-GB"/>
        </w:rPr>
        <w:t xml:space="preserve">the City of </w:t>
      </w:r>
      <w:r w:rsidR="00247F49" w:rsidRPr="009F534D">
        <w:rPr>
          <w:lang w:val="en-GB"/>
        </w:rPr>
        <w:t>Brn</w:t>
      </w:r>
      <w:r w:rsidR="00ED1711">
        <w:rPr>
          <w:lang w:val="en-GB"/>
        </w:rPr>
        <w:t>o</w:t>
      </w:r>
      <w:r w:rsidR="00317683" w:rsidRPr="009F534D">
        <w:rPr>
          <w:lang w:val="en-GB"/>
        </w:rPr>
        <w:t xml:space="preserve"> (</w:t>
      </w:r>
      <w:r w:rsidR="00247F49" w:rsidRPr="009F534D">
        <w:rPr>
          <w:lang w:val="en-GB"/>
        </w:rPr>
        <w:t>126</w:t>
      </w:r>
      <w:r w:rsidRPr="009F534D">
        <w:rPr>
          <w:lang w:val="en-GB"/>
        </w:rPr>
        <w:t>.</w:t>
      </w:r>
      <w:r w:rsidR="00247F49" w:rsidRPr="009F534D">
        <w:rPr>
          <w:lang w:val="en-GB"/>
        </w:rPr>
        <w:t>1</w:t>
      </w:r>
      <w:r w:rsidR="00317683" w:rsidRPr="009F534D">
        <w:rPr>
          <w:lang w:val="en-GB"/>
        </w:rPr>
        <w:t>) a</w:t>
      </w:r>
      <w:r w:rsidRPr="009F534D">
        <w:rPr>
          <w:lang w:val="en-GB"/>
        </w:rPr>
        <w:t xml:space="preserve">nd then in the </w:t>
      </w:r>
      <w:r w:rsidR="00247F49" w:rsidRPr="009F534D">
        <w:rPr>
          <w:lang w:val="en-GB"/>
        </w:rPr>
        <w:t>Ostrav</w:t>
      </w:r>
      <w:r w:rsidR="00472CC1" w:rsidRPr="009F534D">
        <w:rPr>
          <w:lang w:val="en-GB"/>
        </w:rPr>
        <w:t>a-</w:t>
      </w:r>
      <w:proofErr w:type="spellStart"/>
      <w:r w:rsidR="00472CC1" w:rsidRPr="009F534D">
        <w:rPr>
          <w:lang w:val="en-GB"/>
        </w:rPr>
        <w:t>město</w:t>
      </w:r>
      <w:proofErr w:type="spellEnd"/>
      <w:r w:rsidR="00247F49" w:rsidRPr="009F534D">
        <w:rPr>
          <w:lang w:val="en-GB"/>
        </w:rPr>
        <w:t xml:space="preserve"> </w:t>
      </w:r>
      <w:r w:rsidR="00ED1711" w:rsidRPr="009F534D">
        <w:rPr>
          <w:lang w:val="en-GB"/>
        </w:rPr>
        <w:t xml:space="preserve">District </w:t>
      </w:r>
      <w:r w:rsidR="00247F49" w:rsidRPr="009F534D">
        <w:rPr>
          <w:lang w:val="en-GB"/>
        </w:rPr>
        <w:t>(121</w:t>
      </w:r>
      <w:r w:rsidRPr="009F534D">
        <w:rPr>
          <w:lang w:val="en-GB"/>
        </w:rPr>
        <w:t>.</w:t>
      </w:r>
      <w:r w:rsidR="00247F49" w:rsidRPr="009F534D">
        <w:rPr>
          <w:lang w:val="en-GB"/>
        </w:rPr>
        <w:t xml:space="preserve">0), </w:t>
      </w:r>
      <w:r w:rsidRPr="009F534D">
        <w:rPr>
          <w:lang w:val="en-GB"/>
        </w:rPr>
        <w:t>which also exceeds the value for the Capital City</w:t>
      </w:r>
      <w:r w:rsidR="00247F49" w:rsidRPr="009F534D">
        <w:rPr>
          <w:lang w:val="en-GB"/>
        </w:rPr>
        <w:t xml:space="preserve">. </w:t>
      </w:r>
      <w:r w:rsidRPr="009F534D">
        <w:rPr>
          <w:lang w:val="en-GB"/>
        </w:rPr>
        <w:t xml:space="preserve">Yet in the very City of </w:t>
      </w:r>
      <w:r w:rsidR="00247F49" w:rsidRPr="009F534D">
        <w:rPr>
          <w:lang w:val="en-GB"/>
        </w:rPr>
        <w:t>Ostrav</w:t>
      </w:r>
      <w:r w:rsidRPr="009F534D">
        <w:rPr>
          <w:lang w:val="en-GB"/>
        </w:rPr>
        <w:t>a</w:t>
      </w:r>
      <w:r w:rsidR="00247F49" w:rsidRPr="009F534D">
        <w:rPr>
          <w:lang w:val="en-GB"/>
        </w:rPr>
        <w:t xml:space="preserve"> </w:t>
      </w:r>
      <w:r w:rsidRPr="009F534D">
        <w:rPr>
          <w:lang w:val="en-GB"/>
        </w:rPr>
        <w:t xml:space="preserve">its value may be even higher </w:t>
      </w:r>
      <w:r w:rsidR="00ED1711">
        <w:rPr>
          <w:lang w:val="en-GB"/>
        </w:rPr>
        <w:t xml:space="preserve">due </w:t>
      </w:r>
      <w:r w:rsidRPr="009F534D">
        <w:rPr>
          <w:lang w:val="en-GB"/>
        </w:rPr>
        <w:t>cases of commut</w:t>
      </w:r>
      <w:r w:rsidR="00ED1711">
        <w:rPr>
          <w:lang w:val="en-GB"/>
        </w:rPr>
        <w:t>ers for</w:t>
      </w:r>
      <w:r w:rsidRPr="009F534D">
        <w:rPr>
          <w:lang w:val="en-GB"/>
        </w:rPr>
        <w:t xml:space="preserve"> work from the remaining municipalities of the district</w:t>
      </w:r>
      <w:r w:rsidR="00247F49" w:rsidRPr="009F534D">
        <w:rPr>
          <w:lang w:val="en-GB"/>
        </w:rPr>
        <w:t xml:space="preserve">. </w:t>
      </w:r>
      <w:r w:rsidR="009B131B" w:rsidRPr="009F534D">
        <w:rPr>
          <w:lang w:val="en-GB"/>
        </w:rPr>
        <w:t xml:space="preserve">The index of the </w:t>
      </w:r>
      <w:proofErr w:type="spellStart"/>
      <w:r w:rsidR="00247F49" w:rsidRPr="009F534D">
        <w:rPr>
          <w:lang w:val="en-GB"/>
        </w:rPr>
        <w:t>Plzeň-město</w:t>
      </w:r>
      <w:proofErr w:type="spellEnd"/>
      <w:r w:rsidR="00247F49" w:rsidRPr="009F534D">
        <w:rPr>
          <w:lang w:val="en-GB"/>
        </w:rPr>
        <w:t xml:space="preserve"> </w:t>
      </w:r>
      <w:r w:rsidR="009B131B" w:rsidRPr="009F534D">
        <w:rPr>
          <w:lang w:val="en-GB"/>
        </w:rPr>
        <w:t xml:space="preserve">District </w:t>
      </w:r>
      <w:r w:rsidR="00247F49" w:rsidRPr="009F534D">
        <w:rPr>
          <w:lang w:val="en-GB"/>
        </w:rPr>
        <w:t>(115</w:t>
      </w:r>
      <w:r w:rsidR="009B131B" w:rsidRPr="009F534D">
        <w:rPr>
          <w:lang w:val="en-GB"/>
        </w:rPr>
        <w:t>.</w:t>
      </w:r>
      <w:r w:rsidR="00247F49" w:rsidRPr="009F534D">
        <w:rPr>
          <w:lang w:val="en-GB"/>
        </w:rPr>
        <w:t xml:space="preserve">4) </w:t>
      </w:r>
      <w:r w:rsidR="009B131B" w:rsidRPr="009F534D">
        <w:rPr>
          <w:lang w:val="en-GB"/>
        </w:rPr>
        <w:t>was lower than that of Prague</w:t>
      </w:r>
      <w:r w:rsidR="00247F49" w:rsidRPr="009F534D">
        <w:rPr>
          <w:lang w:val="en-GB"/>
        </w:rPr>
        <w:t xml:space="preserve">. </w:t>
      </w:r>
      <w:r w:rsidR="009B131B" w:rsidRPr="009F534D">
        <w:rPr>
          <w:lang w:val="en-GB"/>
        </w:rPr>
        <w:t xml:space="preserve">It is clear from more detailed data, however, that the number of working persons on the territory of the West Bohemia metropolis has been permanently growing in the three recent years </w:t>
      </w:r>
      <w:r w:rsidR="00247F49" w:rsidRPr="009F534D">
        <w:rPr>
          <w:lang w:val="en-GB"/>
        </w:rPr>
        <w:t>a</w:t>
      </w:r>
      <w:r w:rsidR="009B131B" w:rsidRPr="009F534D">
        <w:rPr>
          <w:lang w:val="en-GB"/>
        </w:rPr>
        <w:t>nd it can be expected that it will reach the level of Prague in a short time</w:t>
      </w:r>
      <w:r w:rsidR="00247F49" w:rsidRPr="009F534D">
        <w:rPr>
          <w:lang w:val="en-GB"/>
        </w:rPr>
        <w:t>.</w:t>
      </w:r>
      <w:r w:rsidR="00280C97" w:rsidRPr="009F534D">
        <w:rPr>
          <w:lang w:val="en-GB"/>
        </w:rPr>
        <w:t xml:space="preserve"> </w:t>
      </w:r>
      <w:r w:rsidR="009B131B" w:rsidRPr="009F534D">
        <w:rPr>
          <w:lang w:val="en-GB"/>
        </w:rPr>
        <w:t xml:space="preserve">Resources of commuters to the City of </w:t>
      </w:r>
      <w:r w:rsidR="00D459E1" w:rsidRPr="009F534D">
        <w:rPr>
          <w:lang w:val="en-GB"/>
        </w:rPr>
        <w:t>Brn</w:t>
      </w:r>
      <w:r w:rsidR="009B131B" w:rsidRPr="009F534D">
        <w:rPr>
          <w:lang w:val="en-GB"/>
        </w:rPr>
        <w:t xml:space="preserve">o </w:t>
      </w:r>
      <w:r w:rsidR="00D459E1" w:rsidRPr="009F534D">
        <w:rPr>
          <w:lang w:val="en-GB"/>
        </w:rPr>
        <w:t>a</w:t>
      </w:r>
      <w:r w:rsidR="009B131B" w:rsidRPr="009F534D">
        <w:rPr>
          <w:lang w:val="en-GB"/>
        </w:rPr>
        <w:t xml:space="preserve">re first of all neighbouring districts as </w:t>
      </w:r>
      <w:r w:rsidR="00D55302" w:rsidRPr="009F534D">
        <w:rPr>
          <w:lang w:val="en-GB"/>
        </w:rPr>
        <w:t>Brno-</w:t>
      </w:r>
      <w:proofErr w:type="spellStart"/>
      <w:r w:rsidR="00D55302" w:rsidRPr="009F534D">
        <w:rPr>
          <w:lang w:val="en-GB"/>
        </w:rPr>
        <w:t>venkov</w:t>
      </w:r>
      <w:proofErr w:type="spellEnd"/>
      <w:r w:rsidR="00D55302" w:rsidRPr="009F534D">
        <w:rPr>
          <w:lang w:val="en-GB"/>
        </w:rPr>
        <w:t xml:space="preserve">, </w:t>
      </w:r>
      <w:proofErr w:type="spellStart"/>
      <w:r w:rsidR="00D55302" w:rsidRPr="009F534D">
        <w:rPr>
          <w:lang w:val="en-GB"/>
        </w:rPr>
        <w:t>Blansko</w:t>
      </w:r>
      <w:proofErr w:type="spellEnd"/>
      <w:r w:rsidR="00D55302" w:rsidRPr="009F534D">
        <w:rPr>
          <w:lang w:val="en-GB"/>
        </w:rPr>
        <w:t xml:space="preserve">, </w:t>
      </w:r>
      <w:proofErr w:type="spellStart"/>
      <w:r w:rsidR="00D55302" w:rsidRPr="009F534D">
        <w:rPr>
          <w:lang w:val="en-GB"/>
        </w:rPr>
        <w:t>Vyškov</w:t>
      </w:r>
      <w:proofErr w:type="spellEnd"/>
      <w:r w:rsidR="009B131B" w:rsidRPr="009F534D">
        <w:rPr>
          <w:lang w:val="en-GB"/>
        </w:rPr>
        <w:t xml:space="preserve">; concerning the City of </w:t>
      </w:r>
      <w:r w:rsidR="00D55302" w:rsidRPr="009F534D">
        <w:rPr>
          <w:lang w:val="en-GB"/>
        </w:rPr>
        <w:t>Ostrav</w:t>
      </w:r>
      <w:r w:rsidR="009B131B" w:rsidRPr="009F534D">
        <w:rPr>
          <w:lang w:val="en-GB"/>
        </w:rPr>
        <w:t xml:space="preserve">a </w:t>
      </w:r>
      <w:r w:rsidR="00ED1711">
        <w:rPr>
          <w:lang w:val="en-GB"/>
        </w:rPr>
        <w:t xml:space="preserve">the </w:t>
      </w:r>
      <w:r w:rsidR="009B131B" w:rsidRPr="009F534D">
        <w:rPr>
          <w:lang w:val="en-GB"/>
        </w:rPr>
        <w:t xml:space="preserve">highest numbers of commuters come from districts of </w:t>
      </w:r>
      <w:proofErr w:type="spellStart"/>
      <w:r w:rsidR="00D55302" w:rsidRPr="009F534D">
        <w:rPr>
          <w:lang w:val="en-GB"/>
        </w:rPr>
        <w:t>Opava</w:t>
      </w:r>
      <w:proofErr w:type="spellEnd"/>
      <w:r w:rsidR="00D55302" w:rsidRPr="009F534D">
        <w:rPr>
          <w:lang w:val="en-GB"/>
        </w:rPr>
        <w:t xml:space="preserve">, </w:t>
      </w:r>
      <w:proofErr w:type="spellStart"/>
      <w:r w:rsidR="00D55302" w:rsidRPr="009F534D">
        <w:rPr>
          <w:lang w:val="en-GB"/>
        </w:rPr>
        <w:t>Frýdek</w:t>
      </w:r>
      <w:proofErr w:type="spellEnd"/>
      <w:r w:rsidR="00D55302" w:rsidRPr="009F534D">
        <w:rPr>
          <w:lang w:val="en-GB"/>
        </w:rPr>
        <w:t xml:space="preserve"> </w:t>
      </w:r>
      <w:proofErr w:type="spellStart"/>
      <w:r w:rsidR="00D55302" w:rsidRPr="009F534D">
        <w:rPr>
          <w:lang w:val="en-GB"/>
        </w:rPr>
        <w:t>Místek</w:t>
      </w:r>
      <w:proofErr w:type="spellEnd"/>
      <w:r w:rsidR="009B131B" w:rsidRPr="009F534D">
        <w:rPr>
          <w:lang w:val="en-GB"/>
        </w:rPr>
        <w:t>,</w:t>
      </w:r>
      <w:r w:rsidR="00D55302" w:rsidRPr="009F534D">
        <w:rPr>
          <w:lang w:val="en-GB"/>
        </w:rPr>
        <w:t xml:space="preserve"> a</w:t>
      </w:r>
      <w:r w:rsidR="009B131B" w:rsidRPr="009F534D">
        <w:rPr>
          <w:lang w:val="en-GB"/>
        </w:rPr>
        <w:t>nd</w:t>
      </w:r>
      <w:r w:rsidR="00D55302" w:rsidRPr="009F534D">
        <w:rPr>
          <w:lang w:val="en-GB"/>
        </w:rPr>
        <w:t xml:space="preserve"> </w:t>
      </w:r>
      <w:proofErr w:type="spellStart"/>
      <w:r w:rsidR="00D55302" w:rsidRPr="009F534D">
        <w:rPr>
          <w:lang w:val="en-GB"/>
        </w:rPr>
        <w:t>Karviná</w:t>
      </w:r>
      <w:proofErr w:type="spellEnd"/>
      <w:r w:rsidR="00D55302" w:rsidRPr="009F534D">
        <w:rPr>
          <w:lang w:val="en-GB"/>
        </w:rPr>
        <w:t xml:space="preserve">. </w:t>
      </w:r>
      <w:r w:rsidR="009B131B" w:rsidRPr="009F534D">
        <w:rPr>
          <w:lang w:val="en-GB"/>
        </w:rPr>
        <w:t xml:space="preserve">The highest </w:t>
      </w:r>
      <w:proofErr w:type="spellStart"/>
      <w:r w:rsidR="009B131B" w:rsidRPr="009F534D">
        <w:rPr>
          <w:lang w:val="en-GB"/>
        </w:rPr>
        <w:t>numbe</w:t>
      </w:r>
      <w:r w:rsidR="00ED1711">
        <w:rPr>
          <w:lang w:val="en-GB"/>
        </w:rPr>
        <w:t>s</w:t>
      </w:r>
      <w:r w:rsidR="009B131B" w:rsidRPr="009F534D">
        <w:rPr>
          <w:lang w:val="en-GB"/>
        </w:rPr>
        <w:t>r</w:t>
      </w:r>
      <w:proofErr w:type="spellEnd"/>
      <w:r w:rsidR="009B131B" w:rsidRPr="009F534D">
        <w:rPr>
          <w:lang w:val="en-GB"/>
        </w:rPr>
        <w:t xml:space="preserve"> of commuters to the City of </w:t>
      </w:r>
      <w:proofErr w:type="spellStart"/>
      <w:r w:rsidR="00D55302" w:rsidRPr="009F534D">
        <w:rPr>
          <w:lang w:val="en-GB"/>
        </w:rPr>
        <w:t>Plz</w:t>
      </w:r>
      <w:r w:rsidR="009B131B" w:rsidRPr="009F534D">
        <w:rPr>
          <w:lang w:val="en-GB"/>
        </w:rPr>
        <w:t>eň</w:t>
      </w:r>
      <w:proofErr w:type="spellEnd"/>
      <w:r w:rsidR="009B131B" w:rsidRPr="009F534D">
        <w:rPr>
          <w:lang w:val="en-GB"/>
        </w:rPr>
        <w:t xml:space="preserve"> </w:t>
      </w:r>
      <w:r w:rsidR="00ED1711">
        <w:rPr>
          <w:lang w:val="en-GB"/>
        </w:rPr>
        <w:t>come</w:t>
      </w:r>
      <w:r w:rsidR="009B131B" w:rsidRPr="009F534D">
        <w:rPr>
          <w:lang w:val="en-GB"/>
        </w:rPr>
        <w:t xml:space="preserve"> from districts of </w:t>
      </w:r>
      <w:proofErr w:type="spellStart"/>
      <w:r w:rsidR="00D55302" w:rsidRPr="009F534D">
        <w:rPr>
          <w:lang w:val="en-GB"/>
        </w:rPr>
        <w:t>Plzeň-jih</w:t>
      </w:r>
      <w:proofErr w:type="spellEnd"/>
      <w:r w:rsidR="00D55302" w:rsidRPr="009F534D">
        <w:rPr>
          <w:lang w:val="en-GB"/>
        </w:rPr>
        <w:t xml:space="preserve"> a</w:t>
      </w:r>
      <w:r w:rsidR="009B131B" w:rsidRPr="009F534D">
        <w:rPr>
          <w:lang w:val="en-GB"/>
        </w:rPr>
        <w:t>nd</w:t>
      </w:r>
      <w:r w:rsidR="00D55302" w:rsidRPr="009F534D">
        <w:rPr>
          <w:lang w:val="en-GB"/>
        </w:rPr>
        <w:t xml:space="preserve"> </w:t>
      </w:r>
      <w:proofErr w:type="spellStart"/>
      <w:r w:rsidR="00D55302" w:rsidRPr="009F534D">
        <w:rPr>
          <w:lang w:val="en-GB"/>
        </w:rPr>
        <w:t>Plzeň</w:t>
      </w:r>
      <w:proofErr w:type="spellEnd"/>
      <w:r w:rsidR="00D55302" w:rsidRPr="009F534D">
        <w:rPr>
          <w:lang w:val="en-GB"/>
        </w:rPr>
        <w:t>-sever</w:t>
      </w:r>
      <w:r w:rsidR="00C41E9D" w:rsidRPr="009F534D">
        <w:rPr>
          <w:lang w:val="en-GB"/>
        </w:rPr>
        <w:t>.</w:t>
      </w:r>
    </w:p>
    <w:p w:rsidR="006E1A7F" w:rsidRPr="009F534D" w:rsidRDefault="006E1A7F">
      <w:pPr>
        <w:rPr>
          <w:lang w:val="en-GB"/>
        </w:rPr>
      </w:pPr>
    </w:p>
    <w:tbl>
      <w:tblPr>
        <w:tblW w:w="8505" w:type="dxa"/>
        <w:jc w:val="center"/>
        <w:tblCellMar>
          <w:left w:w="70" w:type="dxa"/>
          <w:right w:w="70" w:type="dxa"/>
        </w:tblCellMar>
        <w:tblLook w:val="04A0"/>
      </w:tblPr>
      <w:tblGrid>
        <w:gridCol w:w="2566"/>
        <w:gridCol w:w="2186"/>
        <w:gridCol w:w="1937"/>
        <w:gridCol w:w="1816"/>
      </w:tblGrid>
      <w:tr w:rsidR="006E1A7F" w:rsidRPr="009F534D" w:rsidTr="004D586B">
        <w:trPr>
          <w:trHeight w:val="510"/>
          <w:jc w:val="center"/>
        </w:trPr>
        <w:tc>
          <w:tcPr>
            <w:tcW w:w="8505" w:type="dxa"/>
            <w:gridSpan w:val="4"/>
            <w:tcBorders>
              <w:top w:val="nil"/>
              <w:left w:val="nil"/>
              <w:bottom w:val="nil"/>
              <w:right w:val="nil"/>
            </w:tcBorders>
            <w:shd w:val="clear" w:color="auto" w:fill="auto"/>
            <w:vAlign w:val="bottom"/>
            <w:hideMark/>
          </w:tcPr>
          <w:p w:rsidR="006E1A7F" w:rsidRPr="009F534D" w:rsidRDefault="004822B1" w:rsidP="00124C15">
            <w:pPr>
              <w:spacing w:line="240" w:lineRule="auto"/>
              <w:jc w:val="left"/>
              <w:rPr>
                <w:rFonts w:eastAsia="Times New Roman" w:cs="Arial"/>
                <w:b/>
                <w:bCs/>
                <w:szCs w:val="20"/>
                <w:lang w:val="en-GB" w:eastAsia="cs-CZ"/>
              </w:rPr>
            </w:pPr>
            <w:r w:rsidRPr="009F534D">
              <w:rPr>
                <w:rFonts w:eastAsia="Times New Roman" w:cs="Arial"/>
                <w:b/>
                <w:bCs/>
                <w:szCs w:val="20"/>
                <w:lang w:val="en-GB" w:eastAsia="cs-CZ"/>
              </w:rPr>
              <w:t>Index</w:t>
            </w:r>
            <w:r w:rsidR="00124C15" w:rsidRPr="009F534D">
              <w:rPr>
                <w:rFonts w:eastAsia="Times New Roman" w:cs="Arial"/>
                <w:b/>
                <w:bCs/>
                <w:szCs w:val="20"/>
                <w:lang w:val="en-GB" w:eastAsia="cs-CZ"/>
              </w:rPr>
              <w:t xml:space="preserve"> of the number of working persons </w:t>
            </w:r>
            <w:r w:rsidRPr="009F534D">
              <w:rPr>
                <w:rFonts w:eastAsia="Times New Roman" w:cs="Arial"/>
                <w:b/>
                <w:bCs/>
                <w:szCs w:val="20"/>
                <w:lang w:val="en-GB" w:eastAsia="cs-CZ"/>
              </w:rPr>
              <w:t>a</w:t>
            </w:r>
            <w:r w:rsidR="00124C15" w:rsidRPr="009F534D">
              <w:rPr>
                <w:rFonts w:eastAsia="Times New Roman" w:cs="Arial"/>
                <w:b/>
                <w:bCs/>
                <w:szCs w:val="20"/>
                <w:lang w:val="en-GB" w:eastAsia="cs-CZ"/>
              </w:rPr>
              <w:t xml:space="preserve">nd the number of persons having one or main job </w:t>
            </w:r>
            <w:r w:rsidR="00ED1711">
              <w:rPr>
                <w:rFonts w:eastAsia="Times New Roman" w:cs="Arial"/>
                <w:b/>
                <w:bCs/>
                <w:szCs w:val="20"/>
                <w:lang w:val="en-GB" w:eastAsia="cs-CZ"/>
              </w:rPr>
              <w:t xml:space="preserve">and residence </w:t>
            </w:r>
            <w:r w:rsidR="00124C15" w:rsidRPr="009F534D">
              <w:rPr>
                <w:rFonts w:eastAsia="Times New Roman" w:cs="Arial"/>
                <w:b/>
                <w:bCs/>
                <w:szCs w:val="20"/>
                <w:lang w:val="en-GB" w:eastAsia="cs-CZ"/>
              </w:rPr>
              <w:t xml:space="preserve">in regions </w:t>
            </w:r>
            <w:r w:rsidRPr="009F534D">
              <w:rPr>
                <w:rFonts w:eastAsia="Times New Roman" w:cs="Arial"/>
                <w:b/>
                <w:bCs/>
                <w:szCs w:val="20"/>
                <w:lang w:val="en-GB" w:eastAsia="cs-CZ"/>
              </w:rPr>
              <w:t>a</w:t>
            </w:r>
            <w:r w:rsidR="00124C15" w:rsidRPr="009F534D">
              <w:rPr>
                <w:rFonts w:eastAsia="Times New Roman" w:cs="Arial"/>
                <w:b/>
                <w:bCs/>
                <w:szCs w:val="20"/>
                <w:lang w:val="en-GB" w:eastAsia="cs-CZ"/>
              </w:rPr>
              <w:t xml:space="preserve">nd selected cities in the period from </w:t>
            </w:r>
            <w:r w:rsidRPr="009F534D">
              <w:rPr>
                <w:rFonts w:eastAsia="Times New Roman" w:cs="Arial"/>
                <w:b/>
                <w:bCs/>
                <w:szCs w:val="20"/>
                <w:lang w:val="en-GB" w:eastAsia="cs-CZ"/>
              </w:rPr>
              <w:t xml:space="preserve">2011 </w:t>
            </w:r>
            <w:r w:rsidR="00124C15" w:rsidRPr="009F534D">
              <w:rPr>
                <w:rFonts w:eastAsia="Times New Roman" w:cs="Arial"/>
                <w:b/>
                <w:bCs/>
                <w:szCs w:val="20"/>
                <w:lang w:val="en-GB" w:eastAsia="cs-CZ"/>
              </w:rPr>
              <w:t>to</w:t>
            </w:r>
            <w:r w:rsidRPr="009F534D">
              <w:rPr>
                <w:rFonts w:eastAsia="Times New Roman" w:cs="Arial"/>
                <w:b/>
                <w:bCs/>
                <w:szCs w:val="20"/>
                <w:lang w:val="en-GB" w:eastAsia="cs-CZ"/>
              </w:rPr>
              <w:t xml:space="preserve"> 2013</w:t>
            </w:r>
          </w:p>
        </w:tc>
      </w:tr>
      <w:tr w:rsidR="006E1A7F" w:rsidRPr="009F534D" w:rsidTr="004D586B">
        <w:trPr>
          <w:trHeight w:val="270"/>
          <w:jc w:val="center"/>
        </w:trPr>
        <w:tc>
          <w:tcPr>
            <w:tcW w:w="2566"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left"/>
              <w:rPr>
                <w:rFonts w:eastAsia="Times New Roman" w:cs="Arial"/>
                <w:szCs w:val="20"/>
                <w:lang w:val="en-GB" w:eastAsia="cs-CZ"/>
              </w:rPr>
            </w:pPr>
          </w:p>
        </w:tc>
        <w:tc>
          <w:tcPr>
            <w:tcW w:w="2186"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left"/>
              <w:rPr>
                <w:rFonts w:eastAsia="Times New Roman" w:cs="Arial"/>
                <w:szCs w:val="20"/>
                <w:lang w:val="en-GB" w:eastAsia="cs-CZ"/>
              </w:rPr>
            </w:pP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left"/>
              <w:rPr>
                <w:rFonts w:eastAsia="Times New Roman" w:cs="Arial"/>
                <w:szCs w:val="20"/>
                <w:lang w:val="en-GB" w:eastAsia="cs-CZ"/>
              </w:rPr>
            </w:pPr>
          </w:p>
        </w:tc>
        <w:tc>
          <w:tcPr>
            <w:tcW w:w="1816"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p>
        </w:tc>
      </w:tr>
      <w:tr w:rsidR="006E1A7F" w:rsidRPr="009F534D" w:rsidTr="004D586B">
        <w:trPr>
          <w:trHeight w:val="686"/>
          <w:jc w:val="center"/>
        </w:trPr>
        <w:tc>
          <w:tcPr>
            <w:tcW w:w="2566" w:type="dxa"/>
            <w:tcBorders>
              <w:top w:val="single" w:sz="8" w:space="0" w:color="auto"/>
              <w:left w:val="nil"/>
              <w:bottom w:val="single" w:sz="8" w:space="0" w:color="auto"/>
              <w:right w:val="single" w:sz="4" w:space="0" w:color="auto"/>
            </w:tcBorders>
            <w:shd w:val="clear" w:color="auto" w:fill="auto"/>
            <w:noWrap/>
            <w:vAlign w:val="center"/>
            <w:hideMark/>
          </w:tcPr>
          <w:p w:rsidR="006E1A7F" w:rsidRPr="009F534D" w:rsidRDefault="00E871B0" w:rsidP="00E871B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Region</w:t>
            </w:r>
            <w:r w:rsidR="006E1A7F" w:rsidRPr="009F534D">
              <w:rPr>
                <w:rFonts w:eastAsia="Times New Roman" w:cs="Arial"/>
                <w:sz w:val="16"/>
                <w:szCs w:val="16"/>
                <w:lang w:val="en-GB" w:eastAsia="cs-CZ"/>
              </w:rPr>
              <w:t xml:space="preserve"> / </w:t>
            </w:r>
            <w:r w:rsidRPr="009F534D">
              <w:rPr>
                <w:rFonts w:eastAsia="Times New Roman" w:cs="Arial"/>
                <w:sz w:val="16"/>
                <w:szCs w:val="16"/>
                <w:lang w:val="en-GB" w:eastAsia="cs-CZ"/>
              </w:rPr>
              <w:t>City</w:t>
            </w:r>
          </w:p>
        </w:tc>
        <w:tc>
          <w:tcPr>
            <w:tcW w:w="2186" w:type="dxa"/>
            <w:tcBorders>
              <w:top w:val="single" w:sz="8" w:space="0" w:color="auto"/>
              <w:left w:val="nil"/>
              <w:bottom w:val="single" w:sz="8" w:space="0" w:color="auto"/>
              <w:right w:val="single" w:sz="4" w:space="0" w:color="auto"/>
            </w:tcBorders>
            <w:shd w:val="clear" w:color="auto" w:fill="auto"/>
            <w:noWrap/>
            <w:vAlign w:val="center"/>
            <w:hideMark/>
          </w:tcPr>
          <w:p w:rsidR="006E1A7F" w:rsidRPr="009F534D" w:rsidRDefault="00E871B0" w:rsidP="00E871B0">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Number of working persons</w:t>
            </w:r>
            <w:r w:rsidR="009F10E2" w:rsidRPr="009F534D">
              <w:rPr>
                <w:rFonts w:eastAsia="Times New Roman" w:cs="Arial"/>
                <w:sz w:val="16"/>
                <w:szCs w:val="16"/>
                <w:lang w:val="en-GB" w:eastAsia="cs-CZ"/>
              </w:rPr>
              <w:t xml:space="preserve"> (</w:t>
            </w:r>
            <w:r w:rsidRPr="009F534D">
              <w:rPr>
                <w:rFonts w:eastAsia="Times New Roman" w:cs="Arial"/>
                <w:sz w:val="16"/>
                <w:szCs w:val="16"/>
                <w:lang w:val="en-GB" w:eastAsia="cs-CZ"/>
              </w:rPr>
              <w:t>thousand</w:t>
            </w:r>
            <w:r w:rsidR="009F10E2" w:rsidRPr="009F534D">
              <w:rPr>
                <w:rFonts w:eastAsia="Times New Roman" w:cs="Arial"/>
                <w:sz w:val="16"/>
                <w:szCs w:val="16"/>
                <w:lang w:val="en-GB" w:eastAsia="cs-CZ"/>
              </w:rPr>
              <w:t>)</w:t>
            </w:r>
          </w:p>
        </w:tc>
        <w:tc>
          <w:tcPr>
            <w:tcW w:w="1937" w:type="dxa"/>
            <w:tcBorders>
              <w:top w:val="single" w:sz="8" w:space="0" w:color="auto"/>
              <w:left w:val="nil"/>
              <w:bottom w:val="single" w:sz="8" w:space="0" w:color="auto"/>
              <w:right w:val="single" w:sz="4" w:space="0" w:color="auto"/>
            </w:tcBorders>
            <w:shd w:val="clear" w:color="auto" w:fill="auto"/>
            <w:noWrap/>
            <w:vAlign w:val="center"/>
            <w:hideMark/>
          </w:tcPr>
          <w:p w:rsidR="006E1A7F" w:rsidRPr="009F534D" w:rsidRDefault="00E871B0" w:rsidP="00ED1711">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Number of persons with one or main job </w:t>
            </w:r>
            <w:r w:rsidR="00ED1711">
              <w:rPr>
                <w:rFonts w:eastAsia="Times New Roman" w:cs="Arial"/>
                <w:sz w:val="16"/>
                <w:szCs w:val="16"/>
                <w:lang w:val="en-GB" w:eastAsia="cs-CZ"/>
              </w:rPr>
              <w:t xml:space="preserve">and residence </w:t>
            </w:r>
            <w:r w:rsidR="009F10E2" w:rsidRPr="009F534D">
              <w:rPr>
                <w:rFonts w:eastAsia="Times New Roman" w:cs="Arial"/>
                <w:sz w:val="16"/>
                <w:szCs w:val="16"/>
                <w:lang w:val="en-GB" w:eastAsia="cs-CZ"/>
              </w:rPr>
              <w:t>(</w:t>
            </w:r>
            <w:r w:rsidRPr="009F534D">
              <w:rPr>
                <w:rFonts w:eastAsia="Times New Roman" w:cs="Arial"/>
                <w:sz w:val="16"/>
                <w:szCs w:val="16"/>
                <w:lang w:val="en-GB" w:eastAsia="cs-CZ"/>
              </w:rPr>
              <w:t>thousand</w:t>
            </w:r>
            <w:r w:rsidR="009F10E2" w:rsidRPr="009F534D">
              <w:rPr>
                <w:rFonts w:eastAsia="Times New Roman" w:cs="Arial"/>
                <w:sz w:val="16"/>
                <w:szCs w:val="16"/>
                <w:lang w:val="en-GB" w:eastAsia="cs-CZ"/>
              </w:rPr>
              <w:t>)</w:t>
            </w:r>
          </w:p>
        </w:tc>
        <w:tc>
          <w:tcPr>
            <w:tcW w:w="1816" w:type="dxa"/>
            <w:tcBorders>
              <w:top w:val="single" w:sz="8" w:space="0" w:color="auto"/>
              <w:left w:val="nil"/>
              <w:bottom w:val="single" w:sz="8" w:space="0" w:color="auto"/>
              <w:right w:val="nil"/>
            </w:tcBorders>
            <w:shd w:val="clear" w:color="auto" w:fill="auto"/>
            <w:noWrap/>
            <w:vAlign w:val="center"/>
            <w:hideMark/>
          </w:tcPr>
          <w:p w:rsidR="006E1A7F" w:rsidRPr="009F534D" w:rsidRDefault="006E1A7F" w:rsidP="006E1A7F">
            <w:pPr>
              <w:spacing w:line="240" w:lineRule="auto"/>
              <w:jc w:val="center"/>
              <w:rPr>
                <w:rFonts w:eastAsia="Times New Roman" w:cs="Arial"/>
                <w:sz w:val="16"/>
                <w:szCs w:val="16"/>
                <w:lang w:val="en-GB" w:eastAsia="cs-CZ"/>
              </w:rPr>
            </w:pPr>
            <w:r w:rsidRPr="009F534D">
              <w:rPr>
                <w:rFonts w:eastAsia="Times New Roman" w:cs="Arial"/>
                <w:sz w:val="16"/>
                <w:szCs w:val="16"/>
                <w:lang w:val="en-GB" w:eastAsia="cs-CZ"/>
              </w:rPr>
              <w:t xml:space="preserve">Index </w:t>
            </w:r>
            <w:r w:rsidR="009F10E2" w:rsidRPr="009F534D">
              <w:rPr>
                <w:rFonts w:eastAsia="Times New Roman" w:cs="Arial"/>
                <w:sz w:val="16"/>
                <w:szCs w:val="16"/>
                <w:lang w:val="en-GB" w:eastAsia="cs-CZ"/>
              </w:rPr>
              <w:t>(* 100)</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xml:space="preserve">Hl. m. </w:t>
            </w:r>
            <w:proofErr w:type="spellStart"/>
            <w:r w:rsidRPr="009F534D">
              <w:rPr>
                <w:rFonts w:eastAsia="Times New Roman" w:cs="Arial"/>
                <w:sz w:val="16"/>
                <w:szCs w:val="16"/>
                <w:lang w:val="en-GB" w:eastAsia="cs-CZ"/>
              </w:rPr>
              <w:t>Praha</w:t>
            </w:r>
            <w:proofErr w:type="spellEnd"/>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777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c>
          <w:tcPr>
            <w:tcW w:w="1937"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644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c>
          <w:tcPr>
            <w:tcW w:w="1816"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119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Středočeský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531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620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1</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84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Jihočeský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291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9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296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9</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98</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Plzeňský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269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277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8</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Karlovarský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135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140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4</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Ústecký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349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360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3</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Liberecký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187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9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195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9</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9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Královéhradecký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247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252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6</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98</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Pardubický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232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238</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8</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Vysočina</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226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233</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9</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Jihomoravský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540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542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6</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Olomoucký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277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282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9</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99</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Zlínský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265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7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271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0</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r>
      <w:tr w:rsidR="006E1A7F" w:rsidRPr="009F534D" w:rsidTr="004D586B">
        <w:trPr>
          <w:trHeight w:val="227"/>
          <w:jc w:val="center"/>
        </w:trPr>
        <w:tc>
          <w:tcPr>
            <w:tcW w:w="256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roofErr w:type="spellStart"/>
            <w:r w:rsidRPr="009F534D">
              <w:rPr>
                <w:rFonts w:eastAsia="Times New Roman" w:cs="Arial"/>
                <w:sz w:val="16"/>
                <w:szCs w:val="16"/>
                <w:lang w:val="en-GB" w:eastAsia="cs-CZ"/>
              </w:rPr>
              <w:t>Moravskoslezský</w:t>
            </w:r>
            <w:proofErr w:type="spellEnd"/>
            <w:r w:rsidRPr="009F534D">
              <w:rPr>
                <w:rFonts w:eastAsia="Times New Roman" w:cs="Arial"/>
                <w:sz w:val="16"/>
                <w:szCs w:val="16"/>
                <w:lang w:val="en-GB" w:eastAsia="cs-CZ"/>
              </w:rPr>
              <w:t xml:space="preserve"> </w:t>
            </w:r>
          </w:p>
        </w:tc>
        <w:tc>
          <w:tcPr>
            <w:tcW w:w="2186" w:type="dxa"/>
            <w:tcBorders>
              <w:top w:val="nil"/>
              <w:left w:val="nil"/>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536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2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542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6</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98</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6 </w:t>
            </w:r>
          </w:p>
        </w:tc>
      </w:tr>
      <w:tr w:rsidR="00333B5D" w:rsidRPr="009F534D" w:rsidTr="00AC6B51">
        <w:trPr>
          <w:trHeight w:val="170"/>
          <w:jc w:val="center"/>
        </w:trPr>
        <w:tc>
          <w:tcPr>
            <w:tcW w:w="2566" w:type="dxa"/>
            <w:tcBorders>
              <w:top w:val="nil"/>
              <w:left w:val="nil"/>
              <w:bottom w:val="nil"/>
              <w:right w:val="nil"/>
            </w:tcBorders>
            <w:shd w:val="clear" w:color="auto" w:fill="auto"/>
            <w:noWrap/>
            <w:vAlign w:val="bottom"/>
            <w:hideMark/>
          </w:tcPr>
          <w:p w:rsidR="00333B5D" w:rsidRPr="009F534D" w:rsidRDefault="00333B5D" w:rsidP="00E871B0">
            <w:pPr>
              <w:spacing w:line="240" w:lineRule="auto"/>
              <w:jc w:val="left"/>
              <w:rPr>
                <w:rFonts w:eastAsia="Times New Roman" w:cs="Arial"/>
                <w:sz w:val="16"/>
                <w:szCs w:val="16"/>
                <w:lang w:val="en-GB" w:eastAsia="cs-CZ"/>
              </w:rPr>
            </w:pPr>
          </w:p>
        </w:tc>
        <w:tc>
          <w:tcPr>
            <w:tcW w:w="2186" w:type="dxa"/>
            <w:tcBorders>
              <w:top w:val="nil"/>
              <w:left w:val="single" w:sz="4" w:space="0" w:color="auto"/>
              <w:bottom w:val="nil"/>
              <w:right w:val="single" w:sz="4" w:space="0" w:color="auto"/>
            </w:tcBorders>
            <w:shd w:val="clear" w:color="auto" w:fill="auto"/>
            <w:noWrap/>
            <w:vAlign w:val="bottom"/>
            <w:hideMark/>
          </w:tcPr>
          <w:p w:rsidR="00333B5D" w:rsidRPr="009F534D" w:rsidRDefault="00333B5D" w:rsidP="006E1A7F">
            <w:pPr>
              <w:spacing w:line="240" w:lineRule="auto"/>
              <w:jc w:val="left"/>
              <w:rPr>
                <w:rFonts w:eastAsia="Times New Roman" w:cs="Arial"/>
                <w:sz w:val="16"/>
                <w:szCs w:val="16"/>
                <w:lang w:val="en-GB" w:eastAsia="cs-CZ"/>
              </w:rPr>
            </w:pPr>
          </w:p>
        </w:tc>
        <w:tc>
          <w:tcPr>
            <w:tcW w:w="1937" w:type="dxa"/>
            <w:tcBorders>
              <w:top w:val="nil"/>
              <w:left w:val="nil"/>
              <w:bottom w:val="nil"/>
              <w:right w:val="nil"/>
            </w:tcBorders>
            <w:shd w:val="clear" w:color="auto" w:fill="auto"/>
            <w:noWrap/>
            <w:vAlign w:val="bottom"/>
            <w:hideMark/>
          </w:tcPr>
          <w:p w:rsidR="00333B5D" w:rsidRPr="009F534D" w:rsidRDefault="00333B5D" w:rsidP="006E1A7F">
            <w:pPr>
              <w:spacing w:line="240" w:lineRule="auto"/>
              <w:jc w:val="left"/>
              <w:rPr>
                <w:rFonts w:eastAsia="Times New Roman" w:cs="Arial"/>
                <w:sz w:val="16"/>
                <w:szCs w:val="16"/>
                <w:lang w:val="en-GB" w:eastAsia="cs-CZ"/>
              </w:rPr>
            </w:pPr>
          </w:p>
        </w:tc>
        <w:tc>
          <w:tcPr>
            <w:tcW w:w="1816" w:type="dxa"/>
            <w:tcBorders>
              <w:top w:val="nil"/>
              <w:left w:val="single" w:sz="4" w:space="0" w:color="auto"/>
              <w:bottom w:val="nil"/>
              <w:right w:val="nil"/>
            </w:tcBorders>
            <w:shd w:val="clear" w:color="auto" w:fill="auto"/>
            <w:noWrap/>
            <w:vAlign w:val="bottom"/>
            <w:hideMark/>
          </w:tcPr>
          <w:p w:rsidR="00333B5D" w:rsidRPr="009F534D" w:rsidRDefault="00333B5D" w:rsidP="006E1A7F">
            <w:pPr>
              <w:spacing w:line="240" w:lineRule="auto"/>
              <w:jc w:val="left"/>
              <w:rPr>
                <w:rFonts w:eastAsia="Times New Roman" w:cs="Arial"/>
                <w:sz w:val="16"/>
                <w:szCs w:val="16"/>
                <w:lang w:val="en-GB" w:eastAsia="cs-CZ"/>
              </w:rPr>
            </w:pPr>
          </w:p>
        </w:tc>
      </w:tr>
      <w:tr w:rsidR="006E1A7F" w:rsidRPr="009F534D" w:rsidTr="00AC6B51">
        <w:trPr>
          <w:trHeight w:val="170"/>
          <w:jc w:val="center"/>
        </w:trPr>
        <w:tc>
          <w:tcPr>
            <w:tcW w:w="2566" w:type="dxa"/>
            <w:tcBorders>
              <w:top w:val="nil"/>
              <w:left w:val="nil"/>
              <w:bottom w:val="nil"/>
              <w:right w:val="nil"/>
            </w:tcBorders>
            <w:shd w:val="clear" w:color="auto" w:fill="auto"/>
            <w:noWrap/>
            <w:vAlign w:val="bottom"/>
            <w:hideMark/>
          </w:tcPr>
          <w:p w:rsidR="006E1A7F" w:rsidRPr="009F534D" w:rsidRDefault="00E871B0" w:rsidP="00E871B0">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lastRenderedPageBreak/>
              <w:t>Selected cities</w:t>
            </w:r>
          </w:p>
        </w:tc>
        <w:tc>
          <w:tcPr>
            <w:tcW w:w="2186" w:type="dxa"/>
            <w:tcBorders>
              <w:top w:val="nil"/>
              <w:left w:val="single" w:sz="4" w:space="0" w:color="auto"/>
              <w:bottom w:val="nil"/>
              <w:right w:val="single" w:sz="4" w:space="0" w:color="auto"/>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left"/>
              <w:rPr>
                <w:rFonts w:eastAsia="Times New Roman" w:cs="Arial"/>
                <w:sz w:val="16"/>
                <w:szCs w:val="16"/>
                <w:lang w:val="en-GB" w:eastAsia="cs-CZ"/>
              </w:rPr>
            </w:pPr>
            <w:r w:rsidRPr="009F534D">
              <w:rPr>
                <w:rFonts w:eastAsia="Times New Roman" w:cs="Arial"/>
                <w:sz w:val="16"/>
                <w:szCs w:val="16"/>
                <w:lang w:val="en-GB" w:eastAsia="cs-CZ"/>
              </w:rPr>
              <w:t> </w:t>
            </w:r>
          </w:p>
        </w:tc>
      </w:tr>
      <w:tr w:rsidR="006E1A7F" w:rsidRPr="009F534D" w:rsidTr="004D586B">
        <w:trPr>
          <w:trHeight w:val="227"/>
          <w:jc w:val="center"/>
        </w:trPr>
        <w:tc>
          <w:tcPr>
            <w:tcW w:w="2566" w:type="dxa"/>
            <w:tcBorders>
              <w:top w:val="nil"/>
              <w:left w:val="nil"/>
              <w:bottom w:val="nil"/>
              <w:right w:val="nil"/>
            </w:tcBorders>
            <w:shd w:val="clear" w:color="auto" w:fill="auto"/>
            <w:noWrap/>
            <w:vAlign w:val="bottom"/>
            <w:hideMark/>
          </w:tcPr>
          <w:p w:rsidR="006E1A7F" w:rsidRPr="009F534D" w:rsidRDefault="006E1A7F" w:rsidP="00E871B0">
            <w:pPr>
              <w:spacing w:line="240" w:lineRule="auto"/>
              <w:ind w:firstLineChars="100" w:firstLine="160"/>
              <w:jc w:val="left"/>
              <w:rPr>
                <w:rFonts w:eastAsia="Times New Roman" w:cs="Arial"/>
                <w:sz w:val="16"/>
                <w:szCs w:val="16"/>
                <w:lang w:val="en-GB" w:eastAsia="cs-CZ"/>
              </w:rPr>
            </w:pPr>
            <w:proofErr w:type="spellStart"/>
            <w:r w:rsidRPr="009F534D">
              <w:rPr>
                <w:rFonts w:eastAsia="Times New Roman" w:cs="Arial"/>
                <w:sz w:val="16"/>
                <w:szCs w:val="16"/>
                <w:lang w:val="en-GB" w:eastAsia="cs-CZ"/>
              </w:rPr>
              <w:t>Plzeň</w:t>
            </w:r>
            <w:proofErr w:type="spellEnd"/>
            <w:r w:rsidRPr="009F534D">
              <w:rPr>
                <w:rFonts w:eastAsia="Times New Roman" w:cs="Arial"/>
                <w:sz w:val="16"/>
                <w:szCs w:val="16"/>
                <w:lang w:val="en-GB" w:eastAsia="cs-CZ"/>
              </w:rPr>
              <w:t>-</w:t>
            </w:r>
            <w:r w:rsidR="00E871B0" w:rsidRPr="009F534D">
              <w:rPr>
                <w:rFonts w:eastAsia="Times New Roman" w:cs="Arial"/>
                <w:sz w:val="16"/>
                <w:szCs w:val="16"/>
                <w:lang w:val="en-GB" w:eastAsia="cs-CZ"/>
              </w:rPr>
              <w:t>City</w:t>
            </w:r>
          </w:p>
        </w:tc>
        <w:tc>
          <w:tcPr>
            <w:tcW w:w="2186" w:type="dxa"/>
            <w:tcBorders>
              <w:top w:val="nil"/>
              <w:left w:val="single" w:sz="4" w:space="0" w:color="auto"/>
              <w:bottom w:val="nil"/>
              <w:right w:val="single" w:sz="4" w:space="0" w:color="auto"/>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107</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c>
          <w:tcPr>
            <w:tcW w:w="1937" w:type="dxa"/>
            <w:tcBorders>
              <w:top w:val="nil"/>
              <w:left w:val="nil"/>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91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3</w:t>
            </w:r>
          </w:p>
        </w:tc>
        <w:tc>
          <w:tcPr>
            <w:tcW w:w="1816" w:type="dxa"/>
            <w:tcBorders>
              <w:top w:val="nil"/>
              <w:left w:val="single" w:sz="4" w:space="0" w:color="auto"/>
              <w:bottom w:val="nil"/>
              <w:right w:val="nil"/>
            </w:tcBorders>
            <w:shd w:val="clear" w:color="auto" w:fill="auto"/>
            <w:noWrap/>
            <w:vAlign w:val="bottom"/>
            <w:hideMark/>
          </w:tcPr>
          <w:p w:rsidR="006E1A7F" w:rsidRPr="009F534D" w:rsidRDefault="006E1A7F"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115</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4 </w:t>
            </w:r>
          </w:p>
        </w:tc>
      </w:tr>
      <w:tr w:rsidR="00903A40" w:rsidRPr="009F534D" w:rsidTr="004D586B">
        <w:trPr>
          <w:trHeight w:val="227"/>
          <w:jc w:val="center"/>
        </w:trPr>
        <w:tc>
          <w:tcPr>
            <w:tcW w:w="2566" w:type="dxa"/>
            <w:tcBorders>
              <w:top w:val="nil"/>
              <w:left w:val="nil"/>
              <w:bottom w:val="nil"/>
              <w:right w:val="nil"/>
            </w:tcBorders>
            <w:shd w:val="clear" w:color="auto" w:fill="auto"/>
            <w:noWrap/>
            <w:vAlign w:val="bottom"/>
            <w:hideMark/>
          </w:tcPr>
          <w:p w:rsidR="00903A40" w:rsidRPr="009F534D" w:rsidRDefault="00903A40" w:rsidP="00E871B0">
            <w:pPr>
              <w:spacing w:line="240" w:lineRule="auto"/>
              <w:ind w:firstLineChars="100" w:firstLine="160"/>
              <w:jc w:val="left"/>
              <w:rPr>
                <w:rFonts w:eastAsia="Times New Roman" w:cs="Arial"/>
                <w:sz w:val="16"/>
                <w:szCs w:val="16"/>
                <w:lang w:val="en-GB" w:eastAsia="cs-CZ"/>
              </w:rPr>
            </w:pPr>
            <w:r w:rsidRPr="009F534D">
              <w:rPr>
                <w:rFonts w:eastAsia="Times New Roman" w:cs="Arial"/>
                <w:sz w:val="16"/>
                <w:szCs w:val="16"/>
                <w:lang w:val="en-GB" w:eastAsia="cs-CZ"/>
              </w:rPr>
              <w:t>Brno-</w:t>
            </w:r>
            <w:r w:rsidR="00E871B0" w:rsidRPr="009F534D">
              <w:rPr>
                <w:rFonts w:eastAsia="Times New Roman" w:cs="Arial"/>
                <w:sz w:val="16"/>
                <w:szCs w:val="16"/>
                <w:lang w:val="en-GB" w:eastAsia="cs-CZ"/>
              </w:rPr>
              <w:t>City</w:t>
            </w:r>
          </w:p>
        </w:tc>
        <w:tc>
          <w:tcPr>
            <w:tcW w:w="2186" w:type="dxa"/>
            <w:tcBorders>
              <w:top w:val="nil"/>
              <w:left w:val="single" w:sz="4" w:space="0" w:color="auto"/>
              <w:bottom w:val="nil"/>
              <w:right w:val="single" w:sz="4" w:space="0" w:color="auto"/>
            </w:tcBorders>
            <w:shd w:val="clear" w:color="auto" w:fill="auto"/>
            <w:noWrap/>
            <w:vAlign w:val="bottom"/>
            <w:hideMark/>
          </w:tcPr>
          <w:p w:rsidR="00903A40" w:rsidRPr="009F534D" w:rsidRDefault="00903A40"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240</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3 </w:t>
            </w:r>
          </w:p>
        </w:tc>
        <w:tc>
          <w:tcPr>
            <w:tcW w:w="1937"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184</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2</w:t>
            </w:r>
          </w:p>
        </w:tc>
        <w:tc>
          <w:tcPr>
            <w:tcW w:w="1816" w:type="dxa"/>
            <w:tcBorders>
              <w:top w:val="nil"/>
              <w:left w:val="single" w:sz="4" w:space="0" w:color="auto"/>
              <w:bottom w:val="nil"/>
              <w:right w:val="nil"/>
            </w:tcBorders>
            <w:shd w:val="clear" w:color="auto" w:fill="auto"/>
            <w:noWrap/>
            <w:vAlign w:val="bottom"/>
            <w:hideMark/>
          </w:tcPr>
          <w:p w:rsidR="00903A40" w:rsidRPr="009F534D" w:rsidRDefault="00903A40"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126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1 </w:t>
            </w:r>
          </w:p>
        </w:tc>
      </w:tr>
      <w:tr w:rsidR="00903A40" w:rsidRPr="009F534D" w:rsidTr="004D586B">
        <w:trPr>
          <w:trHeight w:val="227"/>
          <w:jc w:val="center"/>
        </w:trPr>
        <w:tc>
          <w:tcPr>
            <w:tcW w:w="2566" w:type="dxa"/>
            <w:tcBorders>
              <w:top w:val="nil"/>
              <w:left w:val="nil"/>
              <w:bottom w:val="nil"/>
              <w:right w:val="nil"/>
            </w:tcBorders>
            <w:shd w:val="clear" w:color="auto" w:fill="auto"/>
            <w:noWrap/>
            <w:vAlign w:val="bottom"/>
            <w:hideMark/>
          </w:tcPr>
          <w:p w:rsidR="00903A40" w:rsidRPr="009F534D" w:rsidRDefault="00903A40" w:rsidP="00E871B0">
            <w:pPr>
              <w:spacing w:line="240" w:lineRule="auto"/>
              <w:ind w:firstLineChars="100" w:firstLine="160"/>
              <w:jc w:val="left"/>
              <w:rPr>
                <w:rFonts w:eastAsia="Times New Roman" w:cs="Arial"/>
                <w:sz w:val="16"/>
                <w:szCs w:val="16"/>
                <w:lang w:val="en-GB" w:eastAsia="cs-CZ"/>
              </w:rPr>
            </w:pPr>
            <w:r w:rsidRPr="009F534D">
              <w:rPr>
                <w:rFonts w:eastAsia="Times New Roman" w:cs="Arial"/>
                <w:sz w:val="16"/>
                <w:szCs w:val="16"/>
                <w:lang w:val="en-GB" w:eastAsia="cs-CZ"/>
              </w:rPr>
              <w:t>Ostrava-</w:t>
            </w:r>
            <w:r w:rsidR="00E871B0" w:rsidRPr="009F534D">
              <w:rPr>
                <w:rFonts w:eastAsia="Times New Roman" w:cs="Arial"/>
                <w:sz w:val="16"/>
                <w:szCs w:val="16"/>
                <w:lang w:val="en-GB" w:eastAsia="cs-CZ"/>
              </w:rPr>
              <w:t>City</w:t>
            </w:r>
          </w:p>
        </w:tc>
        <w:tc>
          <w:tcPr>
            <w:tcW w:w="2186" w:type="dxa"/>
            <w:tcBorders>
              <w:top w:val="nil"/>
              <w:left w:val="single" w:sz="4" w:space="0" w:color="auto"/>
              <w:bottom w:val="nil"/>
              <w:right w:val="single" w:sz="4" w:space="0" w:color="auto"/>
            </w:tcBorders>
            <w:shd w:val="clear" w:color="auto" w:fill="auto"/>
            <w:noWrap/>
            <w:vAlign w:val="bottom"/>
            <w:hideMark/>
          </w:tcPr>
          <w:p w:rsidR="00903A40" w:rsidRPr="009F534D" w:rsidRDefault="00903A40"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182</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8 </w:t>
            </w:r>
          </w:p>
        </w:tc>
        <w:tc>
          <w:tcPr>
            <w:tcW w:w="1937"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146</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3</w:t>
            </w:r>
          </w:p>
        </w:tc>
        <w:tc>
          <w:tcPr>
            <w:tcW w:w="1816" w:type="dxa"/>
            <w:tcBorders>
              <w:top w:val="nil"/>
              <w:left w:val="single" w:sz="4" w:space="0" w:color="auto"/>
              <w:bottom w:val="nil"/>
              <w:right w:val="nil"/>
            </w:tcBorders>
            <w:shd w:val="clear" w:color="auto" w:fill="auto"/>
            <w:noWrap/>
            <w:vAlign w:val="bottom"/>
            <w:hideMark/>
          </w:tcPr>
          <w:p w:rsidR="00903A40" w:rsidRPr="009F534D" w:rsidRDefault="00903A40" w:rsidP="006E1A7F">
            <w:pPr>
              <w:spacing w:line="240" w:lineRule="auto"/>
              <w:jc w:val="right"/>
              <w:rPr>
                <w:rFonts w:eastAsia="Times New Roman" w:cs="Arial"/>
                <w:sz w:val="16"/>
                <w:szCs w:val="16"/>
                <w:lang w:val="en-GB" w:eastAsia="cs-CZ"/>
              </w:rPr>
            </w:pPr>
            <w:r w:rsidRPr="009F534D">
              <w:rPr>
                <w:rFonts w:eastAsia="Times New Roman" w:cs="Arial"/>
                <w:sz w:val="16"/>
                <w:szCs w:val="16"/>
                <w:lang w:val="en-GB" w:eastAsia="cs-CZ"/>
              </w:rPr>
              <w:t>121</w:t>
            </w:r>
            <w:r w:rsidR="00E871B0" w:rsidRPr="009F534D">
              <w:rPr>
                <w:rFonts w:eastAsia="Times New Roman" w:cs="Arial"/>
                <w:sz w:val="16"/>
                <w:szCs w:val="16"/>
                <w:lang w:val="en-GB" w:eastAsia="cs-CZ"/>
              </w:rPr>
              <w:t>.</w:t>
            </w:r>
            <w:r w:rsidRPr="009F534D">
              <w:rPr>
                <w:rFonts w:eastAsia="Times New Roman" w:cs="Arial"/>
                <w:sz w:val="16"/>
                <w:szCs w:val="16"/>
                <w:lang w:val="en-GB" w:eastAsia="cs-CZ"/>
              </w:rPr>
              <w:t xml:space="preserve">0 </w:t>
            </w:r>
          </w:p>
        </w:tc>
      </w:tr>
      <w:tr w:rsidR="00903A40" w:rsidRPr="009F534D" w:rsidTr="004D586B">
        <w:trPr>
          <w:trHeight w:val="227"/>
          <w:jc w:val="center"/>
        </w:trPr>
        <w:tc>
          <w:tcPr>
            <w:tcW w:w="2566"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left"/>
              <w:rPr>
                <w:rFonts w:eastAsia="Times New Roman" w:cs="Arial"/>
                <w:szCs w:val="20"/>
                <w:lang w:val="en-GB" w:eastAsia="cs-CZ"/>
              </w:rPr>
            </w:pPr>
          </w:p>
        </w:tc>
        <w:tc>
          <w:tcPr>
            <w:tcW w:w="2186"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left"/>
              <w:rPr>
                <w:rFonts w:eastAsia="Times New Roman" w:cs="Arial"/>
                <w:szCs w:val="20"/>
                <w:lang w:val="en-GB" w:eastAsia="cs-CZ"/>
              </w:rPr>
            </w:pPr>
          </w:p>
        </w:tc>
        <w:tc>
          <w:tcPr>
            <w:tcW w:w="1937"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left"/>
              <w:rPr>
                <w:rFonts w:eastAsia="Times New Roman" w:cs="Arial"/>
                <w:szCs w:val="20"/>
                <w:lang w:val="en-GB" w:eastAsia="cs-CZ"/>
              </w:rPr>
            </w:pPr>
          </w:p>
        </w:tc>
        <w:tc>
          <w:tcPr>
            <w:tcW w:w="1816"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left"/>
              <w:rPr>
                <w:rFonts w:eastAsia="Times New Roman" w:cs="Arial"/>
                <w:szCs w:val="20"/>
                <w:lang w:val="en-GB" w:eastAsia="cs-CZ"/>
              </w:rPr>
            </w:pPr>
          </w:p>
        </w:tc>
      </w:tr>
      <w:tr w:rsidR="00903A40" w:rsidRPr="009F534D" w:rsidTr="004D586B">
        <w:trPr>
          <w:trHeight w:val="227"/>
          <w:jc w:val="center"/>
        </w:trPr>
        <w:tc>
          <w:tcPr>
            <w:tcW w:w="2566" w:type="dxa"/>
            <w:tcBorders>
              <w:top w:val="nil"/>
              <w:left w:val="nil"/>
              <w:bottom w:val="nil"/>
              <w:right w:val="nil"/>
            </w:tcBorders>
            <w:shd w:val="clear" w:color="auto" w:fill="auto"/>
            <w:noWrap/>
            <w:vAlign w:val="bottom"/>
            <w:hideMark/>
          </w:tcPr>
          <w:p w:rsidR="00903A40" w:rsidRPr="009F534D" w:rsidRDefault="00E871B0" w:rsidP="006E1A7F">
            <w:pPr>
              <w:spacing w:line="240" w:lineRule="auto"/>
              <w:jc w:val="left"/>
              <w:rPr>
                <w:rFonts w:eastAsia="Times New Roman" w:cs="Arial"/>
                <w:i/>
                <w:iCs/>
                <w:sz w:val="18"/>
                <w:szCs w:val="18"/>
                <w:lang w:val="en-GB" w:eastAsia="cs-CZ"/>
              </w:rPr>
            </w:pPr>
            <w:r w:rsidRPr="009F534D">
              <w:rPr>
                <w:rFonts w:eastAsia="Times New Roman" w:cs="Arial"/>
                <w:i/>
                <w:iCs/>
                <w:sz w:val="18"/>
                <w:szCs w:val="18"/>
                <w:lang w:val="en-GB" w:eastAsia="cs-CZ"/>
              </w:rPr>
              <w:t>Source: CZSO - LFSS</w:t>
            </w:r>
          </w:p>
        </w:tc>
        <w:tc>
          <w:tcPr>
            <w:tcW w:w="2186"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left"/>
              <w:rPr>
                <w:rFonts w:eastAsia="Times New Roman" w:cs="Arial"/>
                <w:szCs w:val="20"/>
                <w:lang w:val="en-GB" w:eastAsia="cs-CZ"/>
              </w:rPr>
            </w:pPr>
          </w:p>
        </w:tc>
        <w:tc>
          <w:tcPr>
            <w:tcW w:w="1937"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left"/>
              <w:rPr>
                <w:rFonts w:eastAsia="Times New Roman" w:cs="Arial"/>
                <w:szCs w:val="20"/>
                <w:lang w:val="en-GB" w:eastAsia="cs-CZ"/>
              </w:rPr>
            </w:pPr>
          </w:p>
        </w:tc>
        <w:tc>
          <w:tcPr>
            <w:tcW w:w="1816" w:type="dxa"/>
            <w:tcBorders>
              <w:top w:val="nil"/>
              <w:left w:val="nil"/>
              <w:bottom w:val="nil"/>
              <w:right w:val="nil"/>
            </w:tcBorders>
            <w:shd w:val="clear" w:color="auto" w:fill="auto"/>
            <w:noWrap/>
            <w:vAlign w:val="bottom"/>
            <w:hideMark/>
          </w:tcPr>
          <w:p w:rsidR="00903A40" w:rsidRPr="009F534D" w:rsidRDefault="00903A40" w:rsidP="006E1A7F">
            <w:pPr>
              <w:spacing w:line="240" w:lineRule="auto"/>
              <w:jc w:val="left"/>
              <w:rPr>
                <w:rFonts w:eastAsia="Times New Roman" w:cs="Arial"/>
                <w:szCs w:val="20"/>
                <w:lang w:val="en-GB" w:eastAsia="cs-CZ"/>
              </w:rPr>
            </w:pPr>
          </w:p>
        </w:tc>
      </w:tr>
    </w:tbl>
    <w:p w:rsidR="00736AAB" w:rsidRPr="009F534D" w:rsidRDefault="00736AAB" w:rsidP="005E5054">
      <w:pPr>
        <w:rPr>
          <w:lang w:val="en-GB"/>
        </w:rPr>
      </w:pPr>
    </w:p>
    <w:p w:rsidR="00A70F56" w:rsidRPr="009F534D" w:rsidRDefault="00A77FBC" w:rsidP="00A70F56">
      <w:pPr>
        <w:rPr>
          <w:lang w:val="en-GB"/>
        </w:rPr>
      </w:pPr>
      <w:r w:rsidRPr="009F534D">
        <w:rPr>
          <w:lang w:val="en-GB"/>
        </w:rPr>
        <w:t xml:space="preserve">According to the sample survey results commuting to work is an important source of employment in the largest cities of the Czech Republic. More detailed data on directions and intensities of commuting out </w:t>
      </w:r>
      <w:r w:rsidR="00ED1711">
        <w:rPr>
          <w:lang w:val="en-GB"/>
        </w:rPr>
        <w:t>for</w:t>
      </w:r>
      <w:r w:rsidRPr="009F534D">
        <w:rPr>
          <w:lang w:val="en-GB"/>
        </w:rPr>
        <w:t xml:space="preserve"> work or to educational facilities at the level of cities and municipalities can be found in results of the </w:t>
      </w:r>
      <w:r w:rsidR="00A70F56" w:rsidRPr="009F534D">
        <w:rPr>
          <w:lang w:val="en-GB"/>
        </w:rPr>
        <w:t>2011</w:t>
      </w:r>
      <w:r w:rsidRPr="009F534D">
        <w:rPr>
          <w:lang w:val="en-GB"/>
        </w:rPr>
        <w:t xml:space="preserve"> Population and Housing Census</w:t>
      </w:r>
      <w:r w:rsidR="00A70F56" w:rsidRPr="009F534D">
        <w:rPr>
          <w:lang w:val="en-GB"/>
        </w:rPr>
        <w:t xml:space="preserve">, </w:t>
      </w:r>
      <w:r w:rsidRPr="009F534D">
        <w:rPr>
          <w:lang w:val="en-GB"/>
        </w:rPr>
        <w:t xml:space="preserve">which were published on the web pages of the Czech Statistical Office. </w:t>
      </w:r>
    </w:p>
    <w:p w:rsidR="00736AAB" w:rsidRPr="009F534D" w:rsidRDefault="00736AAB" w:rsidP="005E5054">
      <w:pPr>
        <w:rPr>
          <w:lang w:val="en-GB"/>
        </w:rPr>
      </w:pPr>
    </w:p>
    <w:p w:rsidR="00984C63" w:rsidRPr="009F534D" w:rsidRDefault="00F82CC1" w:rsidP="00A12EE6">
      <w:pPr>
        <w:spacing w:before="1200"/>
        <w:rPr>
          <w:b/>
          <w:lang w:val="en-GB"/>
        </w:rPr>
      </w:pPr>
      <w:r w:rsidRPr="009F534D">
        <w:rPr>
          <w:b/>
          <w:lang w:val="en-GB"/>
        </w:rPr>
        <w:t>Aut</w:t>
      </w:r>
      <w:r w:rsidR="00E871B0" w:rsidRPr="009F534D">
        <w:rPr>
          <w:b/>
          <w:lang w:val="en-GB"/>
        </w:rPr>
        <w:t>h</w:t>
      </w:r>
      <w:r w:rsidRPr="009F534D">
        <w:rPr>
          <w:b/>
          <w:lang w:val="en-GB"/>
        </w:rPr>
        <w:t>or</w:t>
      </w:r>
      <w:r w:rsidR="00E871B0" w:rsidRPr="009F534D">
        <w:rPr>
          <w:b/>
          <w:lang w:val="en-GB"/>
        </w:rPr>
        <w:t>s</w:t>
      </w:r>
    </w:p>
    <w:p w:rsidR="00984C63" w:rsidRPr="009F534D" w:rsidRDefault="00984C63" w:rsidP="00984C63">
      <w:pPr>
        <w:rPr>
          <w:lang w:val="en-GB"/>
        </w:rPr>
      </w:pPr>
      <w:r w:rsidRPr="009F534D">
        <w:rPr>
          <w:lang w:val="en-GB"/>
        </w:rPr>
        <w:t xml:space="preserve">Marta </w:t>
      </w:r>
      <w:proofErr w:type="spellStart"/>
      <w:r w:rsidRPr="009F534D">
        <w:rPr>
          <w:lang w:val="en-GB"/>
        </w:rPr>
        <w:t>Petráňová</w:t>
      </w:r>
      <w:proofErr w:type="spellEnd"/>
      <w:r w:rsidR="00F82CC1" w:rsidRPr="009F534D">
        <w:rPr>
          <w:lang w:val="en-GB"/>
        </w:rPr>
        <w:t xml:space="preserve">, </w:t>
      </w:r>
      <w:proofErr w:type="spellStart"/>
      <w:r w:rsidR="00F82CC1" w:rsidRPr="009F534D">
        <w:rPr>
          <w:lang w:val="en-GB"/>
        </w:rPr>
        <w:t>Bohuslav</w:t>
      </w:r>
      <w:proofErr w:type="spellEnd"/>
      <w:r w:rsidR="00F82CC1" w:rsidRPr="009F534D">
        <w:rPr>
          <w:lang w:val="en-GB"/>
        </w:rPr>
        <w:t xml:space="preserve"> </w:t>
      </w:r>
      <w:proofErr w:type="spellStart"/>
      <w:r w:rsidR="00F82CC1" w:rsidRPr="009F534D">
        <w:rPr>
          <w:lang w:val="en-GB"/>
        </w:rPr>
        <w:t>Mejstřík</w:t>
      </w:r>
      <w:proofErr w:type="spellEnd"/>
    </w:p>
    <w:p w:rsidR="00A77FBC" w:rsidRPr="009F534D" w:rsidRDefault="00A77FBC" w:rsidP="00A77FBC">
      <w:pPr>
        <w:rPr>
          <w:rFonts w:cs="Arial"/>
          <w:lang w:val="en-GB"/>
        </w:rPr>
      </w:pPr>
      <w:r w:rsidRPr="009F534D">
        <w:rPr>
          <w:rFonts w:cs="Arial"/>
          <w:lang w:val="en-GB"/>
        </w:rPr>
        <w:t>Unit for Labour Forces, Migration and Equal Opportunities</w:t>
      </w:r>
    </w:p>
    <w:p w:rsidR="00A77FBC" w:rsidRPr="009F534D" w:rsidRDefault="00A77FBC" w:rsidP="00A77FBC">
      <w:pPr>
        <w:rPr>
          <w:rFonts w:cs="Arial"/>
          <w:lang w:val="en-GB"/>
        </w:rPr>
      </w:pPr>
      <w:r w:rsidRPr="009F534D">
        <w:rPr>
          <w:rFonts w:cs="Arial"/>
          <w:lang w:val="en-GB"/>
        </w:rPr>
        <w:t xml:space="preserve">Czech Statistical Office </w:t>
      </w:r>
    </w:p>
    <w:p w:rsidR="00984C63" w:rsidRPr="009F534D" w:rsidRDefault="00984C63" w:rsidP="00917E1A">
      <w:pPr>
        <w:rPr>
          <w:i/>
          <w:lang w:val="en-GB"/>
        </w:rPr>
      </w:pPr>
      <w:r w:rsidRPr="009F534D">
        <w:rPr>
          <w:i/>
          <w:lang w:val="en-GB"/>
        </w:rPr>
        <w:t>Tel.: +420 274 054</w:t>
      </w:r>
      <w:r w:rsidR="00F82CC1" w:rsidRPr="009F534D">
        <w:rPr>
          <w:i/>
          <w:lang w:val="en-GB"/>
        </w:rPr>
        <w:t> </w:t>
      </w:r>
      <w:r w:rsidRPr="009F534D">
        <w:rPr>
          <w:i/>
          <w:lang w:val="en-GB"/>
        </w:rPr>
        <w:t>357</w:t>
      </w:r>
      <w:r w:rsidR="00F82CC1" w:rsidRPr="009F534D">
        <w:rPr>
          <w:i/>
          <w:lang w:val="en-GB"/>
        </w:rPr>
        <w:t>; +420 274 052 203</w:t>
      </w:r>
    </w:p>
    <w:p w:rsidR="00984C63" w:rsidRPr="009F534D" w:rsidRDefault="00984C63" w:rsidP="00917E1A">
      <w:pPr>
        <w:rPr>
          <w:lang w:val="en-GB"/>
        </w:rPr>
      </w:pPr>
      <w:r w:rsidRPr="009F534D">
        <w:rPr>
          <w:lang w:val="en-GB"/>
        </w:rPr>
        <w:t xml:space="preserve">E-mail: </w:t>
      </w:r>
      <w:hyperlink r:id="rId9" w:history="1">
        <w:r w:rsidR="00F82CC1" w:rsidRPr="009F534D">
          <w:rPr>
            <w:rStyle w:val="Hypertextovodkaz"/>
            <w:lang w:val="en-GB"/>
          </w:rPr>
          <w:t>marta.petranova@czso.cz</w:t>
        </w:r>
      </w:hyperlink>
      <w:r w:rsidR="00F82CC1" w:rsidRPr="009F534D">
        <w:rPr>
          <w:lang w:val="en-GB"/>
        </w:rPr>
        <w:t xml:space="preserve">; </w:t>
      </w:r>
      <w:hyperlink r:id="rId10" w:history="1">
        <w:r w:rsidR="00F82CC1" w:rsidRPr="009F534D">
          <w:rPr>
            <w:rStyle w:val="Hypertextovodkaz"/>
            <w:lang w:val="en-GB"/>
          </w:rPr>
          <w:t>bohuslav.mejstrik@czso.cz</w:t>
        </w:r>
      </w:hyperlink>
      <w:r w:rsidR="00F82CC1" w:rsidRPr="009F534D">
        <w:rPr>
          <w:lang w:val="en-GB"/>
        </w:rPr>
        <w:t xml:space="preserve"> </w:t>
      </w:r>
    </w:p>
    <w:sectPr w:rsidR="00984C63" w:rsidRPr="009F534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F8" w:rsidRDefault="002C38F8" w:rsidP="00BA6370">
      <w:r>
        <w:separator/>
      </w:r>
    </w:p>
  </w:endnote>
  <w:endnote w:type="continuationSeparator" w:id="0">
    <w:p w:rsidR="002C38F8" w:rsidRDefault="002C38F8"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F8" w:rsidRDefault="002C38F8">
    <w:pPr>
      <w:pStyle w:val="Zpat"/>
    </w:pPr>
    <w:r>
      <w:rPr>
        <w:noProof/>
        <w:lang w:eastAsia="cs-CZ"/>
      </w:rPr>
      <w:pict>
        <v:shapetype id="_x0000_t202" coordsize="21600,21600" o:spt="202" path="m,l,21600r21600,l21600,xe">
          <v:stroke joinstyle="miter"/>
          <v:path gradientshapeok="t" o:connecttype="rect"/>
        </v:shapetype>
        <v:shape id="_x0000_s2073" type="#_x0000_t202" style="position:absolute;left:0;text-align:left;margin-left:111.3pt;margin-top:775.2pt;width:426.2pt;height:45.9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C38F8" w:rsidRPr="00D52A09" w:rsidRDefault="002C38F8" w:rsidP="00A77FB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2C38F8" w:rsidRDefault="002C38F8" w:rsidP="00A77FB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C38F8" w:rsidRPr="00D52A09" w:rsidRDefault="002C38F8" w:rsidP="00A77FB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C38F8" w:rsidRPr="000172E7" w:rsidRDefault="002C38F8" w:rsidP="00A77FB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C6B51">
                  <w:rPr>
                    <w:rFonts w:cs="Arial"/>
                    <w:noProof/>
                    <w:szCs w:val="15"/>
                  </w:rPr>
                  <w:t>9</w:t>
                </w:r>
                <w:r w:rsidRPr="007E75DE">
                  <w:rPr>
                    <w:rFonts w:cs="Arial"/>
                    <w:szCs w:val="15"/>
                  </w:rPr>
                  <w:fldChar w:fldCharType="end"/>
                </w:r>
              </w:p>
            </w:txbxContent>
          </v:textbox>
          <w10:wrap anchorx="page" anchory="page"/>
        </v:shape>
      </w:pict>
    </w:r>
    <w:r>
      <w:rPr>
        <w:noProof/>
        <w:lang w:eastAsia="cs-CZ"/>
      </w:rPr>
      <w:pict>
        <v:line id="_x0000_s2053" style="position:absolute;left:0;text-align:left;flip:y;z-index:251659264;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25165619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F8" w:rsidRDefault="002C38F8" w:rsidP="00BA6370">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C38F8" w:rsidRPr="00D52A09" w:rsidRDefault="002C38F8" w:rsidP="00A77FB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2C38F8" w:rsidRDefault="002C38F8" w:rsidP="00A77FB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C38F8" w:rsidRPr="00D52A09" w:rsidRDefault="002C38F8" w:rsidP="00A77FB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C38F8" w:rsidRPr="000172E7" w:rsidRDefault="002C38F8" w:rsidP="00A77FB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33B5D">
                    <w:rPr>
                      <w:rFonts w:cs="Arial"/>
                      <w:noProof/>
                      <w:szCs w:val="15"/>
                    </w:rPr>
                    <w:t>8</w:t>
                  </w:r>
                  <w:r w:rsidRPr="007E75DE">
                    <w:rPr>
                      <w:rFonts w:cs="Arial"/>
                      <w:szCs w:val="15"/>
                    </w:rPr>
                    <w:fldChar w:fldCharType="end"/>
                  </w:r>
                </w:p>
              </w:txbxContent>
            </v:textbox>
            <w10:wrap anchorx="page" anchory="page"/>
          </v:shape>
        </w:pict>
      </w:r>
      <w:r>
        <w:separator/>
      </w:r>
    </w:p>
  </w:footnote>
  <w:footnote w:type="continuationSeparator" w:id="0">
    <w:p w:rsidR="002C38F8" w:rsidRDefault="002C38F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F8" w:rsidRDefault="002C38F8">
    <w:pPr>
      <w:pStyle w:val="Zhlav"/>
    </w:pPr>
    <w:r>
      <w:rPr>
        <w:noProof/>
        <w:lang w:eastAsia="cs-CZ"/>
      </w:rPr>
      <w:pict>
        <v:group id="_x0000_s2055" style="position:absolute;left:0;text-align:left;margin-left:-69.5pt;margin-top:7.95pt;width:496.95pt;height:80.5pt;z-index:251660288" coordorigin="595,879" coordsize="9939,1610">
          <v:rect id="_x0000_s2056" style="position:absolute;left:1956;top:1922;width:8578;height:567;mso-position-horizontal-relative:page;mso-position-vertical-relative:page" fillcolor="#0071bc" stroked="f"/>
          <v:shape id="_x0000_s2057"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8" style="position:absolute;left:1218;top:882;width:660;height:155" fillcolor="#0071bc" stroked="f"/>
          <v:rect id="_x0000_s2059" style="position:absolute;left:595;top:1114;width:1283;height:154" fillcolor="#0071bc" stroked="f"/>
          <v:rect id="_x0000_s2060" style="position:absolute;left:1158;top:1345;width:720;height:154" fillcolor="#0071bc" stroked="f"/>
          <v:shape id="_x0000_s2061"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2"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3"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4" style="position:absolute;left:2166;top:2113;width:196;height:190" coordsize="392,379" path="m128,313r-26,66l,379,144,,250,,392,379r-104,l264,313r-136,xm197,118l156,238r81,l197,118xe" stroked="f">
            <v:path arrowok="t"/>
            <o:lock v:ext="edit" verticies="t"/>
          </v:shape>
          <v:shape id="_x0000_s2065" style="position:absolute;left:2384;top:2113;width:187;height:190" coordsize="375,379" path="m,l97,,278,232,278,r97,l375,379r-97,l97,148r,231l,379,,xe" stroked="f">
            <v:path arrowok="t"/>
          </v:shape>
          <v:shape id="_x0000_s2066" style="position:absolute;left:2593;top:2113;width:197;height:190" coordsize="392,379" path="m129,313r-26,66l,379,144,,251,,392,379r-103,l264,313r-135,xm198,118l157,238r81,l198,118xe" stroked="f">
            <v:path arrowok="t"/>
            <o:lock v:ext="edit" verticies="t"/>
          </v:shape>
          <v:shape id="_x0000_s2067" style="position:absolute;left:2811;top:2113;width:108;height:190" coordsize="215,379" path="m98,296r117,l215,379,,379,,,98,r,296xe" stroked="f">
            <v:path arrowok="t"/>
          </v:shape>
          <v:shape id="_x0000_s2068" style="position:absolute;left:2902;top:2113;width:187;height:190" coordsize="374,379" path="m,l116,r71,104l256,,374,,233,197r,182l136,379r,-182l,xe" stroked="f">
            <v:path arrowok="t"/>
          </v:shape>
          <v:shape id="_x0000_s2069"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0" style="position:absolute;left:3259;top:2113;width:49;height:190" stroked="f"/>
          <v:shape id="_x0000_s2071"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1319"/>
    <w:rsid w:val="00003444"/>
    <w:rsid w:val="00003876"/>
    <w:rsid w:val="000047E8"/>
    <w:rsid w:val="00007009"/>
    <w:rsid w:val="000071D4"/>
    <w:rsid w:val="00007A51"/>
    <w:rsid w:val="000137F8"/>
    <w:rsid w:val="0001558F"/>
    <w:rsid w:val="000157DB"/>
    <w:rsid w:val="000159EB"/>
    <w:rsid w:val="00015EB8"/>
    <w:rsid w:val="000164B0"/>
    <w:rsid w:val="000167FD"/>
    <w:rsid w:val="00016834"/>
    <w:rsid w:val="0001740D"/>
    <w:rsid w:val="0001773E"/>
    <w:rsid w:val="00017FB6"/>
    <w:rsid w:val="0002001B"/>
    <w:rsid w:val="000210F6"/>
    <w:rsid w:val="0002205F"/>
    <w:rsid w:val="0002236F"/>
    <w:rsid w:val="0002478A"/>
    <w:rsid w:val="000247DB"/>
    <w:rsid w:val="00024C4D"/>
    <w:rsid w:val="00024CFD"/>
    <w:rsid w:val="000251F3"/>
    <w:rsid w:val="00025336"/>
    <w:rsid w:val="000268EE"/>
    <w:rsid w:val="00027BDC"/>
    <w:rsid w:val="00027D3F"/>
    <w:rsid w:val="00031FF6"/>
    <w:rsid w:val="00036556"/>
    <w:rsid w:val="00040EBD"/>
    <w:rsid w:val="00040FB8"/>
    <w:rsid w:val="00042669"/>
    <w:rsid w:val="00042D5E"/>
    <w:rsid w:val="0004330D"/>
    <w:rsid w:val="000445A2"/>
    <w:rsid w:val="0004512E"/>
    <w:rsid w:val="00045796"/>
    <w:rsid w:val="00045CCD"/>
    <w:rsid w:val="00047185"/>
    <w:rsid w:val="00051B45"/>
    <w:rsid w:val="00052EBE"/>
    <w:rsid w:val="0005377B"/>
    <w:rsid w:val="00053EE4"/>
    <w:rsid w:val="000541DA"/>
    <w:rsid w:val="000549EA"/>
    <w:rsid w:val="0005765B"/>
    <w:rsid w:val="00062B6A"/>
    <w:rsid w:val="0006351B"/>
    <w:rsid w:val="00063671"/>
    <w:rsid w:val="00063C3A"/>
    <w:rsid w:val="00063DF8"/>
    <w:rsid w:val="00064321"/>
    <w:rsid w:val="00064B73"/>
    <w:rsid w:val="00066D02"/>
    <w:rsid w:val="00067324"/>
    <w:rsid w:val="000700FD"/>
    <w:rsid w:val="00070BC1"/>
    <w:rsid w:val="00072BF9"/>
    <w:rsid w:val="00074186"/>
    <w:rsid w:val="000746A7"/>
    <w:rsid w:val="00075057"/>
    <w:rsid w:val="00075CEC"/>
    <w:rsid w:val="00076182"/>
    <w:rsid w:val="000773CB"/>
    <w:rsid w:val="00077719"/>
    <w:rsid w:val="00077C10"/>
    <w:rsid w:val="00077C4E"/>
    <w:rsid w:val="00080826"/>
    <w:rsid w:val="00081554"/>
    <w:rsid w:val="00083356"/>
    <w:rsid w:val="00083865"/>
    <w:rsid w:val="00084E62"/>
    <w:rsid w:val="00085912"/>
    <w:rsid w:val="000875F3"/>
    <w:rsid w:val="00091226"/>
    <w:rsid w:val="0009173D"/>
    <w:rsid w:val="000918B7"/>
    <w:rsid w:val="000925B8"/>
    <w:rsid w:val="0009333D"/>
    <w:rsid w:val="00093B31"/>
    <w:rsid w:val="0009650B"/>
    <w:rsid w:val="0009733F"/>
    <w:rsid w:val="000979AC"/>
    <w:rsid w:val="000A1A5E"/>
    <w:rsid w:val="000A25C0"/>
    <w:rsid w:val="000A5367"/>
    <w:rsid w:val="000A6C02"/>
    <w:rsid w:val="000B046E"/>
    <w:rsid w:val="000B375F"/>
    <w:rsid w:val="000B43C9"/>
    <w:rsid w:val="000B608B"/>
    <w:rsid w:val="000B6621"/>
    <w:rsid w:val="000C1623"/>
    <w:rsid w:val="000C228F"/>
    <w:rsid w:val="000C2BCE"/>
    <w:rsid w:val="000C36B3"/>
    <w:rsid w:val="000C36F7"/>
    <w:rsid w:val="000C5228"/>
    <w:rsid w:val="000C7802"/>
    <w:rsid w:val="000D073B"/>
    <w:rsid w:val="000D129C"/>
    <w:rsid w:val="000D3D55"/>
    <w:rsid w:val="000D3E9F"/>
    <w:rsid w:val="000D43C1"/>
    <w:rsid w:val="000D452C"/>
    <w:rsid w:val="000D720A"/>
    <w:rsid w:val="000D7920"/>
    <w:rsid w:val="000E078D"/>
    <w:rsid w:val="000E083E"/>
    <w:rsid w:val="000E2582"/>
    <w:rsid w:val="000E282B"/>
    <w:rsid w:val="000E2AFD"/>
    <w:rsid w:val="000E36EB"/>
    <w:rsid w:val="000E4DBF"/>
    <w:rsid w:val="000E59D5"/>
    <w:rsid w:val="000F08F8"/>
    <w:rsid w:val="000F0C82"/>
    <w:rsid w:val="000F2007"/>
    <w:rsid w:val="000F2D0B"/>
    <w:rsid w:val="000F2EEC"/>
    <w:rsid w:val="000F2FBA"/>
    <w:rsid w:val="000F30F2"/>
    <w:rsid w:val="000F33C7"/>
    <w:rsid w:val="000F3C82"/>
    <w:rsid w:val="000F53EE"/>
    <w:rsid w:val="000F549B"/>
    <w:rsid w:val="000F6959"/>
    <w:rsid w:val="000F7B81"/>
    <w:rsid w:val="000F7DD1"/>
    <w:rsid w:val="000F7FDA"/>
    <w:rsid w:val="00100617"/>
    <w:rsid w:val="001012EB"/>
    <w:rsid w:val="00101608"/>
    <w:rsid w:val="00101DAD"/>
    <w:rsid w:val="001029BA"/>
    <w:rsid w:val="001035D6"/>
    <w:rsid w:val="00105E4A"/>
    <w:rsid w:val="00105F00"/>
    <w:rsid w:val="00106A95"/>
    <w:rsid w:val="0010728A"/>
    <w:rsid w:val="001073F6"/>
    <w:rsid w:val="001079FF"/>
    <w:rsid w:val="00111C5A"/>
    <w:rsid w:val="001124CF"/>
    <w:rsid w:val="00112A47"/>
    <w:rsid w:val="00112C5A"/>
    <w:rsid w:val="00112CE4"/>
    <w:rsid w:val="001134AA"/>
    <w:rsid w:val="001140C1"/>
    <w:rsid w:val="00114E70"/>
    <w:rsid w:val="001162F9"/>
    <w:rsid w:val="0011719C"/>
    <w:rsid w:val="00117496"/>
    <w:rsid w:val="001211A5"/>
    <w:rsid w:val="001247C1"/>
    <w:rsid w:val="00124C15"/>
    <w:rsid w:val="0012616B"/>
    <w:rsid w:val="00127B24"/>
    <w:rsid w:val="00127DF6"/>
    <w:rsid w:val="00132F1F"/>
    <w:rsid w:val="0013431C"/>
    <w:rsid w:val="001355A8"/>
    <w:rsid w:val="00136138"/>
    <w:rsid w:val="00136DBB"/>
    <w:rsid w:val="001375F0"/>
    <w:rsid w:val="0014044A"/>
    <w:rsid w:val="0014088E"/>
    <w:rsid w:val="001408FD"/>
    <w:rsid w:val="001420F5"/>
    <w:rsid w:val="00143115"/>
    <w:rsid w:val="0014311E"/>
    <w:rsid w:val="00143F1C"/>
    <w:rsid w:val="001469C1"/>
    <w:rsid w:val="0015059D"/>
    <w:rsid w:val="00152449"/>
    <w:rsid w:val="00152847"/>
    <w:rsid w:val="00154075"/>
    <w:rsid w:val="0015580B"/>
    <w:rsid w:val="0015655A"/>
    <w:rsid w:val="001575D0"/>
    <w:rsid w:val="0016078B"/>
    <w:rsid w:val="0016171B"/>
    <w:rsid w:val="00162242"/>
    <w:rsid w:val="0016266F"/>
    <w:rsid w:val="00163BC2"/>
    <w:rsid w:val="00165954"/>
    <w:rsid w:val="001659A1"/>
    <w:rsid w:val="001668E0"/>
    <w:rsid w:val="00166C9E"/>
    <w:rsid w:val="001676F6"/>
    <w:rsid w:val="00167AC2"/>
    <w:rsid w:val="00170A3B"/>
    <w:rsid w:val="00170A5A"/>
    <w:rsid w:val="0017137C"/>
    <w:rsid w:val="0017231D"/>
    <w:rsid w:val="00172671"/>
    <w:rsid w:val="00173D71"/>
    <w:rsid w:val="001752D5"/>
    <w:rsid w:val="00180ADC"/>
    <w:rsid w:val="001810DC"/>
    <w:rsid w:val="0018223B"/>
    <w:rsid w:val="00183940"/>
    <w:rsid w:val="00184594"/>
    <w:rsid w:val="001852B3"/>
    <w:rsid w:val="00185A9E"/>
    <w:rsid w:val="0018642F"/>
    <w:rsid w:val="0018647F"/>
    <w:rsid w:val="0018688E"/>
    <w:rsid w:val="00186C17"/>
    <w:rsid w:val="00186FFD"/>
    <w:rsid w:val="00187212"/>
    <w:rsid w:val="001872FB"/>
    <w:rsid w:val="00187591"/>
    <w:rsid w:val="001879C3"/>
    <w:rsid w:val="0019065E"/>
    <w:rsid w:val="00190AA3"/>
    <w:rsid w:val="001913DD"/>
    <w:rsid w:val="00191400"/>
    <w:rsid w:val="00191F07"/>
    <w:rsid w:val="00192FEA"/>
    <w:rsid w:val="00193372"/>
    <w:rsid w:val="00193D8F"/>
    <w:rsid w:val="00195470"/>
    <w:rsid w:val="00195F94"/>
    <w:rsid w:val="0019792F"/>
    <w:rsid w:val="001A0381"/>
    <w:rsid w:val="001A0A20"/>
    <w:rsid w:val="001A21E7"/>
    <w:rsid w:val="001A2AC6"/>
    <w:rsid w:val="001A2FF3"/>
    <w:rsid w:val="001A40D2"/>
    <w:rsid w:val="001A78A2"/>
    <w:rsid w:val="001A7984"/>
    <w:rsid w:val="001B06BE"/>
    <w:rsid w:val="001B3832"/>
    <w:rsid w:val="001B4D8A"/>
    <w:rsid w:val="001B4EF5"/>
    <w:rsid w:val="001B580C"/>
    <w:rsid w:val="001B607F"/>
    <w:rsid w:val="001B7409"/>
    <w:rsid w:val="001B7CB5"/>
    <w:rsid w:val="001C003A"/>
    <w:rsid w:val="001C1055"/>
    <w:rsid w:val="001C1142"/>
    <w:rsid w:val="001C29A5"/>
    <w:rsid w:val="001C2EE6"/>
    <w:rsid w:val="001C3786"/>
    <w:rsid w:val="001C4514"/>
    <w:rsid w:val="001C455E"/>
    <w:rsid w:val="001C4B9C"/>
    <w:rsid w:val="001C5200"/>
    <w:rsid w:val="001C569C"/>
    <w:rsid w:val="001C61C6"/>
    <w:rsid w:val="001C7BC9"/>
    <w:rsid w:val="001D0068"/>
    <w:rsid w:val="001D0EDD"/>
    <w:rsid w:val="001D2A0F"/>
    <w:rsid w:val="001D31F9"/>
    <w:rsid w:val="001D3E63"/>
    <w:rsid w:val="001D498A"/>
    <w:rsid w:val="001D6114"/>
    <w:rsid w:val="001E0A68"/>
    <w:rsid w:val="001E1CA1"/>
    <w:rsid w:val="001E2372"/>
    <w:rsid w:val="001E44F8"/>
    <w:rsid w:val="001E4EB9"/>
    <w:rsid w:val="001E4F67"/>
    <w:rsid w:val="001E506B"/>
    <w:rsid w:val="001E50AC"/>
    <w:rsid w:val="001E5F15"/>
    <w:rsid w:val="001E6A96"/>
    <w:rsid w:val="001E725F"/>
    <w:rsid w:val="001E7B78"/>
    <w:rsid w:val="001F17C1"/>
    <w:rsid w:val="001F2B9C"/>
    <w:rsid w:val="001F5420"/>
    <w:rsid w:val="002006CB"/>
    <w:rsid w:val="00200EA5"/>
    <w:rsid w:val="00201664"/>
    <w:rsid w:val="00201731"/>
    <w:rsid w:val="00203483"/>
    <w:rsid w:val="00203F3B"/>
    <w:rsid w:val="00205FD6"/>
    <w:rsid w:val="0020650F"/>
    <w:rsid w:val="002070FB"/>
    <w:rsid w:val="00207521"/>
    <w:rsid w:val="002107CE"/>
    <w:rsid w:val="00211247"/>
    <w:rsid w:val="0021258C"/>
    <w:rsid w:val="0021267F"/>
    <w:rsid w:val="0021298F"/>
    <w:rsid w:val="00212CF4"/>
    <w:rsid w:val="0021586B"/>
    <w:rsid w:val="0021626C"/>
    <w:rsid w:val="002163FB"/>
    <w:rsid w:val="00216B4B"/>
    <w:rsid w:val="00217D74"/>
    <w:rsid w:val="002204F9"/>
    <w:rsid w:val="00220993"/>
    <w:rsid w:val="00220BC0"/>
    <w:rsid w:val="00220CD1"/>
    <w:rsid w:val="00220D96"/>
    <w:rsid w:val="00223616"/>
    <w:rsid w:val="00223AB6"/>
    <w:rsid w:val="00225FAD"/>
    <w:rsid w:val="00226469"/>
    <w:rsid w:val="00226A6B"/>
    <w:rsid w:val="00227FAB"/>
    <w:rsid w:val="00230184"/>
    <w:rsid w:val="00232F71"/>
    <w:rsid w:val="00235340"/>
    <w:rsid w:val="00235F0C"/>
    <w:rsid w:val="00236437"/>
    <w:rsid w:val="00237EDE"/>
    <w:rsid w:val="002406FA"/>
    <w:rsid w:val="00240B11"/>
    <w:rsid w:val="002425C9"/>
    <w:rsid w:val="00243315"/>
    <w:rsid w:val="00243730"/>
    <w:rsid w:val="00243898"/>
    <w:rsid w:val="002438A7"/>
    <w:rsid w:val="00243A53"/>
    <w:rsid w:val="00243FF1"/>
    <w:rsid w:val="00244A22"/>
    <w:rsid w:val="00245A74"/>
    <w:rsid w:val="002478C5"/>
    <w:rsid w:val="00247F49"/>
    <w:rsid w:val="00251D46"/>
    <w:rsid w:val="002566A5"/>
    <w:rsid w:val="00257922"/>
    <w:rsid w:val="0026025A"/>
    <w:rsid w:val="0026047C"/>
    <w:rsid w:val="00261F5A"/>
    <w:rsid w:val="0026239B"/>
    <w:rsid w:val="002629EF"/>
    <w:rsid w:val="0026377A"/>
    <w:rsid w:val="00270117"/>
    <w:rsid w:val="002705C6"/>
    <w:rsid w:val="002718EF"/>
    <w:rsid w:val="002730FB"/>
    <w:rsid w:val="002731FF"/>
    <w:rsid w:val="002735AD"/>
    <w:rsid w:val="00274203"/>
    <w:rsid w:val="00274B0B"/>
    <w:rsid w:val="00276CDB"/>
    <w:rsid w:val="00280C7F"/>
    <w:rsid w:val="00280C97"/>
    <w:rsid w:val="00281BBB"/>
    <w:rsid w:val="00282AAB"/>
    <w:rsid w:val="00282F16"/>
    <w:rsid w:val="00282FEC"/>
    <w:rsid w:val="002831A0"/>
    <w:rsid w:val="00285212"/>
    <w:rsid w:val="002859C5"/>
    <w:rsid w:val="002860D7"/>
    <w:rsid w:val="00290444"/>
    <w:rsid w:val="0029071C"/>
    <w:rsid w:val="00290921"/>
    <w:rsid w:val="002914A4"/>
    <w:rsid w:val="002914BB"/>
    <w:rsid w:val="002943FC"/>
    <w:rsid w:val="00294D78"/>
    <w:rsid w:val="002956DD"/>
    <w:rsid w:val="0029581C"/>
    <w:rsid w:val="00295A65"/>
    <w:rsid w:val="002A0EEB"/>
    <w:rsid w:val="002A16BF"/>
    <w:rsid w:val="002A17C3"/>
    <w:rsid w:val="002A1E3B"/>
    <w:rsid w:val="002A20FF"/>
    <w:rsid w:val="002A6485"/>
    <w:rsid w:val="002A68A0"/>
    <w:rsid w:val="002A730E"/>
    <w:rsid w:val="002A7C15"/>
    <w:rsid w:val="002B06E5"/>
    <w:rsid w:val="002B1FC0"/>
    <w:rsid w:val="002B2B7E"/>
    <w:rsid w:val="002B2E47"/>
    <w:rsid w:val="002B7794"/>
    <w:rsid w:val="002C00A3"/>
    <w:rsid w:val="002C037E"/>
    <w:rsid w:val="002C0515"/>
    <w:rsid w:val="002C0CB9"/>
    <w:rsid w:val="002C3230"/>
    <w:rsid w:val="002C38F8"/>
    <w:rsid w:val="002C3F26"/>
    <w:rsid w:val="002C41B4"/>
    <w:rsid w:val="002C5393"/>
    <w:rsid w:val="002C64AA"/>
    <w:rsid w:val="002C6C7D"/>
    <w:rsid w:val="002D08D4"/>
    <w:rsid w:val="002D187B"/>
    <w:rsid w:val="002D3EF0"/>
    <w:rsid w:val="002D4899"/>
    <w:rsid w:val="002D4F1A"/>
    <w:rsid w:val="002D5C37"/>
    <w:rsid w:val="002D74AB"/>
    <w:rsid w:val="002D7FAE"/>
    <w:rsid w:val="002E0D8F"/>
    <w:rsid w:val="002E0E02"/>
    <w:rsid w:val="002E0EE2"/>
    <w:rsid w:val="002E11BB"/>
    <w:rsid w:val="002E354F"/>
    <w:rsid w:val="002E4BFF"/>
    <w:rsid w:val="002E5F0A"/>
    <w:rsid w:val="002E649A"/>
    <w:rsid w:val="002E6D21"/>
    <w:rsid w:val="002E7988"/>
    <w:rsid w:val="002F1E62"/>
    <w:rsid w:val="002F2B08"/>
    <w:rsid w:val="002F3974"/>
    <w:rsid w:val="002F3DA4"/>
    <w:rsid w:val="002F64AB"/>
    <w:rsid w:val="002F6DC0"/>
    <w:rsid w:val="002F7519"/>
    <w:rsid w:val="0030168F"/>
    <w:rsid w:val="0030249D"/>
    <w:rsid w:val="003037DB"/>
    <w:rsid w:val="0030457C"/>
    <w:rsid w:val="00305955"/>
    <w:rsid w:val="003100F8"/>
    <w:rsid w:val="0031049E"/>
    <w:rsid w:val="00310574"/>
    <w:rsid w:val="003121CD"/>
    <w:rsid w:val="003123D5"/>
    <w:rsid w:val="0031524E"/>
    <w:rsid w:val="00316341"/>
    <w:rsid w:val="0031714E"/>
    <w:rsid w:val="00317374"/>
    <w:rsid w:val="00317683"/>
    <w:rsid w:val="0032097D"/>
    <w:rsid w:val="00320AC3"/>
    <w:rsid w:val="00323238"/>
    <w:rsid w:val="0032362F"/>
    <w:rsid w:val="00323873"/>
    <w:rsid w:val="00323902"/>
    <w:rsid w:val="003245D1"/>
    <w:rsid w:val="00324C26"/>
    <w:rsid w:val="003250DE"/>
    <w:rsid w:val="003262BE"/>
    <w:rsid w:val="003267A8"/>
    <w:rsid w:val="003273AE"/>
    <w:rsid w:val="0033049A"/>
    <w:rsid w:val="0033078C"/>
    <w:rsid w:val="00331F20"/>
    <w:rsid w:val="00332B62"/>
    <w:rsid w:val="00333B5D"/>
    <w:rsid w:val="0033431F"/>
    <w:rsid w:val="00340258"/>
    <w:rsid w:val="003406D9"/>
    <w:rsid w:val="0034109D"/>
    <w:rsid w:val="003422C7"/>
    <w:rsid w:val="00343643"/>
    <w:rsid w:val="00343984"/>
    <w:rsid w:val="00343C03"/>
    <w:rsid w:val="003456A3"/>
    <w:rsid w:val="003460B0"/>
    <w:rsid w:val="00347D69"/>
    <w:rsid w:val="0035009B"/>
    <w:rsid w:val="00350897"/>
    <w:rsid w:val="003531D4"/>
    <w:rsid w:val="00356CE5"/>
    <w:rsid w:val="00357635"/>
    <w:rsid w:val="003618C2"/>
    <w:rsid w:val="00363A58"/>
    <w:rsid w:val="003642ED"/>
    <w:rsid w:val="00364588"/>
    <w:rsid w:val="00364A1A"/>
    <w:rsid w:val="003658A0"/>
    <w:rsid w:val="00366223"/>
    <w:rsid w:val="0036655D"/>
    <w:rsid w:val="00367A8C"/>
    <w:rsid w:val="00367C5F"/>
    <w:rsid w:val="00370F76"/>
    <w:rsid w:val="003715A0"/>
    <w:rsid w:val="003722A7"/>
    <w:rsid w:val="00373B50"/>
    <w:rsid w:val="003750C2"/>
    <w:rsid w:val="003752AE"/>
    <w:rsid w:val="00376002"/>
    <w:rsid w:val="00376B99"/>
    <w:rsid w:val="003815D2"/>
    <w:rsid w:val="00381A67"/>
    <w:rsid w:val="003820A5"/>
    <w:rsid w:val="003825CE"/>
    <w:rsid w:val="0038282A"/>
    <w:rsid w:val="00383D8D"/>
    <w:rsid w:val="0038402E"/>
    <w:rsid w:val="00387993"/>
    <w:rsid w:val="00387B3F"/>
    <w:rsid w:val="003911E1"/>
    <w:rsid w:val="003920BC"/>
    <w:rsid w:val="003927CA"/>
    <w:rsid w:val="00393651"/>
    <w:rsid w:val="00393B78"/>
    <w:rsid w:val="00393CD0"/>
    <w:rsid w:val="0039478D"/>
    <w:rsid w:val="0039500D"/>
    <w:rsid w:val="0039518F"/>
    <w:rsid w:val="0039597A"/>
    <w:rsid w:val="00396177"/>
    <w:rsid w:val="00396A43"/>
    <w:rsid w:val="00397580"/>
    <w:rsid w:val="00397DC3"/>
    <w:rsid w:val="003A4F25"/>
    <w:rsid w:val="003A531C"/>
    <w:rsid w:val="003A5393"/>
    <w:rsid w:val="003B044F"/>
    <w:rsid w:val="003B1B01"/>
    <w:rsid w:val="003B1BE4"/>
    <w:rsid w:val="003B28C5"/>
    <w:rsid w:val="003B2DB6"/>
    <w:rsid w:val="003B2E40"/>
    <w:rsid w:val="003B3967"/>
    <w:rsid w:val="003B54AB"/>
    <w:rsid w:val="003B6567"/>
    <w:rsid w:val="003B6B57"/>
    <w:rsid w:val="003B7004"/>
    <w:rsid w:val="003B7B23"/>
    <w:rsid w:val="003C01B8"/>
    <w:rsid w:val="003C0A49"/>
    <w:rsid w:val="003C0FF7"/>
    <w:rsid w:val="003C1823"/>
    <w:rsid w:val="003C196B"/>
    <w:rsid w:val="003C25F6"/>
    <w:rsid w:val="003C2CD5"/>
    <w:rsid w:val="003C344E"/>
    <w:rsid w:val="003C3492"/>
    <w:rsid w:val="003C3851"/>
    <w:rsid w:val="003C5320"/>
    <w:rsid w:val="003C69B2"/>
    <w:rsid w:val="003C732F"/>
    <w:rsid w:val="003C77F3"/>
    <w:rsid w:val="003C7921"/>
    <w:rsid w:val="003D0499"/>
    <w:rsid w:val="003D0BA5"/>
    <w:rsid w:val="003D151A"/>
    <w:rsid w:val="003D2F7E"/>
    <w:rsid w:val="003D458B"/>
    <w:rsid w:val="003D5E9A"/>
    <w:rsid w:val="003E17EE"/>
    <w:rsid w:val="003E216A"/>
    <w:rsid w:val="003E405E"/>
    <w:rsid w:val="003E4488"/>
    <w:rsid w:val="003E6271"/>
    <w:rsid w:val="003E6597"/>
    <w:rsid w:val="003E7151"/>
    <w:rsid w:val="003E7802"/>
    <w:rsid w:val="003F03DF"/>
    <w:rsid w:val="003F0886"/>
    <w:rsid w:val="003F25F7"/>
    <w:rsid w:val="003F3D3A"/>
    <w:rsid w:val="003F4639"/>
    <w:rsid w:val="003F526A"/>
    <w:rsid w:val="003F6B93"/>
    <w:rsid w:val="0040113D"/>
    <w:rsid w:val="00401F62"/>
    <w:rsid w:val="00401F67"/>
    <w:rsid w:val="004038BD"/>
    <w:rsid w:val="00403E1B"/>
    <w:rsid w:val="0040425E"/>
    <w:rsid w:val="00404D02"/>
    <w:rsid w:val="00405244"/>
    <w:rsid w:val="00405871"/>
    <w:rsid w:val="00405B3B"/>
    <w:rsid w:val="0040634C"/>
    <w:rsid w:val="00406587"/>
    <w:rsid w:val="004104AB"/>
    <w:rsid w:val="004116C8"/>
    <w:rsid w:val="004117A2"/>
    <w:rsid w:val="004159D9"/>
    <w:rsid w:val="00417198"/>
    <w:rsid w:val="00417804"/>
    <w:rsid w:val="00422171"/>
    <w:rsid w:val="004221EB"/>
    <w:rsid w:val="00422940"/>
    <w:rsid w:val="00422ADA"/>
    <w:rsid w:val="004244C2"/>
    <w:rsid w:val="0042692B"/>
    <w:rsid w:val="0043002D"/>
    <w:rsid w:val="00430477"/>
    <w:rsid w:val="004316C1"/>
    <w:rsid w:val="00431DE2"/>
    <w:rsid w:val="0043249A"/>
    <w:rsid w:val="0043258F"/>
    <w:rsid w:val="00432CDD"/>
    <w:rsid w:val="00432F40"/>
    <w:rsid w:val="00433309"/>
    <w:rsid w:val="004335E1"/>
    <w:rsid w:val="00433ACF"/>
    <w:rsid w:val="0043457D"/>
    <w:rsid w:val="00434702"/>
    <w:rsid w:val="0043582A"/>
    <w:rsid w:val="00435BD3"/>
    <w:rsid w:val="00436883"/>
    <w:rsid w:val="00436CE0"/>
    <w:rsid w:val="00440F30"/>
    <w:rsid w:val="0044309B"/>
    <w:rsid w:val="00443857"/>
    <w:rsid w:val="00444BE4"/>
    <w:rsid w:val="00445845"/>
    <w:rsid w:val="00446B38"/>
    <w:rsid w:val="00446DE3"/>
    <w:rsid w:val="00450138"/>
    <w:rsid w:val="0045210B"/>
    <w:rsid w:val="00452DD5"/>
    <w:rsid w:val="00454CBC"/>
    <w:rsid w:val="0045547F"/>
    <w:rsid w:val="00456A39"/>
    <w:rsid w:val="004578A2"/>
    <w:rsid w:val="0046392D"/>
    <w:rsid w:val="00464BED"/>
    <w:rsid w:val="0046700D"/>
    <w:rsid w:val="004676D6"/>
    <w:rsid w:val="00467A24"/>
    <w:rsid w:val="00472972"/>
    <w:rsid w:val="00472CC1"/>
    <w:rsid w:val="0047377E"/>
    <w:rsid w:val="00473F1C"/>
    <w:rsid w:val="004749DA"/>
    <w:rsid w:val="00474AC2"/>
    <w:rsid w:val="00475D77"/>
    <w:rsid w:val="004768A6"/>
    <w:rsid w:val="00477F84"/>
    <w:rsid w:val="00480E60"/>
    <w:rsid w:val="004822B1"/>
    <w:rsid w:val="00482FC6"/>
    <w:rsid w:val="00483528"/>
    <w:rsid w:val="00486AD1"/>
    <w:rsid w:val="00486C7B"/>
    <w:rsid w:val="00487A9A"/>
    <w:rsid w:val="00490A52"/>
    <w:rsid w:val="00493628"/>
    <w:rsid w:val="004939D5"/>
    <w:rsid w:val="00495875"/>
    <w:rsid w:val="00495C46"/>
    <w:rsid w:val="00495CD8"/>
    <w:rsid w:val="004965CB"/>
    <w:rsid w:val="00496DC4"/>
    <w:rsid w:val="00496EF6"/>
    <w:rsid w:val="004A06D8"/>
    <w:rsid w:val="004A0EA8"/>
    <w:rsid w:val="004A1A00"/>
    <w:rsid w:val="004A26A6"/>
    <w:rsid w:val="004A2EB6"/>
    <w:rsid w:val="004A3104"/>
    <w:rsid w:val="004A336F"/>
    <w:rsid w:val="004A3C7A"/>
    <w:rsid w:val="004A4EFE"/>
    <w:rsid w:val="004A6E58"/>
    <w:rsid w:val="004A7254"/>
    <w:rsid w:val="004A7840"/>
    <w:rsid w:val="004A78F2"/>
    <w:rsid w:val="004B02E3"/>
    <w:rsid w:val="004B2201"/>
    <w:rsid w:val="004B2C09"/>
    <w:rsid w:val="004C1158"/>
    <w:rsid w:val="004C1FBB"/>
    <w:rsid w:val="004C22C9"/>
    <w:rsid w:val="004C26C9"/>
    <w:rsid w:val="004C2C9D"/>
    <w:rsid w:val="004C3951"/>
    <w:rsid w:val="004C492C"/>
    <w:rsid w:val="004C5259"/>
    <w:rsid w:val="004C5D40"/>
    <w:rsid w:val="004C65E7"/>
    <w:rsid w:val="004C65E9"/>
    <w:rsid w:val="004D0B2B"/>
    <w:rsid w:val="004D1D9D"/>
    <w:rsid w:val="004D1DFF"/>
    <w:rsid w:val="004D2FAC"/>
    <w:rsid w:val="004D4FF7"/>
    <w:rsid w:val="004D586B"/>
    <w:rsid w:val="004D5D91"/>
    <w:rsid w:val="004D7F82"/>
    <w:rsid w:val="004E23CB"/>
    <w:rsid w:val="004E244B"/>
    <w:rsid w:val="004E3BDB"/>
    <w:rsid w:val="004E479E"/>
    <w:rsid w:val="004E7423"/>
    <w:rsid w:val="004E78EF"/>
    <w:rsid w:val="004F02CB"/>
    <w:rsid w:val="004F10F1"/>
    <w:rsid w:val="004F128E"/>
    <w:rsid w:val="004F1594"/>
    <w:rsid w:val="004F3209"/>
    <w:rsid w:val="004F339C"/>
    <w:rsid w:val="004F34D8"/>
    <w:rsid w:val="004F3791"/>
    <w:rsid w:val="004F399E"/>
    <w:rsid w:val="004F3BF5"/>
    <w:rsid w:val="004F48C3"/>
    <w:rsid w:val="004F5769"/>
    <w:rsid w:val="004F78E6"/>
    <w:rsid w:val="00500E6D"/>
    <w:rsid w:val="00502E10"/>
    <w:rsid w:val="00503B5D"/>
    <w:rsid w:val="00504A34"/>
    <w:rsid w:val="00512D99"/>
    <w:rsid w:val="00513215"/>
    <w:rsid w:val="00514206"/>
    <w:rsid w:val="005155AF"/>
    <w:rsid w:val="0051706C"/>
    <w:rsid w:val="00517E99"/>
    <w:rsid w:val="005207FA"/>
    <w:rsid w:val="00521D61"/>
    <w:rsid w:val="0052210F"/>
    <w:rsid w:val="00522EB8"/>
    <w:rsid w:val="00523DB2"/>
    <w:rsid w:val="005246FA"/>
    <w:rsid w:val="00524B63"/>
    <w:rsid w:val="00525CBD"/>
    <w:rsid w:val="00530212"/>
    <w:rsid w:val="00530F10"/>
    <w:rsid w:val="005332C7"/>
    <w:rsid w:val="005336EE"/>
    <w:rsid w:val="0053410E"/>
    <w:rsid w:val="00534811"/>
    <w:rsid w:val="005357BE"/>
    <w:rsid w:val="00536EE8"/>
    <w:rsid w:val="005376E8"/>
    <w:rsid w:val="00537A80"/>
    <w:rsid w:val="00540CFD"/>
    <w:rsid w:val="0054324A"/>
    <w:rsid w:val="0054409D"/>
    <w:rsid w:val="00545627"/>
    <w:rsid w:val="00546594"/>
    <w:rsid w:val="00547AAE"/>
    <w:rsid w:val="00547FA5"/>
    <w:rsid w:val="0055102F"/>
    <w:rsid w:val="00551504"/>
    <w:rsid w:val="00551D9F"/>
    <w:rsid w:val="00552C2F"/>
    <w:rsid w:val="00553929"/>
    <w:rsid w:val="00553ADE"/>
    <w:rsid w:val="00554498"/>
    <w:rsid w:val="005544DC"/>
    <w:rsid w:val="00554D71"/>
    <w:rsid w:val="00554DD3"/>
    <w:rsid w:val="0055549F"/>
    <w:rsid w:val="0055672C"/>
    <w:rsid w:val="00557B9F"/>
    <w:rsid w:val="0056062B"/>
    <w:rsid w:val="00560BCA"/>
    <w:rsid w:val="0056134A"/>
    <w:rsid w:val="00561F70"/>
    <w:rsid w:val="005639EB"/>
    <w:rsid w:val="00565C9A"/>
    <w:rsid w:val="00566732"/>
    <w:rsid w:val="00567061"/>
    <w:rsid w:val="00567296"/>
    <w:rsid w:val="00567D4D"/>
    <w:rsid w:val="00570ED1"/>
    <w:rsid w:val="00572F80"/>
    <w:rsid w:val="00573493"/>
    <w:rsid w:val="00573B62"/>
    <w:rsid w:val="0057484E"/>
    <w:rsid w:val="00574C70"/>
    <w:rsid w:val="00576645"/>
    <w:rsid w:val="0057711E"/>
    <w:rsid w:val="00577354"/>
    <w:rsid w:val="0057765B"/>
    <w:rsid w:val="00577C97"/>
    <w:rsid w:val="005818A6"/>
    <w:rsid w:val="0058239E"/>
    <w:rsid w:val="005853A8"/>
    <w:rsid w:val="00586211"/>
    <w:rsid w:val="00591263"/>
    <w:rsid w:val="005935F3"/>
    <w:rsid w:val="00594346"/>
    <w:rsid w:val="00594899"/>
    <w:rsid w:val="00597759"/>
    <w:rsid w:val="00597E5F"/>
    <w:rsid w:val="005A0568"/>
    <w:rsid w:val="005A46B4"/>
    <w:rsid w:val="005A4798"/>
    <w:rsid w:val="005A4BD2"/>
    <w:rsid w:val="005A7726"/>
    <w:rsid w:val="005B3E45"/>
    <w:rsid w:val="005B41A0"/>
    <w:rsid w:val="005B65B5"/>
    <w:rsid w:val="005B7299"/>
    <w:rsid w:val="005B79A0"/>
    <w:rsid w:val="005B7E7A"/>
    <w:rsid w:val="005C0595"/>
    <w:rsid w:val="005C188E"/>
    <w:rsid w:val="005C214B"/>
    <w:rsid w:val="005C24B7"/>
    <w:rsid w:val="005C2C6E"/>
    <w:rsid w:val="005C3CBD"/>
    <w:rsid w:val="005C52D0"/>
    <w:rsid w:val="005C64B1"/>
    <w:rsid w:val="005D1345"/>
    <w:rsid w:val="005D21A1"/>
    <w:rsid w:val="005D3127"/>
    <w:rsid w:val="005D3BCD"/>
    <w:rsid w:val="005D3F2B"/>
    <w:rsid w:val="005D4CD7"/>
    <w:rsid w:val="005D4E6F"/>
    <w:rsid w:val="005D5CD3"/>
    <w:rsid w:val="005D6672"/>
    <w:rsid w:val="005D7DD1"/>
    <w:rsid w:val="005E1642"/>
    <w:rsid w:val="005E2ABA"/>
    <w:rsid w:val="005E2EA8"/>
    <w:rsid w:val="005E319F"/>
    <w:rsid w:val="005E3449"/>
    <w:rsid w:val="005E3BCE"/>
    <w:rsid w:val="005E4B6F"/>
    <w:rsid w:val="005E5054"/>
    <w:rsid w:val="005E551C"/>
    <w:rsid w:val="005E6039"/>
    <w:rsid w:val="005F05AA"/>
    <w:rsid w:val="005F1BF1"/>
    <w:rsid w:val="005F2753"/>
    <w:rsid w:val="005F426B"/>
    <w:rsid w:val="005F4F90"/>
    <w:rsid w:val="005F5D08"/>
    <w:rsid w:val="005F613D"/>
    <w:rsid w:val="005F6823"/>
    <w:rsid w:val="005F6A03"/>
    <w:rsid w:val="005F783B"/>
    <w:rsid w:val="005F79FB"/>
    <w:rsid w:val="00600404"/>
    <w:rsid w:val="00601289"/>
    <w:rsid w:val="006019C0"/>
    <w:rsid w:val="006020B8"/>
    <w:rsid w:val="00603C28"/>
    <w:rsid w:val="0060420D"/>
    <w:rsid w:val="00605C19"/>
    <w:rsid w:val="00606CEF"/>
    <w:rsid w:val="0060765A"/>
    <w:rsid w:val="006111FF"/>
    <w:rsid w:val="00612568"/>
    <w:rsid w:val="00612DFB"/>
    <w:rsid w:val="00613862"/>
    <w:rsid w:val="00613C93"/>
    <w:rsid w:val="00613F77"/>
    <w:rsid w:val="00615A63"/>
    <w:rsid w:val="00616BC8"/>
    <w:rsid w:val="0061762E"/>
    <w:rsid w:val="0062271A"/>
    <w:rsid w:val="00622C65"/>
    <w:rsid w:val="00622DA5"/>
    <w:rsid w:val="00623201"/>
    <w:rsid w:val="00623ECC"/>
    <w:rsid w:val="00626140"/>
    <w:rsid w:val="00627788"/>
    <w:rsid w:val="0063087F"/>
    <w:rsid w:val="00631F26"/>
    <w:rsid w:val="0063295F"/>
    <w:rsid w:val="00632BFD"/>
    <w:rsid w:val="00634A38"/>
    <w:rsid w:val="00634F04"/>
    <w:rsid w:val="00635158"/>
    <w:rsid w:val="00635BE4"/>
    <w:rsid w:val="00635EE0"/>
    <w:rsid w:val="00636054"/>
    <w:rsid w:val="00637034"/>
    <w:rsid w:val="00637ADD"/>
    <w:rsid w:val="00637C34"/>
    <w:rsid w:val="0064164F"/>
    <w:rsid w:val="0064237E"/>
    <w:rsid w:val="00644D54"/>
    <w:rsid w:val="00647983"/>
    <w:rsid w:val="0065251F"/>
    <w:rsid w:val="00652FA2"/>
    <w:rsid w:val="006571DC"/>
    <w:rsid w:val="00657234"/>
    <w:rsid w:val="00660727"/>
    <w:rsid w:val="00660F25"/>
    <w:rsid w:val="0066184A"/>
    <w:rsid w:val="00662B1E"/>
    <w:rsid w:val="00663B2F"/>
    <w:rsid w:val="00664C6C"/>
    <w:rsid w:val="00665072"/>
    <w:rsid w:val="006651E9"/>
    <w:rsid w:val="0066539C"/>
    <w:rsid w:val="0066715A"/>
    <w:rsid w:val="00667293"/>
    <w:rsid w:val="00667B2E"/>
    <w:rsid w:val="0067116D"/>
    <w:rsid w:val="0067426A"/>
    <w:rsid w:val="006749DB"/>
    <w:rsid w:val="006771BD"/>
    <w:rsid w:val="0068096C"/>
    <w:rsid w:val="006817DE"/>
    <w:rsid w:val="00681811"/>
    <w:rsid w:val="0068233A"/>
    <w:rsid w:val="00682873"/>
    <w:rsid w:val="006836B9"/>
    <w:rsid w:val="00684E61"/>
    <w:rsid w:val="00685112"/>
    <w:rsid w:val="006855C7"/>
    <w:rsid w:val="006856BD"/>
    <w:rsid w:val="00685EA4"/>
    <w:rsid w:val="00687B0B"/>
    <w:rsid w:val="006929ED"/>
    <w:rsid w:val="00693CFF"/>
    <w:rsid w:val="0069436B"/>
    <w:rsid w:val="00694AE4"/>
    <w:rsid w:val="00694FC2"/>
    <w:rsid w:val="00695DB4"/>
    <w:rsid w:val="00695FC9"/>
    <w:rsid w:val="006971D0"/>
    <w:rsid w:val="00697686"/>
    <w:rsid w:val="0069776B"/>
    <w:rsid w:val="00697FC3"/>
    <w:rsid w:val="006A0896"/>
    <w:rsid w:val="006A2351"/>
    <w:rsid w:val="006A24C8"/>
    <w:rsid w:val="006A38A0"/>
    <w:rsid w:val="006A527F"/>
    <w:rsid w:val="006A5825"/>
    <w:rsid w:val="006B1924"/>
    <w:rsid w:val="006B1FBC"/>
    <w:rsid w:val="006B408C"/>
    <w:rsid w:val="006B5CD5"/>
    <w:rsid w:val="006B6033"/>
    <w:rsid w:val="006B65B9"/>
    <w:rsid w:val="006B699D"/>
    <w:rsid w:val="006B792F"/>
    <w:rsid w:val="006C2D34"/>
    <w:rsid w:val="006C31B5"/>
    <w:rsid w:val="006C35A5"/>
    <w:rsid w:val="006C3990"/>
    <w:rsid w:val="006C4221"/>
    <w:rsid w:val="006C4ADE"/>
    <w:rsid w:val="006C735F"/>
    <w:rsid w:val="006D0C6A"/>
    <w:rsid w:val="006D2BB1"/>
    <w:rsid w:val="006D45A4"/>
    <w:rsid w:val="006D513D"/>
    <w:rsid w:val="006D7E16"/>
    <w:rsid w:val="006D7E3D"/>
    <w:rsid w:val="006E024F"/>
    <w:rsid w:val="006E0C61"/>
    <w:rsid w:val="006E0E3A"/>
    <w:rsid w:val="006E1A7F"/>
    <w:rsid w:val="006E34EE"/>
    <w:rsid w:val="006E39EF"/>
    <w:rsid w:val="006E4C5D"/>
    <w:rsid w:val="006E4E81"/>
    <w:rsid w:val="006E4F42"/>
    <w:rsid w:val="006E4F81"/>
    <w:rsid w:val="006E5370"/>
    <w:rsid w:val="006E5B25"/>
    <w:rsid w:val="006E68C0"/>
    <w:rsid w:val="006F0B1D"/>
    <w:rsid w:val="006F0CD8"/>
    <w:rsid w:val="006F19E5"/>
    <w:rsid w:val="006F1B42"/>
    <w:rsid w:val="006F3EFB"/>
    <w:rsid w:val="006F5281"/>
    <w:rsid w:val="006F6103"/>
    <w:rsid w:val="006F6C25"/>
    <w:rsid w:val="006F6E8F"/>
    <w:rsid w:val="006F73A1"/>
    <w:rsid w:val="006F74DB"/>
    <w:rsid w:val="006F752B"/>
    <w:rsid w:val="006F7DE9"/>
    <w:rsid w:val="00700CA3"/>
    <w:rsid w:val="00700F08"/>
    <w:rsid w:val="00701271"/>
    <w:rsid w:val="00701AC5"/>
    <w:rsid w:val="007036FE"/>
    <w:rsid w:val="00703ED0"/>
    <w:rsid w:val="00705610"/>
    <w:rsid w:val="0070563E"/>
    <w:rsid w:val="00705DD6"/>
    <w:rsid w:val="00707F7D"/>
    <w:rsid w:val="00710C12"/>
    <w:rsid w:val="007126DE"/>
    <w:rsid w:val="007141B3"/>
    <w:rsid w:val="007176B3"/>
    <w:rsid w:val="00717BEF"/>
    <w:rsid w:val="00717EC5"/>
    <w:rsid w:val="0072054C"/>
    <w:rsid w:val="007210DC"/>
    <w:rsid w:val="007211E1"/>
    <w:rsid w:val="0072160D"/>
    <w:rsid w:val="007222CD"/>
    <w:rsid w:val="00725EB4"/>
    <w:rsid w:val="00727EA5"/>
    <w:rsid w:val="00730DE5"/>
    <w:rsid w:val="007315E7"/>
    <w:rsid w:val="00731943"/>
    <w:rsid w:val="00732721"/>
    <w:rsid w:val="00732EC3"/>
    <w:rsid w:val="00733EEF"/>
    <w:rsid w:val="00734409"/>
    <w:rsid w:val="00735EF3"/>
    <w:rsid w:val="00736AAB"/>
    <w:rsid w:val="00736C3E"/>
    <w:rsid w:val="00737BD1"/>
    <w:rsid w:val="00737C31"/>
    <w:rsid w:val="00737E08"/>
    <w:rsid w:val="00740227"/>
    <w:rsid w:val="007432A6"/>
    <w:rsid w:val="00743329"/>
    <w:rsid w:val="007438F9"/>
    <w:rsid w:val="00743F06"/>
    <w:rsid w:val="00744B9A"/>
    <w:rsid w:val="007459C4"/>
    <w:rsid w:val="00751C7A"/>
    <w:rsid w:val="00751DB0"/>
    <w:rsid w:val="00751DE1"/>
    <w:rsid w:val="00753714"/>
    <w:rsid w:val="00754050"/>
    <w:rsid w:val="007552C3"/>
    <w:rsid w:val="00755517"/>
    <w:rsid w:val="007568F4"/>
    <w:rsid w:val="0076033D"/>
    <w:rsid w:val="00760CEC"/>
    <w:rsid w:val="0076100E"/>
    <w:rsid w:val="007610E8"/>
    <w:rsid w:val="00761B29"/>
    <w:rsid w:val="007620EB"/>
    <w:rsid w:val="0076215C"/>
    <w:rsid w:val="007621FD"/>
    <w:rsid w:val="00764191"/>
    <w:rsid w:val="00764407"/>
    <w:rsid w:val="00764626"/>
    <w:rsid w:val="00765D7B"/>
    <w:rsid w:val="007701ED"/>
    <w:rsid w:val="00771E5A"/>
    <w:rsid w:val="00772246"/>
    <w:rsid w:val="0077224C"/>
    <w:rsid w:val="00772EFA"/>
    <w:rsid w:val="007745B4"/>
    <w:rsid w:val="00774BF4"/>
    <w:rsid w:val="0077577D"/>
    <w:rsid w:val="0077685E"/>
    <w:rsid w:val="007874A2"/>
    <w:rsid w:val="00792593"/>
    <w:rsid w:val="00793407"/>
    <w:rsid w:val="00793C81"/>
    <w:rsid w:val="00793D83"/>
    <w:rsid w:val="00795AEF"/>
    <w:rsid w:val="007967D2"/>
    <w:rsid w:val="00797576"/>
    <w:rsid w:val="00797DAE"/>
    <w:rsid w:val="007A0DBF"/>
    <w:rsid w:val="007A1F00"/>
    <w:rsid w:val="007A20A2"/>
    <w:rsid w:val="007A3024"/>
    <w:rsid w:val="007A3958"/>
    <w:rsid w:val="007A3EEB"/>
    <w:rsid w:val="007A487F"/>
    <w:rsid w:val="007A494B"/>
    <w:rsid w:val="007A4E92"/>
    <w:rsid w:val="007A5540"/>
    <w:rsid w:val="007A5979"/>
    <w:rsid w:val="007A5C0F"/>
    <w:rsid w:val="007A7390"/>
    <w:rsid w:val="007B1BB2"/>
    <w:rsid w:val="007B253A"/>
    <w:rsid w:val="007B3D4F"/>
    <w:rsid w:val="007B6A23"/>
    <w:rsid w:val="007B7738"/>
    <w:rsid w:val="007C13FD"/>
    <w:rsid w:val="007C2022"/>
    <w:rsid w:val="007C2579"/>
    <w:rsid w:val="007C3874"/>
    <w:rsid w:val="007C65FB"/>
    <w:rsid w:val="007D19CB"/>
    <w:rsid w:val="007D4EDE"/>
    <w:rsid w:val="007D657A"/>
    <w:rsid w:val="007D6943"/>
    <w:rsid w:val="007D6B51"/>
    <w:rsid w:val="007D6BB8"/>
    <w:rsid w:val="007E056C"/>
    <w:rsid w:val="007E1011"/>
    <w:rsid w:val="007E131B"/>
    <w:rsid w:val="007E38FC"/>
    <w:rsid w:val="007E43CB"/>
    <w:rsid w:val="007E5384"/>
    <w:rsid w:val="007E5B5A"/>
    <w:rsid w:val="007E61D4"/>
    <w:rsid w:val="007E7C01"/>
    <w:rsid w:val="007F00ED"/>
    <w:rsid w:val="007F047A"/>
    <w:rsid w:val="007F1809"/>
    <w:rsid w:val="007F1E24"/>
    <w:rsid w:val="007F2648"/>
    <w:rsid w:val="007F2DF4"/>
    <w:rsid w:val="007F2F95"/>
    <w:rsid w:val="007F32FA"/>
    <w:rsid w:val="007F4425"/>
    <w:rsid w:val="007F449C"/>
    <w:rsid w:val="007F5D96"/>
    <w:rsid w:val="007F7877"/>
    <w:rsid w:val="007F7A9D"/>
    <w:rsid w:val="0080292B"/>
    <w:rsid w:val="008036C3"/>
    <w:rsid w:val="008055E9"/>
    <w:rsid w:val="008059B2"/>
    <w:rsid w:val="008104F3"/>
    <w:rsid w:val="008123A1"/>
    <w:rsid w:val="00812503"/>
    <w:rsid w:val="00813325"/>
    <w:rsid w:val="00813607"/>
    <w:rsid w:val="008137C3"/>
    <w:rsid w:val="008141CA"/>
    <w:rsid w:val="0081538E"/>
    <w:rsid w:val="0081593D"/>
    <w:rsid w:val="00816ECC"/>
    <w:rsid w:val="008176FE"/>
    <w:rsid w:val="00817E62"/>
    <w:rsid w:val="00821870"/>
    <w:rsid w:val="008219E0"/>
    <w:rsid w:val="008232F5"/>
    <w:rsid w:val="008238AA"/>
    <w:rsid w:val="0082395E"/>
    <w:rsid w:val="00825619"/>
    <w:rsid w:val="008275F3"/>
    <w:rsid w:val="00827D0C"/>
    <w:rsid w:val="008302EB"/>
    <w:rsid w:val="0083066F"/>
    <w:rsid w:val="00830848"/>
    <w:rsid w:val="008316C3"/>
    <w:rsid w:val="00831780"/>
    <w:rsid w:val="0083285B"/>
    <w:rsid w:val="0083403A"/>
    <w:rsid w:val="00834F09"/>
    <w:rsid w:val="00835855"/>
    <w:rsid w:val="00836BCB"/>
    <w:rsid w:val="00837A6D"/>
    <w:rsid w:val="008400A9"/>
    <w:rsid w:val="008400C4"/>
    <w:rsid w:val="0084164E"/>
    <w:rsid w:val="00841E67"/>
    <w:rsid w:val="008422EA"/>
    <w:rsid w:val="0084236C"/>
    <w:rsid w:val="00843089"/>
    <w:rsid w:val="00843D7B"/>
    <w:rsid w:val="00844F8E"/>
    <w:rsid w:val="00846916"/>
    <w:rsid w:val="00850A8E"/>
    <w:rsid w:val="0085146D"/>
    <w:rsid w:val="00851807"/>
    <w:rsid w:val="008549AF"/>
    <w:rsid w:val="008553E5"/>
    <w:rsid w:val="00855D3B"/>
    <w:rsid w:val="008561A9"/>
    <w:rsid w:val="00860325"/>
    <w:rsid w:val="00860369"/>
    <w:rsid w:val="008611E3"/>
    <w:rsid w:val="00861D0E"/>
    <w:rsid w:val="00862970"/>
    <w:rsid w:val="00864B09"/>
    <w:rsid w:val="00871463"/>
    <w:rsid w:val="00872406"/>
    <w:rsid w:val="00872977"/>
    <w:rsid w:val="00872AAA"/>
    <w:rsid w:val="00873F6B"/>
    <w:rsid w:val="00874399"/>
    <w:rsid w:val="00875396"/>
    <w:rsid w:val="0087573E"/>
    <w:rsid w:val="008765D9"/>
    <w:rsid w:val="00880BE3"/>
    <w:rsid w:val="00882A3F"/>
    <w:rsid w:val="0088522C"/>
    <w:rsid w:val="0088715D"/>
    <w:rsid w:val="00887C43"/>
    <w:rsid w:val="00891B16"/>
    <w:rsid w:val="008924A0"/>
    <w:rsid w:val="00892893"/>
    <w:rsid w:val="00892BD1"/>
    <w:rsid w:val="00893A4A"/>
    <w:rsid w:val="008951DF"/>
    <w:rsid w:val="0089588B"/>
    <w:rsid w:val="0089732E"/>
    <w:rsid w:val="008A0438"/>
    <w:rsid w:val="008A0693"/>
    <w:rsid w:val="008A0B0B"/>
    <w:rsid w:val="008A4BCF"/>
    <w:rsid w:val="008A64C4"/>
    <w:rsid w:val="008B0346"/>
    <w:rsid w:val="008B0D4D"/>
    <w:rsid w:val="008B0E0F"/>
    <w:rsid w:val="008B3177"/>
    <w:rsid w:val="008B41B2"/>
    <w:rsid w:val="008B4232"/>
    <w:rsid w:val="008B4AE7"/>
    <w:rsid w:val="008B4BF3"/>
    <w:rsid w:val="008B5A47"/>
    <w:rsid w:val="008B5B39"/>
    <w:rsid w:val="008C020A"/>
    <w:rsid w:val="008C1EAA"/>
    <w:rsid w:val="008C2353"/>
    <w:rsid w:val="008C36A4"/>
    <w:rsid w:val="008C384C"/>
    <w:rsid w:val="008C3CC3"/>
    <w:rsid w:val="008C4097"/>
    <w:rsid w:val="008C59E1"/>
    <w:rsid w:val="008C62CE"/>
    <w:rsid w:val="008C6AA0"/>
    <w:rsid w:val="008C7315"/>
    <w:rsid w:val="008D2614"/>
    <w:rsid w:val="008D2CDF"/>
    <w:rsid w:val="008D2F63"/>
    <w:rsid w:val="008D31CA"/>
    <w:rsid w:val="008D3AE7"/>
    <w:rsid w:val="008D5E8D"/>
    <w:rsid w:val="008D7E45"/>
    <w:rsid w:val="008E124F"/>
    <w:rsid w:val="008E2CD6"/>
    <w:rsid w:val="008E322C"/>
    <w:rsid w:val="008E334F"/>
    <w:rsid w:val="008E42D7"/>
    <w:rsid w:val="008F0330"/>
    <w:rsid w:val="008F0BF8"/>
    <w:rsid w:val="008F29A4"/>
    <w:rsid w:val="008F4BD8"/>
    <w:rsid w:val="008F705E"/>
    <w:rsid w:val="008F71F4"/>
    <w:rsid w:val="008F73B4"/>
    <w:rsid w:val="009000D7"/>
    <w:rsid w:val="00900398"/>
    <w:rsid w:val="00900534"/>
    <w:rsid w:val="00900B77"/>
    <w:rsid w:val="00903003"/>
    <w:rsid w:val="00903A40"/>
    <w:rsid w:val="0090507E"/>
    <w:rsid w:val="009054A9"/>
    <w:rsid w:val="0090626D"/>
    <w:rsid w:val="0090631B"/>
    <w:rsid w:val="00910439"/>
    <w:rsid w:val="009120B8"/>
    <w:rsid w:val="009132B6"/>
    <w:rsid w:val="00913FA9"/>
    <w:rsid w:val="0091443D"/>
    <w:rsid w:val="00914FDE"/>
    <w:rsid w:val="009152C0"/>
    <w:rsid w:val="009157FD"/>
    <w:rsid w:val="00916BEE"/>
    <w:rsid w:val="00917A42"/>
    <w:rsid w:val="00917E1A"/>
    <w:rsid w:val="00920124"/>
    <w:rsid w:val="0092037E"/>
    <w:rsid w:val="00922961"/>
    <w:rsid w:val="00922DF6"/>
    <w:rsid w:val="009253C0"/>
    <w:rsid w:val="00925729"/>
    <w:rsid w:val="00927807"/>
    <w:rsid w:val="00927AE1"/>
    <w:rsid w:val="00930587"/>
    <w:rsid w:val="0093193A"/>
    <w:rsid w:val="009332D6"/>
    <w:rsid w:val="009337A0"/>
    <w:rsid w:val="00933A66"/>
    <w:rsid w:val="00934767"/>
    <w:rsid w:val="00934DB2"/>
    <w:rsid w:val="00935CC0"/>
    <w:rsid w:val="009369D9"/>
    <w:rsid w:val="00941BE9"/>
    <w:rsid w:val="00942340"/>
    <w:rsid w:val="00942CD6"/>
    <w:rsid w:val="00943F9A"/>
    <w:rsid w:val="00944BDC"/>
    <w:rsid w:val="00945A8F"/>
    <w:rsid w:val="00945BFA"/>
    <w:rsid w:val="009462F6"/>
    <w:rsid w:val="00947336"/>
    <w:rsid w:val="00947584"/>
    <w:rsid w:val="00950790"/>
    <w:rsid w:val="0095088B"/>
    <w:rsid w:val="0095098A"/>
    <w:rsid w:val="0095180A"/>
    <w:rsid w:val="00952494"/>
    <w:rsid w:val="009553C5"/>
    <w:rsid w:val="00960185"/>
    <w:rsid w:val="00960C7C"/>
    <w:rsid w:val="0096141C"/>
    <w:rsid w:val="0096256F"/>
    <w:rsid w:val="009629E6"/>
    <w:rsid w:val="009635C5"/>
    <w:rsid w:val="00963C93"/>
    <w:rsid w:val="00964A48"/>
    <w:rsid w:val="00964B59"/>
    <w:rsid w:val="009651D3"/>
    <w:rsid w:val="00965881"/>
    <w:rsid w:val="00967095"/>
    <w:rsid w:val="0097124D"/>
    <w:rsid w:val="009715F0"/>
    <w:rsid w:val="00971997"/>
    <w:rsid w:val="00972F15"/>
    <w:rsid w:val="009743F5"/>
    <w:rsid w:val="00976F08"/>
    <w:rsid w:val="009774DF"/>
    <w:rsid w:val="0098064F"/>
    <w:rsid w:val="00982086"/>
    <w:rsid w:val="00983375"/>
    <w:rsid w:val="009843E9"/>
    <w:rsid w:val="00984C63"/>
    <w:rsid w:val="0098793A"/>
    <w:rsid w:val="00987D01"/>
    <w:rsid w:val="00991419"/>
    <w:rsid w:val="00991CD1"/>
    <w:rsid w:val="00992AB3"/>
    <w:rsid w:val="00992D74"/>
    <w:rsid w:val="00995124"/>
    <w:rsid w:val="00997914"/>
    <w:rsid w:val="00997F33"/>
    <w:rsid w:val="009A280A"/>
    <w:rsid w:val="009A372B"/>
    <w:rsid w:val="009A5F93"/>
    <w:rsid w:val="009A7476"/>
    <w:rsid w:val="009A79DC"/>
    <w:rsid w:val="009B097A"/>
    <w:rsid w:val="009B131B"/>
    <w:rsid w:val="009B3B6E"/>
    <w:rsid w:val="009B4536"/>
    <w:rsid w:val="009B55B1"/>
    <w:rsid w:val="009B5DE2"/>
    <w:rsid w:val="009B698E"/>
    <w:rsid w:val="009B6E02"/>
    <w:rsid w:val="009B6E58"/>
    <w:rsid w:val="009C01E0"/>
    <w:rsid w:val="009C0905"/>
    <w:rsid w:val="009C1AEA"/>
    <w:rsid w:val="009C1E31"/>
    <w:rsid w:val="009C3183"/>
    <w:rsid w:val="009C358D"/>
    <w:rsid w:val="009C400F"/>
    <w:rsid w:val="009C739D"/>
    <w:rsid w:val="009C7874"/>
    <w:rsid w:val="009D0E61"/>
    <w:rsid w:val="009D44C5"/>
    <w:rsid w:val="009D4AA0"/>
    <w:rsid w:val="009E0BC5"/>
    <w:rsid w:val="009E2186"/>
    <w:rsid w:val="009E2AE2"/>
    <w:rsid w:val="009E2B01"/>
    <w:rsid w:val="009E423B"/>
    <w:rsid w:val="009E5946"/>
    <w:rsid w:val="009E6479"/>
    <w:rsid w:val="009E785D"/>
    <w:rsid w:val="009F10E2"/>
    <w:rsid w:val="009F13AF"/>
    <w:rsid w:val="009F1C14"/>
    <w:rsid w:val="009F250C"/>
    <w:rsid w:val="009F2C60"/>
    <w:rsid w:val="009F318E"/>
    <w:rsid w:val="009F3B83"/>
    <w:rsid w:val="009F4E20"/>
    <w:rsid w:val="009F534D"/>
    <w:rsid w:val="009F6D50"/>
    <w:rsid w:val="00A00204"/>
    <w:rsid w:val="00A014FF"/>
    <w:rsid w:val="00A01636"/>
    <w:rsid w:val="00A03190"/>
    <w:rsid w:val="00A0343A"/>
    <w:rsid w:val="00A067A4"/>
    <w:rsid w:val="00A06C59"/>
    <w:rsid w:val="00A07E42"/>
    <w:rsid w:val="00A102A0"/>
    <w:rsid w:val="00A10806"/>
    <w:rsid w:val="00A12936"/>
    <w:rsid w:val="00A12EE6"/>
    <w:rsid w:val="00A15F79"/>
    <w:rsid w:val="00A1643D"/>
    <w:rsid w:val="00A17914"/>
    <w:rsid w:val="00A17C51"/>
    <w:rsid w:val="00A2098F"/>
    <w:rsid w:val="00A20BCD"/>
    <w:rsid w:val="00A22987"/>
    <w:rsid w:val="00A22BD4"/>
    <w:rsid w:val="00A22DA7"/>
    <w:rsid w:val="00A23561"/>
    <w:rsid w:val="00A24207"/>
    <w:rsid w:val="00A25E4C"/>
    <w:rsid w:val="00A26E92"/>
    <w:rsid w:val="00A3200E"/>
    <w:rsid w:val="00A32029"/>
    <w:rsid w:val="00A3379D"/>
    <w:rsid w:val="00A33E33"/>
    <w:rsid w:val="00A360A0"/>
    <w:rsid w:val="00A37239"/>
    <w:rsid w:val="00A37521"/>
    <w:rsid w:val="00A377B5"/>
    <w:rsid w:val="00A40101"/>
    <w:rsid w:val="00A40D1D"/>
    <w:rsid w:val="00A41A5E"/>
    <w:rsid w:val="00A41C02"/>
    <w:rsid w:val="00A4343D"/>
    <w:rsid w:val="00A43C2D"/>
    <w:rsid w:val="00A44ED5"/>
    <w:rsid w:val="00A469E4"/>
    <w:rsid w:val="00A46BDD"/>
    <w:rsid w:val="00A46D6A"/>
    <w:rsid w:val="00A46DA6"/>
    <w:rsid w:val="00A510AD"/>
    <w:rsid w:val="00A514D9"/>
    <w:rsid w:val="00A529C0"/>
    <w:rsid w:val="00A53375"/>
    <w:rsid w:val="00A54052"/>
    <w:rsid w:val="00A54B46"/>
    <w:rsid w:val="00A5574A"/>
    <w:rsid w:val="00A558C5"/>
    <w:rsid w:val="00A57CE4"/>
    <w:rsid w:val="00A60620"/>
    <w:rsid w:val="00A61135"/>
    <w:rsid w:val="00A61E50"/>
    <w:rsid w:val="00A625E1"/>
    <w:rsid w:val="00A64806"/>
    <w:rsid w:val="00A64B08"/>
    <w:rsid w:val="00A65953"/>
    <w:rsid w:val="00A65A7D"/>
    <w:rsid w:val="00A662ED"/>
    <w:rsid w:val="00A66B0E"/>
    <w:rsid w:val="00A67130"/>
    <w:rsid w:val="00A67192"/>
    <w:rsid w:val="00A679D3"/>
    <w:rsid w:val="00A701BA"/>
    <w:rsid w:val="00A70DE7"/>
    <w:rsid w:val="00A70F56"/>
    <w:rsid w:val="00A73195"/>
    <w:rsid w:val="00A747DD"/>
    <w:rsid w:val="00A75140"/>
    <w:rsid w:val="00A75A14"/>
    <w:rsid w:val="00A75C16"/>
    <w:rsid w:val="00A7660D"/>
    <w:rsid w:val="00A77FBC"/>
    <w:rsid w:val="00A8019A"/>
    <w:rsid w:val="00A80AB9"/>
    <w:rsid w:val="00A80DE6"/>
    <w:rsid w:val="00A81EB3"/>
    <w:rsid w:val="00A84FEF"/>
    <w:rsid w:val="00A85FE3"/>
    <w:rsid w:val="00A90185"/>
    <w:rsid w:val="00A90AD2"/>
    <w:rsid w:val="00A91C2B"/>
    <w:rsid w:val="00A920D8"/>
    <w:rsid w:val="00A95024"/>
    <w:rsid w:val="00A95402"/>
    <w:rsid w:val="00A960A4"/>
    <w:rsid w:val="00A9750B"/>
    <w:rsid w:val="00AA232C"/>
    <w:rsid w:val="00AA29F8"/>
    <w:rsid w:val="00AA46FA"/>
    <w:rsid w:val="00AA585B"/>
    <w:rsid w:val="00AA6282"/>
    <w:rsid w:val="00AA72F3"/>
    <w:rsid w:val="00AB2327"/>
    <w:rsid w:val="00AB2370"/>
    <w:rsid w:val="00AB24DA"/>
    <w:rsid w:val="00AB3C7B"/>
    <w:rsid w:val="00AB499A"/>
    <w:rsid w:val="00AB618C"/>
    <w:rsid w:val="00AB62DA"/>
    <w:rsid w:val="00AB6552"/>
    <w:rsid w:val="00AB6A3F"/>
    <w:rsid w:val="00AB6D08"/>
    <w:rsid w:val="00AB70DA"/>
    <w:rsid w:val="00AB7335"/>
    <w:rsid w:val="00AC0165"/>
    <w:rsid w:val="00AC02D1"/>
    <w:rsid w:val="00AC129A"/>
    <w:rsid w:val="00AC134D"/>
    <w:rsid w:val="00AC1BEF"/>
    <w:rsid w:val="00AC2E05"/>
    <w:rsid w:val="00AC3456"/>
    <w:rsid w:val="00AC6292"/>
    <w:rsid w:val="00AC649C"/>
    <w:rsid w:val="00AC6B51"/>
    <w:rsid w:val="00AD27DE"/>
    <w:rsid w:val="00AD32BD"/>
    <w:rsid w:val="00AD4013"/>
    <w:rsid w:val="00AD4355"/>
    <w:rsid w:val="00AD540B"/>
    <w:rsid w:val="00AD6623"/>
    <w:rsid w:val="00AD7E72"/>
    <w:rsid w:val="00AE037F"/>
    <w:rsid w:val="00AE0614"/>
    <w:rsid w:val="00AE0701"/>
    <w:rsid w:val="00AE2091"/>
    <w:rsid w:val="00AE20D3"/>
    <w:rsid w:val="00AE2D8F"/>
    <w:rsid w:val="00AE2E03"/>
    <w:rsid w:val="00AE307A"/>
    <w:rsid w:val="00AE343B"/>
    <w:rsid w:val="00AE3902"/>
    <w:rsid w:val="00AE59B9"/>
    <w:rsid w:val="00AE5DEE"/>
    <w:rsid w:val="00AE5F5B"/>
    <w:rsid w:val="00AE7A76"/>
    <w:rsid w:val="00AF1E80"/>
    <w:rsid w:val="00AF4307"/>
    <w:rsid w:val="00AF69A9"/>
    <w:rsid w:val="00AF7554"/>
    <w:rsid w:val="00B00705"/>
    <w:rsid w:val="00B00C1D"/>
    <w:rsid w:val="00B010C3"/>
    <w:rsid w:val="00B028FD"/>
    <w:rsid w:val="00B054F5"/>
    <w:rsid w:val="00B06C5D"/>
    <w:rsid w:val="00B06D50"/>
    <w:rsid w:val="00B078FA"/>
    <w:rsid w:val="00B107F8"/>
    <w:rsid w:val="00B11404"/>
    <w:rsid w:val="00B11F6D"/>
    <w:rsid w:val="00B13EF3"/>
    <w:rsid w:val="00B15AE8"/>
    <w:rsid w:val="00B164B4"/>
    <w:rsid w:val="00B16D5E"/>
    <w:rsid w:val="00B178C8"/>
    <w:rsid w:val="00B17CD4"/>
    <w:rsid w:val="00B20133"/>
    <w:rsid w:val="00B20917"/>
    <w:rsid w:val="00B21174"/>
    <w:rsid w:val="00B22171"/>
    <w:rsid w:val="00B22C4C"/>
    <w:rsid w:val="00B2798C"/>
    <w:rsid w:val="00B307A7"/>
    <w:rsid w:val="00B30B30"/>
    <w:rsid w:val="00B312B6"/>
    <w:rsid w:val="00B33F9B"/>
    <w:rsid w:val="00B352FB"/>
    <w:rsid w:val="00B3538D"/>
    <w:rsid w:val="00B358E1"/>
    <w:rsid w:val="00B35AE9"/>
    <w:rsid w:val="00B35DEC"/>
    <w:rsid w:val="00B36DFD"/>
    <w:rsid w:val="00B37B69"/>
    <w:rsid w:val="00B444A1"/>
    <w:rsid w:val="00B45940"/>
    <w:rsid w:val="00B465A3"/>
    <w:rsid w:val="00B46E39"/>
    <w:rsid w:val="00B47071"/>
    <w:rsid w:val="00B5045B"/>
    <w:rsid w:val="00B50FBC"/>
    <w:rsid w:val="00B528CB"/>
    <w:rsid w:val="00B5304C"/>
    <w:rsid w:val="00B5550C"/>
    <w:rsid w:val="00B56CE4"/>
    <w:rsid w:val="00B57B72"/>
    <w:rsid w:val="00B60B14"/>
    <w:rsid w:val="00B61432"/>
    <w:rsid w:val="00B6246E"/>
    <w:rsid w:val="00B62472"/>
    <w:rsid w:val="00B6287F"/>
    <w:rsid w:val="00B62975"/>
    <w:rsid w:val="00B6382A"/>
    <w:rsid w:val="00B63E1B"/>
    <w:rsid w:val="00B647CC"/>
    <w:rsid w:val="00B6536D"/>
    <w:rsid w:val="00B65E86"/>
    <w:rsid w:val="00B67A49"/>
    <w:rsid w:val="00B70723"/>
    <w:rsid w:val="00B72C88"/>
    <w:rsid w:val="00B738AE"/>
    <w:rsid w:val="00B73BB4"/>
    <w:rsid w:val="00B73F91"/>
    <w:rsid w:val="00B75386"/>
    <w:rsid w:val="00B75BE3"/>
    <w:rsid w:val="00B76A11"/>
    <w:rsid w:val="00B773F1"/>
    <w:rsid w:val="00B77439"/>
    <w:rsid w:val="00B7744C"/>
    <w:rsid w:val="00B80AC5"/>
    <w:rsid w:val="00B8121F"/>
    <w:rsid w:val="00B837E7"/>
    <w:rsid w:val="00B874AE"/>
    <w:rsid w:val="00B93089"/>
    <w:rsid w:val="00B94322"/>
    <w:rsid w:val="00B960E2"/>
    <w:rsid w:val="00B960EA"/>
    <w:rsid w:val="00B9669A"/>
    <w:rsid w:val="00B96D11"/>
    <w:rsid w:val="00BA0956"/>
    <w:rsid w:val="00BA136C"/>
    <w:rsid w:val="00BA1F97"/>
    <w:rsid w:val="00BA277D"/>
    <w:rsid w:val="00BA3DC5"/>
    <w:rsid w:val="00BA4482"/>
    <w:rsid w:val="00BA521F"/>
    <w:rsid w:val="00BA6370"/>
    <w:rsid w:val="00BA6DAF"/>
    <w:rsid w:val="00BB0008"/>
    <w:rsid w:val="00BB32E3"/>
    <w:rsid w:val="00BB3B89"/>
    <w:rsid w:val="00BB488A"/>
    <w:rsid w:val="00BB48C8"/>
    <w:rsid w:val="00BB5532"/>
    <w:rsid w:val="00BB7C45"/>
    <w:rsid w:val="00BC20F2"/>
    <w:rsid w:val="00BC2980"/>
    <w:rsid w:val="00BC3873"/>
    <w:rsid w:val="00BC43B3"/>
    <w:rsid w:val="00BC4C6B"/>
    <w:rsid w:val="00BC4C7A"/>
    <w:rsid w:val="00BC5024"/>
    <w:rsid w:val="00BC6ABD"/>
    <w:rsid w:val="00BC7C9C"/>
    <w:rsid w:val="00BD0A77"/>
    <w:rsid w:val="00BD0DEE"/>
    <w:rsid w:val="00BD140B"/>
    <w:rsid w:val="00BD21DB"/>
    <w:rsid w:val="00BD3F17"/>
    <w:rsid w:val="00BD44C3"/>
    <w:rsid w:val="00BD568A"/>
    <w:rsid w:val="00BD58C5"/>
    <w:rsid w:val="00BE0244"/>
    <w:rsid w:val="00BE07C6"/>
    <w:rsid w:val="00BE0ED1"/>
    <w:rsid w:val="00BE23B1"/>
    <w:rsid w:val="00BE25D9"/>
    <w:rsid w:val="00BE3CBD"/>
    <w:rsid w:val="00BE4AF2"/>
    <w:rsid w:val="00BE4E6C"/>
    <w:rsid w:val="00BE5569"/>
    <w:rsid w:val="00BE5C44"/>
    <w:rsid w:val="00BE66DE"/>
    <w:rsid w:val="00BE6757"/>
    <w:rsid w:val="00BE759F"/>
    <w:rsid w:val="00BE7DD8"/>
    <w:rsid w:val="00BF296A"/>
    <w:rsid w:val="00BF387E"/>
    <w:rsid w:val="00BF3F5B"/>
    <w:rsid w:val="00BF4BF1"/>
    <w:rsid w:val="00BF55BD"/>
    <w:rsid w:val="00BF5B0D"/>
    <w:rsid w:val="00BF5D1B"/>
    <w:rsid w:val="00BF5FAD"/>
    <w:rsid w:val="00BF609F"/>
    <w:rsid w:val="00BF7148"/>
    <w:rsid w:val="00BF7312"/>
    <w:rsid w:val="00C00824"/>
    <w:rsid w:val="00C00CC9"/>
    <w:rsid w:val="00C00DFD"/>
    <w:rsid w:val="00C01330"/>
    <w:rsid w:val="00C01E82"/>
    <w:rsid w:val="00C038D8"/>
    <w:rsid w:val="00C04365"/>
    <w:rsid w:val="00C04762"/>
    <w:rsid w:val="00C04D0A"/>
    <w:rsid w:val="00C05C02"/>
    <w:rsid w:val="00C06030"/>
    <w:rsid w:val="00C06C1D"/>
    <w:rsid w:val="00C07089"/>
    <w:rsid w:val="00C07C74"/>
    <w:rsid w:val="00C1000E"/>
    <w:rsid w:val="00C110C2"/>
    <w:rsid w:val="00C1268E"/>
    <w:rsid w:val="00C13B2C"/>
    <w:rsid w:val="00C15B08"/>
    <w:rsid w:val="00C165DB"/>
    <w:rsid w:val="00C17AC2"/>
    <w:rsid w:val="00C22D60"/>
    <w:rsid w:val="00C23682"/>
    <w:rsid w:val="00C24167"/>
    <w:rsid w:val="00C244D4"/>
    <w:rsid w:val="00C25928"/>
    <w:rsid w:val="00C27B4A"/>
    <w:rsid w:val="00C3068F"/>
    <w:rsid w:val="00C30E41"/>
    <w:rsid w:val="00C339B8"/>
    <w:rsid w:val="00C34499"/>
    <w:rsid w:val="00C34DD8"/>
    <w:rsid w:val="00C36F6C"/>
    <w:rsid w:val="00C37286"/>
    <w:rsid w:val="00C37F52"/>
    <w:rsid w:val="00C40105"/>
    <w:rsid w:val="00C410F9"/>
    <w:rsid w:val="00C4160D"/>
    <w:rsid w:val="00C41D2A"/>
    <w:rsid w:val="00C41E9D"/>
    <w:rsid w:val="00C4202D"/>
    <w:rsid w:val="00C43ECE"/>
    <w:rsid w:val="00C44000"/>
    <w:rsid w:val="00C45F16"/>
    <w:rsid w:val="00C46F7E"/>
    <w:rsid w:val="00C47476"/>
    <w:rsid w:val="00C47519"/>
    <w:rsid w:val="00C47887"/>
    <w:rsid w:val="00C47F56"/>
    <w:rsid w:val="00C50304"/>
    <w:rsid w:val="00C509B9"/>
    <w:rsid w:val="00C50CC9"/>
    <w:rsid w:val="00C51E51"/>
    <w:rsid w:val="00C55258"/>
    <w:rsid w:val="00C553D9"/>
    <w:rsid w:val="00C60EAC"/>
    <w:rsid w:val="00C61B14"/>
    <w:rsid w:val="00C62310"/>
    <w:rsid w:val="00C6499B"/>
    <w:rsid w:val="00C655A6"/>
    <w:rsid w:val="00C659C0"/>
    <w:rsid w:val="00C66432"/>
    <w:rsid w:val="00C67153"/>
    <w:rsid w:val="00C67B9A"/>
    <w:rsid w:val="00C67D68"/>
    <w:rsid w:val="00C7031F"/>
    <w:rsid w:val="00C708BE"/>
    <w:rsid w:val="00C70965"/>
    <w:rsid w:val="00C72CAA"/>
    <w:rsid w:val="00C73632"/>
    <w:rsid w:val="00C74B6A"/>
    <w:rsid w:val="00C776C4"/>
    <w:rsid w:val="00C8010A"/>
    <w:rsid w:val="00C8032F"/>
    <w:rsid w:val="00C80C68"/>
    <w:rsid w:val="00C822F6"/>
    <w:rsid w:val="00C827F7"/>
    <w:rsid w:val="00C82B75"/>
    <w:rsid w:val="00C8406E"/>
    <w:rsid w:val="00C84D1B"/>
    <w:rsid w:val="00C854B7"/>
    <w:rsid w:val="00C85E38"/>
    <w:rsid w:val="00C8687B"/>
    <w:rsid w:val="00C87370"/>
    <w:rsid w:val="00C91DEB"/>
    <w:rsid w:val="00C927C3"/>
    <w:rsid w:val="00C92DFD"/>
    <w:rsid w:val="00C93204"/>
    <w:rsid w:val="00C935C2"/>
    <w:rsid w:val="00C93E83"/>
    <w:rsid w:val="00C94C4E"/>
    <w:rsid w:val="00C953B0"/>
    <w:rsid w:val="00C96FD2"/>
    <w:rsid w:val="00C974A3"/>
    <w:rsid w:val="00CA033C"/>
    <w:rsid w:val="00CA1C1C"/>
    <w:rsid w:val="00CA1DD2"/>
    <w:rsid w:val="00CA3941"/>
    <w:rsid w:val="00CA40B4"/>
    <w:rsid w:val="00CA4857"/>
    <w:rsid w:val="00CA5FAA"/>
    <w:rsid w:val="00CA6BE8"/>
    <w:rsid w:val="00CB10FB"/>
    <w:rsid w:val="00CB18F1"/>
    <w:rsid w:val="00CB2709"/>
    <w:rsid w:val="00CB3210"/>
    <w:rsid w:val="00CB4330"/>
    <w:rsid w:val="00CB4A0E"/>
    <w:rsid w:val="00CB5E3E"/>
    <w:rsid w:val="00CB5FBF"/>
    <w:rsid w:val="00CB6295"/>
    <w:rsid w:val="00CB6775"/>
    <w:rsid w:val="00CB6F89"/>
    <w:rsid w:val="00CB75B5"/>
    <w:rsid w:val="00CC11F5"/>
    <w:rsid w:val="00CC30D0"/>
    <w:rsid w:val="00CC37CD"/>
    <w:rsid w:val="00CC3F17"/>
    <w:rsid w:val="00CC479C"/>
    <w:rsid w:val="00CC49DC"/>
    <w:rsid w:val="00CC4EE3"/>
    <w:rsid w:val="00CC79CC"/>
    <w:rsid w:val="00CD2AD8"/>
    <w:rsid w:val="00CD3D50"/>
    <w:rsid w:val="00CD44B7"/>
    <w:rsid w:val="00CD44DA"/>
    <w:rsid w:val="00CD48BB"/>
    <w:rsid w:val="00CD5C9E"/>
    <w:rsid w:val="00CD60FA"/>
    <w:rsid w:val="00CD7DEA"/>
    <w:rsid w:val="00CE198B"/>
    <w:rsid w:val="00CE1F60"/>
    <w:rsid w:val="00CE3670"/>
    <w:rsid w:val="00CE3C42"/>
    <w:rsid w:val="00CE3DE3"/>
    <w:rsid w:val="00CE4BB4"/>
    <w:rsid w:val="00CE4D8D"/>
    <w:rsid w:val="00CE504C"/>
    <w:rsid w:val="00CE66E3"/>
    <w:rsid w:val="00CE7FA2"/>
    <w:rsid w:val="00CF05AE"/>
    <w:rsid w:val="00CF1BA6"/>
    <w:rsid w:val="00CF1BF0"/>
    <w:rsid w:val="00CF2051"/>
    <w:rsid w:val="00CF251D"/>
    <w:rsid w:val="00CF36DE"/>
    <w:rsid w:val="00CF37A8"/>
    <w:rsid w:val="00CF3B26"/>
    <w:rsid w:val="00CF5032"/>
    <w:rsid w:val="00CF545B"/>
    <w:rsid w:val="00CF63D9"/>
    <w:rsid w:val="00D012A0"/>
    <w:rsid w:val="00D01DEC"/>
    <w:rsid w:val="00D030FB"/>
    <w:rsid w:val="00D03682"/>
    <w:rsid w:val="00D0493E"/>
    <w:rsid w:val="00D05267"/>
    <w:rsid w:val="00D060FD"/>
    <w:rsid w:val="00D07EF1"/>
    <w:rsid w:val="00D106C3"/>
    <w:rsid w:val="00D117F9"/>
    <w:rsid w:val="00D1207B"/>
    <w:rsid w:val="00D13143"/>
    <w:rsid w:val="00D13146"/>
    <w:rsid w:val="00D14ED9"/>
    <w:rsid w:val="00D15202"/>
    <w:rsid w:val="00D20A01"/>
    <w:rsid w:val="00D23169"/>
    <w:rsid w:val="00D23402"/>
    <w:rsid w:val="00D24CF8"/>
    <w:rsid w:val="00D25CB5"/>
    <w:rsid w:val="00D262B4"/>
    <w:rsid w:val="00D26467"/>
    <w:rsid w:val="00D30951"/>
    <w:rsid w:val="00D329E1"/>
    <w:rsid w:val="00D32FC7"/>
    <w:rsid w:val="00D330BC"/>
    <w:rsid w:val="00D334EB"/>
    <w:rsid w:val="00D350EA"/>
    <w:rsid w:val="00D374EE"/>
    <w:rsid w:val="00D3790D"/>
    <w:rsid w:val="00D40DF5"/>
    <w:rsid w:val="00D40FAC"/>
    <w:rsid w:val="00D418CD"/>
    <w:rsid w:val="00D41F4A"/>
    <w:rsid w:val="00D450DF"/>
    <w:rsid w:val="00D459E1"/>
    <w:rsid w:val="00D500AA"/>
    <w:rsid w:val="00D51283"/>
    <w:rsid w:val="00D526C8"/>
    <w:rsid w:val="00D53B67"/>
    <w:rsid w:val="00D540C2"/>
    <w:rsid w:val="00D55302"/>
    <w:rsid w:val="00D55FDD"/>
    <w:rsid w:val="00D57A3F"/>
    <w:rsid w:val="00D63BB7"/>
    <w:rsid w:val="00D65258"/>
    <w:rsid w:val="00D65F3F"/>
    <w:rsid w:val="00D7004C"/>
    <w:rsid w:val="00D70392"/>
    <w:rsid w:val="00D70F1E"/>
    <w:rsid w:val="00D712D2"/>
    <w:rsid w:val="00D71441"/>
    <w:rsid w:val="00D72771"/>
    <w:rsid w:val="00D7352C"/>
    <w:rsid w:val="00D739FE"/>
    <w:rsid w:val="00D74F97"/>
    <w:rsid w:val="00D770DC"/>
    <w:rsid w:val="00D77E70"/>
    <w:rsid w:val="00D804C5"/>
    <w:rsid w:val="00D80B17"/>
    <w:rsid w:val="00D81BDD"/>
    <w:rsid w:val="00D81BE2"/>
    <w:rsid w:val="00D836DF"/>
    <w:rsid w:val="00D84836"/>
    <w:rsid w:val="00D909D7"/>
    <w:rsid w:val="00D920BC"/>
    <w:rsid w:val="00D929B8"/>
    <w:rsid w:val="00D93607"/>
    <w:rsid w:val="00D9444E"/>
    <w:rsid w:val="00D95484"/>
    <w:rsid w:val="00D9569B"/>
    <w:rsid w:val="00D9759F"/>
    <w:rsid w:val="00DA0299"/>
    <w:rsid w:val="00DA1DD8"/>
    <w:rsid w:val="00DA30D8"/>
    <w:rsid w:val="00DA3C2F"/>
    <w:rsid w:val="00DA4472"/>
    <w:rsid w:val="00DA53BB"/>
    <w:rsid w:val="00DA744C"/>
    <w:rsid w:val="00DA7835"/>
    <w:rsid w:val="00DA787A"/>
    <w:rsid w:val="00DB13C6"/>
    <w:rsid w:val="00DB32A6"/>
    <w:rsid w:val="00DB42B1"/>
    <w:rsid w:val="00DB5B70"/>
    <w:rsid w:val="00DB71AE"/>
    <w:rsid w:val="00DC06DB"/>
    <w:rsid w:val="00DC0C5A"/>
    <w:rsid w:val="00DC13EC"/>
    <w:rsid w:val="00DC1B7A"/>
    <w:rsid w:val="00DC2E78"/>
    <w:rsid w:val="00DC337B"/>
    <w:rsid w:val="00DC4F0F"/>
    <w:rsid w:val="00DC5839"/>
    <w:rsid w:val="00DC67E3"/>
    <w:rsid w:val="00DC694D"/>
    <w:rsid w:val="00DC70F3"/>
    <w:rsid w:val="00DC7BCA"/>
    <w:rsid w:val="00DD1271"/>
    <w:rsid w:val="00DD1E9D"/>
    <w:rsid w:val="00DD3287"/>
    <w:rsid w:val="00DD4B23"/>
    <w:rsid w:val="00DD56E7"/>
    <w:rsid w:val="00DD6505"/>
    <w:rsid w:val="00DE2EA3"/>
    <w:rsid w:val="00DE3BA7"/>
    <w:rsid w:val="00DE4880"/>
    <w:rsid w:val="00DE5267"/>
    <w:rsid w:val="00DE58B3"/>
    <w:rsid w:val="00DE68F1"/>
    <w:rsid w:val="00DE73A5"/>
    <w:rsid w:val="00DE7A35"/>
    <w:rsid w:val="00DF0F04"/>
    <w:rsid w:val="00DF15D5"/>
    <w:rsid w:val="00DF1E62"/>
    <w:rsid w:val="00DF2E77"/>
    <w:rsid w:val="00DF39DC"/>
    <w:rsid w:val="00DF3DED"/>
    <w:rsid w:val="00DF452D"/>
    <w:rsid w:val="00DF47FE"/>
    <w:rsid w:val="00DF60E4"/>
    <w:rsid w:val="00DF7A7E"/>
    <w:rsid w:val="00E00D04"/>
    <w:rsid w:val="00E021F8"/>
    <w:rsid w:val="00E02487"/>
    <w:rsid w:val="00E03E4B"/>
    <w:rsid w:val="00E06825"/>
    <w:rsid w:val="00E074DD"/>
    <w:rsid w:val="00E07A48"/>
    <w:rsid w:val="00E134A9"/>
    <w:rsid w:val="00E140D1"/>
    <w:rsid w:val="00E147B6"/>
    <w:rsid w:val="00E151DF"/>
    <w:rsid w:val="00E22703"/>
    <w:rsid w:val="00E22DF1"/>
    <w:rsid w:val="00E235A8"/>
    <w:rsid w:val="00E237B5"/>
    <w:rsid w:val="00E245EE"/>
    <w:rsid w:val="00E27849"/>
    <w:rsid w:val="00E31015"/>
    <w:rsid w:val="00E33761"/>
    <w:rsid w:val="00E33B29"/>
    <w:rsid w:val="00E34155"/>
    <w:rsid w:val="00E35C11"/>
    <w:rsid w:val="00E40D6B"/>
    <w:rsid w:val="00E4229F"/>
    <w:rsid w:val="00E47C1E"/>
    <w:rsid w:val="00E507DD"/>
    <w:rsid w:val="00E50E47"/>
    <w:rsid w:val="00E511CF"/>
    <w:rsid w:val="00E5289E"/>
    <w:rsid w:val="00E53A53"/>
    <w:rsid w:val="00E53CE7"/>
    <w:rsid w:val="00E5469A"/>
    <w:rsid w:val="00E5593C"/>
    <w:rsid w:val="00E559E0"/>
    <w:rsid w:val="00E562A9"/>
    <w:rsid w:val="00E61659"/>
    <w:rsid w:val="00E6174B"/>
    <w:rsid w:val="00E61D39"/>
    <w:rsid w:val="00E6284C"/>
    <w:rsid w:val="00E65463"/>
    <w:rsid w:val="00E65FC6"/>
    <w:rsid w:val="00E662F8"/>
    <w:rsid w:val="00E66487"/>
    <w:rsid w:val="00E66F37"/>
    <w:rsid w:val="00E70462"/>
    <w:rsid w:val="00E70748"/>
    <w:rsid w:val="00E7083E"/>
    <w:rsid w:val="00E70E96"/>
    <w:rsid w:val="00E726A2"/>
    <w:rsid w:val="00E734F3"/>
    <w:rsid w:val="00E73662"/>
    <w:rsid w:val="00E74575"/>
    <w:rsid w:val="00E74C9E"/>
    <w:rsid w:val="00E74ED8"/>
    <w:rsid w:val="00E75A71"/>
    <w:rsid w:val="00E76E25"/>
    <w:rsid w:val="00E771BF"/>
    <w:rsid w:val="00E815D5"/>
    <w:rsid w:val="00E818D3"/>
    <w:rsid w:val="00E8205D"/>
    <w:rsid w:val="00E8235A"/>
    <w:rsid w:val="00E83812"/>
    <w:rsid w:val="00E84198"/>
    <w:rsid w:val="00E84760"/>
    <w:rsid w:val="00E85BC6"/>
    <w:rsid w:val="00E861F0"/>
    <w:rsid w:val="00E86ED3"/>
    <w:rsid w:val="00E871B0"/>
    <w:rsid w:val="00E87BBE"/>
    <w:rsid w:val="00E87EB6"/>
    <w:rsid w:val="00E901E0"/>
    <w:rsid w:val="00E91119"/>
    <w:rsid w:val="00E91B16"/>
    <w:rsid w:val="00E91C20"/>
    <w:rsid w:val="00E95021"/>
    <w:rsid w:val="00E9543D"/>
    <w:rsid w:val="00E955E8"/>
    <w:rsid w:val="00E9672C"/>
    <w:rsid w:val="00E96ABD"/>
    <w:rsid w:val="00EA19CF"/>
    <w:rsid w:val="00EA2A49"/>
    <w:rsid w:val="00EA33CD"/>
    <w:rsid w:val="00EA5E7F"/>
    <w:rsid w:val="00EA6445"/>
    <w:rsid w:val="00EB0EC0"/>
    <w:rsid w:val="00EB0F27"/>
    <w:rsid w:val="00EB0FE4"/>
    <w:rsid w:val="00EB14E8"/>
    <w:rsid w:val="00EB2975"/>
    <w:rsid w:val="00EB2C84"/>
    <w:rsid w:val="00EB2D63"/>
    <w:rsid w:val="00EB4BBF"/>
    <w:rsid w:val="00EB5342"/>
    <w:rsid w:val="00EB5951"/>
    <w:rsid w:val="00EB5AB4"/>
    <w:rsid w:val="00EB64C9"/>
    <w:rsid w:val="00EB6778"/>
    <w:rsid w:val="00EB68D3"/>
    <w:rsid w:val="00EB6F20"/>
    <w:rsid w:val="00EC1C88"/>
    <w:rsid w:val="00EC282D"/>
    <w:rsid w:val="00EC2839"/>
    <w:rsid w:val="00EC2A5A"/>
    <w:rsid w:val="00EC4937"/>
    <w:rsid w:val="00EC5705"/>
    <w:rsid w:val="00EC618B"/>
    <w:rsid w:val="00EC6EB2"/>
    <w:rsid w:val="00EC7200"/>
    <w:rsid w:val="00EC76C8"/>
    <w:rsid w:val="00EC7762"/>
    <w:rsid w:val="00ED0F08"/>
    <w:rsid w:val="00ED1711"/>
    <w:rsid w:val="00ED25CF"/>
    <w:rsid w:val="00ED2C9B"/>
    <w:rsid w:val="00ED4277"/>
    <w:rsid w:val="00ED6388"/>
    <w:rsid w:val="00ED69F6"/>
    <w:rsid w:val="00ED6FA4"/>
    <w:rsid w:val="00ED7678"/>
    <w:rsid w:val="00ED7AC7"/>
    <w:rsid w:val="00EE0195"/>
    <w:rsid w:val="00EE0EC5"/>
    <w:rsid w:val="00EE27AD"/>
    <w:rsid w:val="00EE28C0"/>
    <w:rsid w:val="00EE5190"/>
    <w:rsid w:val="00EE6291"/>
    <w:rsid w:val="00EF0095"/>
    <w:rsid w:val="00EF0B77"/>
    <w:rsid w:val="00EF0FD6"/>
    <w:rsid w:val="00EF1C7B"/>
    <w:rsid w:val="00EF4C23"/>
    <w:rsid w:val="00EF4E0F"/>
    <w:rsid w:val="00EF50CD"/>
    <w:rsid w:val="00EF56AC"/>
    <w:rsid w:val="00EF62CF"/>
    <w:rsid w:val="00EF6305"/>
    <w:rsid w:val="00EF69D2"/>
    <w:rsid w:val="00F03CA0"/>
    <w:rsid w:val="00F057D5"/>
    <w:rsid w:val="00F066D8"/>
    <w:rsid w:val="00F06872"/>
    <w:rsid w:val="00F06CF5"/>
    <w:rsid w:val="00F06E5B"/>
    <w:rsid w:val="00F076DC"/>
    <w:rsid w:val="00F07A0D"/>
    <w:rsid w:val="00F116A2"/>
    <w:rsid w:val="00F11B4D"/>
    <w:rsid w:val="00F1207F"/>
    <w:rsid w:val="00F129B3"/>
    <w:rsid w:val="00F12F54"/>
    <w:rsid w:val="00F137B2"/>
    <w:rsid w:val="00F13C83"/>
    <w:rsid w:val="00F14ADC"/>
    <w:rsid w:val="00F14B6E"/>
    <w:rsid w:val="00F159FA"/>
    <w:rsid w:val="00F16524"/>
    <w:rsid w:val="00F16772"/>
    <w:rsid w:val="00F1690A"/>
    <w:rsid w:val="00F16C84"/>
    <w:rsid w:val="00F177F6"/>
    <w:rsid w:val="00F203D5"/>
    <w:rsid w:val="00F20A93"/>
    <w:rsid w:val="00F219C0"/>
    <w:rsid w:val="00F22B8F"/>
    <w:rsid w:val="00F22C98"/>
    <w:rsid w:val="00F24576"/>
    <w:rsid w:val="00F25D86"/>
    <w:rsid w:val="00F26916"/>
    <w:rsid w:val="00F27A2D"/>
    <w:rsid w:val="00F32240"/>
    <w:rsid w:val="00F32752"/>
    <w:rsid w:val="00F32776"/>
    <w:rsid w:val="00F32FED"/>
    <w:rsid w:val="00F33592"/>
    <w:rsid w:val="00F447F0"/>
    <w:rsid w:val="00F44D77"/>
    <w:rsid w:val="00F45102"/>
    <w:rsid w:val="00F4529A"/>
    <w:rsid w:val="00F4595F"/>
    <w:rsid w:val="00F50025"/>
    <w:rsid w:val="00F50338"/>
    <w:rsid w:val="00F51377"/>
    <w:rsid w:val="00F51BCF"/>
    <w:rsid w:val="00F53E5C"/>
    <w:rsid w:val="00F540D7"/>
    <w:rsid w:val="00F552DC"/>
    <w:rsid w:val="00F559FB"/>
    <w:rsid w:val="00F57A3D"/>
    <w:rsid w:val="00F60414"/>
    <w:rsid w:val="00F608D0"/>
    <w:rsid w:val="00F62E93"/>
    <w:rsid w:val="00F643C9"/>
    <w:rsid w:val="00F656DE"/>
    <w:rsid w:val="00F67542"/>
    <w:rsid w:val="00F67A92"/>
    <w:rsid w:val="00F70989"/>
    <w:rsid w:val="00F7100E"/>
    <w:rsid w:val="00F7274C"/>
    <w:rsid w:val="00F72778"/>
    <w:rsid w:val="00F72F5B"/>
    <w:rsid w:val="00F73C0B"/>
    <w:rsid w:val="00F74E1E"/>
    <w:rsid w:val="00F76579"/>
    <w:rsid w:val="00F76C0C"/>
    <w:rsid w:val="00F7702E"/>
    <w:rsid w:val="00F77BE1"/>
    <w:rsid w:val="00F80924"/>
    <w:rsid w:val="00F8153C"/>
    <w:rsid w:val="00F81760"/>
    <w:rsid w:val="00F82CC1"/>
    <w:rsid w:val="00F82F9D"/>
    <w:rsid w:val="00F8386D"/>
    <w:rsid w:val="00F84E6F"/>
    <w:rsid w:val="00F85CB5"/>
    <w:rsid w:val="00F86301"/>
    <w:rsid w:val="00F863D0"/>
    <w:rsid w:val="00F924E5"/>
    <w:rsid w:val="00F9360B"/>
    <w:rsid w:val="00F93F90"/>
    <w:rsid w:val="00F9477A"/>
    <w:rsid w:val="00F95601"/>
    <w:rsid w:val="00F9687A"/>
    <w:rsid w:val="00F97D69"/>
    <w:rsid w:val="00FA1B4F"/>
    <w:rsid w:val="00FA473A"/>
    <w:rsid w:val="00FA4C30"/>
    <w:rsid w:val="00FA61DC"/>
    <w:rsid w:val="00FA64F8"/>
    <w:rsid w:val="00FA7EDC"/>
    <w:rsid w:val="00FB0ADC"/>
    <w:rsid w:val="00FB2362"/>
    <w:rsid w:val="00FB3F44"/>
    <w:rsid w:val="00FB4397"/>
    <w:rsid w:val="00FB4541"/>
    <w:rsid w:val="00FB5660"/>
    <w:rsid w:val="00FB687C"/>
    <w:rsid w:val="00FC06D6"/>
    <w:rsid w:val="00FC11B8"/>
    <w:rsid w:val="00FC1447"/>
    <w:rsid w:val="00FC1C8B"/>
    <w:rsid w:val="00FC1EFF"/>
    <w:rsid w:val="00FC1F11"/>
    <w:rsid w:val="00FC3175"/>
    <w:rsid w:val="00FC430E"/>
    <w:rsid w:val="00FC4485"/>
    <w:rsid w:val="00FC5B32"/>
    <w:rsid w:val="00FC673A"/>
    <w:rsid w:val="00FC693D"/>
    <w:rsid w:val="00FC743D"/>
    <w:rsid w:val="00FC7BD2"/>
    <w:rsid w:val="00FC7C00"/>
    <w:rsid w:val="00FC7D8A"/>
    <w:rsid w:val="00FD03E3"/>
    <w:rsid w:val="00FD16F2"/>
    <w:rsid w:val="00FD299E"/>
    <w:rsid w:val="00FD30A2"/>
    <w:rsid w:val="00FD4087"/>
    <w:rsid w:val="00FD42FE"/>
    <w:rsid w:val="00FD4B81"/>
    <w:rsid w:val="00FD551F"/>
    <w:rsid w:val="00FD577B"/>
    <w:rsid w:val="00FD5A66"/>
    <w:rsid w:val="00FD71D3"/>
    <w:rsid w:val="00FD7976"/>
    <w:rsid w:val="00FE03A5"/>
    <w:rsid w:val="00FE0D9D"/>
    <w:rsid w:val="00FE1309"/>
    <w:rsid w:val="00FE15B9"/>
    <w:rsid w:val="00FE2D9E"/>
    <w:rsid w:val="00FE345E"/>
    <w:rsid w:val="00FE46C7"/>
    <w:rsid w:val="00FE4F92"/>
    <w:rsid w:val="00FE55BA"/>
    <w:rsid w:val="00FE6BF3"/>
    <w:rsid w:val="00FE6E7A"/>
    <w:rsid w:val="00FE772C"/>
    <w:rsid w:val="00FE787C"/>
    <w:rsid w:val="00FF0466"/>
    <w:rsid w:val="00FF09C8"/>
    <w:rsid w:val="00FF260F"/>
    <w:rsid w:val="00FF2F44"/>
    <w:rsid w:val="00FF3341"/>
    <w:rsid w:val="00FF37E1"/>
    <w:rsid w:val="00FF491B"/>
    <w:rsid w:val="00FF5F11"/>
    <w:rsid w:val="00FF6A2D"/>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2936860">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090373">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47205035">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85755863">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huslav.mejstrik@czso.cz" TargetMode="Externa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3FF6-5CCA-458E-8E97-34436465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1480</TotalTime>
  <Pages>9</Pages>
  <Words>2915</Words>
  <Characters>17205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20080</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49</cp:revision>
  <cp:lastPrinted>2014-07-22T06:44:00Z</cp:lastPrinted>
  <dcterms:created xsi:type="dcterms:W3CDTF">2014-07-22T15:04:00Z</dcterms:created>
  <dcterms:modified xsi:type="dcterms:W3CDTF">2014-07-31T09:36:00Z</dcterms:modified>
</cp:coreProperties>
</file>