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55" w:rsidRDefault="00680E55" w:rsidP="00680E55">
      <w:pPr>
        <w:pStyle w:val="Datum"/>
      </w:pPr>
      <w:r>
        <w:t>5</w:t>
      </w:r>
      <w:r w:rsidRPr="00A81EB3">
        <w:t>.</w:t>
      </w:r>
      <w:r>
        <w:t> 6</w:t>
      </w:r>
      <w:r w:rsidRPr="00A81EB3">
        <w:t>. 201</w:t>
      </w:r>
      <w:r>
        <w:t>5</w:t>
      </w:r>
    </w:p>
    <w:p w:rsidR="00867569" w:rsidRPr="001E0070" w:rsidRDefault="001E0070" w:rsidP="00A56C80">
      <w:pPr>
        <w:pStyle w:val="Nzev"/>
      </w:pPr>
      <w:r>
        <w:t>Komentář:</w:t>
      </w:r>
      <w:r w:rsidRPr="001E0070">
        <w:rPr>
          <w:caps/>
        </w:rPr>
        <w:t xml:space="preserve"> </w:t>
      </w:r>
      <w:r>
        <w:rPr>
          <w:caps/>
        </w:rPr>
        <w:t>V</w:t>
      </w:r>
      <w:r w:rsidRPr="007D68EB">
        <w:t xml:space="preserve">ývoj </w:t>
      </w:r>
      <w:r>
        <w:t>na trhu práce</w:t>
      </w:r>
      <w:r w:rsidRPr="007D68EB">
        <w:t xml:space="preserve"> v </w:t>
      </w:r>
      <w:r w:rsidR="00680E55">
        <w:t>1</w:t>
      </w:r>
      <w:r w:rsidRPr="007D68EB">
        <w:t>. čtvrtletí</w:t>
      </w:r>
      <w:r w:rsidR="00C644F5">
        <w:t> 201</w:t>
      </w:r>
      <w:r w:rsidR="00680E55">
        <w:t>5</w:t>
      </w:r>
    </w:p>
    <w:p w:rsidR="00AC3B80" w:rsidRPr="00C1170C" w:rsidRDefault="00680E55" w:rsidP="009D2873">
      <w:pPr>
        <w:pStyle w:val="Perex"/>
        <w:spacing w:after="0"/>
        <w:rPr>
          <w:szCs w:val="20"/>
          <w:lang w:eastAsia="cs-CZ"/>
        </w:rPr>
      </w:pPr>
      <w:r w:rsidRPr="001E4567">
        <w:rPr>
          <w:szCs w:val="20"/>
        </w:rPr>
        <w:t>Vývoj na českém trhu práce v 1. čtvrtletí 201</w:t>
      </w:r>
      <w:r w:rsidR="00C406F8">
        <w:rPr>
          <w:szCs w:val="20"/>
        </w:rPr>
        <w:t>5</w:t>
      </w:r>
      <w:r w:rsidRPr="001E4567">
        <w:rPr>
          <w:szCs w:val="20"/>
        </w:rPr>
        <w:t xml:space="preserve"> </w:t>
      </w:r>
      <w:r w:rsidR="00435609">
        <w:rPr>
          <w:szCs w:val="20"/>
        </w:rPr>
        <w:t xml:space="preserve">lze jednoznačně pojmenovat jako </w:t>
      </w:r>
      <w:r>
        <w:rPr>
          <w:szCs w:val="20"/>
        </w:rPr>
        <w:t>oživení</w:t>
      </w:r>
      <w:r w:rsidRPr="001E4567">
        <w:rPr>
          <w:szCs w:val="20"/>
        </w:rPr>
        <w:t xml:space="preserve">. </w:t>
      </w:r>
      <w:r>
        <w:rPr>
          <w:szCs w:val="20"/>
        </w:rPr>
        <w:t>V</w:t>
      </w:r>
      <w:r w:rsidRPr="001E4567">
        <w:rPr>
          <w:szCs w:val="20"/>
          <w:lang w:eastAsia="cs-CZ"/>
        </w:rPr>
        <w:t>ýsledky</w:t>
      </w:r>
      <w:r w:rsidRPr="00030C3B">
        <w:rPr>
          <w:szCs w:val="20"/>
          <w:lang w:eastAsia="cs-CZ"/>
        </w:rPr>
        <w:t xml:space="preserve"> Výběrového šetření pracovních sil</w:t>
      </w:r>
      <w:r w:rsidR="000D06C2">
        <w:rPr>
          <w:szCs w:val="20"/>
          <w:lang w:eastAsia="cs-CZ"/>
        </w:rPr>
        <w:t xml:space="preserve"> ČSÚ</w:t>
      </w:r>
      <w:r w:rsidRPr="00030C3B">
        <w:rPr>
          <w:szCs w:val="20"/>
          <w:lang w:eastAsia="cs-CZ"/>
        </w:rPr>
        <w:t xml:space="preserve"> (VŠPS) v domácnostech z</w:t>
      </w:r>
      <w:r>
        <w:rPr>
          <w:szCs w:val="20"/>
          <w:lang w:eastAsia="cs-CZ"/>
        </w:rPr>
        <w:t>obrazu</w:t>
      </w:r>
      <w:r w:rsidRPr="00030C3B">
        <w:rPr>
          <w:szCs w:val="20"/>
          <w:lang w:eastAsia="cs-CZ"/>
        </w:rPr>
        <w:t xml:space="preserve">jí </w:t>
      </w:r>
      <w:r w:rsidR="00435609">
        <w:rPr>
          <w:szCs w:val="20"/>
          <w:lang w:eastAsia="cs-CZ"/>
        </w:rPr>
        <w:t>výrazn</w:t>
      </w:r>
      <w:r w:rsidRPr="00030C3B">
        <w:rPr>
          <w:szCs w:val="20"/>
          <w:lang w:eastAsia="cs-CZ"/>
        </w:rPr>
        <w:t>ý růst celkové zaměstnanosti</w:t>
      </w:r>
      <w:r w:rsidR="00435609">
        <w:rPr>
          <w:szCs w:val="20"/>
          <w:lang w:eastAsia="cs-CZ"/>
        </w:rPr>
        <w:t>, který potvrzují i</w:t>
      </w:r>
      <w:r w:rsidRPr="00030C3B">
        <w:rPr>
          <w:szCs w:val="20"/>
          <w:lang w:eastAsia="cs-CZ"/>
        </w:rPr>
        <w:t xml:space="preserve"> </w:t>
      </w:r>
      <w:r>
        <w:rPr>
          <w:szCs w:val="20"/>
          <w:lang w:eastAsia="cs-CZ"/>
        </w:rPr>
        <w:t xml:space="preserve">předběžné </w:t>
      </w:r>
      <w:r w:rsidRPr="00030C3B">
        <w:rPr>
          <w:szCs w:val="20"/>
          <w:lang w:eastAsia="cs-CZ"/>
        </w:rPr>
        <w:t xml:space="preserve">výsledky podnikové statistiky ČSÚ </w:t>
      </w:r>
      <w:r w:rsidR="00831266">
        <w:rPr>
          <w:szCs w:val="20"/>
          <w:lang w:eastAsia="cs-CZ"/>
        </w:rPr>
        <w:t>sledující</w:t>
      </w:r>
      <w:r w:rsidR="00435609">
        <w:rPr>
          <w:szCs w:val="20"/>
          <w:lang w:eastAsia="cs-CZ"/>
        </w:rPr>
        <w:t xml:space="preserve"> evidenční počet zaměstnanců. V</w:t>
      </w:r>
      <w:r w:rsidRPr="00030C3B">
        <w:rPr>
          <w:szCs w:val="20"/>
        </w:rPr>
        <w:t xml:space="preserve">e mzdové oblasti </w:t>
      </w:r>
      <w:r w:rsidR="00435609">
        <w:rPr>
          <w:szCs w:val="20"/>
        </w:rPr>
        <w:t>stále</w:t>
      </w:r>
      <w:r>
        <w:rPr>
          <w:szCs w:val="20"/>
        </w:rPr>
        <w:t xml:space="preserve"> </w:t>
      </w:r>
      <w:r w:rsidRPr="00030C3B">
        <w:rPr>
          <w:szCs w:val="20"/>
        </w:rPr>
        <w:t xml:space="preserve">přetrvává </w:t>
      </w:r>
      <w:r w:rsidR="00435609">
        <w:rPr>
          <w:szCs w:val="20"/>
        </w:rPr>
        <w:t xml:space="preserve">spíše </w:t>
      </w:r>
      <w:r w:rsidRPr="00030C3B">
        <w:rPr>
          <w:szCs w:val="20"/>
        </w:rPr>
        <w:t xml:space="preserve">střídmost, nárůst průměrné </w:t>
      </w:r>
      <w:r w:rsidR="00831266">
        <w:rPr>
          <w:szCs w:val="20"/>
        </w:rPr>
        <w:t xml:space="preserve">nominální </w:t>
      </w:r>
      <w:r w:rsidRPr="00030C3B">
        <w:rPr>
          <w:szCs w:val="20"/>
        </w:rPr>
        <w:t>mzdy o</w:t>
      </w:r>
      <w:r>
        <w:rPr>
          <w:szCs w:val="20"/>
        </w:rPr>
        <w:t> </w:t>
      </w:r>
      <w:r w:rsidR="00831266">
        <w:rPr>
          <w:szCs w:val="20"/>
        </w:rPr>
        <w:t>2,2 </w:t>
      </w:r>
      <w:r w:rsidRPr="00030C3B">
        <w:rPr>
          <w:szCs w:val="20"/>
        </w:rPr>
        <w:t xml:space="preserve">% </w:t>
      </w:r>
      <w:r w:rsidR="0074422C">
        <w:rPr>
          <w:szCs w:val="20"/>
        </w:rPr>
        <w:t>navazuje na vývoj v loňském roce.</w:t>
      </w:r>
    </w:p>
    <w:p w:rsidR="009D2873" w:rsidRPr="00C1170C" w:rsidRDefault="009D2873" w:rsidP="009D2873"/>
    <w:p w:rsidR="00BB1CD1" w:rsidRPr="00435609" w:rsidRDefault="000023A2" w:rsidP="009D2873">
      <w:r w:rsidRPr="00435609">
        <w:t>V</w:t>
      </w:r>
      <w:r w:rsidR="008622CE" w:rsidRPr="00435609">
        <w:t xml:space="preserve">ýsledky VŠPS ukazují </w:t>
      </w:r>
      <w:r w:rsidR="00C1170C" w:rsidRPr="00435609">
        <w:t>vytrvalý</w:t>
      </w:r>
      <w:r w:rsidR="00C13945" w:rsidRPr="00435609">
        <w:t xml:space="preserve"> růst celkové zaměstnanosti</w:t>
      </w:r>
      <w:r w:rsidR="00435609" w:rsidRPr="00435609">
        <w:t xml:space="preserve"> již od roku 2012.</w:t>
      </w:r>
      <w:r w:rsidR="008E3420" w:rsidRPr="00435609">
        <w:t xml:space="preserve"> </w:t>
      </w:r>
      <w:r w:rsidR="00435609">
        <w:t>Více než jednopr</w:t>
      </w:r>
      <w:r w:rsidR="00847914" w:rsidRPr="00435609">
        <w:t xml:space="preserve">ocentní nárůst míry zaměstnanosti </w:t>
      </w:r>
      <w:r w:rsidR="00343904" w:rsidRPr="00435609">
        <w:t>v</w:t>
      </w:r>
      <w:r w:rsidR="00435609">
        <w:t xml:space="preserve"> meziročním vyjádření tak </w:t>
      </w:r>
      <w:r w:rsidR="00847914" w:rsidRPr="00435609">
        <w:t xml:space="preserve">vynesl </w:t>
      </w:r>
      <w:r w:rsidR="00435609">
        <w:t>i v 1. čtvrtletí 2015</w:t>
      </w:r>
      <w:r w:rsidR="00435609" w:rsidRPr="00435609">
        <w:t xml:space="preserve"> </w:t>
      </w:r>
      <w:r w:rsidR="00847914" w:rsidRPr="00435609">
        <w:t xml:space="preserve">její hodnotu na </w:t>
      </w:r>
      <w:r w:rsidR="00435609">
        <w:t>další z </w:t>
      </w:r>
      <w:r w:rsidR="00847914" w:rsidRPr="00435609">
        <w:t>rekord</w:t>
      </w:r>
      <w:r w:rsidR="00435609">
        <w:t xml:space="preserve">ů </w:t>
      </w:r>
      <w:r w:rsidR="00343904" w:rsidRPr="00435609">
        <w:t>(</w:t>
      </w:r>
      <w:r w:rsidR="00847914" w:rsidRPr="00435609">
        <w:t>69,</w:t>
      </w:r>
      <w:r w:rsidR="00435609">
        <w:t>3</w:t>
      </w:r>
      <w:r w:rsidR="00847914" w:rsidRPr="00435609">
        <w:t> %</w:t>
      </w:r>
      <w:r w:rsidR="00343904" w:rsidRPr="00435609">
        <w:t>)</w:t>
      </w:r>
      <w:r w:rsidR="00847914" w:rsidRPr="00435609">
        <w:t xml:space="preserve">. </w:t>
      </w:r>
      <w:r w:rsidRPr="00435609">
        <w:t xml:space="preserve">Růst </w:t>
      </w:r>
      <w:r w:rsidR="00435609">
        <w:t xml:space="preserve">míry </w:t>
      </w:r>
      <w:r w:rsidRPr="00435609">
        <w:t xml:space="preserve">zaměstnanosti se projevil </w:t>
      </w:r>
      <w:r w:rsidR="00343904" w:rsidRPr="00435609">
        <w:t>u mužů, a</w:t>
      </w:r>
      <w:r w:rsidR="00435609">
        <w:t>le ještě výrazněji</w:t>
      </w:r>
      <w:r w:rsidR="00343904" w:rsidRPr="00435609">
        <w:t xml:space="preserve"> u žen</w:t>
      </w:r>
      <w:r w:rsidR="00435609">
        <w:t>, kde tak dosáhla</w:t>
      </w:r>
      <w:r w:rsidR="00310582">
        <w:t xml:space="preserve"> exkluzivních</w:t>
      </w:r>
      <w:r w:rsidR="00435609">
        <w:t xml:space="preserve"> 61,6 %</w:t>
      </w:r>
      <w:r w:rsidR="00310582">
        <w:t>;</w:t>
      </w:r>
      <w:r w:rsidR="009154A7">
        <w:t xml:space="preserve"> </w:t>
      </w:r>
      <w:r w:rsidR="00310582">
        <w:t>p</w:t>
      </w:r>
      <w:r w:rsidR="009154A7">
        <w:t>řipomeňme, že před deseti lety se pohybovala zhruba o 5 procentních bodů níže.</w:t>
      </w:r>
    </w:p>
    <w:p w:rsidR="00831266" w:rsidRPr="00435609" w:rsidRDefault="002E5F6A" w:rsidP="00831266">
      <w:r>
        <w:t>Dále je také</w:t>
      </w:r>
      <w:r w:rsidR="009154A7">
        <w:t xml:space="preserve"> evidentní pokračující </w:t>
      </w:r>
      <w:r w:rsidR="000023A2" w:rsidRPr="00435609">
        <w:t>s</w:t>
      </w:r>
      <w:r w:rsidR="00343904" w:rsidRPr="00435609">
        <w:t>nižování</w:t>
      </w:r>
      <w:r w:rsidR="000023A2" w:rsidRPr="00435609">
        <w:t xml:space="preserve"> počtu nezaměstnaných</w:t>
      </w:r>
      <w:r w:rsidR="009154A7">
        <w:t xml:space="preserve"> a rychlý růst počtu volných pracovních míst</w:t>
      </w:r>
      <w:r w:rsidR="000D06C2">
        <w:t xml:space="preserve"> hlášených na úřady práce</w:t>
      </w:r>
      <w:r w:rsidR="000023A2" w:rsidRPr="00435609">
        <w:t>.</w:t>
      </w:r>
      <w:r w:rsidR="00343904" w:rsidRPr="00435609">
        <w:t xml:space="preserve"> </w:t>
      </w:r>
      <w:r w:rsidR="000D06C2">
        <w:t>V</w:t>
      </w:r>
      <w:r w:rsidR="00310582">
        <w:t> meziročním pohledu jsou výsl</w:t>
      </w:r>
      <w:r w:rsidR="000D06C2">
        <w:t>e</w:t>
      </w:r>
      <w:r w:rsidR="00310582">
        <w:t>dky optimistické, o</w:t>
      </w:r>
      <w:r w:rsidR="00BB1CD1" w:rsidRPr="00435609">
        <w:t xml:space="preserve">becná míra nezaměstnanosti </w:t>
      </w:r>
      <w:r w:rsidR="009154A7">
        <w:t xml:space="preserve">podle VŠPS se </w:t>
      </w:r>
      <w:r>
        <w:t xml:space="preserve">od </w:t>
      </w:r>
      <w:r w:rsidR="009154A7">
        <w:t>začátku roku 2015</w:t>
      </w:r>
      <w:r w:rsidR="00BB1CD1" w:rsidRPr="00435609">
        <w:t xml:space="preserve"> </w:t>
      </w:r>
      <w:r w:rsidR="009154A7">
        <w:t>však již začala stabilizovat a zdá se, že za stávajících podmínek dosahuje svého dna, které je u mužské pracovní síly na úrovni cca pěti procent a u žen na ještě nepříjemnějších sedmi procentech.</w:t>
      </w:r>
      <w:r w:rsidR="00831266" w:rsidRPr="00831266">
        <w:t xml:space="preserve"> </w:t>
      </w:r>
      <w:r w:rsidR="00831266">
        <w:t>Ukazuje se tu s</w:t>
      </w:r>
      <w:r w:rsidR="00831266" w:rsidRPr="00435609">
        <w:t xml:space="preserve">kupina obtížně zaměstnatelných osob, které </w:t>
      </w:r>
      <w:r w:rsidR="00392521">
        <w:t>na nabízená volná místa nedosáhly</w:t>
      </w:r>
      <w:r w:rsidR="000D06C2">
        <w:t xml:space="preserve"> a </w:t>
      </w:r>
      <w:r w:rsidR="00831266" w:rsidRPr="00435609">
        <w:t xml:space="preserve">často </w:t>
      </w:r>
      <w:r w:rsidR="000D06C2">
        <w:t xml:space="preserve">mohou </w:t>
      </w:r>
      <w:r w:rsidR="00831266" w:rsidRPr="00435609">
        <w:t>v nezamě</w:t>
      </w:r>
      <w:r w:rsidR="00831266">
        <w:t>stnanosti zůstáva</w:t>
      </w:r>
      <w:r w:rsidR="000D06C2">
        <w:t>t</w:t>
      </w:r>
      <w:r w:rsidR="00831266">
        <w:t xml:space="preserve"> i roky – podíl dlouhodobě nezaměstnaných byl v 1. čtvrtletí 2015 na úrovni 45,7 %</w:t>
      </w:r>
      <w:r w:rsidR="00831266" w:rsidRPr="00435609">
        <w:t>.</w:t>
      </w:r>
    </w:p>
    <w:p w:rsidR="009154A7" w:rsidRDefault="002E5F6A" w:rsidP="009D2873">
      <w:r>
        <w:t>Vysokou n</w:t>
      </w:r>
      <w:r w:rsidR="009154A7">
        <w:t>ezaměstnaností jsou tradičně ohrožen</w:t>
      </w:r>
      <w:r w:rsidR="00B62013">
        <w:t>y</w:t>
      </w:r>
      <w:r w:rsidR="009154A7">
        <w:t xml:space="preserve"> skupiny čerstvých absolventů bez praxe, ženy s malými dětmi</w:t>
      </w:r>
      <w:r w:rsidR="00831266">
        <w:t xml:space="preserve"> a osoby se základním vzděláním. V profesním profilu jde především o málo kvalifikované dělníky</w:t>
      </w:r>
      <w:r w:rsidR="00392521">
        <w:t xml:space="preserve"> a pomocné práce</w:t>
      </w:r>
      <w:r w:rsidR="00831266">
        <w:t>. Naopak vysokoškolsky vzdělané osoby, vysoce kvalifikovaní specialisté a manažerské profese jsou ohroženy rizikem nezaměstnanosti minimálně.</w:t>
      </w:r>
    </w:p>
    <w:p w:rsidR="00CB26B4" w:rsidRPr="000D06C2" w:rsidRDefault="00CB26B4" w:rsidP="009D2873"/>
    <w:p w:rsidR="000D06C2" w:rsidRPr="000D06C2" w:rsidRDefault="000D06C2" w:rsidP="009D2873">
      <w:pPr>
        <w:pStyle w:val="Perex"/>
        <w:spacing w:after="0"/>
        <w:rPr>
          <w:b w:val="0"/>
          <w:szCs w:val="20"/>
          <w:lang w:eastAsia="cs-CZ"/>
        </w:rPr>
      </w:pPr>
      <w:r w:rsidRPr="000D06C2">
        <w:rPr>
          <w:b w:val="0"/>
          <w:szCs w:val="20"/>
          <w:lang w:eastAsia="cs-CZ"/>
        </w:rPr>
        <w:t>P</w:t>
      </w:r>
      <w:r w:rsidR="00B5212F" w:rsidRPr="000D06C2">
        <w:rPr>
          <w:b w:val="0"/>
          <w:szCs w:val="20"/>
          <w:lang w:eastAsia="cs-CZ"/>
        </w:rPr>
        <w:t>ředběžné údaje</w:t>
      </w:r>
      <w:r w:rsidR="002F3301" w:rsidRPr="000D06C2">
        <w:rPr>
          <w:b w:val="0"/>
          <w:szCs w:val="20"/>
          <w:lang w:eastAsia="cs-CZ"/>
        </w:rPr>
        <w:t xml:space="preserve"> podnikov</w:t>
      </w:r>
      <w:r w:rsidR="00B5212F" w:rsidRPr="000D06C2">
        <w:rPr>
          <w:b w:val="0"/>
          <w:szCs w:val="20"/>
          <w:lang w:eastAsia="cs-CZ"/>
        </w:rPr>
        <w:t>é</w:t>
      </w:r>
      <w:r w:rsidR="002F3301" w:rsidRPr="000D06C2">
        <w:rPr>
          <w:b w:val="0"/>
          <w:szCs w:val="20"/>
          <w:lang w:eastAsia="cs-CZ"/>
        </w:rPr>
        <w:t xml:space="preserve"> statistik</w:t>
      </w:r>
      <w:r w:rsidR="00B5212F" w:rsidRPr="000D06C2">
        <w:rPr>
          <w:b w:val="0"/>
          <w:szCs w:val="20"/>
          <w:lang w:eastAsia="cs-CZ"/>
        </w:rPr>
        <w:t>y</w:t>
      </w:r>
      <w:r w:rsidR="005B7296" w:rsidRPr="000D06C2">
        <w:rPr>
          <w:b w:val="0"/>
          <w:szCs w:val="20"/>
          <w:lang w:eastAsia="cs-CZ"/>
        </w:rPr>
        <w:t xml:space="preserve"> </w:t>
      </w:r>
      <w:r>
        <w:rPr>
          <w:b w:val="0"/>
          <w:szCs w:val="20"/>
          <w:lang w:eastAsia="cs-CZ"/>
        </w:rPr>
        <w:t xml:space="preserve">ČSÚ </w:t>
      </w:r>
      <w:r w:rsidR="005B7296" w:rsidRPr="000D06C2">
        <w:rPr>
          <w:b w:val="0"/>
          <w:szCs w:val="20"/>
          <w:lang w:eastAsia="cs-CZ"/>
        </w:rPr>
        <w:t>potvrzuj</w:t>
      </w:r>
      <w:r w:rsidR="00B5212F" w:rsidRPr="000D06C2">
        <w:rPr>
          <w:b w:val="0"/>
          <w:szCs w:val="20"/>
          <w:lang w:eastAsia="cs-CZ"/>
        </w:rPr>
        <w:t>í</w:t>
      </w:r>
      <w:r w:rsidR="005B7296" w:rsidRPr="000D06C2">
        <w:rPr>
          <w:b w:val="0"/>
          <w:szCs w:val="20"/>
          <w:lang w:eastAsia="cs-CZ"/>
        </w:rPr>
        <w:t xml:space="preserve"> </w:t>
      </w:r>
      <w:r w:rsidR="00017CF9" w:rsidRPr="000D06C2">
        <w:rPr>
          <w:b w:val="0"/>
          <w:szCs w:val="20"/>
          <w:lang w:eastAsia="cs-CZ"/>
        </w:rPr>
        <w:t xml:space="preserve">převažující </w:t>
      </w:r>
      <w:r w:rsidR="005B7296" w:rsidRPr="000D06C2">
        <w:rPr>
          <w:b w:val="0"/>
          <w:szCs w:val="20"/>
          <w:lang w:eastAsia="cs-CZ"/>
        </w:rPr>
        <w:t>pozitivní trendy</w:t>
      </w:r>
      <w:r w:rsidRPr="000D06C2">
        <w:rPr>
          <w:b w:val="0"/>
          <w:szCs w:val="20"/>
          <w:lang w:eastAsia="cs-CZ"/>
        </w:rPr>
        <w:t>, zejména růst počtu zaměstnanců</w:t>
      </w:r>
      <w:r>
        <w:rPr>
          <w:b w:val="0"/>
          <w:szCs w:val="20"/>
          <w:lang w:eastAsia="cs-CZ"/>
        </w:rPr>
        <w:t xml:space="preserve">. </w:t>
      </w:r>
      <w:r w:rsidR="0074422C">
        <w:rPr>
          <w:b w:val="0"/>
          <w:szCs w:val="20"/>
          <w:lang w:eastAsia="cs-CZ"/>
        </w:rPr>
        <w:t>V</w:t>
      </w:r>
      <w:r w:rsidR="0074422C" w:rsidRPr="0074422C">
        <w:rPr>
          <w:b w:val="0"/>
        </w:rPr>
        <w:t> 1. čtvrtletí 2015</w:t>
      </w:r>
      <w:r w:rsidR="0074422C">
        <w:rPr>
          <w:b w:val="0"/>
        </w:rPr>
        <w:t xml:space="preserve"> ve srovnání se stejným obdobím loňska přibylo 72,4 tis. zaměstnanců přepočtených na plně zaměstnané; to je nárůst o 1,9 %. </w:t>
      </w:r>
      <w:r w:rsidRPr="000D06C2">
        <w:rPr>
          <w:b w:val="0"/>
          <w:szCs w:val="20"/>
          <w:lang w:eastAsia="cs-CZ"/>
        </w:rPr>
        <w:t>J</w:t>
      </w:r>
      <w:r w:rsidR="00394BC0" w:rsidRPr="000D06C2">
        <w:rPr>
          <w:b w:val="0"/>
          <w:szCs w:val="20"/>
          <w:lang w:eastAsia="cs-CZ"/>
        </w:rPr>
        <w:t>eště</w:t>
      </w:r>
      <w:r w:rsidR="002F3301" w:rsidRPr="000D06C2">
        <w:rPr>
          <w:b w:val="0"/>
          <w:szCs w:val="20"/>
          <w:lang w:eastAsia="cs-CZ"/>
        </w:rPr>
        <w:t xml:space="preserve"> </w:t>
      </w:r>
      <w:r w:rsidR="00B547FD" w:rsidRPr="000D06C2">
        <w:rPr>
          <w:b w:val="0"/>
          <w:szCs w:val="20"/>
          <w:lang w:eastAsia="cs-CZ"/>
        </w:rPr>
        <w:t xml:space="preserve">v roce 2013 </w:t>
      </w:r>
      <w:r w:rsidR="005B7296" w:rsidRPr="000D06C2">
        <w:rPr>
          <w:b w:val="0"/>
          <w:szCs w:val="20"/>
          <w:lang w:eastAsia="cs-CZ"/>
        </w:rPr>
        <w:t xml:space="preserve">došlo </w:t>
      </w:r>
      <w:r w:rsidR="00B547FD" w:rsidRPr="000D06C2">
        <w:rPr>
          <w:b w:val="0"/>
          <w:szCs w:val="20"/>
          <w:lang w:eastAsia="cs-CZ"/>
        </w:rPr>
        <w:t xml:space="preserve">k poklesu </w:t>
      </w:r>
      <w:r w:rsidR="002F3301" w:rsidRPr="000D06C2">
        <w:rPr>
          <w:b w:val="0"/>
          <w:szCs w:val="20"/>
          <w:lang w:eastAsia="cs-CZ"/>
        </w:rPr>
        <w:t>p</w:t>
      </w:r>
      <w:r w:rsidR="001E0070" w:rsidRPr="000D06C2">
        <w:rPr>
          <w:b w:val="0"/>
          <w:szCs w:val="20"/>
          <w:lang w:eastAsia="cs-CZ"/>
        </w:rPr>
        <w:t>růměrn</w:t>
      </w:r>
      <w:r w:rsidR="00B547FD" w:rsidRPr="000D06C2">
        <w:rPr>
          <w:b w:val="0"/>
          <w:szCs w:val="20"/>
          <w:lang w:eastAsia="cs-CZ"/>
        </w:rPr>
        <w:t>ého</w:t>
      </w:r>
      <w:r w:rsidR="001E0070" w:rsidRPr="000D06C2">
        <w:rPr>
          <w:b w:val="0"/>
          <w:szCs w:val="20"/>
          <w:lang w:eastAsia="cs-CZ"/>
        </w:rPr>
        <w:t xml:space="preserve"> evidenční</w:t>
      </w:r>
      <w:r w:rsidR="00B547FD" w:rsidRPr="000D06C2">
        <w:rPr>
          <w:b w:val="0"/>
          <w:szCs w:val="20"/>
          <w:lang w:eastAsia="cs-CZ"/>
        </w:rPr>
        <w:t>ho</w:t>
      </w:r>
      <w:r w:rsidR="001E0070" w:rsidRPr="000D06C2">
        <w:rPr>
          <w:b w:val="0"/>
          <w:szCs w:val="20"/>
          <w:lang w:eastAsia="cs-CZ"/>
        </w:rPr>
        <w:t xml:space="preserve"> počt</w:t>
      </w:r>
      <w:r w:rsidR="00B547FD" w:rsidRPr="000D06C2">
        <w:rPr>
          <w:b w:val="0"/>
          <w:szCs w:val="20"/>
          <w:lang w:eastAsia="cs-CZ"/>
        </w:rPr>
        <w:t>u</w:t>
      </w:r>
      <w:r w:rsidR="001E0070" w:rsidRPr="000D06C2">
        <w:rPr>
          <w:b w:val="0"/>
          <w:szCs w:val="20"/>
          <w:lang w:eastAsia="cs-CZ"/>
        </w:rPr>
        <w:t xml:space="preserve"> zaměstnanců přepočten</w:t>
      </w:r>
      <w:r w:rsidR="00B547FD" w:rsidRPr="000D06C2">
        <w:rPr>
          <w:b w:val="0"/>
          <w:szCs w:val="20"/>
          <w:lang w:eastAsia="cs-CZ"/>
        </w:rPr>
        <w:t>ého</w:t>
      </w:r>
      <w:r w:rsidR="005B7296" w:rsidRPr="000D06C2">
        <w:rPr>
          <w:b w:val="0"/>
          <w:szCs w:val="20"/>
          <w:lang w:eastAsia="cs-CZ"/>
        </w:rPr>
        <w:t xml:space="preserve"> na plně zaměstnané </w:t>
      </w:r>
      <w:r w:rsidR="00CB26B4" w:rsidRPr="000D06C2">
        <w:rPr>
          <w:b w:val="0"/>
          <w:szCs w:val="20"/>
          <w:lang w:eastAsia="cs-CZ"/>
        </w:rPr>
        <w:t>o </w:t>
      </w:r>
      <w:r w:rsidR="00914F3E" w:rsidRPr="000D06C2">
        <w:rPr>
          <w:b w:val="0"/>
          <w:szCs w:val="20"/>
          <w:lang w:eastAsia="cs-CZ"/>
        </w:rPr>
        <w:t>1,</w:t>
      </w:r>
      <w:r w:rsidR="00B62013">
        <w:rPr>
          <w:b w:val="0"/>
          <w:szCs w:val="20"/>
          <w:lang w:eastAsia="cs-CZ"/>
        </w:rPr>
        <w:t>0</w:t>
      </w:r>
      <w:r w:rsidR="00914F3E" w:rsidRPr="000D06C2">
        <w:rPr>
          <w:b w:val="0"/>
          <w:szCs w:val="20"/>
          <w:lang w:eastAsia="cs-CZ"/>
        </w:rPr>
        <w:t> %</w:t>
      </w:r>
      <w:r w:rsidRPr="000D06C2">
        <w:rPr>
          <w:b w:val="0"/>
          <w:szCs w:val="20"/>
          <w:lang w:eastAsia="cs-CZ"/>
        </w:rPr>
        <w:t>, až rok</w:t>
      </w:r>
      <w:r w:rsidR="005B7296" w:rsidRPr="000D06C2">
        <w:rPr>
          <w:b w:val="0"/>
          <w:szCs w:val="20"/>
          <w:lang w:eastAsia="cs-CZ"/>
        </w:rPr>
        <w:t xml:space="preserve"> 2014 </w:t>
      </w:r>
      <w:r w:rsidR="00394BC0" w:rsidRPr="000D06C2">
        <w:rPr>
          <w:b w:val="0"/>
          <w:szCs w:val="20"/>
          <w:lang w:eastAsia="cs-CZ"/>
        </w:rPr>
        <w:t xml:space="preserve">byl obdobím </w:t>
      </w:r>
      <w:r w:rsidR="00CD2018" w:rsidRPr="000D06C2">
        <w:rPr>
          <w:b w:val="0"/>
          <w:szCs w:val="20"/>
          <w:lang w:eastAsia="cs-CZ"/>
        </w:rPr>
        <w:t xml:space="preserve">pozitivního </w:t>
      </w:r>
      <w:r w:rsidR="00394BC0" w:rsidRPr="000D06C2">
        <w:rPr>
          <w:b w:val="0"/>
          <w:szCs w:val="20"/>
          <w:lang w:eastAsia="cs-CZ"/>
        </w:rPr>
        <w:t>obratu</w:t>
      </w:r>
      <w:r w:rsidRPr="000D06C2">
        <w:rPr>
          <w:b w:val="0"/>
          <w:szCs w:val="20"/>
          <w:lang w:eastAsia="cs-CZ"/>
        </w:rPr>
        <w:t>.</w:t>
      </w:r>
    </w:p>
    <w:p w:rsidR="0074422C" w:rsidRDefault="0074422C" w:rsidP="0074422C">
      <w:pPr>
        <w:pStyle w:val="Perex"/>
        <w:spacing w:after="0"/>
        <w:rPr>
          <w:b w:val="0"/>
        </w:rPr>
      </w:pPr>
      <w:r w:rsidRPr="0074422C">
        <w:rPr>
          <w:b w:val="0"/>
        </w:rPr>
        <w:t>Různé</w:t>
      </w:r>
      <w:r w:rsidR="001E0070" w:rsidRPr="0074422C">
        <w:rPr>
          <w:b w:val="0"/>
        </w:rPr>
        <w:t xml:space="preserve"> </w:t>
      </w:r>
      <w:r w:rsidR="00AF7F58" w:rsidRPr="0074422C">
        <w:rPr>
          <w:b w:val="0"/>
        </w:rPr>
        <w:t>část</w:t>
      </w:r>
      <w:r w:rsidRPr="0074422C">
        <w:rPr>
          <w:b w:val="0"/>
        </w:rPr>
        <w:t>i</w:t>
      </w:r>
      <w:r w:rsidR="00AF7F58" w:rsidRPr="0074422C">
        <w:rPr>
          <w:b w:val="0"/>
        </w:rPr>
        <w:t xml:space="preserve"> ekonomiky</w:t>
      </w:r>
      <w:r w:rsidR="001E0070" w:rsidRPr="0074422C">
        <w:rPr>
          <w:b w:val="0"/>
        </w:rPr>
        <w:t xml:space="preserve"> </w:t>
      </w:r>
      <w:r w:rsidR="00394BC0" w:rsidRPr="0074422C">
        <w:rPr>
          <w:b w:val="0"/>
        </w:rPr>
        <w:t xml:space="preserve">však </w:t>
      </w:r>
      <w:r w:rsidRPr="0074422C">
        <w:rPr>
          <w:b w:val="0"/>
        </w:rPr>
        <w:t>jsou spojeny s oživením v odlišných proporcích.</w:t>
      </w:r>
      <w:r w:rsidR="001E0070" w:rsidRPr="0074422C">
        <w:rPr>
          <w:b w:val="0"/>
        </w:rPr>
        <w:t xml:space="preserve"> </w:t>
      </w:r>
      <w:r w:rsidRPr="0074422C">
        <w:rPr>
          <w:b w:val="0"/>
        </w:rPr>
        <w:t>N</w:t>
      </w:r>
      <w:r w:rsidR="006D6956" w:rsidRPr="0074422C">
        <w:rPr>
          <w:b w:val="0"/>
        </w:rPr>
        <w:t xml:space="preserve">apř. </w:t>
      </w:r>
      <w:r w:rsidRPr="0074422C">
        <w:rPr>
          <w:b w:val="0"/>
        </w:rPr>
        <w:t xml:space="preserve">odvětví </w:t>
      </w:r>
      <w:r w:rsidR="00394BC0" w:rsidRPr="0074422C">
        <w:rPr>
          <w:b w:val="0"/>
        </w:rPr>
        <w:t>těžb</w:t>
      </w:r>
      <w:r w:rsidRPr="0074422C">
        <w:rPr>
          <w:b w:val="0"/>
        </w:rPr>
        <w:t>a</w:t>
      </w:r>
      <w:r w:rsidR="00394BC0" w:rsidRPr="0074422C">
        <w:rPr>
          <w:b w:val="0"/>
        </w:rPr>
        <w:t xml:space="preserve"> a dobývání </w:t>
      </w:r>
      <w:r w:rsidRPr="0074422C">
        <w:rPr>
          <w:b w:val="0"/>
        </w:rPr>
        <w:t xml:space="preserve">je stále ještě </w:t>
      </w:r>
      <w:r w:rsidR="00394BC0" w:rsidRPr="0074422C">
        <w:rPr>
          <w:b w:val="0"/>
        </w:rPr>
        <w:t>poznamená</w:t>
      </w:r>
      <w:r w:rsidRPr="0074422C">
        <w:rPr>
          <w:b w:val="0"/>
        </w:rPr>
        <w:t>no</w:t>
      </w:r>
      <w:r w:rsidR="00394BC0" w:rsidRPr="0074422C">
        <w:rPr>
          <w:b w:val="0"/>
        </w:rPr>
        <w:t xml:space="preserve"> propouštění zaměstnanců</w:t>
      </w:r>
      <w:r w:rsidR="00CD2018" w:rsidRPr="0074422C">
        <w:rPr>
          <w:b w:val="0"/>
        </w:rPr>
        <w:t xml:space="preserve"> –</w:t>
      </w:r>
      <w:r w:rsidR="00A27CF0" w:rsidRPr="0074422C">
        <w:rPr>
          <w:b w:val="0"/>
        </w:rPr>
        <w:t xml:space="preserve"> v</w:t>
      </w:r>
      <w:r w:rsidRPr="0074422C">
        <w:rPr>
          <w:b w:val="0"/>
        </w:rPr>
        <w:t> 1. čtvrtletí 2015</w:t>
      </w:r>
      <w:r w:rsidR="00394BC0" w:rsidRPr="0074422C">
        <w:rPr>
          <w:b w:val="0"/>
        </w:rPr>
        <w:t xml:space="preserve"> </w:t>
      </w:r>
      <w:r w:rsidR="00A27CF0" w:rsidRPr="0074422C">
        <w:rPr>
          <w:b w:val="0"/>
        </w:rPr>
        <w:t xml:space="preserve">jich </w:t>
      </w:r>
      <w:r w:rsidRPr="0074422C">
        <w:rPr>
          <w:b w:val="0"/>
        </w:rPr>
        <w:t xml:space="preserve">opět meziročně </w:t>
      </w:r>
      <w:r w:rsidR="00394BC0" w:rsidRPr="0074422C">
        <w:rPr>
          <w:b w:val="0"/>
        </w:rPr>
        <w:t>ubylo</w:t>
      </w:r>
      <w:r w:rsidRPr="0074422C">
        <w:rPr>
          <w:b w:val="0"/>
        </w:rPr>
        <w:t>, tentokrát</w:t>
      </w:r>
      <w:r w:rsidR="00394BC0" w:rsidRPr="0074422C">
        <w:rPr>
          <w:b w:val="0"/>
        </w:rPr>
        <w:t xml:space="preserve"> </w:t>
      </w:r>
      <w:r w:rsidRPr="0074422C">
        <w:rPr>
          <w:b w:val="0"/>
        </w:rPr>
        <w:t xml:space="preserve">o </w:t>
      </w:r>
      <w:r w:rsidR="00394BC0" w:rsidRPr="0074422C">
        <w:rPr>
          <w:b w:val="0"/>
        </w:rPr>
        <w:t xml:space="preserve">1,1 tis., </w:t>
      </w:r>
      <w:r w:rsidR="00A27CF0" w:rsidRPr="0074422C">
        <w:rPr>
          <w:b w:val="0"/>
        </w:rPr>
        <w:t>tj.</w:t>
      </w:r>
      <w:r w:rsidR="00394BC0" w:rsidRPr="0074422C">
        <w:rPr>
          <w:b w:val="0"/>
        </w:rPr>
        <w:t xml:space="preserve"> </w:t>
      </w:r>
      <w:r w:rsidR="00CD2018" w:rsidRPr="0074422C">
        <w:rPr>
          <w:b w:val="0"/>
        </w:rPr>
        <w:t>-</w:t>
      </w:r>
      <w:r w:rsidR="00394BC0" w:rsidRPr="0074422C">
        <w:rPr>
          <w:b w:val="0"/>
        </w:rPr>
        <w:t>3,</w:t>
      </w:r>
      <w:r w:rsidRPr="0074422C">
        <w:rPr>
          <w:b w:val="0"/>
        </w:rPr>
        <w:t>6</w:t>
      </w:r>
      <w:r w:rsidR="00394BC0" w:rsidRPr="0074422C">
        <w:rPr>
          <w:b w:val="0"/>
        </w:rPr>
        <w:t> %.</w:t>
      </w:r>
      <w:r w:rsidR="00CD2018" w:rsidRPr="0074422C">
        <w:rPr>
          <w:b w:val="0"/>
        </w:rPr>
        <w:t xml:space="preserve"> </w:t>
      </w:r>
      <w:r w:rsidR="00394BC0" w:rsidRPr="0074422C">
        <w:rPr>
          <w:b w:val="0"/>
        </w:rPr>
        <w:t xml:space="preserve">Také </w:t>
      </w:r>
      <w:r w:rsidR="005B7296" w:rsidRPr="0074422C">
        <w:rPr>
          <w:b w:val="0"/>
        </w:rPr>
        <w:t xml:space="preserve">odvětví </w:t>
      </w:r>
      <w:r>
        <w:rPr>
          <w:b w:val="0"/>
        </w:rPr>
        <w:t>v</w:t>
      </w:r>
      <w:r w:rsidRPr="0074422C">
        <w:rPr>
          <w:b w:val="0"/>
        </w:rPr>
        <w:t>ýroba a rozvod elektřiny, plynu, tepla a klimatizovaného vzduchu</w:t>
      </w:r>
      <w:r>
        <w:rPr>
          <w:b w:val="0"/>
        </w:rPr>
        <w:t xml:space="preserve"> ztratilo tisícovku obsazených pracovních míst, což je pokles o 3,3 %. </w:t>
      </w:r>
      <w:r w:rsidRPr="0074422C">
        <w:rPr>
          <w:b w:val="0"/>
        </w:rPr>
        <w:t xml:space="preserve">Ve </w:t>
      </w:r>
      <w:r w:rsidR="005B7296" w:rsidRPr="0074422C">
        <w:rPr>
          <w:b w:val="0"/>
        </w:rPr>
        <w:t xml:space="preserve">stavebnictví </w:t>
      </w:r>
      <w:r w:rsidR="00394BC0" w:rsidRPr="0074422C">
        <w:rPr>
          <w:b w:val="0"/>
        </w:rPr>
        <w:t xml:space="preserve">nalezneme </w:t>
      </w:r>
      <w:r w:rsidR="00AF7F58" w:rsidRPr="0074422C">
        <w:rPr>
          <w:b w:val="0"/>
        </w:rPr>
        <w:t>meziroční úbyt</w:t>
      </w:r>
      <w:r w:rsidR="005B7296" w:rsidRPr="0074422C">
        <w:rPr>
          <w:b w:val="0"/>
        </w:rPr>
        <w:t>e</w:t>
      </w:r>
      <w:r w:rsidR="00AF7F58" w:rsidRPr="0074422C">
        <w:rPr>
          <w:b w:val="0"/>
        </w:rPr>
        <w:t>k</w:t>
      </w:r>
      <w:r w:rsidR="00394BC0" w:rsidRPr="0074422C">
        <w:rPr>
          <w:b w:val="0"/>
        </w:rPr>
        <w:t xml:space="preserve"> o </w:t>
      </w:r>
      <w:r>
        <w:rPr>
          <w:b w:val="0"/>
        </w:rPr>
        <w:t>dva</w:t>
      </w:r>
      <w:r w:rsidR="00394BC0" w:rsidRPr="0074422C">
        <w:rPr>
          <w:b w:val="0"/>
        </w:rPr>
        <w:t xml:space="preserve"> tis</w:t>
      </w:r>
      <w:r>
        <w:rPr>
          <w:b w:val="0"/>
        </w:rPr>
        <w:t>íce</w:t>
      </w:r>
      <w:r w:rsidR="00AF7F58" w:rsidRPr="0074422C">
        <w:rPr>
          <w:b w:val="0"/>
        </w:rPr>
        <w:t xml:space="preserve"> (</w:t>
      </w:r>
      <w:r>
        <w:rPr>
          <w:b w:val="0"/>
        </w:rPr>
        <w:t>-1,0</w:t>
      </w:r>
      <w:r w:rsidR="00AF7F58" w:rsidRPr="0074422C">
        <w:rPr>
          <w:b w:val="0"/>
        </w:rPr>
        <w:t> %)</w:t>
      </w:r>
      <w:r>
        <w:rPr>
          <w:b w:val="0"/>
        </w:rPr>
        <w:t xml:space="preserve"> a snížil </w:t>
      </w:r>
      <w:r w:rsidR="002E5F6A">
        <w:rPr>
          <w:b w:val="0"/>
        </w:rPr>
        <w:t xml:space="preserve">se </w:t>
      </w:r>
      <w:r>
        <w:rPr>
          <w:b w:val="0"/>
        </w:rPr>
        <w:t xml:space="preserve">také </w:t>
      </w:r>
      <w:r w:rsidR="002E5F6A">
        <w:rPr>
          <w:b w:val="0"/>
        </w:rPr>
        <w:t xml:space="preserve">počet zaměstnanců </w:t>
      </w:r>
      <w:r>
        <w:rPr>
          <w:b w:val="0"/>
        </w:rPr>
        <w:t>v p</w:t>
      </w:r>
      <w:r w:rsidRPr="0074422C">
        <w:rPr>
          <w:b w:val="0"/>
        </w:rPr>
        <w:t>eněžnictví a pojišťovnictví</w:t>
      </w:r>
      <w:r>
        <w:rPr>
          <w:b w:val="0"/>
        </w:rPr>
        <w:t>, i když jen o tři stovky, tj. 0,4 %.</w:t>
      </w:r>
    </w:p>
    <w:p w:rsidR="00BD7510" w:rsidRPr="0074422C" w:rsidRDefault="0074422C" w:rsidP="0074422C">
      <w:pPr>
        <w:pStyle w:val="Perex"/>
        <w:spacing w:after="0"/>
        <w:rPr>
          <w:b w:val="0"/>
        </w:rPr>
      </w:pPr>
      <w:r>
        <w:rPr>
          <w:b w:val="0"/>
        </w:rPr>
        <w:t xml:space="preserve">K obratu došlo v odvětví </w:t>
      </w:r>
      <w:r w:rsidR="00AF7F58" w:rsidRPr="0074422C">
        <w:rPr>
          <w:b w:val="0"/>
        </w:rPr>
        <w:t>ubytování, stravování a pohostinství</w:t>
      </w:r>
      <w:r>
        <w:rPr>
          <w:b w:val="0"/>
        </w:rPr>
        <w:t xml:space="preserve">, kde </w:t>
      </w:r>
      <w:r w:rsidR="00E979F0">
        <w:rPr>
          <w:b w:val="0"/>
        </w:rPr>
        <w:t xml:space="preserve">lidí </w:t>
      </w:r>
      <w:r>
        <w:rPr>
          <w:b w:val="0"/>
        </w:rPr>
        <w:t>poprvé přibylo –</w:t>
      </w:r>
      <w:r w:rsidR="00AF7F58" w:rsidRPr="0074422C">
        <w:rPr>
          <w:b w:val="0"/>
        </w:rPr>
        <w:t xml:space="preserve"> </w:t>
      </w:r>
      <w:r>
        <w:rPr>
          <w:b w:val="0"/>
        </w:rPr>
        <w:t xml:space="preserve">ovšem </w:t>
      </w:r>
      <w:r w:rsidR="00A27CF0" w:rsidRPr="0074422C">
        <w:rPr>
          <w:b w:val="0"/>
        </w:rPr>
        <w:t xml:space="preserve">meziročně </w:t>
      </w:r>
      <w:r>
        <w:rPr>
          <w:b w:val="0"/>
        </w:rPr>
        <w:t>jen o sto</w:t>
      </w:r>
      <w:r w:rsidR="00CD2018" w:rsidRPr="0074422C">
        <w:rPr>
          <w:b w:val="0"/>
        </w:rPr>
        <w:t xml:space="preserve"> pracovních míst (</w:t>
      </w:r>
      <w:r>
        <w:rPr>
          <w:b w:val="0"/>
        </w:rPr>
        <w:t>+0,1</w:t>
      </w:r>
      <w:r w:rsidR="00AF7F58" w:rsidRPr="0074422C">
        <w:rPr>
          <w:b w:val="0"/>
        </w:rPr>
        <w:t> %</w:t>
      </w:r>
      <w:r w:rsidR="00CD2018" w:rsidRPr="0074422C">
        <w:rPr>
          <w:b w:val="0"/>
        </w:rPr>
        <w:t>)</w:t>
      </w:r>
      <w:r w:rsidR="001E0070" w:rsidRPr="0074422C">
        <w:rPr>
          <w:b w:val="0"/>
        </w:rPr>
        <w:t>.</w:t>
      </w:r>
      <w:r>
        <w:rPr>
          <w:b w:val="0"/>
        </w:rPr>
        <w:t xml:space="preserve"> </w:t>
      </w:r>
      <w:r w:rsidRPr="0074422C">
        <w:rPr>
          <w:b w:val="0"/>
        </w:rPr>
        <w:t>P</w:t>
      </w:r>
      <w:r w:rsidR="00BD7510" w:rsidRPr="0074422C">
        <w:rPr>
          <w:b w:val="0"/>
        </w:rPr>
        <w:t xml:space="preserve">očetně nejvýznamnější </w:t>
      </w:r>
      <w:r w:rsidRPr="0074422C">
        <w:rPr>
          <w:b w:val="0"/>
        </w:rPr>
        <w:t xml:space="preserve">byl </w:t>
      </w:r>
      <w:r w:rsidR="00BD7510" w:rsidRPr="0074422C">
        <w:rPr>
          <w:b w:val="0"/>
        </w:rPr>
        <w:t xml:space="preserve">přírůstek </w:t>
      </w:r>
      <w:r w:rsidR="00A27CF0" w:rsidRPr="0074422C">
        <w:rPr>
          <w:b w:val="0"/>
        </w:rPr>
        <w:t xml:space="preserve">v </w:t>
      </w:r>
      <w:r w:rsidRPr="0074422C">
        <w:rPr>
          <w:b w:val="0"/>
        </w:rPr>
        <w:t>1</w:t>
      </w:r>
      <w:r w:rsidR="00A27CF0" w:rsidRPr="0074422C">
        <w:rPr>
          <w:b w:val="0"/>
        </w:rPr>
        <w:t>. </w:t>
      </w:r>
      <w:r w:rsidRPr="0074422C">
        <w:rPr>
          <w:b w:val="0"/>
        </w:rPr>
        <w:t>č</w:t>
      </w:r>
      <w:r w:rsidR="00A27CF0" w:rsidRPr="0074422C">
        <w:rPr>
          <w:b w:val="0"/>
        </w:rPr>
        <w:t>tvrtletí</w:t>
      </w:r>
      <w:r w:rsidRPr="0074422C">
        <w:rPr>
          <w:b w:val="0"/>
        </w:rPr>
        <w:t xml:space="preserve"> 2015</w:t>
      </w:r>
      <w:r w:rsidR="00A27CF0" w:rsidRPr="0074422C">
        <w:rPr>
          <w:b w:val="0"/>
        </w:rPr>
        <w:t xml:space="preserve"> </w:t>
      </w:r>
      <w:r w:rsidRPr="0074422C">
        <w:rPr>
          <w:b w:val="0"/>
        </w:rPr>
        <w:t xml:space="preserve">opět </w:t>
      </w:r>
      <w:r w:rsidR="00BD7510" w:rsidRPr="0074422C">
        <w:rPr>
          <w:b w:val="0"/>
        </w:rPr>
        <w:t>ve zpracovatelském průmyslu, o</w:t>
      </w:r>
      <w:r w:rsidR="00A27CF0" w:rsidRPr="0074422C">
        <w:rPr>
          <w:b w:val="0"/>
        </w:rPr>
        <w:t> </w:t>
      </w:r>
      <w:r w:rsidRPr="0074422C">
        <w:rPr>
          <w:b w:val="0"/>
        </w:rPr>
        <w:t>3</w:t>
      </w:r>
      <w:r w:rsidR="00BD7510" w:rsidRPr="0074422C">
        <w:rPr>
          <w:b w:val="0"/>
        </w:rPr>
        <w:t>2,</w:t>
      </w:r>
      <w:r w:rsidRPr="0074422C">
        <w:rPr>
          <w:b w:val="0"/>
        </w:rPr>
        <w:t>7</w:t>
      </w:r>
      <w:r w:rsidR="00BD7510" w:rsidRPr="0074422C">
        <w:rPr>
          <w:b w:val="0"/>
        </w:rPr>
        <w:t xml:space="preserve"> tis., což je relativně o </w:t>
      </w:r>
      <w:r w:rsidRPr="0074422C">
        <w:rPr>
          <w:b w:val="0"/>
        </w:rPr>
        <w:t>3,1</w:t>
      </w:r>
      <w:r w:rsidR="00BD7510" w:rsidRPr="0074422C">
        <w:rPr>
          <w:b w:val="0"/>
        </w:rPr>
        <w:t xml:space="preserve"> %. </w:t>
      </w:r>
      <w:r>
        <w:rPr>
          <w:b w:val="0"/>
        </w:rPr>
        <w:t xml:space="preserve">Obchod </w:t>
      </w:r>
      <w:r>
        <w:rPr>
          <w:b w:val="0"/>
        </w:rPr>
        <w:lastRenderedPageBreak/>
        <w:t xml:space="preserve">vzrostl již také </w:t>
      </w:r>
      <w:r w:rsidRPr="0074422C">
        <w:rPr>
          <w:b w:val="0"/>
        </w:rPr>
        <w:t>výrazněji, o 7</w:t>
      </w:r>
      <w:r w:rsidR="006755C4">
        <w:rPr>
          <w:b w:val="0"/>
        </w:rPr>
        <w:t>,</w:t>
      </w:r>
      <w:r w:rsidRPr="0074422C">
        <w:rPr>
          <w:b w:val="0"/>
        </w:rPr>
        <w:t xml:space="preserve">6 tis., relativně o 1,6 %. Urychlil se opět </w:t>
      </w:r>
      <w:r w:rsidR="00BD7510" w:rsidRPr="0074422C">
        <w:rPr>
          <w:b w:val="0"/>
        </w:rPr>
        <w:t>růst počtu zaměstnanců v</w:t>
      </w:r>
      <w:r w:rsidR="003E0352" w:rsidRPr="0074422C">
        <w:rPr>
          <w:b w:val="0"/>
        </w:rPr>
        <w:t xml:space="preserve"> činnost</w:t>
      </w:r>
      <w:r w:rsidR="00BD7510" w:rsidRPr="0074422C">
        <w:rPr>
          <w:b w:val="0"/>
        </w:rPr>
        <w:t>ech</w:t>
      </w:r>
      <w:r w:rsidR="003E0352" w:rsidRPr="0074422C">
        <w:rPr>
          <w:b w:val="0"/>
        </w:rPr>
        <w:t xml:space="preserve"> v oblasti nemovitostí (+</w:t>
      </w:r>
      <w:r w:rsidRPr="0074422C">
        <w:rPr>
          <w:b w:val="0"/>
        </w:rPr>
        <w:t>5,5 %</w:t>
      </w:r>
      <w:r w:rsidR="003E0352" w:rsidRPr="0074422C">
        <w:rPr>
          <w:b w:val="0"/>
        </w:rPr>
        <w:t>)</w:t>
      </w:r>
      <w:r w:rsidR="00BD7510" w:rsidRPr="0074422C">
        <w:rPr>
          <w:b w:val="0"/>
        </w:rPr>
        <w:t xml:space="preserve">, </w:t>
      </w:r>
      <w:r w:rsidRPr="0074422C">
        <w:rPr>
          <w:b w:val="0"/>
        </w:rPr>
        <w:t xml:space="preserve">patrně </w:t>
      </w:r>
      <w:r w:rsidR="00BD7510" w:rsidRPr="0074422C">
        <w:rPr>
          <w:b w:val="0"/>
        </w:rPr>
        <w:t>spojený s rozšiřováním finančních služeb realitních kanceláří</w:t>
      </w:r>
      <w:r w:rsidR="003E0352" w:rsidRPr="0074422C">
        <w:rPr>
          <w:b w:val="0"/>
        </w:rPr>
        <w:t xml:space="preserve">. </w:t>
      </w:r>
      <w:r w:rsidR="00A27CF0" w:rsidRPr="0074422C">
        <w:rPr>
          <w:b w:val="0"/>
        </w:rPr>
        <w:t>V</w:t>
      </w:r>
      <w:r w:rsidR="00BD7510" w:rsidRPr="0074422C">
        <w:rPr>
          <w:b w:val="0"/>
        </w:rPr>
        <w:t xml:space="preserve">ýrazně </w:t>
      </w:r>
      <w:r w:rsidR="00A27CF0" w:rsidRPr="0074422C">
        <w:rPr>
          <w:b w:val="0"/>
        </w:rPr>
        <w:t>vz</w:t>
      </w:r>
      <w:r w:rsidR="00BD7510" w:rsidRPr="0074422C">
        <w:rPr>
          <w:b w:val="0"/>
        </w:rPr>
        <w:t xml:space="preserve">rostl </w:t>
      </w:r>
      <w:r w:rsidRPr="0074422C">
        <w:rPr>
          <w:b w:val="0"/>
        </w:rPr>
        <w:t xml:space="preserve">též </w:t>
      </w:r>
      <w:r w:rsidR="00BD7510" w:rsidRPr="0074422C">
        <w:rPr>
          <w:b w:val="0"/>
        </w:rPr>
        <w:t>evidenční přepočtený počet u</w:t>
      </w:r>
      <w:r w:rsidR="00A27CF0" w:rsidRPr="0074422C">
        <w:rPr>
          <w:b w:val="0"/>
        </w:rPr>
        <w:t> </w:t>
      </w:r>
      <w:r w:rsidR="00BD7510" w:rsidRPr="0074422C">
        <w:rPr>
          <w:b w:val="0"/>
        </w:rPr>
        <w:t>administrativních a podp</w:t>
      </w:r>
      <w:r w:rsidR="00D4070B" w:rsidRPr="0074422C">
        <w:rPr>
          <w:b w:val="0"/>
        </w:rPr>
        <w:t>ůrných činností (+</w:t>
      </w:r>
      <w:r w:rsidRPr="0074422C">
        <w:rPr>
          <w:b w:val="0"/>
        </w:rPr>
        <w:t>5,0</w:t>
      </w:r>
      <w:r w:rsidR="00D4070B" w:rsidRPr="0074422C">
        <w:rPr>
          <w:b w:val="0"/>
        </w:rPr>
        <w:t xml:space="preserve"> %), o </w:t>
      </w:r>
      <w:r w:rsidRPr="0074422C">
        <w:rPr>
          <w:b w:val="0"/>
        </w:rPr>
        <w:t>8</w:t>
      </w:r>
      <w:r w:rsidR="00D4070B" w:rsidRPr="0074422C">
        <w:rPr>
          <w:b w:val="0"/>
        </w:rPr>
        <w:t>,</w:t>
      </w:r>
      <w:r w:rsidRPr="0074422C">
        <w:rPr>
          <w:b w:val="0"/>
        </w:rPr>
        <w:t>1</w:t>
      </w:r>
      <w:r w:rsidR="00BD7510" w:rsidRPr="0074422C">
        <w:rPr>
          <w:b w:val="0"/>
        </w:rPr>
        <w:t xml:space="preserve"> tis., což je spojeno s nárůstem </w:t>
      </w:r>
      <w:r w:rsidR="002D0755" w:rsidRPr="0074422C">
        <w:rPr>
          <w:b w:val="0"/>
        </w:rPr>
        <w:t xml:space="preserve">počtu </w:t>
      </w:r>
      <w:r w:rsidR="00BD7510" w:rsidRPr="0074422C">
        <w:rPr>
          <w:b w:val="0"/>
        </w:rPr>
        <w:t>zaměstnanců agentur práce.</w:t>
      </w:r>
    </w:p>
    <w:p w:rsidR="001E0070" w:rsidRPr="00F1447D" w:rsidRDefault="006D6956" w:rsidP="0074422C">
      <w:pPr>
        <w:pStyle w:val="Perex"/>
        <w:spacing w:after="0"/>
        <w:rPr>
          <w:b w:val="0"/>
          <w:color w:val="948A54"/>
        </w:rPr>
      </w:pPr>
      <w:r w:rsidRPr="0074422C">
        <w:rPr>
          <w:b w:val="0"/>
        </w:rPr>
        <w:t>V</w:t>
      </w:r>
      <w:r w:rsidR="00BD7510" w:rsidRPr="0074422C">
        <w:rPr>
          <w:b w:val="0"/>
        </w:rPr>
        <w:t> </w:t>
      </w:r>
      <w:r w:rsidR="001E0070" w:rsidRPr="0074422C">
        <w:rPr>
          <w:b w:val="0"/>
        </w:rPr>
        <w:t>zemědělství</w:t>
      </w:r>
      <w:r w:rsidR="00BD7510" w:rsidRPr="0074422C">
        <w:rPr>
          <w:b w:val="0"/>
        </w:rPr>
        <w:t xml:space="preserve"> přibylo tři sta pracovních míst</w:t>
      </w:r>
      <w:r w:rsidR="0074422C" w:rsidRPr="0074422C">
        <w:rPr>
          <w:b w:val="0"/>
        </w:rPr>
        <w:t xml:space="preserve"> (+0,3 %)</w:t>
      </w:r>
      <w:r w:rsidR="00AF7F58" w:rsidRPr="0074422C">
        <w:rPr>
          <w:b w:val="0"/>
        </w:rPr>
        <w:t>.</w:t>
      </w:r>
      <w:r w:rsidR="00834107" w:rsidRPr="0074422C">
        <w:rPr>
          <w:b w:val="0"/>
        </w:rPr>
        <w:t xml:space="preserve"> </w:t>
      </w:r>
      <w:r w:rsidR="003E0352" w:rsidRPr="0074422C">
        <w:rPr>
          <w:b w:val="0"/>
        </w:rPr>
        <w:t>V</w:t>
      </w:r>
      <w:r w:rsidR="001E0070" w:rsidRPr="0074422C">
        <w:rPr>
          <w:b w:val="0"/>
        </w:rPr>
        <w:t> odvětví veřejné správy, obrany a povinného sociálního zabezpečení</w:t>
      </w:r>
      <w:r w:rsidR="003E0352" w:rsidRPr="0074422C">
        <w:rPr>
          <w:b w:val="0"/>
        </w:rPr>
        <w:t xml:space="preserve"> </w:t>
      </w:r>
      <w:r w:rsidR="009D2873" w:rsidRPr="0074422C">
        <w:rPr>
          <w:b w:val="0"/>
        </w:rPr>
        <w:t xml:space="preserve">se </w:t>
      </w:r>
      <w:r w:rsidR="003E0352" w:rsidRPr="0074422C">
        <w:rPr>
          <w:b w:val="0"/>
        </w:rPr>
        <w:t xml:space="preserve">ukázal </w:t>
      </w:r>
      <w:r w:rsidR="00834107" w:rsidRPr="0074422C">
        <w:rPr>
          <w:b w:val="0"/>
        </w:rPr>
        <w:t xml:space="preserve">meziroční </w:t>
      </w:r>
      <w:r w:rsidR="003E0352" w:rsidRPr="0074422C">
        <w:rPr>
          <w:b w:val="0"/>
        </w:rPr>
        <w:t xml:space="preserve">nárůst </w:t>
      </w:r>
      <w:r w:rsidR="00AF7F58" w:rsidRPr="0074422C">
        <w:rPr>
          <w:b w:val="0"/>
        </w:rPr>
        <w:t xml:space="preserve">počtu zaměstnanců o </w:t>
      </w:r>
      <w:r w:rsidR="0074422C" w:rsidRPr="0074422C">
        <w:rPr>
          <w:b w:val="0"/>
        </w:rPr>
        <w:t>6,6</w:t>
      </w:r>
      <w:r w:rsidR="001E0070" w:rsidRPr="0074422C">
        <w:rPr>
          <w:b w:val="0"/>
        </w:rPr>
        <w:t xml:space="preserve"> tis., což je </w:t>
      </w:r>
      <w:r w:rsidR="0074422C" w:rsidRPr="0074422C">
        <w:rPr>
          <w:b w:val="0"/>
        </w:rPr>
        <w:t>relativně 2,4</w:t>
      </w:r>
      <w:r w:rsidR="001E0070" w:rsidRPr="0074422C">
        <w:rPr>
          <w:b w:val="0"/>
        </w:rPr>
        <w:t> %.</w:t>
      </w:r>
    </w:p>
    <w:p w:rsidR="009D2873" w:rsidRPr="000D06C2" w:rsidRDefault="009D2873" w:rsidP="009D2873"/>
    <w:p w:rsidR="00E55055" w:rsidRDefault="002F3301" w:rsidP="00F81470">
      <w:pPr>
        <w:rPr>
          <w:noProof/>
          <w:lang w:eastAsia="cs-CZ"/>
        </w:rPr>
      </w:pPr>
      <w:r w:rsidRPr="006D1D9F">
        <w:rPr>
          <w:b/>
        </w:rPr>
        <w:t xml:space="preserve">Z hlediska mezd </w:t>
      </w:r>
      <w:r w:rsidR="000D06C2" w:rsidRPr="006D1D9F">
        <w:t>pokračovala i</w:t>
      </w:r>
      <w:r w:rsidR="00EC6F4E" w:rsidRPr="006D1D9F">
        <w:t xml:space="preserve"> </w:t>
      </w:r>
      <w:r w:rsidR="000D06C2" w:rsidRPr="006D1D9F">
        <w:t xml:space="preserve">na začátku letošního roku </w:t>
      </w:r>
      <w:r w:rsidR="004A2A7F" w:rsidRPr="006D1D9F">
        <w:rPr>
          <w:noProof/>
          <w:lang w:eastAsia="cs-CZ"/>
        </w:rPr>
        <w:t xml:space="preserve">střídmost typická pro loňský rok. </w:t>
      </w:r>
      <w:r w:rsidR="00F261D3" w:rsidRPr="006D1D9F">
        <w:rPr>
          <w:noProof/>
          <w:lang w:eastAsia="cs-CZ"/>
        </w:rPr>
        <w:t xml:space="preserve">Průměrná mzda nominálně vzrostla o 2,2 %. </w:t>
      </w:r>
      <w:r w:rsidR="00F81470" w:rsidRPr="006D1D9F">
        <w:rPr>
          <w:noProof/>
          <w:lang w:eastAsia="cs-CZ"/>
        </w:rPr>
        <w:t xml:space="preserve">Na tomto růstu se více podílela nepodnikatelská sféra, kde byly </w:t>
      </w:r>
      <w:r w:rsidR="00F81470" w:rsidRPr="006D1D9F">
        <w:rPr>
          <w:noProof/>
          <w:lang w:eastAsia="cs-CZ"/>
        </w:rPr>
        <w:t>na konci roku 2014</w:t>
      </w:r>
      <w:r w:rsidR="00F81470" w:rsidRPr="006D1D9F">
        <w:rPr>
          <w:noProof/>
          <w:lang w:eastAsia="cs-CZ"/>
        </w:rPr>
        <w:t xml:space="preserve"> rozhodnutím vlády navýšeny platové tarify.</w:t>
      </w:r>
      <w:r w:rsidR="00F81470">
        <w:rPr>
          <w:noProof/>
          <w:lang w:eastAsia="cs-CZ"/>
        </w:rPr>
        <w:t xml:space="preserve"> </w:t>
      </w:r>
    </w:p>
    <w:p w:rsidR="00667C49" w:rsidRPr="00F261D3" w:rsidRDefault="00667C49" w:rsidP="00667C49">
      <w:pPr>
        <w:rPr>
          <w:noProof/>
          <w:lang w:eastAsia="cs-CZ"/>
        </w:rPr>
      </w:pPr>
      <w:r>
        <w:rPr>
          <w:noProof/>
          <w:lang w:eastAsia="cs-CZ"/>
        </w:rPr>
        <w:t xml:space="preserve">Na přiloženém grafu vidíme, že zatímco v období před rokem 2009 se </w:t>
      </w:r>
      <w:r w:rsidR="006755C4">
        <w:rPr>
          <w:noProof/>
          <w:lang w:eastAsia="cs-CZ"/>
        </w:rPr>
        <w:t xml:space="preserve">sezónně očištěné </w:t>
      </w:r>
      <w:r>
        <w:rPr>
          <w:noProof/>
          <w:lang w:eastAsia="cs-CZ"/>
        </w:rPr>
        <w:t>mezičtvtletní nárůsty průměrné mzdy držely mezi 1 až 2 procenty, od počátku krize nepřekrač</w:t>
      </w:r>
      <w:r w:rsidR="006755C4">
        <w:rPr>
          <w:noProof/>
          <w:lang w:eastAsia="cs-CZ"/>
        </w:rPr>
        <w:t>ovaly</w:t>
      </w:r>
      <w:r>
        <w:rPr>
          <w:noProof/>
          <w:lang w:eastAsia="cs-CZ"/>
        </w:rPr>
        <w:t xml:space="preserve"> 1 %. (Pozn. Extrémní hodnoty viditelné v grafu jsou způsobeny legislativními změnami v oblasti daní a pojištění placených z příjmů fyzických osob.)</w:t>
      </w:r>
    </w:p>
    <w:p w:rsidR="00F261D3" w:rsidRPr="00F1447D" w:rsidRDefault="00F261D3" w:rsidP="000023A2">
      <w:pPr>
        <w:rPr>
          <w:color w:val="948A54"/>
        </w:rPr>
      </w:pPr>
    </w:p>
    <w:p w:rsidR="00680E55" w:rsidRPr="00F1447D" w:rsidRDefault="00785EB3" w:rsidP="000023A2">
      <w:pPr>
        <w:rPr>
          <w:noProof/>
          <w:color w:val="948A54"/>
          <w:lang w:eastAsia="cs-CZ"/>
        </w:rPr>
      </w:pPr>
      <w:r>
        <w:rPr>
          <w:noProof/>
          <w:color w:val="948A5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5" o:spid="_x0000_i1025" type="#_x0000_t75" style="width:425.25pt;height:296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GYaFC3gAAAAUBAAAPAAAAZHJzL2Rvd25y&#10;ZXYueG1sTI/BTsMwEETvSPyDtZW4VNQu0NKmcSoERTlwokVC3LbxNgnE6xA7bfh7DBe4rDSa0czb&#10;dD3YRhyp87VjDdOJAkFcOFNzqeFl93i5AOEDssHGMWn4Ig/r7PwsxcS4Ez/TcRtKEUvYJ6ihCqFN&#10;pPRFRRb9xLXE0Tu4zmKIsiul6fAUy20jr5SaS4s1x4UKW7qvqPjY9lZD//lG+DAtx7vNIWyecpW/&#10;vo9zrS9Gw90KRKAh/IXhBz+iQxaZ9q5n40WjIT4Sfm/0ljfXMxB7DfPZrQKZpfI/ffYNAAD//wMA&#10;UEsDBBQABgAIAAAAIQAl689GDwEAADYCAAAOAAAAZHJzL2Uyb0RvYy54bWyckcFOwzAQRO9I/IO1&#10;d+okQKBRnV4iJE5c4AOMvW4sJba1dgn8PUtboXJC6m12R3qand1sP+dJfCBlH4OCelWBwGCi9WGn&#10;4O316eYRRC46WD3FgAq+MMO2v77aLKnDJo5xskiCISF3S1IwlpI6KbMZcdZ5FRMGNl2kWRceaSct&#10;6YXp8ySbqmrlEskmigZz5u1wNKE/8J1DU16cy1jExOmaet2AKAraat2CIAUPty2LdwXN/R3IfqO7&#10;Hek0enOKpC9INGsfOMAvatBFiz35C1Bm1FSYZbqDOoUyF5NOAD78/56jc97gEM1+xlCOZRNOuvCn&#10;8+hT5gI7bxXQs61/upN/Lj6fWZ+/u/8G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Bd&#10;3n1B8QAAAF8BAAAgAAAAZHJzL2NoYXJ0cy9fcmVscy9jaGFydDEueG1sLnJlbHOEkE1LxDAYhO+C&#10;/yG8d5t2QZGl6aJUoYdSrLuHlcASk7cfmiY1idL11xsPgguCx2GYZ4bJN8ukyQc6P1rDIEtSIGik&#10;VaPpGey29xfXQHwQRgltDTI4oodNcX6Wt6hFiCE/jLMnkWI8gyGEeU2plwNOwid2RhOdzrpJhChd&#10;T2chX0WPdJWmV9T9ZkBxwiSVYuAqlQHZHufY/D/bdt0osbTyfUIT/qigVmPz/IIyRKhwPQYG3agx&#10;Tqblmu94U942LW8rXj+Ve569rdLskj/eHOpPJQ7Zw7dMFu1/0rVVcdjdEtAZoYEWOT25pfgCAAD/&#10;/wMAUEsDBBQABgAIAAAAIQCvspOmiggAAA4cAAAVAAAAZHJzL2NoYXJ0cy9jaGFydDEueG1sxFnN&#10;ctzGEb6nKu+w2bKPIuf/h6WlS5Ejl6vkMsuScvANXIAkIiywBYDULt/BT6CTjzmkcsgjiH6vfDMA&#10;ZkGGzSjyIVTVahfTPT399e80nn+z21SLm6LtyqZeLfkRWy6Ket3kZX25Wr57++qZWy66PqvzrGrq&#10;YrXcF93ym9M//uH5+mR9lbX9m222LhbYpO5O1qvlVd9vT46Pu/VVscm6o2Zb1Fi7aNpN1uNne3mc&#10;t9kHbL6pjgVj5jhushw3yL5gg01W1hN/+zn8zcVFuS6+bdbXm6Luh1O0RZX1QKC7Krfd8hTKVVl9&#10;ubjJqtVy3T17+fPyODyMhw1f+rKvivhlFz7bcn11+jw7OW/y/VkL0uyk6vo3/b4q4o9teLI9a8N/&#10;eXHxU6Q5To/i8/asXQShq2VRP3v3JgjMTvrTN8Xtp3/V9d3HRXP3S/nbr/3dx/rT3xeb4ra8+6W/&#10;aXGOvv70j0VZ58Vuv9i2v/1zc/exDTTPIaE/DZ+DgLDhQUpSKxDVzaasP/1ahZ2eZrt3uM1tvr9H&#10;HnSCxAkRfOkjQFW2b657qBSeTNhtq6Z/0RZZQHAgCN82WX2dVa8jw2HlbdZeFv1gkLKui3YwyO6H&#10;Ji+Gp0V+WQwP94893A1U7IgzZZUXWghnDVfWj0xp3TguDTfWOeMU93xY/zCtO60N55wJpZxnysth&#10;/WpaN5p5bZUwVkpmpDZhHWrf1wsPDipXZV28DMEU9L1sm+stAmTYbwi9Nh+EdAUsuT4p80mb4XHT&#10;5kU7yh8JR2er6sWH1VI6zth4jC6uhOO074fduv3mvEEOCL5eI8ZHwgNBfhYPlqSKuNf6ZNgKrh6F&#10;cGEfCIGOI+t/7DCC+uU7yNFsX76D+t1aqP9Zi3UWkayvNz8VF8GSF6evy67nf/rqxVdcneDTiOAr&#10;cQ1ULzPk0UgXE+hLOPtpfrw53uMv0h0eY7Nt/7K5rscgUSNA234Bw62WbBn2uTmV1ogo4yZ65TYe&#10;aCLiichykkgkIsdkOMVjO8kDkdcUkUpE3lmKSE9EjllHEZlExI2niGwiEoZTRC4RSU1q5xORUiQR&#10;T5A7LRUljyfMnRGGpEqgO8tJFHhC3TlGUyXYnfMkWPyAu/ckWjwB75mjkUjIe25pqgS9F4bGK2Hv&#10;kVspvJCiRnf3SNMkVcLea0kiIRL23khG7pWw95YOMJGw946TOoqEvUeFISUesPd0jIkJe8UYHWRi&#10;wl4xbmkkJuwVE3SYyQl7xaQh8ZIT9oopTeYaOWGvmFYkEnLCXqHg0lQT9opZQeYkOWGvmONkUpIT&#10;9op5RuIlE/aovzQSCXvO6EhDwRs8WnFORxqK2kQlLKkjCtdEJQ1NlbDnio40lbDnmo40lbDnRpFI&#10;qIQ90gRNlbDnTpCZSR2w95zMOSphj8vIAyRQ2Q4lePgRqza+jnUcLVPA8ZFy/iqW81efUc7Z1yG+&#10;hwtSrO+fW8hxVYMneCWsNMpYo8ggmqwdOIxlXBghjQu3LzK1jP4RZQg0wdqi+FrOaVefcSjPkB+M&#10;9xCiaAPNOLRxWmklueXak3pM3hFOBQUk02g5peaO1GPylKg52napNdKudbQek9cEDhBqLbi0OJMn&#10;08rkQYFDeByGa82McDS6UyQPekALabyA7nQoplYisGgjPFptbdBV0Jkg9RWBxQpmcOeBHZknY4FP&#10;8R45wpEk7I4PS6bB1HBEFtwA0McpeKIjSy6fEkHgQMcjcVXSCuWX7u1SJzJoopwSMKVn0J/y39SW&#10;BBZvNS5jiBIBVR7EeGiah/6Yzy0PdwTG8DBc7wyt/dz0mjkNJ4ZfQhwZJnxue9xBLbwLSQxiyDhJ&#10;rQx0gQ4ehtSIk3ADpdQX84gXDCaROJOBU5KIpSYHUpg1SBPSI0NYbkhTiinzBxZUQavRdOL2KyXN&#10;MrM+GKTzwnmLZP8EyyzqYXIOKU4iIDmjEZuHPbcWXZviAtp4MlGkLinq4jVGBEgSRnFJIzazPjIx&#10;gyuH5OqeMuXM+ghIWN16WAcZjEQsNVPhYAqqKGcdQ4ahTZk6q8AipWD454CwNKT6qc0KLA5BbAXc&#10;kqE1o1wstVzxXA5pBSVIelQk0ixybnwNTSTyJcISiZaUMje+tiENoxdBkXhYqw9xnDqzcDAkJC+F&#10;gMvANGS4pDYtsmB/mNAIJZ9iuWd8dIrwf0QYxJDZIjVwkIL9HYYyHB3yE5eY1MyxIwQJ6jw6LAPX&#10;h++TiKXWLuhihIbne4Qy9CFdTM3yPtNSo/FFYHLMxkjEUtMXpAAnDNK0QIeO/E+ZMnWAgQVFWDmj&#10;UF1hHDLCUjsYpTgNRZBj0YfQ9xg1C/1wr4DDKLiAB9jkwWaJn6HeMVx3JUdHJWiQ59ZXqMUeNZwJ&#10;jkC7L+WJFjL2jlgfR3rDtG0Ywo1jpWz3fT4+YCgVaEfEMNx7sCBxWx5ndvcGiXnWFy/i9PUBw2Gn&#10;bp2B5TI0sU1bYhoeh+CDUAyEf8h209TwQJjtzppuIDkfzoP+99WmXxx62NVyGlLh3UFz3a6L12X9&#10;vsjxfmHg6Mv1+9fnVdqoLnb922Zc2w1z8mGWvmibfrWET4a/ZXhRgZ9XTXsbiP/rlH3R3ULmNPxM&#10;8/aizs+yNsMYfpy4p1l4ml/38RTo9Num616M41YkeRh6hHtcK0Yssuu++bloRyXCr3vGrM6rHy8u&#10;ummEPR4pjGH/1rTv6nKc2sVh8fj0bbkpDiubpu6vuqA1nOZgWrjRozY+nPLzbBxkTloesehPeFTW&#10;gxIhAUULTB/IGcNJZrvPHKMaTBmV+64t8+CXHRjiXemhr7Cvf7eX/L984RBJ0U8e94W49Oei/1AU&#10;I5znw48ZSAc7h1x370//5dkE9mhsOMD81Un4/tey+7Gu9jOXA1F6W4XoKto6q77N+mzR4vXBatl+&#10;n8dYnMjia7zTfwMAAP//AwBQSwECLQAUAAYACAAAACEApPKVkRwBAABeAgAAEwAAAAAAAAAAAAAA&#10;AAAAAAAAW0NvbnRlbnRfVHlwZXNdLnhtbFBLAQItABQABgAIAAAAIQA4/SH/1gAAAJQBAAALAAAA&#10;AAAAAAAAAAAAAE0BAABfcmVscy8ucmVsc1BLAQItABQABgAIAAAAIQBGYaFC3gAAAAUBAAAPAAAA&#10;AAAAAAAAAAAAAEwCAABkcnMvZG93bnJldi54bWxQSwECLQAUAAYACAAAACEAJevPRg8BAAA2AgAA&#10;DgAAAAAAAAAAAAAAAABXAwAAZHJzL2Uyb0RvYy54bWxQSwECLQAUAAYACAAAACEAqxbNRrkAAAAi&#10;AQAAGQAAAAAAAAAAAAAAAACSBAAAZHJzL19yZWxzL2Uyb0RvYy54bWwucmVsc1BLAQItABQABgAI&#10;AAAAIQBd3n1B8QAAAF8BAAAgAAAAAAAAAAAAAAAAAIIFAABkcnMvY2hhcnRzL19yZWxzL2NoYXJ0&#10;MS54bWwucmVsc1BLAQItABQABgAIAAAAIQCvspOmiggAAA4cAAAVAAAAAAAAAAAAAAAAALEGAABk&#10;cnMvY2hhcnRzL2NoYXJ0MS54bWxQSwUGAAAAAAcABwDLAQAAbg8AAAAA&#10;">
            <v:imagedata r:id="rId9" o:title=""/>
            <o:lock v:ext="edit" aspectratio="f"/>
          </v:shape>
        </w:pict>
      </w:r>
    </w:p>
    <w:p w:rsidR="00680E55" w:rsidRPr="00667C49" w:rsidRDefault="00667C49" w:rsidP="000023A2">
      <w:pPr>
        <w:rPr>
          <w:sz w:val="18"/>
          <w:szCs w:val="18"/>
        </w:rPr>
      </w:pPr>
      <w:r w:rsidRPr="00667C49">
        <w:rPr>
          <w:sz w:val="18"/>
          <w:szCs w:val="18"/>
        </w:rPr>
        <w:t>Zdroj: podniková statistika ČSÚ</w:t>
      </w:r>
    </w:p>
    <w:p w:rsidR="00667C49" w:rsidRPr="000D06C2" w:rsidRDefault="00667C49" w:rsidP="00667C49"/>
    <w:p w:rsidR="00667C49" w:rsidRPr="00F261D3" w:rsidRDefault="00667C49" w:rsidP="00667C49">
      <w:pPr>
        <w:rPr>
          <w:noProof/>
          <w:lang w:eastAsia="cs-CZ"/>
        </w:rPr>
      </w:pPr>
      <w:r w:rsidRPr="00F261D3">
        <w:rPr>
          <w:noProof/>
          <w:lang w:eastAsia="cs-CZ"/>
        </w:rPr>
        <w:t xml:space="preserve">Pro celkovou reálnou kupní sílu je důležité porovnání s indexem spotřebitelských cen </w:t>
      </w:r>
      <w:r w:rsidR="006755C4">
        <w:rPr>
          <w:noProof/>
          <w:lang w:eastAsia="cs-CZ"/>
        </w:rPr>
        <w:t>(</w:t>
      </w:r>
      <w:r w:rsidRPr="00F261D3">
        <w:rPr>
          <w:noProof/>
          <w:lang w:eastAsia="cs-CZ"/>
        </w:rPr>
        <w:t>inflací</w:t>
      </w:r>
      <w:r w:rsidR="006755C4">
        <w:rPr>
          <w:noProof/>
          <w:lang w:eastAsia="cs-CZ"/>
        </w:rPr>
        <w:t>)</w:t>
      </w:r>
      <w:r w:rsidRPr="00F261D3">
        <w:rPr>
          <w:noProof/>
          <w:lang w:eastAsia="cs-CZ"/>
        </w:rPr>
        <w:t>, k</w:t>
      </w:r>
      <w:r>
        <w:rPr>
          <w:noProof/>
          <w:lang w:eastAsia="cs-CZ"/>
        </w:rPr>
        <w:t>t</w:t>
      </w:r>
      <w:r w:rsidRPr="00F261D3">
        <w:rPr>
          <w:noProof/>
          <w:lang w:eastAsia="cs-CZ"/>
        </w:rPr>
        <w:t>er</w:t>
      </w:r>
      <w:r>
        <w:rPr>
          <w:noProof/>
          <w:lang w:eastAsia="cs-CZ"/>
        </w:rPr>
        <w:t>ý</w:t>
      </w:r>
      <w:r w:rsidRPr="00F261D3">
        <w:rPr>
          <w:noProof/>
          <w:lang w:eastAsia="cs-CZ"/>
        </w:rPr>
        <w:t xml:space="preserve"> byl v 1. čtvrtletí 2015 na minimální úrovni 0,1 %. To i při slabším </w:t>
      </w:r>
      <w:r>
        <w:rPr>
          <w:noProof/>
          <w:lang w:eastAsia="cs-CZ"/>
        </w:rPr>
        <w:t xml:space="preserve">nominálním </w:t>
      </w:r>
      <w:r w:rsidRPr="00F261D3">
        <w:rPr>
          <w:noProof/>
          <w:lang w:eastAsia="cs-CZ"/>
        </w:rPr>
        <w:t>mzdovém nárůstu vedlo k reálnému zvýšování kupní síly mezd, která tak vzrostla o 2,</w:t>
      </w:r>
      <w:r>
        <w:rPr>
          <w:noProof/>
          <w:lang w:eastAsia="cs-CZ"/>
        </w:rPr>
        <w:t>1 %</w:t>
      </w:r>
      <w:r w:rsidRPr="00F261D3">
        <w:rPr>
          <w:noProof/>
          <w:lang w:eastAsia="cs-CZ"/>
        </w:rPr>
        <w:t>.</w:t>
      </w:r>
    </w:p>
    <w:p w:rsidR="00667C49" w:rsidRDefault="00667C49" w:rsidP="00F261D3"/>
    <w:p w:rsidR="00F261D3" w:rsidRPr="00F261D3" w:rsidRDefault="00F261D3" w:rsidP="00F261D3">
      <w:r w:rsidRPr="00F261D3">
        <w:t xml:space="preserve">V podnikatelské </w:t>
      </w:r>
      <w:r w:rsidR="006755C4">
        <w:t xml:space="preserve">sféře </w:t>
      </w:r>
      <w:r w:rsidRPr="00F261D3">
        <w:t xml:space="preserve">vzrostla </w:t>
      </w:r>
      <w:r w:rsidR="00CE470D">
        <w:t xml:space="preserve">meziročně </w:t>
      </w:r>
      <w:r w:rsidRPr="00F261D3">
        <w:t xml:space="preserve">průměrná mzda </w:t>
      </w:r>
      <w:r w:rsidR="00CE470D">
        <w:t xml:space="preserve">v 1. čtvrtletí 2015 </w:t>
      </w:r>
      <w:r w:rsidRPr="00F261D3">
        <w:t>nominálně o 2,1 % a reálně o 2,0 %; v nepodnikatelské vzrostl průměrný plat nominálně o 2,9 % a reálně o 2,8 %.</w:t>
      </w:r>
    </w:p>
    <w:p w:rsidR="00B53759" w:rsidRPr="00F9157D" w:rsidRDefault="00F261D3" w:rsidP="00967F05">
      <w:r w:rsidRPr="00B53759">
        <w:t>Také v</w:t>
      </w:r>
      <w:r w:rsidR="00967F05" w:rsidRPr="00B53759">
        <w:t> jednotlivých odvětvích (sekce CZ-NACE) byl mzdový vývoj značně diferencovaný.</w:t>
      </w:r>
      <w:r w:rsidR="00B53759" w:rsidRPr="00B53759">
        <w:t xml:space="preserve"> Ve čtyřech </w:t>
      </w:r>
      <w:r w:rsidR="00B53759" w:rsidRPr="00F9157D">
        <w:t xml:space="preserve">odvětvových sekcích průměrná mzda nominálně poklesla a </w:t>
      </w:r>
      <w:r w:rsidR="004259F8">
        <w:t xml:space="preserve">ve </w:t>
      </w:r>
      <w:r w:rsidR="00B53759" w:rsidRPr="00F9157D">
        <w:t>zbylých rostla různorodým tempem.</w:t>
      </w:r>
      <w:r w:rsidR="00967F05" w:rsidRPr="00F9157D">
        <w:t xml:space="preserve"> Nominální nárůsty se </w:t>
      </w:r>
      <w:r w:rsidR="00B53759" w:rsidRPr="00F9157D">
        <w:t xml:space="preserve">tedy </w:t>
      </w:r>
      <w:r w:rsidR="00967F05" w:rsidRPr="00F9157D">
        <w:t>pohybovaly od hodnot</w:t>
      </w:r>
      <w:r w:rsidR="00B53759" w:rsidRPr="00F9157D">
        <w:t>y -2,4 % v peněžnictví a pojišťovnictví až po 4,4 % v ubytování, stravování a pohostinství</w:t>
      </w:r>
      <w:r w:rsidR="006755C4" w:rsidRPr="00F9157D">
        <w:t>.</w:t>
      </w:r>
    </w:p>
    <w:p w:rsidR="00E2446F" w:rsidRPr="004259F8" w:rsidRDefault="004328B0" w:rsidP="00E2446F">
      <w:pPr>
        <w:rPr>
          <w:rFonts w:eastAsia="Times New Roman" w:cs="Arial"/>
          <w:szCs w:val="20"/>
          <w:lang w:eastAsia="cs-CZ"/>
        </w:rPr>
      </w:pPr>
      <w:r w:rsidRPr="004328B0">
        <w:rPr>
          <w:szCs w:val="20"/>
        </w:rPr>
        <w:t>Z průmyslových oborů se dařilo u hlavního tahouna české ekonomiky – zpracovatelského průmyslu, který zaměstnává 1 080,6 tis. zaměstnanců – tam vzrostla průměrná mzda o 2,6 %. V z</w:t>
      </w:r>
      <w:r w:rsidRPr="004328B0">
        <w:rPr>
          <w:rFonts w:eastAsia="Times New Roman" w:cs="Arial"/>
          <w:szCs w:val="20"/>
          <w:lang w:eastAsia="cs-CZ"/>
        </w:rPr>
        <w:t>ásobování vodou, činnostech související</w:t>
      </w:r>
      <w:r w:rsidR="00785EB3">
        <w:rPr>
          <w:rFonts w:eastAsia="Times New Roman" w:cs="Arial"/>
          <w:szCs w:val="20"/>
          <w:lang w:eastAsia="cs-CZ"/>
        </w:rPr>
        <w:t>ch</w:t>
      </w:r>
      <w:r w:rsidRPr="004328B0">
        <w:rPr>
          <w:rFonts w:eastAsia="Times New Roman" w:cs="Arial"/>
          <w:szCs w:val="20"/>
          <w:lang w:eastAsia="cs-CZ"/>
        </w:rPr>
        <w:t xml:space="preserve"> s odpadními vodami, odpady a sanacemi jde jen o 1,5 % a u zbylých</w:t>
      </w:r>
      <w:r w:rsidRPr="004328B0">
        <w:rPr>
          <w:szCs w:val="20"/>
        </w:rPr>
        <w:t xml:space="preserve"> dvou sekcí najdeme pokles: u těžby a dobývání -0,9 % a u v</w:t>
      </w:r>
      <w:r w:rsidRPr="004328B0">
        <w:rPr>
          <w:rFonts w:eastAsia="Times New Roman" w:cs="Arial"/>
          <w:szCs w:val="20"/>
          <w:lang w:eastAsia="cs-CZ"/>
        </w:rPr>
        <w:t>ýroby a rozvodu elektřiny, plynu, tepla a klimatizovaného vzduchu -0,7 %.</w:t>
      </w:r>
    </w:p>
    <w:p w:rsidR="00E057D6" w:rsidRPr="006D1D9F" w:rsidRDefault="00E057D6" w:rsidP="00E057D6">
      <w:pPr>
        <w:rPr>
          <w:rFonts w:eastAsia="Times New Roman" w:cs="Arial"/>
          <w:szCs w:val="20"/>
          <w:lang w:eastAsia="cs-CZ"/>
        </w:rPr>
      </w:pPr>
      <w:r w:rsidRPr="006D1D9F">
        <w:rPr>
          <w:rFonts w:eastAsia="Times New Roman" w:cs="Arial"/>
          <w:szCs w:val="20"/>
          <w:lang w:eastAsia="cs-CZ"/>
        </w:rPr>
        <w:t>V obchodě, kde je takřka půl milionu zaměstnanců, vzrostla průměrná mzda o 3,5 %.</w:t>
      </w:r>
    </w:p>
    <w:p w:rsidR="00785EB3" w:rsidRPr="006D1D9F" w:rsidRDefault="004328B0" w:rsidP="00E2446F">
      <w:pPr>
        <w:rPr>
          <w:rFonts w:eastAsia="Times New Roman" w:cs="Arial"/>
          <w:szCs w:val="20"/>
          <w:lang w:eastAsia="cs-CZ"/>
        </w:rPr>
      </w:pPr>
      <w:r w:rsidRPr="006D1D9F">
        <w:rPr>
          <w:rFonts w:eastAsia="Times New Roman" w:cs="Arial"/>
          <w:szCs w:val="20"/>
          <w:lang w:eastAsia="cs-CZ"/>
        </w:rPr>
        <w:t xml:space="preserve">Z odvětví </w:t>
      </w:r>
      <w:r w:rsidR="00610EF9" w:rsidRPr="006D1D9F">
        <w:rPr>
          <w:rFonts w:eastAsia="Times New Roman" w:cs="Arial"/>
          <w:szCs w:val="20"/>
          <w:lang w:eastAsia="cs-CZ"/>
        </w:rPr>
        <w:t xml:space="preserve">s dominancí státu </w:t>
      </w:r>
      <w:r w:rsidRPr="006D1D9F">
        <w:rPr>
          <w:rFonts w:eastAsia="Times New Roman" w:cs="Arial"/>
          <w:szCs w:val="20"/>
          <w:lang w:eastAsia="cs-CZ"/>
        </w:rPr>
        <w:t>byl nejvyšší meziroční nárůst platů ve zdravotní a sociální péči (3,8 %), ve veřejné správě byl nižší (3,1 %) a ne</w:t>
      </w:r>
      <w:r w:rsidR="002440DF" w:rsidRPr="006D1D9F">
        <w:rPr>
          <w:rFonts w:eastAsia="Times New Roman" w:cs="Arial"/>
          <w:szCs w:val="20"/>
          <w:lang w:eastAsia="cs-CZ"/>
        </w:rPr>
        <w:t>j</w:t>
      </w:r>
      <w:r w:rsidRPr="006D1D9F">
        <w:rPr>
          <w:rFonts w:eastAsia="Times New Roman" w:cs="Arial"/>
          <w:szCs w:val="20"/>
          <w:lang w:eastAsia="cs-CZ"/>
        </w:rPr>
        <w:t>skromnější byl ve vzdělávání (2,3 %).</w:t>
      </w:r>
    </w:p>
    <w:p w:rsidR="009A4CB3" w:rsidRPr="006D1D9F" w:rsidRDefault="009A4CB3" w:rsidP="00967F05"/>
    <w:p w:rsidR="009A4CB3" w:rsidRPr="006D1D9F" w:rsidRDefault="009A4CB3" w:rsidP="009A4CB3">
      <w:pPr>
        <w:rPr>
          <w:rFonts w:cs="Arial"/>
          <w:szCs w:val="20"/>
        </w:rPr>
      </w:pPr>
      <w:r w:rsidRPr="006D1D9F">
        <w:rPr>
          <w:rFonts w:cs="Arial"/>
          <w:szCs w:val="20"/>
        </w:rPr>
        <w:t xml:space="preserve">Zajímavou doplňkovou informací o zvyšující se poptávce po pracovní síle </w:t>
      </w:r>
      <w:r w:rsidR="00D000EC" w:rsidRPr="006D1D9F">
        <w:rPr>
          <w:rFonts w:cs="Arial"/>
          <w:szCs w:val="20"/>
        </w:rPr>
        <w:t>v podnikatelské sféře</w:t>
      </w:r>
      <w:r w:rsidR="00F9157D" w:rsidRPr="006D1D9F">
        <w:rPr>
          <w:rFonts w:cs="Arial"/>
          <w:szCs w:val="20"/>
        </w:rPr>
        <w:t xml:space="preserve"> může b</w:t>
      </w:r>
      <w:r w:rsidRPr="006D1D9F">
        <w:rPr>
          <w:rFonts w:cs="Arial"/>
          <w:szCs w:val="20"/>
        </w:rPr>
        <w:t>ýt zv</w:t>
      </w:r>
      <w:r w:rsidR="00F9157D" w:rsidRPr="006D1D9F">
        <w:rPr>
          <w:rFonts w:cs="Arial"/>
          <w:szCs w:val="20"/>
        </w:rPr>
        <w:t>yšování</w:t>
      </w:r>
      <w:r w:rsidRPr="006D1D9F">
        <w:rPr>
          <w:rFonts w:cs="Arial"/>
          <w:szCs w:val="20"/>
        </w:rPr>
        <w:t xml:space="preserve"> </w:t>
      </w:r>
      <w:r w:rsidR="00F9157D" w:rsidRPr="006D1D9F">
        <w:rPr>
          <w:rFonts w:cs="Arial"/>
          <w:szCs w:val="20"/>
        </w:rPr>
        <w:t xml:space="preserve">placené </w:t>
      </w:r>
      <w:r w:rsidRPr="006D1D9F">
        <w:rPr>
          <w:rFonts w:cs="Arial"/>
          <w:szCs w:val="20"/>
        </w:rPr>
        <w:t xml:space="preserve">přesčasové práce, které se </w:t>
      </w:r>
      <w:r w:rsidR="009E67B3" w:rsidRPr="006D1D9F">
        <w:rPr>
          <w:rFonts w:cs="Arial"/>
          <w:szCs w:val="20"/>
        </w:rPr>
        <w:t xml:space="preserve">v </w:t>
      </w:r>
      <w:r w:rsidR="00D000EC" w:rsidRPr="006D1D9F">
        <w:rPr>
          <w:rFonts w:cs="Arial"/>
          <w:szCs w:val="20"/>
        </w:rPr>
        <w:t>1</w:t>
      </w:r>
      <w:r w:rsidR="009E67B3" w:rsidRPr="006D1D9F">
        <w:rPr>
          <w:rFonts w:cs="Arial"/>
          <w:szCs w:val="20"/>
        </w:rPr>
        <w:t>. čtvrtletí 201</w:t>
      </w:r>
      <w:r w:rsidR="00D000EC" w:rsidRPr="006D1D9F">
        <w:rPr>
          <w:rFonts w:cs="Arial"/>
          <w:szCs w:val="20"/>
        </w:rPr>
        <w:t>5</w:t>
      </w:r>
      <w:r w:rsidR="009E67B3" w:rsidRPr="006D1D9F">
        <w:rPr>
          <w:rFonts w:cs="Arial"/>
          <w:szCs w:val="20"/>
        </w:rPr>
        <w:t xml:space="preserve"> </w:t>
      </w:r>
      <w:r w:rsidRPr="006D1D9F">
        <w:rPr>
          <w:rFonts w:cs="Arial"/>
          <w:szCs w:val="20"/>
        </w:rPr>
        <w:t xml:space="preserve">projevilo </w:t>
      </w:r>
      <w:r w:rsidR="00D000EC" w:rsidRPr="006D1D9F">
        <w:rPr>
          <w:rFonts w:cs="Arial"/>
          <w:szCs w:val="20"/>
        </w:rPr>
        <w:t>takřka ve všech oborech, nejvíce ve stavebnictví</w:t>
      </w:r>
      <w:r w:rsidRPr="006D1D9F">
        <w:rPr>
          <w:rFonts w:cs="Arial"/>
          <w:szCs w:val="20"/>
        </w:rPr>
        <w:t xml:space="preserve">. </w:t>
      </w:r>
      <w:r w:rsidR="00D000EC" w:rsidRPr="006D1D9F">
        <w:rPr>
          <w:rFonts w:cs="Arial"/>
          <w:szCs w:val="20"/>
        </w:rPr>
        <w:t xml:space="preserve">Tam také nejvíce vzrostl podíl </w:t>
      </w:r>
      <w:r w:rsidRPr="006D1D9F">
        <w:rPr>
          <w:rFonts w:cs="Arial"/>
          <w:szCs w:val="20"/>
        </w:rPr>
        <w:t>mimořádných odměn.</w:t>
      </w:r>
    </w:p>
    <w:p w:rsidR="009A4CB3" w:rsidRPr="006D1D9F" w:rsidRDefault="009A4CB3" w:rsidP="009A4CB3">
      <w:pPr>
        <w:rPr>
          <w:noProof/>
          <w:lang w:eastAsia="cs-CZ"/>
        </w:rPr>
      </w:pPr>
    </w:p>
    <w:p w:rsidR="0044776C" w:rsidRPr="006D1D9F" w:rsidRDefault="0044776C" w:rsidP="0044776C">
      <w:pPr>
        <w:rPr>
          <w:rFonts w:cs="Arial"/>
        </w:rPr>
      </w:pPr>
      <w:r w:rsidRPr="006D1D9F">
        <w:rPr>
          <w:rFonts w:cs="Arial"/>
        </w:rPr>
        <w:t xml:space="preserve">Rychlá informace obsahuje také údaj o mzdovém </w:t>
      </w:r>
      <w:r w:rsidRPr="006D1D9F">
        <w:rPr>
          <w:rFonts w:cs="Arial"/>
          <w:b/>
        </w:rPr>
        <w:t>mediánu</w:t>
      </w:r>
      <w:r w:rsidRPr="006D1D9F">
        <w:rPr>
          <w:rFonts w:cs="Arial"/>
        </w:rPr>
        <w:t xml:space="preserve">, který je vypočtený z matematického modelu distribuce výdělků. Ten ukazuje mzdu prostředního zaměstnance, tedy běžnou mzdovou úroveň. V </w:t>
      </w:r>
      <w:r w:rsidR="006709EA" w:rsidRPr="006D1D9F">
        <w:rPr>
          <w:rFonts w:cs="Arial"/>
        </w:rPr>
        <w:t>1</w:t>
      </w:r>
      <w:r w:rsidR="0057323A" w:rsidRPr="006D1D9F">
        <w:rPr>
          <w:rFonts w:cs="Arial"/>
        </w:rPr>
        <w:t>. čtvrtletí 201</w:t>
      </w:r>
      <w:r w:rsidR="006709EA" w:rsidRPr="006D1D9F">
        <w:rPr>
          <w:rFonts w:cs="Arial"/>
        </w:rPr>
        <w:t>5</w:t>
      </w:r>
      <w:r w:rsidRPr="006D1D9F">
        <w:rPr>
          <w:rFonts w:cs="Arial"/>
        </w:rPr>
        <w:t xml:space="preserve"> byl medián </w:t>
      </w:r>
      <w:r w:rsidR="00B52091" w:rsidRPr="006D1D9F">
        <w:rPr>
          <w:rFonts w:cs="Arial"/>
        </w:rPr>
        <w:t>21 143</w:t>
      </w:r>
      <w:r w:rsidRPr="006D1D9F">
        <w:rPr>
          <w:rFonts w:cs="Arial"/>
        </w:rPr>
        <w:t> Kč, o</w:t>
      </w:r>
      <w:r w:rsidR="002440DF" w:rsidRPr="006D1D9F">
        <w:rPr>
          <w:rFonts w:cs="Arial"/>
        </w:rPr>
        <w:t xml:space="preserve"> </w:t>
      </w:r>
      <w:r w:rsidR="00BE09BC" w:rsidRPr="006D1D9F">
        <w:rPr>
          <w:rFonts w:cs="Arial"/>
        </w:rPr>
        <w:t>427</w:t>
      </w:r>
      <w:r w:rsidR="00A37C91" w:rsidRPr="006D1D9F">
        <w:rPr>
          <w:rFonts w:cs="Arial"/>
        </w:rPr>
        <w:t xml:space="preserve"> Kč (tj. o </w:t>
      </w:r>
      <w:r w:rsidR="00BA7128" w:rsidRPr="006D1D9F">
        <w:rPr>
          <w:rFonts w:cs="Arial"/>
        </w:rPr>
        <w:t>2,</w:t>
      </w:r>
      <w:r w:rsidR="00B52091" w:rsidRPr="006D1D9F">
        <w:rPr>
          <w:rFonts w:cs="Arial"/>
        </w:rPr>
        <w:t>1</w:t>
      </w:r>
      <w:r w:rsidR="00BA7128" w:rsidRPr="006D1D9F">
        <w:rPr>
          <w:rFonts w:cs="Arial"/>
        </w:rPr>
        <w:t> </w:t>
      </w:r>
      <w:r w:rsidRPr="006D1D9F">
        <w:rPr>
          <w:rFonts w:cs="Arial"/>
        </w:rPr>
        <w:t>%</w:t>
      </w:r>
      <w:r w:rsidR="00561AF8" w:rsidRPr="006D1D9F">
        <w:rPr>
          <w:rFonts w:cs="Arial"/>
        </w:rPr>
        <w:t>)</w:t>
      </w:r>
      <w:r w:rsidRPr="006D1D9F">
        <w:rPr>
          <w:rFonts w:cs="Arial"/>
        </w:rPr>
        <w:t xml:space="preserve"> vyšší než ve stejném období předchozího roku. Mzdová úroveň prostředního zaměstnance </w:t>
      </w:r>
      <w:r w:rsidR="006709EA" w:rsidRPr="006D1D9F">
        <w:rPr>
          <w:rFonts w:cs="Arial"/>
        </w:rPr>
        <w:t xml:space="preserve">se </w:t>
      </w:r>
      <w:r w:rsidRPr="006D1D9F">
        <w:rPr>
          <w:rFonts w:cs="Arial"/>
        </w:rPr>
        <w:t xml:space="preserve">tak </w:t>
      </w:r>
      <w:r w:rsidR="006709EA" w:rsidRPr="006D1D9F">
        <w:rPr>
          <w:rFonts w:cs="Arial"/>
        </w:rPr>
        <w:t>zvyšova</w:t>
      </w:r>
      <w:r w:rsidR="00BA7128" w:rsidRPr="006D1D9F">
        <w:rPr>
          <w:rFonts w:cs="Arial"/>
        </w:rPr>
        <w:t>la</w:t>
      </w:r>
      <w:r w:rsidRPr="006D1D9F">
        <w:rPr>
          <w:rFonts w:cs="Arial"/>
        </w:rPr>
        <w:t xml:space="preserve"> </w:t>
      </w:r>
      <w:r w:rsidR="006709EA" w:rsidRPr="006D1D9F">
        <w:rPr>
          <w:rFonts w:cs="Arial"/>
        </w:rPr>
        <w:t>zhruba stejně jako</w:t>
      </w:r>
      <w:r w:rsidR="00BA7128" w:rsidRPr="006D1D9F">
        <w:rPr>
          <w:rFonts w:cs="Arial"/>
        </w:rPr>
        <w:t xml:space="preserve"> aritmetický průměr</w:t>
      </w:r>
      <w:r w:rsidRPr="006D1D9F">
        <w:rPr>
          <w:rFonts w:cs="Arial"/>
        </w:rPr>
        <w:t>.</w:t>
      </w:r>
    </w:p>
    <w:p w:rsidR="0044776C" w:rsidRPr="006D1D9F" w:rsidRDefault="0044776C" w:rsidP="0044776C">
      <w:pPr>
        <w:rPr>
          <w:rFonts w:cs="Arial"/>
        </w:rPr>
      </w:pPr>
      <w:r w:rsidRPr="006D1D9F">
        <w:rPr>
          <w:rFonts w:cs="Arial"/>
        </w:rPr>
        <w:t xml:space="preserve">Mzdové rozpětí </w:t>
      </w:r>
      <w:r w:rsidR="00F10AB9" w:rsidRPr="006D1D9F">
        <w:rPr>
          <w:rFonts w:cs="Arial"/>
        </w:rPr>
        <w:t xml:space="preserve">zůstalo </w:t>
      </w:r>
      <w:r w:rsidR="00732BA9" w:rsidRPr="006D1D9F">
        <w:rPr>
          <w:rFonts w:cs="Arial"/>
        </w:rPr>
        <w:t>velmi širok</w:t>
      </w:r>
      <w:r w:rsidRPr="006D1D9F">
        <w:rPr>
          <w:rFonts w:cs="Arial"/>
        </w:rPr>
        <w:t>é: 80 % zamě</w:t>
      </w:r>
      <w:r w:rsidR="00561AF8" w:rsidRPr="006D1D9F">
        <w:rPr>
          <w:rFonts w:cs="Arial"/>
        </w:rPr>
        <w:t xml:space="preserve">stnanců pobíralo výdělky mezi </w:t>
      </w:r>
      <w:r w:rsidR="00B52091" w:rsidRPr="006D1D9F">
        <w:rPr>
          <w:rFonts w:cs="Arial"/>
        </w:rPr>
        <w:t>10 198</w:t>
      </w:r>
      <w:r w:rsidRPr="006D1D9F">
        <w:rPr>
          <w:rFonts w:cs="Arial"/>
        </w:rPr>
        <w:t xml:space="preserve"> Kč a </w:t>
      </w:r>
      <w:r w:rsidR="00B52091" w:rsidRPr="006D1D9F">
        <w:rPr>
          <w:rFonts w:cs="Arial"/>
        </w:rPr>
        <w:t>39</w:t>
      </w:r>
      <w:r w:rsidR="00746101" w:rsidRPr="006D1D9F">
        <w:rPr>
          <w:rFonts w:cs="Arial"/>
        </w:rPr>
        <w:t> </w:t>
      </w:r>
      <w:r w:rsidR="00B52091" w:rsidRPr="006D1D9F">
        <w:rPr>
          <w:rFonts w:cs="Arial"/>
        </w:rPr>
        <w:t>890</w:t>
      </w:r>
      <w:r w:rsidR="002440DF" w:rsidRPr="006D1D9F">
        <w:rPr>
          <w:rFonts w:cs="Arial"/>
        </w:rPr>
        <w:t xml:space="preserve"> </w:t>
      </w:r>
      <w:r w:rsidRPr="006D1D9F">
        <w:rPr>
          <w:rFonts w:cs="Arial"/>
        </w:rPr>
        <w:t xml:space="preserve">Kč. Meziroční vývoj ukazuje na </w:t>
      </w:r>
      <w:r w:rsidR="00EB7A15" w:rsidRPr="006D1D9F">
        <w:rPr>
          <w:rFonts w:cs="Arial"/>
        </w:rPr>
        <w:t>vyr</w:t>
      </w:r>
      <w:r w:rsidR="006709EA" w:rsidRPr="006D1D9F">
        <w:rPr>
          <w:rFonts w:cs="Arial"/>
        </w:rPr>
        <w:t xml:space="preserve">ovnaný </w:t>
      </w:r>
      <w:r w:rsidR="00EB7A15" w:rsidRPr="006D1D9F">
        <w:rPr>
          <w:rFonts w:cs="Arial"/>
        </w:rPr>
        <w:t xml:space="preserve">růst </w:t>
      </w:r>
      <w:r w:rsidR="006709EA" w:rsidRPr="006D1D9F">
        <w:rPr>
          <w:rFonts w:cs="Arial"/>
        </w:rPr>
        <w:t xml:space="preserve">ve všech pásmech </w:t>
      </w:r>
      <w:r w:rsidR="00EB7A15" w:rsidRPr="006D1D9F">
        <w:rPr>
          <w:rFonts w:cs="Arial"/>
        </w:rPr>
        <w:t>mezd</w:t>
      </w:r>
      <w:r w:rsidR="006709EA" w:rsidRPr="006D1D9F">
        <w:rPr>
          <w:rFonts w:cs="Arial"/>
        </w:rPr>
        <w:t xml:space="preserve">. </w:t>
      </w:r>
      <w:r w:rsidR="006C483C" w:rsidRPr="006D1D9F">
        <w:rPr>
          <w:rFonts w:cs="Arial"/>
        </w:rPr>
        <w:t xml:space="preserve">Z hlediska pohlaví se </w:t>
      </w:r>
      <w:r w:rsidR="00EB7A15" w:rsidRPr="006D1D9F">
        <w:rPr>
          <w:rFonts w:cs="Arial"/>
        </w:rPr>
        <w:t xml:space="preserve">pak </w:t>
      </w:r>
      <w:r w:rsidR="006C483C" w:rsidRPr="006D1D9F">
        <w:rPr>
          <w:rFonts w:cs="Arial"/>
        </w:rPr>
        <w:t xml:space="preserve">zvýšení mezd projevilo více u </w:t>
      </w:r>
      <w:r w:rsidR="003644A7" w:rsidRPr="006D1D9F">
        <w:rPr>
          <w:rFonts w:cs="Arial"/>
        </w:rPr>
        <w:t>mu</w:t>
      </w:r>
      <w:r w:rsidR="006C483C" w:rsidRPr="006D1D9F">
        <w:rPr>
          <w:rFonts w:cs="Arial"/>
        </w:rPr>
        <w:t>ž</w:t>
      </w:r>
      <w:r w:rsidR="003644A7" w:rsidRPr="006D1D9F">
        <w:rPr>
          <w:rFonts w:cs="Arial"/>
        </w:rPr>
        <w:t>ů</w:t>
      </w:r>
      <w:r w:rsidR="006C483C" w:rsidRPr="006D1D9F">
        <w:rPr>
          <w:rFonts w:cs="Arial"/>
        </w:rPr>
        <w:t>, kte</w:t>
      </w:r>
      <w:r w:rsidR="00D42DF9" w:rsidRPr="006D1D9F">
        <w:rPr>
          <w:rFonts w:cs="Arial"/>
        </w:rPr>
        <w:t>ří</w:t>
      </w:r>
      <w:r w:rsidR="0057323A" w:rsidRPr="006D1D9F">
        <w:rPr>
          <w:rFonts w:cs="Arial"/>
        </w:rPr>
        <w:t xml:space="preserve"> mají </w:t>
      </w:r>
      <w:r w:rsidR="00D42DF9" w:rsidRPr="006D1D9F">
        <w:rPr>
          <w:rFonts w:cs="Arial"/>
        </w:rPr>
        <w:t xml:space="preserve">již tak </w:t>
      </w:r>
      <w:r w:rsidR="00732BA9" w:rsidRPr="006D1D9F">
        <w:rPr>
          <w:rFonts w:cs="Arial"/>
        </w:rPr>
        <w:t xml:space="preserve">značně </w:t>
      </w:r>
      <w:r w:rsidR="00D42DF9" w:rsidRPr="006D1D9F">
        <w:rPr>
          <w:rFonts w:cs="Arial"/>
        </w:rPr>
        <w:t>vyš</w:t>
      </w:r>
      <w:r w:rsidR="0057323A" w:rsidRPr="006D1D9F">
        <w:rPr>
          <w:rFonts w:cs="Arial"/>
        </w:rPr>
        <w:t xml:space="preserve">ší </w:t>
      </w:r>
      <w:r w:rsidR="00EB7A15" w:rsidRPr="006D1D9F">
        <w:rPr>
          <w:rFonts w:cs="Arial"/>
        </w:rPr>
        <w:t>mzdovou</w:t>
      </w:r>
      <w:r w:rsidR="00732BA9" w:rsidRPr="006D1D9F">
        <w:rPr>
          <w:rFonts w:cs="Arial"/>
        </w:rPr>
        <w:t xml:space="preserve"> úroveň: </w:t>
      </w:r>
      <w:r w:rsidR="00EC19DC" w:rsidRPr="006D1D9F">
        <w:rPr>
          <w:rFonts w:cs="Arial"/>
        </w:rPr>
        <w:t>v </w:t>
      </w:r>
      <w:r w:rsidR="006709EA" w:rsidRPr="006D1D9F">
        <w:rPr>
          <w:rFonts w:cs="Arial"/>
        </w:rPr>
        <w:t>1</w:t>
      </w:r>
      <w:r w:rsidR="002B1DE3" w:rsidRPr="006D1D9F">
        <w:rPr>
          <w:rFonts w:cs="Arial"/>
        </w:rPr>
        <w:t>. čtvrtletí 201</w:t>
      </w:r>
      <w:r w:rsidR="006709EA" w:rsidRPr="006D1D9F">
        <w:rPr>
          <w:rFonts w:cs="Arial"/>
        </w:rPr>
        <w:t>5</w:t>
      </w:r>
      <w:r w:rsidR="002B1DE3" w:rsidRPr="006D1D9F">
        <w:rPr>
          <w:rFonts w:cs="Arial"/>
        </w:rPr>
        <w:t xml:space="preserve"> byl </w:t>
      </w:r>
      <w:r w:rsidR="00732BA9" w:rsidRPr="006D1D9F">
        <w:rPr>
          <w:rFonts w:cs="Arial"/>
        </w:rPr>
        <w:t xml:space="preserve">medián </w:t>
      </w:r>
      <w:r w:rsidR="002440DF" w:rsidRPr="006D1D9F">
        <w:rPr>
          <w:rFonts w:cs="Arial"/>
        </w:rPr>
        <w:t xml:space="preserve">mezd </w:t>
      </w:r>
      <w:r w:rsidR="00732BA9" w:rsidRPr="006D1D9F">
        <w:rPr>
          <w:rFonts w:cs="Arial"/>
        </w:rPr>
        <w:t xml:space="preserve">žen </w:t>
      </w:r>
      <w:r w:rsidR="00B52091" w:rsidRPr="006D1D9F">
        <w:rPr>
          <w:rFonts w:cs="Arial"/>
        </w:rPr>
        <w:t>18 998</w:t>
      </w:r>
      <w:r w:rsidR="002B5158" w:rsidRPr="006D1D9F">
        <w:rPr>
          <w:rFonts w:cs="Arial"/>
        </w:rPr>
        <w:t xml:space="preserve"> </w:t>
      </w:r>
      <w:r w:rsidR="00732BA9" w:rsidRPr="006D1D9F">
        <w:rPr>
          <w:rFonts w:cs="Arial"/>
        </w:rPr>
        <w:t xml:space="preserve">Kč, zatímco u mužů byl </w:t>
      </w:r>
      <w:r w:rsidR="00B52091" w:rsidRPr="006D1D9F">
        <w:rPr>
          <w:rFonts w:cs="Arial"/>
        </w:rPr>
        <w:t xml:space="preserve">23 035 </w:t>
      </w:r>
      <w:r w:rsidR="00732BA9" w:rsidRPr="006D1D9F">
        <w:rPr>
          <w:rFonts w:cs="Arial"/>
        </w:rPr>
        <w:t>Kč.</w:t>
      </w:r>
    </w:p>
    <w:p w:rsidR="008A0CBE" w:rsidRPr="006D1D9F" w:rsidRDefault="008A0CBE" w:rsidP="00597D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</w:p>
    <w:p w:rsidR="00660D82" w:rsidRPr="00EC0AFF" w:rsidRDefault="0057323A" w:rsidP="00B521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6D1D9F">
        <w:rPr>
          <w:rFonts w:cs="Arial"/>
          <w:szCs w:val="20"/>
        </w:rPr>
        <w:t>Rů</w:t>
      </w:r>
      <w:r w:rsidR="00597D94" w:rsidRPr="006D1D9F">
        <w:rPr>
          <w:rFonts w:cs="Arial"/>
          <w:szCs w:val="20"/>
        </w:rPr>
        <w:t>s</w:t>
      </w:r>
      <w:r w:rsidRPr="006D1D9F">
        <w:rPr>
          <w:rFonts w:cs="Arial"/>
          <w:szCs w:val="20"/>
        </w:rPr>
        <w:t xml:space="preserve">t průměrné mzdy </w:t>
      </w:r>
      <w:r w:rsidR="00597D94" w:rsidRPr="006D1D9F">
        <w:rPr>
          <w:rFonts w:cs="Arial"/>
          <w:szCs w:val="20"/>
        </w:rPr>
        <w:t xml:space="preserve">se </w:t>
      </w:r>
      <w:r w:rsidR="00E201E0" w:rsidRPr="006D1D9F">
        <w:rPr>
          <w:rFonts w:cs="Arial"/>
          <w:szCs w:val="20"/>
        </w:rPr>
        <w:t xml:space="preserve">v </w:t>
      </w:r>
      <w:r w:rsidR="006709EA" w:rsidRPr="006D1D9F">
        <w:rPr>
          <w:rFonts w:cs="Arial"/>
          <w:szCs w:val="20"/>
        </w:rPr>
        <w:t>1</w:t>
      </w:r>
      <w:r w:rsidR="00E201E0" w:rsidRPr="006D1D9F">
        <w:rPr>
          <w:rFonts w:cs="Arial"/>
          <w:szCs w:val="20"/>
        </w:rPr>
        <w:t>. čtvrtletí 201</w:t>
      </w:r>
      <w:r w:rsidR="006709EA" w:rsidRPr="006D1D9F">
        <w:rPr>
          <w:rFonts w:cs="Arial"/>
          <w:szCs w:val="20"/>
        </w:rPr>
        <w:t>5</w:t>
      </w:r>
      <w:r w:rsidR="00E201E0" w:rsidRPr="006D1D9F">
        <w:rPr>
          <w:rFonts w:cs="Arial"/>
          <w:szCs w:val="20"/>
        </w:rPr>
        <w:t xml:space="preserve"> </w:t>
      </w:r>
      <w:r w:rsidR="00597D94" w:rsidRPr="006D1D9F">
        <w:rPr>
          <w:rFonts w:cs="Arial"/>
          <w:szCs w:val="20"/>
        </w:rPr>
        <w:t>nejvýrazněji projevil v</w:t>
      </w:r>
      <w:r w:rsidR="006709EA" w:rsidRPr="006D1D9F">
        <w:rPr>
          <w:rFonts w:cs="Arial"/>
          <w:szCs w:val="20"/>
        </w:rPr>
        <w:t xml:space="preserve"> Libereckém </w:t>
      </w:r>
      <w:r w:rsidR="00E201E0" w:rsidRPr="006D1D9F">
        <w:rPr>
          <w:rFonts w:cs="Arial"/>
          <w:szCs w:val="20"/>
        </w:rPr>
        <w:t xml:space="preserve">kraji </w:t>
      </w:r>
      <w:r w:rsidR="0080352E" w:rsidRPr="006D1D9F">
        <w:rPr>
          <w:rFonts w:cs="Arial"/>
          <w:szCs w:val="20"/>
        </w:rPr>
        <w:t>(</w:t>
      </w:r>
      <w:r w:rsidR="006709EA" w:rsidRPr="006D1D9F">
        <w:rPr>
          <w:rFonts w:cs="Arial"/>
          <w:szCs w:val="20"/>
        </w:rPr>
        <w:t>3,2</w:t>
      </w:r>
      <w:r w:rsidR="0080352E" w:rsidRPr="006D1D9F">
        <w:rPr>
          <w:rFonts w:cs="Arial"/>
          <w:szCs w:val="20"/>
        </w:rPr>
        <w:t> %)</w:t>
      </w:r>
      <w:r w:rsidR="002B5209" w:rsidRPr="006D1D9F">
        <w:rPr>
          <w:rFonts w:cs="Arial"/>
          <w:szCs w:val="20"/>
        </w:rPr>
        <w:t xml:space="preserve"> a</w:t>
      </w:r>
      <w:r w:rsidR="00EC0AFF" w:rsidRPr="006D1D9F">
        <w:rPr>
          <w:rFonts w:cs="Arial"/>
          <w:szCs w:val="20"/>
        </w:rPr>
        <w:t xml:space="preserve"> </w:t>
      </w:r>
      <w:r w:rsidR="00785EB3" w:rsidRPr="006D1D9F">
        <w:rPr>
          <w:rFonts w:cs="Arial"/>
          <w:szCs w:val="20"/>
        </w:rPr>
        <w:t>v Kraji</w:t>
      </w:r>
      <w:r w:rsidR="00EC0AFF" w:rsidRPr="006D1D9F">
        <w:rPr>
          <w:rFonts w:cs="Arial"/>
          <w:szCs w:val="20"/>
        </w:rPr>
        <w:t xml:space="preserve"> Vysočin</w:t>
      </w:r>
      <w:r w:rsidR="00785EB3" w:rsidRPr="006D1D9F">
        <w:rPr>
          <w:rFonts w:cs="Arial"/>
          <w:szCs w:val="20"/>
        </w:rPr>
        <w:t>a (3,1 %).</w:t>
      </w:r>
      <w:r w:rsidR="00EC0AFF" w:rsidRPr="006D1D9F">
        <w:rPr>
          <w:rFonts w:cs="Arial"/>
          <w:szCs w:val="20"/>
        </w:rPr>
        <w:t xml:space="preserve"> N</w:t>
      </w:r>
      <w:r w:rsidR="0080352E" w:rsidRPr="006D1D9F">
        <w:rPr>
          <w:rFonts w:cs="Arial"/>
          <w:szCs w:val="20"/>
        </w:rPr>
        <w:t>aopak</w:t>
      </w:r>
      <w:r w:rsidR="00597D94" w:rsidRPr="006D1D9F">
        <w:rPr>
          <w:rFonts w:cs="Arial"/>
          <w:szCs w:val="20"/>
        </w:rPr>
        <w:t> </w:t>
      </w:r>
      <w:r w:rsidR="0080352E" w:rsidRPr="006D1D9F">
        <w:rPr>
          <w:rFonts w:cs="Arial"/>
          <w:szCs w:val="20"/>
        </w:rPr>
        <w:t xml:space="preserve">v </w:t>
      </w:r>
      <w:r w:rsidRPr="006D1D9F">
        <w:rPr>
          <w:rFonts w:cs="Arial"/>
          <w:szCs w:val="20"/>
        </w:rPr>
        <w:t>hlavním městě</w:t>
      </w:r>
      <w:r w:rsidR="0080352E" w:rsidRPr="006D1D9F">
        <w:rPr>
          <w:rFonts w:cs="Arial"/>
          <w:szCs w:val="20"/>
        </w:rPr>
        <w:t xml:space="preserve"> byl </w:t>
      </w:r>
      <w:r w:rsidR="002B5209" w:rsidRPr="006D1D9F">
        <w:rPr>
          <w:rFonts w:cs="Arial"/>
          <w:szCs w:val="20"/>
        </w:rPr>
        <w:t xml:space="preserve">růst </w:t>
      </w:r>
      <w:r w:rsidR="0080352E" w:rsidRPr="006D1D9F">
        <w:rPr>
          <w:rFonts w:cs="Arial"/>
          <w:szCs w:val="20"/>
        </w:rPr>
        <w:t>opětovně nejnižší</w:t>
      </w:r>
      <w:r w:rsidRPr="006D1D9F">
        <w:rPr>
          <w:rFonts w:cs="Arial"/>
          <w:szCs w:val="20"/>
        </w:rPr>
        <w:t xml:space="preserve"> (</w:t>
      </w:r>
      <w:r w:rsidR="00EC0AFF" w:rsidRPr="006D1D9F">
        <w:rPr>
          <w:rFonts w:cs="Arial"/>
          <w:szCs w:val="20"/>
        </w:rPr>
        <w:t>1,1</w:t>
      </w:r>
      <w:r w:rsidR="00E201E0" w:rsidRPr="006D1D9F">
        <w:rPr>
          <w:rFonts w:cs="Arial"/>
          <w:szCs w:val="20"/>
        </w:rPr>
        <w:t> </w:t>
      </w:r>
      <w:r w:rsidR="0080352E" w:rsidRPr="006D1D9F">
        <w:rPr>
          <w:rFonts w:cs="Arial"/>
          <w:szCs w:val="20"/>
        </w:rPr>
        <w:t>%</w:t>
      </w:r>
      <w:r w:rsidR="00226882" w:rsidRPr="006D1D9F">
        <w:rPr>
          <w:rFonts w:cs="Arial"/>
          <w:szCs w:val="20"/>
        </w:rPr>
        <w:t>).</w:t>
      </w:r>
      <w:r w:rsidR="00597D94" w:rsidRPr="006D1D9F">
        <w:rPr>
          <w:rFonts w:cs="Arial"/>
          <w:szCs w:val="20"/>
        </w:rPr>
        <w:t xml:space="preserve"> </w:t>
      </w:r>
      <w:r w:rsidR="00226882" w:rsidRPr="006D1D9F">
        <w:rPr>
          <w:rFonts w:cs="Arial"/>
          <w:szCs w:val="20"/>
        </w:rPr>
        <w:t>V</w:t>
      </w:r>
      <w:r w:rsidR="00E201E0" w:rsidRPr="006D1D9F">
        <w:rPr>
          <w:rFonts w:cs="Arial"/>
          <w:szCs w:val="20"/>
        </w:rPr>
        <w:t xml:space="preserve"> j</w:t>
      </w:r>
      <w:r w:rsidR="0080352E" w:rsidRPr="006D1D9F">
        <w:rPr>
          <w:rFonts w:cs="Arial"/>
          <w:szCs w:val="20"/>
        </w:rPr>
        <w:t>e</w:t>
      </w:r>
      <w:r w:rsidR="00E201E0" w:rsidRPr="006D1D9F">
        <w:rPr>
          <w:rFonts w:cs="Arial"/>
          <w:szCs w:val="20"/>
        </w:rPr>
        <w:t>diném</w:t>
      </w:r>
      <w:r w:rsidR="00526868" w:rsidRPr="006D1D9F">
        <w:rPr>
          <w:rFonts w:cs="Arial"/>
          <w:szCs w:val="20"/>
        </w:rPr>
        <w:t xml:space="preserve"> regionu</w:t>
      </w:r>
      <w:r w:rsidR="0080352E" w:rsidRPr="006D1D9F">
        <w:rPr>
          <w:rFonts w:cs="Arial"/>
          <w:szCs w:val="20"/>
        </w:rPr>
        <w:t xml:space="preserve"> došlo k úbytku počtu</w:t>
      </w:r>
      <w:bookmarkStart w:id="0" w:name="_GoBack"/>
      <w:bookmarkEnd w:id="0"/>
      <w:r w:rsidR="0080352E" w:rsidRPr="00F9157D">
        <w:rPr>
          <w:rFonts w:cs="Arial"/>
          <w:szCs w:val="20"/>
        </w:rPr>
        <w:t xml:space="preserve"> zaměstnanců –</w:t>
      </w:r>
      <w:r w:rsidR="00597D94" w:rsidRPr="00F9157D">
        <w:rPr>
          <w:rFonts w:cs="Arial"/>
          <w:szCs w:val="20"/>
        </w:rPr>
        <w:t xml:space="preserve"> </w:t>
      </w:r>
      <w:r w:rsidR="0080352E" w:rsidRPr="00F9157D">
        <w:rPr>
          <w:rFonts w:cs="Arial"/>
          <w:szCs w:val="20"/>
        </w:rPr>
        <w:t>v</w:t>
      </w:r>
      <w:r w:rsidR="00526868" w:rsidRPr="00F9157D">
        <w:rPr>
          <w:rFonts w:cs="Arial"/>
          <w:szCs w:val="20"/>
        </w:rPr>
        <w:t> </w:t>
      </w:r>
      <w:r w:rsidR="0080352E" w:rsidRPr="00F9157D">
        <w:rPr>
          <w:rFonts w:cs="Arial"/>
          <w:szCs w:val="20"/>
        </w:rPr>
        <w:t>Karlovarském</w:t>
      </w:r>
      <w:r w:rsidR="00526868" w:rsidRPr="00F9157D">
        <w:rPr>
          <w:rFonts w:cs="Arial"/>
          <w:szCs w:val="20"/>
        </w:rPr>
        <w:t xml:space="preserve"> kraji</w:t>
      </w:r>
      <w:r w:rsidR="0080352E" w:rsidRPr="00F9157D">
        <w:rPr>
          <w:rFonts w:cs="Arial"/>
          <w:szCs w:val="20"/>
        </w:rPr>
        <w:t xml:space="preserve"> (-0,</w:t>
      </w:r>
      <w:r w:rsidR="00EC0AFF" w:rsidRPr="00F9157D">
        <w:rPr>
          <w:rFonts w:cs="Arial"/>
          <w:szCs w:val="20"/>
        </w:rPr>
        <w:t>1</w:t>
      </w:r>
      <w:r w:rsidR="0080352E" w:rsidRPr="00F9157D">
        <w:rPr>
          <w:rFonts w:cs="Arial"/>
          <w:szCs w:val="20"/>
        </w:rPr>
        <w:t xml:space="preserve"> %), </w:t>
      </w:r>
      <w:r w:rsidR="00E201E0" w:rsidRPr="00F9157D">
        <w:rPr>
          <w:rFonts w:cs="Arial"/>
          <w:szCs w:val="20"/>
        </w:rPr>
        <w:t>v ostatních počty zaměstnanců rostly, nejvýrazněji v </w:t>
      </w:r>
      <w:r w:rsidR="00EC0AFF" w:rsidRPr="00F9157D">
        <w:rPr>
          <w:rFonts w:cs="Arial"/>
          <w:szCs w:val="20"/>
        </w:rPr>
        <w:t>Olomouckém kraji (3,1 %), dále v Pardubickém</w:t>
      </w:r>
      <w:r w:rsidR="00EC0AFF">
        <w:rPr>
          <w:rFonts w:cs="Arial"/>
          <w:szCs w:val="20"/>
        </w:rPr>
        <w:t xml:space="preserve"> kraji a</w:t>
      </w:r>
      <w:r w:rsidR="00EC0AFF" w:rsidRPr="00EC0AFF">
        <w:rPr>
          <w:rFonts w:cs="Arial"/>
          <w:szCs w:val="20"/>
        </w:rPr>
        <w:t xml:space="preserve"> </w:t>
      </w:r>
      <w:r w:rsidR="00E201E0" w:rsidRPr="00EC0AFF">
        <w:rPr>
          <w:rFonts w:cs="Arial"/>
          <w:szCs w:val="20"/>
        </w:rPr>
        <w:t xml:space="preserve">Praze </w:t>
      </w:r>
      <w:r w:rsidR="0080352E" w:rsidRPr="00EC0AFF">
        <w:rPr>
          <w:rFonts w:cs="Arial"/>
          <w:szCs w:val="20"/>
        </w:rPr>
        <w:t>(</w:t>
      </w:r>
      <w:r w:rsidR="00E201E0" w:rsidRPr="00EC0AFF">
        <w:rPr>
          <w:rFonts w:cs="Arial"/>
          <w:szCs w:val="20"/>
        </w:rPr>
        <w:t xml:space="preserve">shodně o </w:t>
      </w:r>
      <w:r w:rsidR="00EC0AFF">
        <w:rPr>
          <w:rFonts w:cs="Arial"/>
          <w:szCs w:val="20"/>
        </w:rPr>
        <w:t>2,6</w:t>
      </w:r>
      <w:r w:rsidR="0080352E" w:rsidRPr="00EC0AFF">
        <w:rPr>
          <w:rFonts w:cs="Arial"/>
          <w:szCs w:val="20"/>
        </w:rPr>
        <w:t> %)</w:t>
      </w:r>
      <w:r w:rsidR="00597D94" w:rsidRPr="00EC0AFF">
        <w:rPr>
          <w:rFonts w:cs="Arial"/>
          <w:szCs w:val="20"/>
        </w:rPr>
        <w:t>.</w:t>
      </w:r>
    </w:p>
    <w:p w:rsidR="008D64D5" w:rsidRPr="000571A0" w:rsidRDefault="008D64D5" w:rsidP="008D64D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:rsidR="008D64D5" w:rsidRPr="000571A0" w:rsidRDefault="008D64D5" w:rsidP="008D64D5">
      <w:pPr>
        <w:rPr>
          <w:b/>
        </w:rPr>
      </w:pPr>
      <w:r>
        <w:rPr>
          <w:b/>
        </w:rPr>
        <w:t xml:space="preserve">Autor: </w:t>
      </w:r>
      <w:r w:rsidRPr="000571A0">
        <w:rPr>
          <w:b/>
        </w:rPr>
        <w:t>Dalibor Holý</w:t>
      </w:r>
    </w:p>
    <w:p w:rsidR="008D64D5" w:rsidRDefault="008D64D5" w:rsidP="008D64D5">
      <w:r w:rsidRPr="000571A0">
        <w:t>Odbor statistiky trhu práce a rovných příležitostí ČSÚ</w:t>
      </w:r>
    </w:p>
    <w:p w:rsidR="008D64D5" w:rsidRDefault="008D64D5" w:rsidP="008D64D5">
      <w:r>
        <w:t>Tel.: +420 274 052 694</w:t>
      </w:r>
    </w:p>
    <w:p w:rsidR="004920AD" w:rsidRDefault="008D64D5" w:rsidP="00E42E00">
      <w:r>
        <w:t xml:space="preserve">E-mail: </w:t>
      </w:r>
      <w:hyperlink r:id="rId10" w:history="1">
        <w:r w:rsidRPr="00B23010">
          <w:rPr>
            <w:rStyle w:val="Hypertextovodkaz"/>
          </w:rPr>
          <w:t>dalibor.holy@czso.cz</w:t>
        </w:r>
      </w:hyperlink>
    </w:p>
    <w:sectPr w:rsidR="004920A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DA" w:rsidRDefault="009667DA" w:rsidP="00BA6370">
      <w:r>
        <w:separator/>
      </w:r>
    </w:p>
  </w:endnote>
  <w:endnote w:type="continuationSeparator" w:id="0">
    <w:p w:rsidR="009667DA" w:rsidRDefault="009667D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49" w:rsidRDefault="009667DA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667C49" w:rsidRPr="001404AB" w:rsidRDefault="00667C4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667C49" w:rsidRPr="00A81EB3" w:rsidRDefault="00667C4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9F61DA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F61DA" w:rsidRPr="004E479E">
                  <w:rPr>
                    <w:rFonts w:cs="Arial"/>
                    <w:szCs w:val="15"/>
                  </w:rPr>
                  <w:fldChar w:fldCharType="separate"/>
                </w:r>
                <w:r w:rsidR="006D1D9F">
                  <w:rPr>
                    <w:rFonts w:cs="Arial"/>
                    <w:noProof/>
                    <w:szCs w:val="15"/>
                  </w:rPr>
                  <w:t>3</w:t>
                </w:r>
                <w:r w:rsidR="009F61D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DA" w:rsidRDefault="009667DA" w:rsidP="00BA6370">
      <w:r>
        <w:separator/>
      </w:r>
    </w:p>
  </w:footnote>
  <w:footnote w:type="continuationSeparator" w:id="0">
    <w:p w:rsidR="009667DA" w:rsidRDefault="009667D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49" w:rsidRDefault="009667DA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0" style="position:absolute;left:2394;top:2129;width:187;height:186" coordsize="373,374" path="m,l97,,276,229,276,r97,l373,374r-97,l97,146r,228l,374,,xe" stroked="f">
            <v:path arrowok="t"/>
          </v:shape>
          <v:shape id="_x0000_s2061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2" style="position:absolute;left:2820;top:2129;width:106;height:186" coordsize="213,374" path="m97,292r116,l213,374,,374,,,97,r,292xe" stroked="f">
            <v:path arrowok="t"/>
          </v:shape>
          <v:shape id="_x0000_s2063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4" style="position:absolute;left:3099;top:2129;width:170;height:186" coordsize="340,374" path="m320,292r,82l,374,177,82,30,82,30,,340,,163,292r157,xe" stroked="f">
            <v:path arrowok="t"/>
          </v:shape>
          <v:shape id="_x0000_s2065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6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82E93"/>
    <w:multiLevelType w:val="hybridMultilevel"/>
    <w:tmpl w:val="4CD02534"/>
    <w:lvl w:ilvl="0" w:tplc="0D4EBB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6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A52"/>
    <w:rsid w:val="000023A2"/>
    <w:rsid w:val="0001230E"/>
    <w:rsid w:val="00017CF9"/>
    <w:rsid w:val="00043BF4"/>
    <w:rsid w:val="00043D04"/>
    <w:rsid w:val="000444C1"/>
    <w:rsid w:val="00071D13"/>
    <w:rsid w:val="000843A5"/>
    <w:rsid w:val="000875D9"/>
    <w:rsid w:val="000B6F63"/>
    <w:rsid w:val="000C7383"/>
    <w:rsid w:val="000D06C2"/>
    <w:rsid w:val="000E14DC"/>
    <w:rsid w:val="000E543B"/>
    <w:rsid w:val="000F5B28"/>
    <w:rsid w:val="000F6696"/>
    <w:rsid w:val="00127216"/>
    <w:rsid w:val="00130843"/>
    <w:rsid w:val="001404AB"/>
    <w:rsid w:val="001658A9"/>
    <w:rsid w:val="0017231D"/>
    <w:rsid w:val="00175ABA"/>
    <w:rsid w:val="001810DC"/>
    <w:rsid w:val="00196FFD"/>
    <w:rsid w:val="00197AC3"/>
    <w:rsid w:val="001A4C67"/>
    <w:rsid w:val="001A59BF"/>
    <w:rsid w:val="001B3AFC"/>
    <w:rsid w:val="001B607F"/>
    <w:rsid w:val="001C2475"/>
    <w:rsid w:val="001D069B"/>
    <w:rsid w:val="001D369A"/>
    <w:rsid w:val="001D7F13"/>
    <w:rsid w:val="001E0070"/>
    <w:rsid w:val="001E3027"/>
    <w:rsid w:val="001E7BCD"/>
    <w:rsid w:val="001F6C45"/>
    <w:rsid w:val="0020001B"/>
    <w:rsid w:val="002070FB"/>
    <w:rsid w:val="00213729"/>
    <w:rsid w:val="00213807"/>
    <w:rsid w:val="00226882"/>
    <w:rsid w:val="002406FA"/>
    <w:rsid w:val="002440DF"/>
    <w:rsid w:val="00275715"/>
    <w:rsid w:val="00281C96"/>
    <w:rsid w:val="0028769A"/>
    <w:rsid w:val="002A709E"/>
    <w:rsid w:val="002B1DE3"/>
    <w:rsid w:val="002B2E47"/>
    <w:rsid w:val="002B3B74"/>
    <w:rsid w:val="002B5158"/>
    <w:rsid w:val="002B5209"/>
    <w:rsid w:val="002C6A52"/>
    <w:rsid w:val="002D0755"/>
    <w:rsid w:val="002D6585"/>
    <w:rsid w:val="002D6A6C"/>
    <w:rsid w:val="002E5F6A"/>
    <w:rsid w:val="002E6EC7"/>
    <w:rsid w:val="002F10E8"/>
    <w:rsid w:val="002F2BCA"/>
    <w:rsid w:val="002F3301"/>
    <w:rsid w:val="00305FFE"/>
    <w:rsid w:val="00310582"/>
    <w:rsid w:val="00315A60"/>
    <w:rsid w:val="00316F63"/>
    <w:rsid w:val="003301A3"/>
    <w:rsid w:val="003431EF"/>
    <w:rsid w:val="00343904"/>
    <w:rsid w:val="00344CE5"/>
    <w:rsid w:val="0034777A"/>
    <w:rsid w:val="00354063"/>
    <w:rsid w:val="00354208"/>
    <w:rsid w:val="003635B9"/>
    <w:rsid w:val="003644A7"/>
    <w:rsid w:val="0036777B"/>
    <w:rsid w:val="00375415"/>
    <w:rsid w:val="0038282A"/>
    <w:rsid w:val="00392521"/>
    <w:rsid w:val="00394BC0"/>
    <w:rsid w:val="00397580"/>
    <w:rsid w:val="003A1794"/>
    <w:rsid w:val="003A45C8"/>
    <w:rsid w:val="003B25AE"/>
    <w:rsid w:val="003B2C6B"/>
    <w:rsid w:val="003C2DCF"/>
    <w:rsid w:val="003C47AB"/>
    <w:rsid w:val="003C5993"/>
    <w:rsid w:val="003C7FE7"/>
    <w:rsid w:val="003D0499"/>
    <w:rsid w:val="003D0E08"/>
    <w:rsid w:val="003D266B"/>
    <w:rsid w:val="003E0352"/>
    <w:rsid w:val="003F2C91"/>
    <w:rsid w:val="003F526A"/>
    <w:rsid w:val="00405244"/>
    <w:rsid w:val="004076BD"/>
    <w:rsid w:val="004077F7"/>
    <w:rsid w:val="004259F8"/>
    <w:rsid w:val="00426325"/>
    <w:rsid w:val="004328B0"/>
    <w:rsid w:val="00435609"/>
    <w:rsid w:val="004436EE"/>
    <w:rsid w:val="0044776C"/>
    <w:rsid w:val="00452FF9"/>
    <w:rsid w:val="0045547F"/>
    <w:rsid w:val="00461AA0"/>
    <w:rsid w:val="00466CD5"/>
    <w:rsid w:val="00481A09"/>
    <w:rsid w:val="004920AD"/>
    <w:rsid w:val="00494D0D"/>
    <w:rsid w:val="004A2A7F"/>
    <w:rsid w:val="004A5294"/>
    <w:rsid w:val="004B1959"/>
    <w:rsid w:val="004B3428"/>
    <w:rsid w:val="004D05B3"/>
    <w:rsid w:val="004E479E"/>
    <w:rsid w:val="004F08ED"/>
    <w:rsid w:val="004F78E6"/>
    <w:rsid w:val="00505978"/>
    <w:rsid w:val="005115EA"/>
    <w:rsid w:val="00512D99"/>
    <w:rsid w:val="00525AA7"/>
    <w:rsid w:val="00526868"/>
    <w:rsid w:val="00531DBB"/>
    <w:rsid w:val="005320B3"/>
    <w:rsid w:val="005364F2"/>
    <w:rsid w:val="00536EA6"/>
    <w:rsid w:val="00553DAA"/>
    <w:rsid w:val="00561AF8"/>
    <w:rsid w:val="005646B3"/>
    <w:rsid w:val="0057323A"/>
    <w:rsid w:val="00583247"/>
    <w:rsid w:val="00585DA5"/>
    <w:rsid w:val="005946B6"/>
    <w:rsid w:val="00597D94"/>
    <w:rsid w:val="005A360B"/>
    <w:rsid w:val="005B6DA8"/>
    <w:rsid w:val="005B7296"/>
    <w:rsid w:val="005C293E"/>
    <w:rsid w:val="005C7E7B"/>
    <w:rsid w:val="005D31A6"/>
    <w:rsid w:val="005E591E"/>
    <w:rsid w:val="005F4DBD"/>
    <w:rsid w:val="005F699D"/>
    <w:rsid w:val="005F6AAE"/>
    <w:rsid w:val="005F79FB"/>
    <w:rsid w:val="00600387"/>
    <w:rsid w:val="00604406"/>
    <w:rsid w:val="00605F4A"/>
    <w:rsid w:val="00607822"/>
    <w:rsid w:val="006103AA"/>
    <w:rsid w:val="006106C5"/>
    <w:rsid w:val="00610EF9"/>
    <w:rsid w:val="00612831"/>
    <w:rsid w:val="00613BBF"/>
    <w:rsid w:val="00616B30"/>
    <w:rsid w:val="00617AAB"/>
    <w:rsid w:val="00622B80"/>
    <w:rsid w:val="00623E4D"/>
    <w:rsid w:val="0064139A"/>
    <w:rsid w:val="00642E3F"/>
    <w:rsid w:val="00644D03"/>
    <w:rsid w:val="0066005E"/>
    <w:rsid w:val="00660D82"/>
    <w:rsid w:val="00660ED1"/>
    <w:rsid w:val="006667D4"/>
    <w:rsid w:val="00667C49"/>
    <w:rsid w:val="006709EA"/>
    <w:rsid w:val="006755C4"/>
    <w:rsid w:val="00680E55"/>
    <w:rsid w:val="0068103D"/>
    <w:rsid w:val="006A0AB9"/>
    <w:rsid w:val="006A0DCE"/>
    <w:rsid w:val="006B0631"/>
    <w:rsid w:val="006C09DD"/>
    <w:rsid w:val="006C483C"/>
    <w:rsid w:val="006D1D9F"/>
    <w:rsid w:val="006D2106"/>
    <w:rsid w:val="006D5AAF"/>
    <w:rsid w:val="006D6956"/>
    <w:rsid w:val="006E024F"/>
    <w:rsid w:val="006E363A"/>
    <w:rsid w:val="006E4E81"/>
    <w:rsid w:val="006F40A1"/>
    <w:rsid w:val="00707F7D"/>
    <w:rsid w:val="00717EC5"/>
    <w:rsid w:val="00725389"/>
    <w:rsid w:val="00732BA9"/>
    <w:rsid w:val="00735ED5"/>
    <w:rsid w:val="00737B80"/>
    <w:rsid w:val="0074422C"/>
    <w:rsid w:val="00746101"/>
    <w:rsid w:val="0074747B"/>
    <w:rsid w:val="00755D52"/>
    <w:rsid w:val="00760C2B"/>
    <w:rsid w:val="00761B14"/>
    <w:rsid w:val="0077546F"/>
    <w:rsid w:val="00780806"/>
    <w:rsid w:val="00785EB3"/>
    <w:rsid w:val="00790715"/>
    <w:rsid w:val="00793986"/>
    <w:rsid w:val="007947B7"/>
    <w:rsid w:val="007A57F2"/>
    <w:rsid w:val="007B1333"/>
    <w:rsid w:val="007C5618"/>
    <w:rsid w:val="007E23A3"/>
    <w:rsid w:val="007E3CEA"/>
    <w:rsid w:val="007F4AEB"/>
    <w:rsid w:val="007F75B2"/>
    <w:rsid w:val="0080352E"/>
    <w:rsid w:val="00803BD8"/>
    <w:rsid w:val="008043C4"/>
    <w:rsid w:val="0081294B"/>
    <w:rsid w:val="00815588"/>
    <w:rsid w:val="00822818"/>
    <w:rsid w:val="00830309"/>
    <w:rsid w:val="00831266"/>
    <w:rsid w:val="00831B1B"/>
    <w:rsid w:val="00834107"/>
    <w:rsid w:val="0084781A"/>
    <w:rsid w:val="00847914"/>
    <w:rsid w:val="008524F5"/>
    <w:rsid w:val="00861D0E"/>
    <w:rsid w:val="008622CE"/>
    <w:rsid w:val="008653A6"/>
    <w:rsid w:val="00867569"/>
    <w:rsid w:val="008A0CBE"/>
    <w:rsid w:val="008A18A9"/>
    <w:rsid w:val="008A4EE7"/>
    <w:rsid w:val="008A750A"/>
    <w:rsid w:val="008C384C"/>
    <w:rsid w:val="008C455A"/>
    <w:rsid w:val="008D0F11"/>
    <w:rsid w:val="008D64D5"/>
    <w:rsid w:val="008D7914"/>
    <w:rsid w:val="008E3420"/>
    <w:rsid w:val="008E56BB"/>
    <w:rsid w:val="008E641A"/>
    <w:rsid w:val="008E74FF"/>
    <w:rsid w:val="008F73B4"/>
    <w:rsid w:val="00904008"/>
    <w:rsid w:val="0090741A"/>
    <w:rsid w:val="00914356"/>
    <w:rsid w:val="00914F3E"/>
    <w:rsid w:val="009154A7"/>
    <w:rsid w:val="00924430"/>
    <w:rsid w:val="00931A52"/>
    <w:rsid w:val="009327D5"/>
    <w:rsid w:val="00935017"/>
    <w:rsid w:val="00961A91"/>
    <w:rsid w:val="00965B07"/>
    <w:rsid w:val="009667DA"/>
    <w:rsid w:val="00967F05"/>
    <w:rsid w:val="00983FA1"/>
    <w:rsid w:val="00985041"/>
    <w:rsid w:val="00985B68"/>
    <w:rsid w:val="009910A5"/>
    <w:rsid w:val="009A4CB3"/>
    <w:rsid w:val="009B55B1"/>
    <w:rsid w:val="009D2873"/>
    <w:rsid w:val="009E67B3"/>
    <w:rsid w:val="009E6C96"/>
    <w:rsid w:val="009F01BA"/>
    <w:rsid w:val="009F3905"/>
    <w:rsid w:val="009F61DA"/>
    <w:rsid w:val="00A03FEB"/>
    <w:rsid w:val="00A22B58"/>
    <w:rsid w:val="00A27CF0"/>
    <w:rsid w:val="00A37C91"/>
    <w:rsid w:val="00A4320B"/>
    <w:rsid w:val="00A4343D"/>
    <w:rsid w:val="00A502F1"/>
    <w:rsid w:val="00A56C80"/>
    <w:rsid w:val="00A62595"/>
    <w:rsid w:val="00A6511D"/>
    <w:rsid w:val="00A65DE7"/>
    <w:rsid w:val="00A70A83"/>
    <w:rsid w:val="00A70AE0"/>
    <w:rsid w:val="00A76E18"/>
    <w:rsid w:val="00A77599"/>
    <w:rsid w:val="00A81EB3"/>
    <w:rsid w:val="00A856E6"/>
    <w:rsid w:val="00A94F19"/>
    <w:rsid w:val="00AA510B"/>
    <w:rsid w:val="00AB6D88"/>
    <w:rsid w:val="00AC1FB6"/>
    <w:rsid w:val="00AC3B80"/>
    <w:rsid w:val="00AD39EC"/>
    <w:rsid w:val="00AF7F58"/>
    <w:rsid w:val="00B00C1D"/>
    <w:rsid w:val="00B25B8D"/>
    <w:rsid w:val="00B33194"/>
    <w:rsid w:val="00B3324F"/>
    <w:rsid w:val="00B52091"/>
    <w:rsid w:val="00B5212F"/>
    <w:rsid w:val="00B52FE5"/>
    <w:rsid w:val="00B53759"/>
    <w:rsid w:val="00B547FD"/>
    <w:rsid w:val="00B62013"/>
    <w:rsid w:val="00B7459E"/>
    <w:rsid w:val="00B75FEA"/>
    <w:rsid w:val="00B865CC"/>
    <w:rsid w:val="00BA439F"/>
    <w:rsid w:val="00BA6370"/>
    <w:rsid w:val="00BA7128"/>
    <w:rsid w:val="00BB1CD1"/>
    <w:rsid w:val="00BB6871"/>
    <w:rsid w:val="00BC085B"/>
    <w:rsid w:val="00BC748B"/>
    <w:rsid w:val="00BD1325"/>
    <w:rsid w:val="00BD7510"/>
    <w:rsid w:val="00BE09BC"/>
    <w:rsid w:val="00BE180D"/>
    <w:rsid w:val="00C1170C"/>
    <w:rsid w:val="00C13945"/>
    <w:rsid w:val="00C21159"/>
    <w:rsid w:val="00C21223"/>
    <w:rsid w:val="00C269D4"/>
    <w:rsid w:val="00C3730B"/>
    <w:rsid w:val="00C406F8"/>
    <w:rsid w:val="00C4160D"/>
    <w:rsid w:val="00C41847"/>
    <w:rsid w:val="00C42E17"/>
    <w:rsid w:val="00C519B5"/>
    <w:rsid w:val="00C56F03"/>
    <w:rsid w:val="00C644F5"/>
    <w:rsid w:val="00C83826"/>
    <w:rsid w:val="00C8406E"/>
    <w:rsid w:val="00CA5282"/>
    <w:rsid w:val="00CB26B4"/>
    <w:rsid w:val="00CB2709"/>
    <w:rsid w:val="00CB6F89"/>
    <w:rsid w:val="00CD2018"/>
    <w:rsid w:val="00CD3B6C"/>
    <w:rsid w:val="00CE0524"/>
    <w:rsid w:val="00CE228C"/>
    <w:rsid w:val="00CE470D"/>
    <w:rsid w:val="00CF545B"/>
    <w:rsid w:val="00D000EC"/>
    <w:rsid w:val="00D0517A"/>
    <w:rsid w:val="00D11341"/>
    <w:rsid w:val="00D27D69"/>
    <w:rsid w:val="00D4070B"/>
    <w:rsid w:val="00D42DF9"/>
    <w:rsid w:val="00D448C2"/>
    <w:rsid w:val="00D44C13"/>
    <w:rsid w:val="00D45B86"/>
    <w:rsid w:val="00D50A88"/>
    <w:rsid w:val="00D50AE7"/>
    <w:rsid w:val="00D666C3"/>
    <w:rsid w:val="00D74F9D"/>
    <w:rsid w:val="00D82DEF"/>
    <w:rsid w:val="00D85762"/>
    <w:rsid w:val="00D85E43"/>
    <w:rsid w:val="00DA2E47"/>
    <w:rsid w:val="00DA3C0A"/>
    <w:rsid w:val="00DA4030"/>
    <w:rsid w:val="00DC129D"/>
    <w:rsid w:val="00DD042D"/>
    <w:rsid w:val="00DD1463"/>
    <w:rsid w:val="00DD1EAE"/>
    <w:rsid w:val="00DD2E69"/>
    <w:rsid w:val="00DD45FA"/>
    <w:rsid w:val="00DE1B11"/>
    <w:rsid w:val="00DE2FB2"/>
    <w:rsid w:val="00DF154B"/>
    <w:rsid w:val="00DF47FE"/>
    <w:rsid w:val="00DF7079"/>
    <w:rsid w:val="00E057D6"/>
    <w:rsid w:val="00E201E0"/>
    <w:rsid w:val="00E2446F"/>
    <w:rsid w:val="00E26704"/>
    <w:rsid w:val="00E3183F"/>
    <w:rsid w:val="00E31980"/>
    <w:rsid w:val="00E42E00"/>
    <w:rsid w:val="00E441C4"/>
    <w:rsid w:val="00E55055"/>
    <w:rsid w:val="00E563F0"/>
    <w:rsid w:val="00E6423C"/>
    <w:rsid w:val="00E70F9E"/>
    <w:rsid w:val="00E85232"/>
    <w:rsid w:val="00E92B16"/>
    <w:rsid w:val="00E93830"/>
    <w:rsid w:val="00E93E0E"/>
    <w:rsid w:val="00E9515A"/>
    <w:rsid w:val="00E979F0"/>
    <w:rsid w:val="00EA2E3B"/>
    <w:rsid w:val="00EA373F"/>
    <w:rsid w:val="00EA7B94"/>
    <w:rsid w:val="00EB1ED3"/>
    <w:rsid w:val="00EB7A15"/>
    <w:rsid w:val="00EC0AFF"/>
    <w:rsid w:val="00EC19DC"/>
    <w:rsid w:val="00EC2D51"/>
    <w:rsid w:val="00EC6F4E"/>
    <w:rsid w:val="00EC79C5"/>
    <w:rsid w:val="00ED6572"/>
    <w:rsid w:val="00ED7B69"/>
    <w:rsid w:val="00EE2FDD"/>
    <w:rsid w:val="00EE7544"/>
    <w:rsid w:val="00F02ACB"/>
    <w:rsid w:val="00F04462"/>
    <w:rsid w:val="00F10AB9"/>
    <w:rsid w:val="00F13284"/>
    <w:rsid w:val="00F13564"/>
    <w:rsid w:val="00F1447D"/>
    <w:rsid w:val="00F261D3"/>
    <w:rsid w:val="00F26395"/>
    <w:rsid w:val="00F31C1C"/>
    <w:rsid w:val="00F32DA4"/>
    <w:rsid w:val="00F334FA"/>
    <w:rsid w:val="00F5353E"/>
    <w:rsid w:val="00F568B5"/>
    <w:rsid w:val="00F71300"/>
    <w:rsid w:val="00F723A1"/>
    <w:rsid w:val="00F81470"/>
    <w:rsid w:val="00F9157D"/>
    <w:rsid w:val="00F947EC"/>
    <w:rsid w:val="00F96F42"/>
    <w:rsid w:val="00F979CE"/>
    <w:rsid w:val="00FA1712"/>
    <w:rsid w:val="00FA2FE8"/>
    <w:rsid w:val="00FB687C"/>
    <w:rsid w:val="00FD3B63"/>
    <w:rsid w:val="00FE31AD"/>
    <w:rsid w:val="00FE38D3"/>
    <w:rsid w:val="00FE49F8"/>
    <w:rsid w:val="00FF255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3">
    <w:name w:val="Body Text Indent 3"/>
    <w:basedOn w:val="Normln"/>
    <w:link w:val="Zkladntextodsazen3Char"/>
    <w:semiHidden/>
    <w:rsid w:val="008D64D5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szCs w:val="24"/>
    </w:rPr>
  </w:style>
  <w:style w:type="character" w:customStyle="1" w:styleId="Zkladntextodsazen3Char">
    <w:name w:val="Základní text odsazený 3 Char"/>
    <w:link w:val="Zkladntextodsazen3"/>
    <w:semiHidden/>
    <w:rsid w:val="008D64D5"/>
    <w:rPr>
      <w:rFonts w:ascii="Arial" w:eastAsia="Times New Roman" w:hAnsi="Arial" w:cs="Arial"/>
      <w:szCs w:val="24"/>
    </w:rPr>
  </w:style>
  <w:style w:type="character" w:styleId="Sledovanodkaz">
    <w:name w:val="FollowedHyperlink"/>
    <w:uiPriority w:val="99"/>
    <w:semiHidden/>
    <w:unhideWhenUsed/>
    <w:rsid w:val="007947B7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6A0A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0AB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A0AB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0AB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0AB9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D31A6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alibor.holy@czso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84E9-D705-4450-889D-0CC31108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1078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7431</CharactersWithSpaces>
  <SharedDoc>false</SharedDoc>
  <HLinks>
    <vt:vector size="18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http://www.czso.cz/csu/csu.nsf/informace/czam020314.docx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Holý</dc:creator>
  <cp:lastModifiedBy>Erhartova</cp:lastModifiedBy>
  <cp:revision>4</cp:revision>
  <cp:lastPrinted>2015-06-02T09:37:00Z</cp:lastPrinted>
  <dcterms:created xsi:type="dcterms:W3CDTF">2015-06-02T09:35:00Z</dcterms:created>
  <dcterms:modified xsi:type="dcterms:W3CDTF">2015-06-02T09:45:00Z</dcterms:modified>
</cp:coreProperties>
</file>