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42A" w:rsidRDefault="0017742A">
      <w:pPr>
        <w:jc w:val="left"/>
        <w:rPr>
          <w:sz w:val="2"/>
        </w:rPr>
      </w:pPr>
    </w:p>
    <w:p w:rsidR="0017742A" w:rsidRDefault="0017742A" w:rsidP="009C76A3">
      <w:pPr>
        <w:pStyle w:val="Nadpis1"/>
        <w:numPr>
          <w:ilvl w:val="0"/>
          <w:numId w:val="0"/>
        </w:numPr>
        <w:ind w:left="142"/>
      </w:pPr>
      <w:bookmarkStart w:id="0" w:name="_Toc393277660"/>
      <w:r>
        <w:t>Sociální vývoj</w:t>
      </w:r>
      <w:bookmarkEnd w:id="0"/>
    </w:p>
    <w:tbl>
      <w:tblPr>
        <w:tblW w:w="9610" w:type="dxa"/>
        <w:tblCellMar>
          <w:left w:w="70" w:type="dxa"/>
          <w:right w:w="70" w:type="dxa"/>
        </w:tblCellMar>
        <w:tblLook w:val="0000"/>
      </w:tblPr>
      <w:tblGrid>
        <w:gridCol w:w="2410"/>
        <w:gridCol w:w="7200"/>
      </w:tblGrid>
      <w:tr w:rsidR="0017742A">
        <w:tc>
          <w:tcPr>
            <w:tcW w:w="2410" w:type="dxa"/>
          </w:tcPr>
          <w:p w:rsidR="0017742A" w:rsidRDefault="0014430E" w:rsidP="0014430E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0768A6">
              <w:rPr>
                <w:b/>
                <w:bCs/>
                <w:i/>
                <w:iCs/>
              </w:rPr>
              <w:t>Trh práce je stále zasažen ekonomickou recesí</w:t>
            </w:r>
            <w:r w:rsidR="0017742A">
              <w:rPr>
                <w:b/>
                <w:bCs/>
                <w:i/>
                <w:iCs/>
              </w:rPr>
              <w:t>.</w:t>
            </w:r>
          </w:p>
          <w:p w:rsidR="00221616" w:rsidRDefault="00221616" w:rsidP="0014430E">
            <w:pPr>
              <w:pStyle w:val="text"/>
              <w:jc w:val="left"/>
              <w:rPr>
                <w:b/>
                <w:bCs/>
                <w:i/>
                <w:iCs/>
              </w:rPr>
            </w:pPr>
          </w:p>
          <w:p w:rsidR="00645662" w:rsidRDefault="00645662" w:rsidP="0014430E">
            <w:pPr>
              <w:pStyle w:val="text"/>
              <w:jc w:val="left"/>
              <w:rPr>
                <w:b/>
                <w:bCs/>
                <w:i/>
                <w:iCs/>
              </w:rPr>
            </w:pPr>
          </w:p>
          <w:p w:rsidR="00221616" w:rsidRDefault="00221616" w:rsidP="0014430E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0768A6">
              <w:rPr>
                <w:b/>
                <w:bCs/>
                <w:i/>
                <w:iCs/>
              </w:rPr>
              <w:t>Oproti roku 2013 ubylo osob pracujících na vlastní účet.</w:t>
            </w:r>
          </w:p>
        </w:tc>
        <w:tc>
          <w:tcPr>
            <w:tcW w:w="7200" w:type="dxa"/>
          </w:tcPr>
          <w:p w:rsidR="0017742A" w:rsidRDefault="00221616" w:rsidP="001C74B4">
            <w:pPr>
              <w:pStyle w:val="text"/>
              <w:rPr>
                <w:highlight w:val="yellow"/>
              </w:rPr>
            </w:pPr>
            <w:r w:rsidRPr="008B2F84">
              <w:rPr>
                <w:spacing w:val="-4"/>
              </w:rPr>
              <w:t>V roce 2013 mělo podle výsledků Výběrového šetření pracovních si</w:t>
            </w:r>
            <w:r w:rsidR="001C74B4">
              <w:rPr>
                <w:rStyle w:val="Znakapoznpodarou"/>
                <w:spacing w:val="-4"/>
              </w:rPr>
              <w:footnoteReference w:id="1"/>
            </w:r>
            <w:r w:rsidRPr="008B2F84">
              <w:rPr>
                <w:spacing w:val="-4"/>
              </w:rPr>
              <w:t xml:space="preserve"> (VŠPS) zaměstnání 141,1 tis. osob Karlovarského kraje, což představuje 55,0 % obyvatel ve věku 15 a více let. Míra zaměstnanosti v kraji tak byla o 0,2 procentního bodu nižší než v celé ČR. Ve srovnání s předcházejícím rokem došlo v roce 2013 k nárůstu počtu zaměstnaných o 1,8 % a míra zaměstnanosti se v kraji snížila o 1,3 procentního bodu</w:t>
            </w:r>
            <w:r w:rsidRPr="008D1A92">
              <w:rPr>
                <w:spacing w:val="-4"/>
              </w:rPr>
              <w:t xml:space="preserve">. </w:t>
            </w:r>
            <w:r>
              <w:rPr>
                <w:spacing w:val="-4"/>
              </w:rPr>
              <w:t xml:space="preserve">Míra zaměstnanosti žen (47,6 %) byla přitom nižší než míra zaměstnanosti mužů (62,7 %). </w:t>
            </w:r>
            <w:r w:rsidRPr="008D1A92">
              <w:rPr>
                <w:spacing w:val="-4"/>
              </w:rPr>
              <w:t>Převážná většina zaměstnaných (118,4 tis. osob, tj. 83,9 %) byla v zaměstnaneckém poměru, osoby pracující na vlastní účet tvořily 11,2 % zaměstnaných osob a zaměstnavatelů bylo 4,2 %</w:t>
            </w:r>
          </w:p>
        </w:tc>
      </w:tr>
      <w:tr w:rsidR="0017742A">
        <w:tc>
          <w:tcPr>
            <w:tcW w:w="2410" w:type="dxa"/>
          </w:tcPr>
          <w:p w:rsidR="0017742A" w:rsidRDefault="00645662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3B38E5">
              <w:rPr>
                <w:b/>
                <w:bCs/>
                <w:i/>
                <w:iCs/>
              </w:rPr>
              <w:t xml:space="preserve">Míra ekonomické aktivity druhý rok </w:t>
            </w:r>
            <w:proofErr w:type="gramStart"/>
            <w:r w:rsidRPr="003B38E5">
              <w:rPr>
                <w:b/>
                <w:bCs/>
                <w:i/>
                <w:iCs/>
              </w:rPr>
              <w:t>stoupá</w:t>
            </w:r>
            <w:r>
              <w:rPr>
                <w:b/>
                <w:bCs/>
                <w:i/>
                <w:iCs/>
              </w:rPr>
              <w:t>..</w:t>
            </w:r>
            <w:r w:rsidR="0017742A">
              <w:rPr>
                <w:b/>
                <w:bCs/>
                <w:i/>
                <w:iCs/>
              </w:rPr>
              <w:t>.</w:t>
            </w:r>
            <w:proofErr w:type="gramEnd"/>
          </w:p>
        </w:tc>
        <w:tc>
          <w:tcPr>
            <w:tcW w:w="7200" w:type="dxa"/>
          </w:tcPr>
          <w:p w:rsidR="0017742A" w:rsidRDefault="00645662" w:rsidP="00645662">
            <w:pPr>
              <w:pStyle w:val="text"/>
              <w:rPr>
                <w:highlight w:val="yellow"/>
              </w:rPr>
            </w:pPr>
            <w:r w:rsidRPr="00C715B7">
              <w:rPr>
                <w:spacing w:val="-4"/>
              </w:rPr>
              <w:t xml:space="preserve">Míra ekonomické aktivity v roce 2013 činila v Karlovarském kraji 61,2 % (u mužů 68,9 %, u žen 53,9 %) a meziročně se zvýšila o 1,2 procentního bodu. Po poklesu míry ekonomické aktivity v roce 2011 tak již druhý rok za sebou vykazuje její hodnota meziroční nárůst. Míra ekonomické aktivity České republiky vykazuje velmi podobný trend, ve srovnání s ČR je však v jednotlivých letech míra ekonomické aktivity v kraji vyšší, v roce 2013 o 1,9 procentního bodu. </w:t>
            </w:r>
            <w:r>
              <w:rPr>
                <w:spacing w:val="-4"/>
              </w:rPr>
              <w:t>Nejvíce ekonomicky neaktivních osob se nachází ve věkové skupině 60 a více let (61,6 %), což je dáno dosažením důchodového věku, nejméně naopak ve věku 30-34 let (7,2 %).</w:t>
            </w:r>
          </w:p>
        </w:tc>
      </w:tr>
      <w:tr w:rsidR="0017742A" w:rsidTr="00764660">
        <w:trPr>
          <w:cantSplit/>
        </w:trPr>
        <w:tc>
          <w:tcPr>
            <w:tcW w:w="9610" w:type="dxa"/>
            <w:gridSpan w:val="2"/>
          </w:tcPr>
          <w:p w:rsidR="0017742A" w:rsidRDefault="002A0AE6" w:rsidP="00E45733">
            <w:pPr>
              <w:pStyle w:val="text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1pt;height:339.75pt">
                  <v:imagedata r:id="rId8" o:title=""/>
                </v:shape>
              </w:pict>
            </w:r>
          </w:p>
        </w:tc>
      </w:tr>
      <w:tr w:rsidR="0017742A">
        <w:tc>
          <w:tcPr>
            <w:tcW w:w="2410" w:type="dxa"/>
          </w:tcPr>
          <w:p w:rsidR="0017742A" w:rsidRDefault="00645662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…</w:t>
            </w:r>
            <w:r w:rsidRPr="00E7364F">
              <w:rPr>
                <w:b/>
                <w:bCs/>
                <w:i/>
                <w:iCs/>
              </w:rPr>
              <w:t>obecná míra nezaměstnanosti</w:t>
            </w:r>
            <w:r w:rsidR="00135AB3">
              <w:rPr>
                <w:b/>
                <w:bCs/>
                <w:i/>
                <w:iCs/>
              </w:rPr>
              <w:t xml:space="preserve"> je</w:t>
            </w:r>
            <w:r w:rsidRPr="00E7364F"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nejvyšší v ČR.</w:t>
            </w:r>
          </w:p>
        </w:tc>
        <w:tc>
          <w:tcPr>
            <w:tcW w:w="7200" w:type="dxa"/>
          </w:tcPr>
          <w:p w:rsidR="0017742A" w:rsidRDefault="00645662">
            <w:pPr>
              <w:pStyle w:val="text"/>
              <w:rPr>
                <w:highlight w:val="yellow"/>
              </w:rPr>
            </w:pPr>
            <w:r w:rsidRPr="00E7364F">
              <w:rPr>
                <w:spacing w:val="-4"/>
              </w:rPr>
              <w:t xml:space="preserve">Obecná míra nezaměstnanosti v roce 2013 oproti minulému roku zaznamenala pokles, a to o 0,3 procentního bodu na 10,21 % a v celorepublikovém srovnání byla </w:t>
            </w:r>
            <w:r w:rsidRPr="004F29A0">
              <w:rPr>
                <w:spacing w:val="-4"/>
              </w:rPr>
              <w:t xml:space="preserve">nejvyšší ze všech krajů ČR. </w:t>
            </w:r>
            <w:r w:rsidRPr="00A749D7">
              <w:rPr>
                <w:spacing w:val="-4"/>
              </w:rPr>
              <w:t>Dlouhodobě se obecná míra nezaměstnanosti v kraji pohybuje v rozmezí 40,0 % až 70,0 % nad celorepublikovým průměrem</w:t>
            </w:r>
            <w:r w:rsidR="0017742A">
              <w:t>.</w:t>
            </w:r>
          </w:p>
        </w:tc>
      </w:tr>
    </w:tbl>
    <w:p w:rsidR="00CE3A2D" w:rsidRDefault="00CE3A2D"/>
    <w:p w:rsidR="00CE3A2D" w:rsidRDefault="00CE3A2D"/>
    <w:p w:rsidR="002C2F5C" w:rsidRDefault="002C2F5C"/>
    <w:tbl>
      <w:tblPr>
        <w:tblW w:w="9764" w:type="dxa"/>
        <w:tblCellMar>
          <w:left w:w="70" w:type="dxa"/>
          <w:right w:w="70" w:type="dxa"/>
        </w:tblCellMar>
        <w:tblLook w:val="0000"/>
      </w:tblPr>
      <w:tblGrid>
        <w:gridCol w:w="2410"/>
        <w:gridCol w:w="915"/>
        <w:gridCol w:w="6285"/>
        <w:gridCol w:w="154"/>
      </w:tblGrid>
      <w:tr w:rsidR="0017742A" w:rsidTr="002A78DD">
        <w:tc>
          <w:tcPr>
            <w:tcW w:w="3325" w:type="dxa"/>
            <w:gridSpan w:val="2"/>
          </w:tcPr>
          <w:p w:rsidR="0017742A" w:rsidRDefault="00645662" w:rsidP="00645662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BA0ACD">
              <w:rPr>
                <w:b/>
                <w:bCs/>
                <w:i/>
                <w:iCs/>
              </w:rPr>
              <w:lastRenderedPageBreak/>
              <w:t>Nárůst počtu nezaměstnaných na úřadech práce</w:t>
            </w:r>
            <w:r>
              <w:rPr>
                <w:b/>
                <w:bCs/>
                <w:i/>
                <w:iCs/>
              </w:rPr>
              <w:t>…</w:t>
            </w:r>
          </w:p>
        </w:tc>
        <w:tc>
          <w:tcPr>
            <w:tcW w:w="6439" w:type="dxa"/>
            <w:gridSpan w:val="2"/>
          </w:tcPr>
          <w:p w:rsidR="0017742A" w:rsidRDefault="00645662">
            <w:pPr>
              <w:pStyle w:val="text"/>
              <w:rPr>
                <w:highlight w:val="yellow"/>
              </w:rPr>
            </w:pPr>
            <w:r w:rsidRPr="00F01502">
              <w:rPr>
                <w:spacing w:val="-4"/>
              </w:rPr>
              <w:t>Ke konci roku 2013 bylo na úřadech práce Karlovarského kraje registrováno celkem 19 600 uchazečů o zaměstnání, což je o 6,5 % více než před rokem. Podíl nezaměstnaných žen činil 46,2 % všech nezaměstnaných a ve srovnání s koncem roku 2011 se snížil o 0,4 procentního bodu. Oproti minulému roku se mírně zvýšil podíl počtu nezaměstnaných s nárokem na podporu v nezaměstnanosti (z 16,2 % na konci roku 2012 na 16,5 % na konci roku 2013). Podíl nezaměstnaných osob se zdravotním postižením činil 8,4 % a byl tak o 0,8 procentního bodu nižší než před rokem.</w:t>
            </w:r>
          </w:p>
        </w:tc>
      </w:tr>
      <w:tr w:rsidR="0017742A" w:rsidTr="002A78DD">
        <w:trPr>
          <w:cantSplit/>
        </w:trPr>
        <w:tc>
          <w:tcPr>
            <w:tcW w:w="9764" w:type="dxa"/>
            <w:gridSpan w:val="4"/>
          </w:tcPr>
          <w:p w:rsidR="0017742A" w:rsidRDefault="00D04F7F" w:rsidP="00E866F7">
            <w:pPr>
              <w:pStyle w:val="text"/>
              <w:jc w:val="center"/>
            </w:pPr>
            <w:r>
              <w:pict>
                <v:shape id="_x0000_i1026" type="#_x0000_t75" style="width:481.5pt;height:336.75pt">
                  <v:imagedata r:id="rId9" o:title=""/>
                </v:shape>
              </w:pict>
            </w:r>
          </w:p>
        </w:tc>
      </w:tr>
      <w:tr w:rsidR="0017742A" w:rsidTr="002A78DD">
        <w:trPr>
          <w:gridAfter w:val="1"/>
          <w:wAfter w:w="154" w:type="dxa"/>
        </w:trPr>
        <w:tc>
          <w:tcPr>
            <w:tcW w:w="2410" w:type="dxa"/>
          </w:tcPr>
          <w:p w:rsidR="0017742A" w:rsidRDefault="006F0609" w:rsidP="00645662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…</w:t>
            </w:r>
            <w:r w:rsidR="00645662">
              <w:rPr>
                <w:b/>
                <w:bCs/>
                <w:i/>
                <w:iCs/>
              </w:rPr>
              <w:t>dlouhodobá nezaměstnanost jedna z nejvyšších v ČR</w:t>
            </w:r>
            <w:r w:rsidR="0017742A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7200" w:type="dxa"/>
            <w:gridSpan w:val="2"/>
          </w:tcPr>
          <w:p w:rsidR="0017742A" w:rsidRDefault="00645662">
            <w:pPr>
              <w:pStyle w:val="text"/>
              <w:rPr>
                <w:highlight w:val="yellow"/>
              </w:rPr>
            </w:pPr>
            <w:r>
              <w:rPr>
                <w:spacing w:val="-4"/>
              </w:rPr>
              <w:t>D</w:t>
            </w:r>
            <w:r w:rsidRPr="00645662">
              <w:rPr>
                <w:spacing w:val="-4"/>
              </w:rPr>
              <w:t>louhodobá</w:t>
            </w:r>
            <w:r>
              <w:rPr>
                <w:spacing w:val="-4"/>
              </w:rPr>
              <w:t xml:space="preserve"> nezaměstnanost je v Karlovarském kraji jednou z nejvyšších v České republice. Stejně tomu bylo i v roce 2013, kdy podíl dlouhodobě nezaměstnaných (osoby nezaměstnané déle než 1 rok) v kraji činil 42,4 %, což je třetí nejvyšší podíl ze všech regionů ČR a zároveň je o 2,7 procentního bodu vyšší než je republikový průměr.</w:t>
            </w:r>
          </w:p>
        </w:tc>
      </w:tr>
      <w:tr w:rsidR="00B77F27" w:rsidTr="002A78DD">
        <w:trPr>
          <w:gridAfter w:val="1"/>
          <w:wAfter w:w="154" w:type="dxa"/>
        </w:trPr>
        <w:tc>
          <w:tcPr>
            <w:tcW w:w="2410" w:type="dxa"/>
          </w:tcPr>
          <w:p w:rsidR="00B77F27" w:rsidRDefault="00C25636" w:rsidP="00C25636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241D91">
              <w:rPr>
                <w:b/>
                <w:bCs/>
                <w:i/>
                <w:iCs/>
              </w:rPr>
              <w:t>Meziroční nárůst podílu</w:t>
            </w:r>
            <w:r>
              <w:rPr>
                <w:b/>
                <w:bCs/>
                <w:i/>
                <w:iCs/>
              </w:rPr>
              <w:t> n</w:t>
            </w:r>
            <w:r w:rsidRPr="00241D91">
              <w:rPr>
                <w:b/>
                <w:bCs/>
                <w:i/>
                <w:iCs/>
              </w:rPr>
              <w:t>ezaměstnaných osob.</w:t>
            </w:r>
          </w:p>
        </w:tc>
        <w:tc>
          <w:tcPr>
            <w:tcW w:w="7200" w:type="dxa"/>
            <w:gridSpan w:val="2"/>
          </w:tcPr>
          <w:p w:rsidR="00B77F27" w:rsidRDefault="00C25636" w:rsidP="00C25636">
            <w:pPr>
              <w:pStyle w:val="text"/>
            </w:pPr>
            <w:r w:rsidRPr="00180046">
              <w:rPr>
                <w:spacing w:val="-4"/>
              </w:rPr>
              <w:t>Od ledna 2013 Ministerstvo práce a sociálních věcí přešlo na nový ukazatel registrované nezaměstnanosti v ČR s názvem Podíl nezaměstnaných osob. Tento ukazatel vyjadřuje podíl dosažitelných uchazečů o zaměstnání ve věku 15-64 let na počtu obyvatel ve věku 15-64 let a nahrazuje doposud zveřejňovanou míru registrované nezaměstnanosti. Podíl nezaměstnaných osob v kraji dosáhl v prosinci 2013 hodnoty 9,33 %. Ve srovnání s předcházejícím rokem se tak hodnota tohoto ukazatele zvýšila, a to o 0,83 procentního bodu. Z okresů Karlovarského kraje se na nejhorším místě umístil okres Sokolov s podílem nezaměstnaných osob 11,13 % (v celorepublikovém srovnání okresů obsadil 67.</w:t>
            </w:r>
            <w:r>
              <w:rPr>
                <w:spacing w:val="-4"/>
              </w:rPr>
              <w:t> </w:t>
            </w:r>
            <w:r w:rsidRPr="00180046">
              <w:rPr>
                <w:spacing w:val="-4"/>
              </w:rPr>
              <w:t>místo), naopak nejnižší hodnotu tohoto ukazatele vykazoval okres Cheb (7,69 %), který se umístil na 32.</w:t>
            </w:r>
            <w:r>
              <w:rPr>
                <w:spacing w:val="-4"/>
              </w:rPr>
              <w:t> m</w:t>
            </w:r>
            <w:r w:rsidRPr="00180046">
              <w:rPr>
                <w:spacing w:val="-4"/>
              </w:rPr>
              <w:t>ístě pomyslného celorepublikového žebříčku. Podíl nezaměstnaných osob v Karlovarském kraji byl o 1,15 procentního bodu vyšší než v celé ČR a pouze kraje Olomoucký, Moravskoslezský a Ústecký vykazovaly podíl nezaměstnaných vyšší.</w:t>
            </w:r>
          </w:p>
        </w:tc>
      </w:tr>
    </w:tbl>
    <w:p w:rsidR="002A78DD" w:rsidRDefault="002A78DD"/>
    <w:p w:rsidR="002A78DD" w:rsidRDefault="002A78DD"/>
    <w:p w:rsidR="002A78DD" w:rsidRDefault="002A78DD"/>
    <w:tbl>
      <w:tblPr>
        <w:tblW w:w="9775" w:type="dxa"/>
        <w:tblCellMar>
          <w:left w:w="70" w:type="dxa"/>
          <w:right w:w="70" w:type="dxa"/>
        </w:tblCellMar>
        <w:tblLook w:val="0000"/>
      </w:tblPr>
      <w:tblGrid>
        <w:gridCol w:w="9775"/>
      </w:tblGrid>
      <w:tr w:rsidR="00AB62E9" w:rsidTr="002B1930">
        <w:tc>
          <w:tcPr>
            <w:tcW w:w="9775" w:type="dxa"/>
          </w:tcPr>
          <w:p w:rsidR="00AB62E9" w:rsidRPr="00BD490F" w:rsidRDefault="00D04F7F" w:rsidP="00AB62E9">
            <w:pPr>
              <w:pStyle w:val="text"/>
              <w:jc w:val="center"/>
              <w:rPr>
                <w:spacing w:val="-4"/>
              </w:rPr>
            </w:pPr>
            <w:r w:rsidRPr="002A0AE6">
              <w:rPr>
                <w:spacing w:val="-4"/>
              </w:rPr>
              <w:lastRenderedPageBreak/>
              <w:pict>
                <v:shape id="_x0000_i1027" type="#_x0000_t75" style="width:481.5pt;height:337.5pt">
                  <v:imagedata r:id="rId10" o:title=""/>
                </v:shape>
              </w:pict>
            </w:r>
          </w:p>
        </w:tc>
      </w:tr>
    </w:tbl>
    <w:p w:rsidR="005E721D" w:rsidRDefault="005E721D"/>
    <w:tbl>
      <w:tblPr>
        <w:tblW w:w="9775" w:type="dxa"/>
        <w:tblCellMar>
          <w:left w:w="70" w:type="dxa"/>
          <w:right w:w="70" w:type="dxa"/>
        </w:tblCellMar>
        <w:tblLook w:val="0000"/>
      </w:tblPr>
      <w:tblGrid>
        <w:gridCol w:w="9775"/>
      </w:tblGrid>
      <w:tr w:rsidR="002B1930" w:rsidTr="007F5ECA">
        <w:tc>
          <w:tcPr>
            <w:tcW w:w="9775" w:type="dxa"/>
          </w:tcPr>
          <w:p w:rsidR="002B1930" w:rsidRPr="00BD490F" w:rsidRDefault="00D04F7F" w:rsidP="002B1930">
            <w:pPr>
              <w:pStyle w:val="text"/>
              <w:jc w:val="center"/>
              <w:rPr>
                <w:spacing w:val="-4"/>
              </w:rPr>
            </w:pPr>
            <w:r w:rsidRPr="002A0AE6">
              <w:rPr>
                <w:spacing w:val="-4"/>
              </w:rPr>
              <w:pict>
                <v:shape id="_x0000_i1028" type="#_x0000_t75" style="width:475.5pt;height:318pt">
                  <v:imagedata r:id="rId11" o:title=""/>
                </v:shape>
              </w:pict>
            </w:r>
          </w:p>
        </w:tc>
      </w:tr>
    </w:tbl>
    <w:p w:rsidR="002B1930" w:rsidRDefault="002B1930"/>
    <w:p w:rsidR="005E721D" w:rsidRDefault="005E721D"/>
    <w:p w:rsidR="002B1930" w:rsidRDefault="002B1930"/>
    <w:tbl>
      <w:tblPr>
        <w:tblW w:w="9775" w:type="dxa"/>
        <w:tblCellMar>
          <w:left w:w="70" w:type="dxa"/>
          <w:right w:w="70" w:type="dxa"/>
        </w:tblCellMar>
        <w:tblLook w:val="0000"/>
      </w:tblPr>
      <w:tblGrid>
        <w:gridCol w:w="2452"/>
        <w:gridCol w:w="7323"/>
      </w:tblGrid>
      <w:tr w:rsidR="002B1930" w:rsidTr="002B1930">
        <w:tc>
          <w:tcPr>
            <w:tcW w:w="2452" w:type="dxa"/>
          </w:tcPr>
          <w:p w:rsidR="002B1930" w:rsidRDefault="002B1930" w:rsidP="0063419C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457F30">
              <w:rPr>
                <w:b/>
                <w:bCs/>
                <w:i/>
                <w:iCs/>
              </w:rPr>
              <w:lastRenderedPageBreak/>
              <w:t>Počet volných pracovních míst se meziročně zvýšil</w:t>
            </w:r>
            <w:r w:rsidR="00B77C44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7323" w:type="dxa"/>
          </w:tcPr>
          <w:p w:rsidR="002B1930" w:rsidRDefault="002B1930" w:rsidP="0063419C">
            <w:pPr>
              <w:pStyle w:val="text"/>
            </w:pPr>
            <w:r w:rsidRPr="00433D2E">
              <w:rPr>
                <w:spacing w:val="-4"/>
              </w:rPr>
              <w:t>Na poptávkové straně trhu práce se nabídka volných pracovních míst v průběhu roku od ledna do června postupně kontinuálně mírně navyšovala, od poloviny roku pak počet volných pracovních míst pomalu klesal až do října a v posledních dvou měsících roku 2013 došlo opět k nárůstu jejich počtu na úroveň o 24,1 % vyšší než před rokem. Na konci</w:t>
            </w:r>
            <w:r>
              <w:rPr>
                <w:spacing w:val="-4"/>
              </w:rPr>
              <w:t xml:space="preserve"> roku 2013 připadalo v kraji 15 uchazečů o zaměstnání na 1 volné pracovní místo, což je o 3 uchazeče méně, než ve stejném období minulého roku.</w:t>
            </w:r>
          </w:p>
        </w:tc>
      </w:tr>
      <w:tr w:rsidR="008C4883" w:rsidTr="002B1930">
        <w:tc>
          <w:tcPr>
            <w:tcW w:w="2452" w:type="dxa"/>
          </w:tcPr>
          <w:p w:rsidR="008C4883" w:rsidRDefault="00DE4229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BD490F">
              <w:rPr>
                <w:b/>
                <w:bCs/>
                <w:i/>
                <w:iCs/>
              </w:rPr>
              <w:t>Zvýšil se podíl dlouhodobě nezaměstnaných</w:t>
            </w:r>
            <w:r w:rsidR="00B77C44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7323" w:type="dxa"/>
          </w:tcPr>
          <w:p w:rsidR="008C4883" w:rsidRDefault="00DE4229">
            <w:pPr>
              <w:pStyle w:val="text"/>
            </w:pPr>
            <w:r w:rsidRPr="00BD490F">
              <w:rPr>
                <w:spacing w:val="-4"/>
              </w:rPr>
              <w:t>Dlouhodobá</w:t>
            </w:r>
            <w:r>
              <w:rPr>
                <w:spacing w:val="-4"/>
              </w:rPr>
              <w:t xml:space="preserve"> nezaměstnanost je v Karlovarském kraji jednou z nejvyšších v České republice. Stejně tomu bylo i v roce 2013, kdy podíl dlouhodobě nezaměstnaných (osoby nezaměstnané déle než 1 rok) v kraji činil 42,4 %, což je třetí nejvyšší podíl ze  všech regionů ČR a zároveň je o 2,7 procentního bodu vyšší než je republikový průměr. Ve srovnání s předcházejícím rokem tak došlo k nárůstu podílu dlouhodobě nezaměstnaných v kraji o 5,2 procentního bodu.</w:t>
            </w:r>
          </w:p>
        </w:tc>
      </w:tr>
      <w:tr w:rsidR="0063419C" w:rsidTr="007F5ECA">
        <w:tc>
          <w:tcPr>
            <w:tcW w:w="9775" w:type="dxa"/>
            <w:gridSpan w:val="2"/>
          </w:tcPr>
          <w:p w:rsidR="0063419C" w:rsidRPr="00FC4C71" w:rsidRDefault="00D04F7F" w:rsidP="0063419C">
            <w:pPr>
              <w:pStyle w:val="text"/>
              <w:jc w:val="center"/>
              <w:rPr>
                <w:szCs w:val="20"/>
              </w:rPr>
            </w:pPr>
            <w:r w:rsidRPr="002A0AE6">
              <w:rPr>
                <w:szCs w:val="20"/>
              </w:rPr>
              <w:pict>
                <v:shape id="_x0000_i1029" type="#_x0000_t75" style="width:466.5pt;height:221.25pt">
                  <v:imagedata r:id="rId12" o:title=""/>
                </v:shape>
              </w:pict>
            </w:r>
          </w:p>
        </w:tc>
      </w:tr>
      <w:tr w:rsidR="008C4883" w:rsidTr="002B1930">
        <w:tc>
          <w:tcPr>
            <w:tcW w:w="2452" w:type="dxa"/>
          </w:tcPr>
          <w:p w:rsidR="008C4883" w:rsidRDefault="00DE4229" w:rsidP="00DE4229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FC4C71">
              <w:rPr>
                <w:b/>
                <w:bCs/>
                <w:i/>
                <w:iCs/>
              </w:rPr>
              <w:t>Mzdy reálně meziročně</w:t>
            </w:r>
            <w:r>
              <w:rPr>
                <w:b/>
                <w:bCs/>
                <w:i/>
                <w:iCs/>
              </w:rPr>
              <w:t> </w:t>
            </w:r>
            <w:r w:rsidRPr="00FC4C71">
              <w:rPr>
                <w:b/>
                <w:bCs/>
                <w:i/>
                <w:iCs/>
              </w:rPr>
              <w:t>poklesly...</w:t>
            </w:r>
          </w:p>
        </w:tc>
        <w:tc>
          <w:tcPr>
            <w:tcW w:w="7323" w:type="dxa"/>
          </w:tcPr>
          <w:p w:rsidR="008C4883" w:rsidRDefault="00DE4229" w:rsidP="001A6F55">
            <w:pPr>
              <w:pStyle w:val="text"/>
            </w:pPr>
            <w:r w:rsidRPr="00FC4C71">
              <w:rPr>
                <w:szCs w:val="20"/>
              </w:rPr>
              <w:t xml:space="preserve">Výsledky statistiky práce mezd jsou publikovány tzv. </w:t>
            </w:r>
            <w:proofErr w:type="spellStart"/>
            <w:r w:rsidRPr="00FC4C71">
              <w:rPr>
                <w:szCs w:val="20"/>
              </w:rPr>
              <w:t>pracovištní</w:t>
            </w:r>
            <w:proofErr w:type="spellEnd"/>
            <w:r w:rsidRPr="00FC4C71">
              <w:rPr>
                <w:szCs w:val="20"/>
              </w:rPr>
              <w:t xml:space="preserve"> metodou, tj. za všechny podniky se sídlem na území kraje se zvýšeným důrazem na průměrné mzdy zaměstnanců přepočtené na plně zaměstnané, které zohledňují délku pracovního úvazku. Podle tohoto pohledu </w:t>
            </w:r>
            <w:r w:rsidRPr="00FC4C71">
              <w:rPr>
                <w:spacing w:val="-4"/>
              </w:rPr>
              <w:t xml:space="preserve">dosáhla průměrná měsíční mzda v Karlovarském kraji v roce 2013 hodnoty 21 435 Kč. Nominálně tak vzrostla o 0,4 % oproti roku 2012, reálně (s ohledem na výši inflace v roce 2013) </w:t>
            </w:r>
          </w:p>
        </w:tc>
      </w:tr>
      <w:tr w:rsidR="00BE6495" w:rsidRPr="00BE6495" w:rsidTr="002B1930">
        <w:tc>
          <w:tcPr>
            <w:tcW w:w="2452" w:type="dxa"/>
          </w:tcPr>
          <w:p w:rsidR="00BE6495" w:rsidRPr="00BE6495" w:rsidRDefault="00BE6495" w:rsidP="00DE4229">
            <w:pPr>
              <w:pStyle w:val="text"/>
              <w:jc w:val="left"/>
              <w:rPr>
                <w:b/>
                <w:bCs/>
                <w:i/>
                <w:iCs/>
                <w:sz w:val="8"/>
                <w:szCs w:val="8"/>
              </w:rPr>
            </w:pPr>
          </w:p>
        </w:tc>
        <w:tc>
          <w:tcPr>
            <w:tcW w:w="7323" w:type="dxa"/>
          </w:tcPr>
          <w:p w:rsidR="00BE6495" w:rsidRPr="00BE6495" w:rsidRDefault="00BE6495" w:rsidP="001A6F55">
            <w:pPr>
              <w:pStyle w:val="text"/>
              <w:rPr>
                <w:sz w:val="8"/>
                <w:szCs w:val="8"/>
              </w:rPr>
            </w:pPr>
          </w:p>
        </w:tc>
      </w:tr>
      <w:tr w:rsidR="001A6F55" w:rsidTr="00135AB3">
        <w:tc>
          <w:tcPr>
            <w:tcW w:w="9775" w:type="dxa"/>
            <w:gridSpan w:val="2"/>
          </w:tcPr>
          <w:p w:rsidR="001A6F55" w:rsidRPr="00E96527" w:rsidRDefault="00D04F7F" w:rsidP="001A6F55">
            <w:pPr>
              <w:pStyle w:val="text"/>
              <w:jc w:val="center"/>
              <w:rPr>
                <w:spacing w:val="-4"/>
              </w:rPr>
            </w:pPr>
            <w:r w:rsidRPr="002A0AE6">
              <w:rPr>
                <w:spacing w:val="-4"/>
              </w:rPr>
              <w:pict>
                <v:shape id="_x0000_i1030" type="#_x0000_t75" style="width:473.25pt;height:213.75pt">
                  <v:imagedata r:id="rId13" o:title=""/>
                </v:shape>
              </w:pict>
            </w:r>
          </w:p>
        </w:tc>
      </w:tr>
    </w:tbl>
    <w:p w:rsidR="001A6F55" w:rsidRDefault="001A6F55"/>
    <w:p w:rsidR="001A6F55" w:rsidRDefault="001A6F55"/>
    <w:tbl>
      <w:tblPr>
        <w:tblW w:w="9775" w:type="dxa"/>
        <w:tblCellMar>
          <w:left w:w="70" w:type="dxa"/>
          <w:right w:w="70" w:type="dxa"/>
        </w:tblCellMar>
        <w:tblLook w:val="0000"/>
      </w:tblPr>
      <w:tblGrid>
        <w:gridCol w:w="2452"/>
        <w:gridCol w:w="7323"/>
      </w:tblGrid>
      <w:tr w:rsidR="001A6F55" w:rsidTr="002B1930">
        <w:tc>
          <w:tcPr>
            <w:tcW w:w="2452" w:type="dxa"/>
          </w:tcPr>
          <w:p w:rsidR="001A6F55" w:rsidRPr="00E96527" w:rsidRDefault="001A6F55" w:rsidP="00DE4229">
            <w:pPr>
              <w:pStyle w:val="text"/>
              <w:jc w:val="left"/>
              <w:rPr>
                <w:b/>
                <w:bCs/>
                <w:i/>
                <w:iCs/>
              </w:rPr>
            </w:pPr>
          </w:p>
        </w:tc>
        <w:tc>
          <w:tcPr>
            <w:tcW w:w="7323" w:type="dxa"/>
          </w:tcPr>
          <w:p w:rsidR="001A6F55" w:rsidRPr="00E96527" w:rsidRDefault="001A6F55" w:rsidP="00DE4229">
            <w:pPr>
              <w:pStyle w:val="text"/>
              <w:rPr>
                <w:spacing w:val="-4"/>
              </w:rPr>
            </w:pPr>
            <w:r w:rsidRPr="00FC4C71">
              <w:rPr>
                <w:spacing w:val="-4"/>
              </w:rPr>
              <w:t>však došlo k poklesu mezd, a to o 1,0 %. Reáln</w:t>
            </w:r>
            <w:r>
              <w:rPr>
                <w:spacing w:val="-4"/>
              </w:rPr>
              <w:t>á</w:t>
            </w:r>
            <w:r w:rsidRPr="00FC4C71">
              <w:rPr>
                <w:spacing w:val="-4"/>
              </w:rPr>
              <w:t xml:space="preserve"> mzd</w:t>
            </w:r>
            <w:r>
              <w:rPr>
                <w:spacing w:val="-4"/>
              </w:rPr>
              <w:t>a</w:t>
            </w:r>
            <w:r w:rsidRPr="00FC4C71">
              <w:rPr>
                <w:spacing w:val="-4"/>
              </w:rPr>
              <w:t xml:space="preserve"> zaznamenal</w:t>
            </w:r>
            <w:r>
              <w:rPr>
                <w:spacing w:val="-4"/>
              </w:rPr>
              <w:t>a</w:t>
            </w:r>
            <w:r w:rsidRPr="00FC4C71">
              <w:rPr>
                <w:spacing w:val="-4"/>
              </w:rPr>
              <w:t xml:space="preserve"> pokles ve všech krajích ČR bez výjimky, v průměru za ČR </w:t>
            </w:r>
            <w:r>
              <w:rPr>
                <w:spacing w:val="-4"/>
              </w:rPr>
              <w:t>se snížila</w:t>
            </w:r>
            <w:r w:rsidRPr="00FC4C71">
              <w:rPr>
                <w:spacing w:val="-4"/>
              </w:rPr>
              <w:t xml:space="preserve"> o 1,3 %. Ve srovnání se mzdou za Českou republiku byla mzda v kraji nižší o 3 693 Kč. V mezikrajovém porovnání vykazuje Karlovarský kraj dlouhodobě nejnižší průměrnou měsíční mzdu ze všech krajů.</w:t>
            </w:r>
          </w:p>
        </w:tc>
      </w:tr>
      <w:tr w:rsidR="008C4883" w:rsidTr="002B1930">
        <w:tc>
          <w:tcPr>
            <w:tcW w:w="2452" w:type="dxa"/>
          </w:tcPr>
          <w:p w:rsidR="008C4883" w:rsidRDefault="00DE4229" w:rsidP="00DE4229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E96527">
              <w:rPr>
                <w:b/>
                <w:bCs/>
                <w:i/>
                <w:iCs/>
              </w:rPr>
              <w:t>…</w:t>
            </w:r>
            <w:r>
              <w:rPr>
                <w:b/>
                <w:bCs/>
                <w:i/>
                <w:iCs/>
              </w:rPr>
              <w:t>snížil se i počet</w:t>
            </w:r>
            <w:r w:rsidRPr="00E96527">
              <w:rPr>
                <w:b/>
                <w:bCs/>
                <w:i/>
                <w:iCs/>
              </w:rPr>
              <w:t xml:space="preserve"> zaměstnanců.</w:t>
            </w:r>
          </w:p>
        </w:tc>
        <w:tc>
          <w:tcPr>
            <w:tcW w:w="7323" w:type="dxa"/>
          </w:tcPr>
          <w:p w:rsidR="008C4883" w:rsidRDefault="00DE4229" w:rsidP="00DE4229">
            <w:pPr>
              <w:pStyle w:val="text"/>
            </w:pPr>
            <w:r w:rsidRPr="00E96527">
              <w:rPr>
                <w:spacing w:val="-4"/>
              </w:rPr>
              <w:t>Počet zaměstnanců (osob přepočtených na plně zaměstnané) ve všech podnicích se sídlem na území kraje činil v roce 2013 celkem 88,3 tisíc osob, což představuje meziroční pokles o 2,0 %.</w:t>
            </w:r>
            <w:r>
              <w:rPr>
                <w:spacing w:val="-4"/>
              </w:rPr>
              <w:t xml:space="preserve"> </w:t>
            </w:r>
            <w:r w:rsidRPr="00E96527">
              <w:rPr>
                <w:spacing w:val="-4"/>
              </w:rPr>
              <w:t>Snížení počtu zaměstnanců bylo zaznamenáno ve</w:t>
            </w:r>
            <w:r>
              <w:rPr>
                <w:spacing w:val="-4"/>
              </w:rPr>
              <w:t> </w:t>
            </w:r>
            <w:r w:rsidRPr="00E96527">
              <w:rPr>
                <w:spacing w:val="-4"/>
              </w:rPr>
              <w:t>všech krajích ČR s výjimkou Hlavního města Prahy.</w:t>
            </w:r>
          </w:p>
        </w:tc>
      </w:tr>
      <w:tr w:rsidR="0063419C" w:rsidTr="002B1930">
        <w:tc>
          <w:tcPr>
            <w:tcW w:w="2452" w:type="dxa"/>
          </w:tcPr>
          <w:p w:rsidR="0063419C" w:rsidRDefault="0063419C" w:rsidP="0063419C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Dle výsledků výběrového šetření mezd hrubé mzdy mírně vzrostly.</w:t>
            </w:r>
          </w:p>
        </w:tc>
        <w:tc>
          <w:tcPr>
            <w:tcW w:w="7323" w:type="dxa"/>
          </w:tcPr>
          <w:p w:rsidR="0063419C" w:rsidRPr="00C9538E" w:rsidRDefault="0063419C" w:rsidP="00FD2C27">
            <w:pPr>
              <w:pStyle w:val="text"/>
            </w:pPr>
            <w:r>
              <w:t>Podle zjištění výběrového šetření mezd v roce 2013 se mzdy v Karlovarském kraji ve srovnání s minulým rokem minimálně zvýšily, a to o 1,0 %. Mzdy mu</w:t>
            </w:r>
            <w:r w:rsidR="00FD2C27">
              <w:t xml:space="preserve">žů přitom </w:t>
            </w:r>
            <w:proofErr w:type="spellStart"/>
            <w:r w:rsidR="00FD2C27">
              <w:t>zaznemenaly</w:t>
            </w:r>
            <w:proofErr w:type="spellEnd"/>
            <w:r w:rsidR="00FD2C27">
              <w:t xml:space="preserve"> nárůst o 130 Kč, </w:t>
            </w:r>
            <w:proofErr w:type="spellStart"/>
            <w:r w:rsidR="00FD2C27">
              <w:t>tj</w:t>
            </w:r>
            <w:proofErr w:type="spellEnd"/>
            <w:r w:rsidR="00FD2C27">
              <w:t>, o </w:t>
            </w:r>
            <w:r>
              <w:t>0,5 %</w:t>
            </w:r>
            <w:r w:rsidR="00FD2C27">
              <w:t>, ženy pobíraly v roce 2013 hrubou mzdu ve výši 20 006 Kč, což je o 165 Kč, tj. o 0,8 % více, než před rokem. Stále platí, že muž</w:t>
            </w:r>
            <w:r w:rsidR="007E1472">
              <w:t>i pobírají větší průměrnou mzdu</w:t>
            </w:r>
            <w:r w:rsidR="00FD2C27">
              <w:t xml:space="preserve"> než ženy, v roce 2013 činil tento rozdíl 4 405 Kč.</w:t>
            </w:r>
          </w:p>
        </w:tc>
      </w:tr>
      <w:tr w:rsidR="002E13CA" w:rsidTr="00156E28">
        <w:tc>
          <w:tcPr>
            <w:tcW w:w="9775" w:type="dxa"/>
            <w:gridSpan w:val="2"/>
          </w:tcPr>
          <w:p w:rsidR="002E13CA" w:rsidRPr="00C9538E" w:rsidRDefault="00D04F7F" w:rsidP="002E13CA">
            <w:pPr>
              <w:pStyle w:val="text"/>
              <w:jc w:val="center"/>
            </w:pPr>
            <w:r>
              <w:pict>
                <v:shape id="_x0000_i1031" type="#_x0000_t75" style="width:481.5pt;height:334.5pt">
                  <v:imagedata r:id="rId14" o:title=""/>
                </v:shape>
              </w:pict>
            </w:r>
          </w:p>
        </w:tc>
      </w:tr>
      <w:tr w:rsidR="00BF693B" w:rsidTr="005D0BF4">
        <w:tc>
          <w:tcPr>
            <w:tcW w:w="9775" w:type="dxa"/>
            <w:gridSpan w:val="2"/>
          </w:tcPr>
          <w:p w:rsidR="00BF693B" w:rsidRPr="00C9538E" w:rsidRDefault="00D04F7F" w:rsidP="00BF693B">
            <w:pPr>
              <w:pStyle w:val="text"/>
              <w:jc w:val="center"/>
            </w:pPr>
            <w:r>
              <w:pict>
                <v:shape id="_x0000_i1032" type="#_x0000_t75" style="width:454.5pt;height:179.25pt">
                  <v:imagedata r:id="rId15" o:title=""/>
                </v:shape>
              </w:pict>
            </w:r>
          </w:p>
        </w:tc>
      </w:tr>
      <w:tr w:rsidR="008C4883" w:rsidTr="002B1930">
        <w:tc>
          <w:tcPr>
            <w:tcW w:w="2452" w:type="dxa"/>
          </w:tcPr>
          <w:p w:rsidR="008C4883" w:rsidRDefault="008B447C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 xml:space="preserve">Počet příjemců důchodů stagnoval, průměrná výše důchodu mírně vzrostla. </w:t>
            </w:r>
          </w:p>
        </w:tc>
        <w:tc>
          <w:tcPr>
            <w:tcW w:w="7323" w:type="dxa"/>
          </w:tcPr>
          <w:p w:rsidR="008C4883" w:rsidRDefault="00C9538E">
            <w:pPr>
              <w:pStyle w:val="text"/>
            </w:pPr>
            <w:r w:rsidRPr="00C9538E">
              <w:t>Na konci roku 2013 žilo v kraji 79 522 příjemců důchodů, z toho 60,2 % byly ženy. To představuje minimální</w:t>
            </w:r>
            <w:r>
              <w:t xml:space="preserve"> meziroční pokles o 0,2 %. Nejvyšší podíl tvoří příjemci plného starobního důchodu (49 549, tj. 62,3 %). Předčasný starobní důchod pobírá 14 930 příjemců (18,8 % všech příjemců důchodů), z toho 8 337 žen. Průměrná měsíční výše plného starobního důchodu doznala ve srovnání s minulým rokem navýšení o 1,4 % na 10 476 Kč. Muži přitom pobírali průměrný plný starobní důchod ve výši 11 197 Kč, ženy 9 999 Kč. Podíl průměrné výše plného starobního důchodu na mzdovém mediánu v roce 2013 činil 52,7 %. Tento podíl ve srovnání s minulým rokem vykázal pokles o 0,4 procentního bodu.</w:t>
            </w:r>
          </w:p>
        </w:tc>
      </w:tr>
      <w:tr w:rsidR="008C4883" w:rsidTr="002B1930">
        <w:tc>
          <w:tcPr>
            <w:tcW w:w="2452" w:type="dxa"/>
          </w:tcPr>
          <w:p w:rsidR="008C4883" w:rsidRDefault="00BC647E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BC647E">
              <w:rPr>
                <w:b/>
                <w:bCs/>
                <w:i/>
                <w:iCs/>
                <w:u w:val="single"/>
              </w:rPr>
              <w:t>Školství:</w:t>
            </w:r>
            <w:r>
              <w:rPr>
                <w:b/>
                <w:bCs/>
                <w:i/>
                <w:iCs/>
              </w:rPr>
              <w:t xml:space="preserve">       </w:t>
            </w:r>
            <w:r w:rsidR="00B77C44"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 xml:space="preserve"> </w:t>
            </w:r>
            <w:r w:rsidR="0047602B">
              <w:rPr>
                <w:b/>
                <w:bCs/>
                <w:i/>
                <w:iCs/>
              </w:rPr>
              <w:t xml:space="preserve"> P</w:t>
            </w:r>
            <w:r>
              <w:rPr>
                <w:b/>
                <w:bCs/>
                <w:i/>
                <w:iCs/>
              </w:rPr>
              <w:t xml:space="preserve">očet dětí v mateřských školách nadále roste. </w:t>
            </w:r>
          </w:p>
        </w:tc>
        <w:tc>
          <w:tcPr>
            <w:tcW w:w="7323" w:type="dxa"/>
          </w:tcPr>
          <w:p w:rsidR="008C4883" w:rsidRDefault="00BC647E">
            <w:pPr>
              <w:pStyle w:val="text"/>
            </w:pPr>
            <w:r w:rsidRPr="00BC647E">
              <w:t>V roce 2013 fungovalo v</w:t>
            </w:r>
            <w:r>
              <w:t> kraji 121 mateřských škol. Počet dětí v mateřských školách od roku 2006 postupně narůstá. V roce 2013 navštěvovalo mateřské školy 9 565 dětí, což je nejvyšší počet od roku 1996 a meziročně to představuje minimální nárůst o 0,2 %. V jedné třídě přitom bylo průměrně 24 dětí. Základní školy navštěvovalo v roce 2013 celkem 23 345 žáků, což je o 1,2 % více než před rokem a zvýšil se také počet studentů vyšších odborných škol. Střední školy naopak zaznamenaly meziroční pokles počtu svých studentů.</w:t>
            </w:r>
          </w:p>
        </w:tc>
      </w:tr>
      <w:tr w:rsidR="0047602B" w:rsidTr="002B1930">
        <w:tc>
          <w:tcPr>
            <w:tcW w:w="2452" w:type="dxa"/>
          </w:tcPr>
          <w:p w:rsidR="0047602B" w:rsidRPr="0047602B" w:rsidRDefault="0047602B">
            <w:pPr>
              <w:pStyle w:val="text"/>
              <w:jc w:val="lef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u w:val="single"/>
              </w:rPr>
              <w:t>Zdravotnictví:</w:t>
            </w:r>
            <w:r>
              <w:rPr>
                <w:b/>
                <w:bCs/>
                <w:i/>
                <w:iCs/>
              </w:rPr>
              <w:t xml:space="preserve"> Počet lůžek v nemocnicích klesal.</w:t>
            </w:r>
          </w:p>
        </w:tc>
        <w:tc>
          <w:tcPr>
            <w:tcW w:w="7323" w:type="dxa"/>
          </w:tcPr>
          <w:p w:rsidR="0047602B" w:rsidRPr="00BC647E" w:rsidRDefault="0047602B" w:rsidP="00B611CE">
            <w:pPr>
              <w:pStyle w:val="text"/>
            </w:pPr>
            <w:r>
              <w:t xml:space="preserve">V roce 2013 bylo v Karlovarském kraji evidováno 1 263 lékařů, z toho 98,1 % v nestátních </w:t>
            </w:r>
            <w:r w:rsidRPr="0047602B">
              <w:t>zařízeních. V posledním roce</w:t>
            </w:r>
            <w:r>
              <w:t xml:space="preserve"> došlo k poklesu počtu lékařů v kraji o 3,2 %. V přepočtu na populaci byl v kraji 1 lékař zhruba na 238 obyvatel. V kraji fungovalo 5 nemocnic, počet lůžek v nich meziročně klesl, a to jak celkem, tak i</w:t>
            </w:r>
            <w:r w:rsidR="00B611CE">
              <w:t> </w:t>
            </w:r>
            <w:r>
              <w:t>v přepočtu na 1 000 obyvatel.</w:t>
            </w:r>
          </w:p>
        </w:tc>
      </w:tr>
      <w:tr w:rsidR="00BF693B" w:rsidTr="005D0BF4">
        <w:tc>
          <w:tcPr>
            <w:tcW w:w="9775" w:type="dxa"/>
            <w:gridSpan w:val="2"/>
          </w:tcPr>
          <w:p w:rsidR="00BF693B" w:rsidRDefault="00D04F7F" w:rsidP="00BF693B">
            <w:pPr>
              <w:pStyle w:val="text"/>
              <w:jc w:val="center"/>
            </w:pPr>
            <w:r>
              <w:pict>
                <v:shape id="_x0000_i1033" type="#_x0000_t75" style="width:476.25pt;height:249pt">
                  <v:imagedata r:id="rId16" o:title=""/>
                </v:shape>
              </w:pict>
            </w:r>
          </w:p>
        </w:tc>
      </w:tr>
      <w:tr w:rsidR="0047602B" w:rsidTr="002B1930">
        <w:tc>
          <w:tcPr>
            <w:tcW w:w="2452" w:type="dxa"/>
          </w:tcPr>
          <w:p w:rsidR="0047602B" w:rsidRPr="00BC647E" w:rsidRDefault="00AA101E" w:rsidP="00AA101E">
            <w:pPr>
              <w:pStyle w:val="text"/>
              <w:jc w:val="left"/>
              <w:rPr>
                <w:b/>
                <w:bCs/>
                <w:i/>
                <w:iCs/>
                <w:u w:val="single"/>
              </w:rPr>
            </w:pPr>
            <w:r w:rsidRPr="00271BFF">
              <w:rPr>
                <w:b/>
                <w:bCs/>
                <w:i/>
                <w:iCs/>
              </w:rPr>
              <w:t>Počet nově hlášených případů pracovní</w:t>
            </w:r>
            <w:r>
              <w:rPr>
                <w:b/>
                <w:bCs/>
                <w:i/>
                <w:iCs/>
              </w:rPr>
              <w:t xml:space="preserve"> neschopnosti </w:t>
            </w:r>
            <w:r w:rsidRPr="00271BFF">
              <w:rPr>
                <w:b/>
                <w:bCs/>
                <w:i/>
                <w:iCs/>
              </w:rPr>
              <w:t>vzrostl.</w:t>
            </w:r>
          </w:p>
        </w:tc>
        <w:tc>
          <w:tcPr>
            <w:tcW w:w="7323" w:type="dxa"/>
          </w:tcPr>
          <w:p w:rsidR="0047602B" w:rsidRPr="00BC647E" w:rsidRDefault="00AA101E" w:rsidP="00B611CE">
            <w:pPr>
              <w:pStyle w:val="text"/>
            </w:pPr>
            <w:r w:rsidRPr="00271BFF">
              <w:rPr>
                <w:spacing w:val="-4"/>
              </w:rPr>
              <w:t>V roce 2013 došlo poprvé od roku 2005 k</w:t>
            </w:r>
            <w:r>
              <w:rPr>
                <w:spacing w:val="-4"/>
              </w:rPr>
              <w:t xml:space="preserve"> meziročnímu </w:t>
            </w:r>
            <w:r w:rsidRPr="00271BFF">
              <w:rPr>
                <w:spacing w:val="-4"/>
              </w:rPr>
              <w:t>nárůstu nově hlášených případů pracovní neschopnosti v Karlovarském kraji</w:t>
            </w:r>
            <w:r>
              <w:rPr>
                <w:spacing w:val="-4"/>
              </w:rPr>
              <w:t>, a to o 1 064 případů, tj.</w:t>
            </w:r>
            <w:r w:rsidR="00946546">
              <w:rPr>
                <w:spacing w:val="-4"/>
              </w:rPr>
              <w:t> </w:t>
            </w:r>
            <w:r>
              <w:rPr>
                <w:spacing w:val="-4"/>
              </w:rPr>
              <w:t>o 3,</w:t>
            </w:r>
            <w:r w:rsidRPr="004C6A34">
              <w:rPr>
                <w:spacing w:val="-4"/>
              </w:rPr>
              <w:t>7 %. Průměrný denní stav práce neschopných byl o</w:t>
            </w:r>
            <w:r>
              <w:rPr>
                <w:spacing w:val="-4"/>
              </w:rPr>
              <w:t> </w:t>
            </w:r>
            <w:r w:rsidRPr="004C6A34">
              <w:rPr>
                <w:spacing w:val="-4"/>
              </w:rPr>
              <w:t>176 osob vyšší, než v předcházejícím roce</w:t>
            </w:r>
            <w:r>
              <w:rPr>
                <w:spacing w:val="-4"/>
              </w:rPr>
              <w:t xml:space="preserve"> a průměrné procento pracovní neschopnosti v kraji zaznamenalo meziroční nárůst o 0,3 procentního bodu na 3,79 %. Nárůst průměrného procenta pracovní neschopnosti ve srovnání s rokem 2012 byl zaznamenán ve všech regionech České republiky bez výjimky, v Karlovarském kraji byl tento nárůst druhý nejvyšší po </w:t>
            </w:r>
            <w:r w:rsidR="00B611CE">
              <w:rPr>
                <w:spacing w:val="-4"/>
              </w:rPr>
              <w:t>k</w:t>
            </w:r>
            <w:r>
              <w:rPr>
                <w:spacing w:val="-4"/>
              </w:rPr>
              <w:t xml:space="preserve">raji Vysočina. </w:t>
            </w:r>
            <w:r w:rsidRPr="00E31E7F">
              <w:rPr>
                <w:spacing w:val="-4"/>
              </w:rPr>
              <w:t>Z okresů Karlovarského kraje vykazoval nejvyšší procento pracovní neschopnosti okres Cheb (3,89 %), naopak nejnižší okres Karlovy Vary (3,69 %).</w:t>
            </w:r>
          </w:p>
        </w:tc>
      </w:tr>
      <w:tr w:rsidR="0047602B" w:rsidTr="002B1930">
        <w:tc>
          <w:tcPr>
            <w:tcW w:w="2452" w:type="dxa"/>
          </w:tcPr>
          <w:p w:rsidR="0047602B" w:rsidRPr="00BC647E" w:rsidRDefault="00FD1020">
            <w:pPr>
              <w:pStyle w:val="text"/>
              <w:jc w:val="left"/>
              <w:rPr>
                <w:b/>
                <w:bCs/>
                <w:i/>
                <w:iCs/>
                <w:u w:val="single"/>
              </w:rPr>
            </w:pPr>
            <w:r w:rsidRPr="00BD7015">
              <w:rPr>
                <w:b/>
                <w:bCs/>
                <w:i/>
                <w:iCs/>
              </w:rPr>
              <w:t>Vyšší počet zjištěných trestných činů…</w:t>
            </w:r>
          </w:p>
        </w:tc>
        <w:tc>
          <w:tcPr>
            <w:tcW w:w="7323" w:type="dxa"/>
          </w:tcPr>
          <w:p w:rsidR="0047602B" w:rsidRPr="00FD1020" w:rsidRDefault="00FD1020" w:rsidP="00B611CE">
            <w:pPr>
              <w:pStyle w:val="NORMAArialCE"/>
              <w:spacing w:after="0"/>
              <w:rPr>
                <w:spacing w:val="-4"/>
              </w:rPr>
            </w:pPr>
            <w:r w:rsidRPr="00E83548">
              <w:rPr>
                <w:spacing w:val="-4"/>
              </w:rPr>
              <w:t xml:space="preserve">V kraji bylo v roce 2013 zjištěno celkem 8 198 trestných činů, což představuje meziroční nárůst o 8,1 %. </w:t>
            </w:r>
            <w:r>
              <w:rPr>
                <w:spacing w:val="-4"/>
              </w:rPr>
              <w:t>Nejvyšší nárůst byl zaznamenán v okrese Karlovy Vary (o 16,9 %), v okrese Sokolov počet zjištěných trestných činů v tomto roce stagnoval</w:t>
            </w:r>
            <w:r w:rsidRPr="00641FAB">
              <w:rPr>
                <w:spacing w:val="-4"/>
              </w:rPr>
              <w:t>.</w:t>
            </w:r>
          </w:p>
        </w:tc>
      </w:tr>
    </w:tbl>
    <w:p w:rsidR="007B73F2" w:rsidRDefault="007B73F2"/>
    <w:p w:rsidR="007B73F2" w:rsidRDefault="007B73F2"/>
    <w:p w:rsidR="007B73F2" w:rsidRDefault="007B73F2"/>
    <w:tbl>
      <w:tblPr>
        <w:tblW w:w="9775" w:type="dxa"/>
        <w:tblCellMar>
          <w:left w:w="70" w:type="dxa"/>
          <w:right w:w="70" w:type="dxa"/>
        </w:tblCellMar>
        <w:tblLook w:val="0000"/>
      </w:tblPr>
      <w:tblGrid>
        <w:gridCol w:w="2452"/>
        <w:gridCol w:w="7323"/>
      </w:tblGrid>
      <w:tr w:rsidR="007B73F2" w:rsidTr="002B1930">
        <w:tc>
          <w:tcPr>
            <w:tcW w:w="2452" w:type="dxa"/>
          </w:tcPr>
          <w:p w:rsidR="007B73F2" w:rsidRPr="00BD7015" w:rsidRDefault="007B73F2">
            <w:pPr>
              <w:pStyle w:val="text"/>
              <w:jc w:val="left"/>
              <w:rPr>
                <w:b/>
                <w:bCs/>
                <w:i/>
                <w:iCs/>
              </w:rPr>
            </w:pPr>
          </w:p>
        </w:tc>
        <w:tc>
          <w:tcPr>
            <w:tcW w:w="7323" w:type="dxa"/>
          </w:tcPr>
          <w:p w:rsidR="007B73F2" w:rsidRPr="00E83548" w:rsidRDefault="007B73F2" w:rsidP="00FD1020">
            <w:pPr>
              <w:pStyle w:val="NORMAArialCE"/>
              <w:spacing w:after="0"/>
              <w:rPr>
                <w:spacing w:val="-4"/>
              </w:rPr>
            </w:pPr>
            <w:r w:rsidRPr="00BD7015">
              <w:rPr>
                <w:spacing w:val="-4"/>
              </w:rPr>
              <w:t>Statistiky</w:t>
            </w:r>
            <w:r>
              <w:rPr>
                <w:spacing w:val="-4"/>
              </w:rPr>
              <w:t xml:space="preserve"> ukazují, že v kraji vzrostla i hodnota ukazatele vyjadřujícího počet zjištěných trestných činů na 1 000 obyvatel (z 25,1 v roce 2012 na 27,2 v roce 2013).</w:t>
            </w:r>
            <w:r w:rsidRPr="00BD7015">
              <w:rPr>
                <w:spacing w:val="-4"/>
              </w:rPr>
              <w:t xml:space="preserve"> </w:t>
            </w:r>
            <w:r>
              <w:rPr>
                <w:spacing w:val="-4"/>
              </w:rPr>
              <w:t xml:space="preserve">Objasnit se podařilo celkem 5 611 trestných činů, což je o 12,7 % více, než v předcházejícím roce. </w:t>
            </w:r>
            <w:r w:rsidRPr="00641FAB">
              <w:rPr>
                <w:spacing w:val="-4"/>
              </w:rPr>
              <w:t>Nejúspěšnější byli kriminalisté v okrese Karlovy Vary, kde se podařilo objasnit o</w:t>
            </w:r>
            <w:r>
              <w:rPr>
                <w:spacing w:val="-4"/>
              </w:rPr>
              <w:t> </w:t>
            </w:r>
            <w:r w:rsidRPr="00641FAB">
              <w:rPr>
                <w:spacing w:val="-4"/>
              </w:rPr>
              <w:t>27,6 % více trestních činů, než v minulém roce.</w:t>
            </w:r>
          </w:p>
        </w:tc>
      </w:tr>
      <w:tr w:rsidR="009C7F70" w:rsidTr="00963D25">
        <w:tc>
          <w:tcPr>
            <w:tcW w:w="9775" w:type="dxa"/>
            <w:gridSpan w:val="2"/>
          </w:tcPr>
          <w:p w:rsidR="009C7F70" w:rsidRPr="00BD7015" w:rsidRDefault="00D04F7F" w:rsidP="009C7F70">
            <w:pPr>
              <w:pStyle w:val="NORMAArialCE"/>
              <w:spacing w:after="0"/>
              <w:jc w:val="center"/>
              <w:rPr>
                <w:spacing w:val="-4"/>
              </w:rPr>
            </w:pPr>
            <w:r w:rsidRPr="002A0AE6">
              <w:rPr>
                <w:spacing w:val="-4"/>
              </w:rPr>
              <w:pict>
                <v:shape id="_x0000_i1034" type="#_x0000_t75" style="width:476.25pt;height:225.75pt">
                  <v:imagedata r:id="rId17" o:title=""/>
                </v:shape>
              </w:pict>
            </w:r>
          </w:p>
        </w:tc>
      </w:tr>
      <w:tr w:rsidR="0047602B" w:rsidTr="002B1930">
        <w:tc>
          <w:tcPr>
            <w:tcW w:w="2452" w:type="dxa"/>
          </w:tcPr>
          <w:p w:rsidR="00FD1020" w:rsidRPr="00FD1020" w:rsidRDefault="00FD1020">
            <w:pPr>
              <w:pStyle w:val="text"/>
              <w:jc w:val="left"/>
              <w:rPr>
                <w:b/>
                <w:bCs/>
                <w:i/>
                <w:iCs/>
              </w:rPr>
            </w:pPr>
            <w:r w:rsidRPr="00FD1020">
              <w:rPr>
                <w:b/>
                <w:bCs/>
                <w:i/>
                <w:iCs/>
              </w:rPr>
              <w:t>… a také vyšší počet dopravních nehod.</w:t>
            </w:r>
          </w:p>
        </w:tc>
        <w:tc>
          <w:tcPr>
            <w:tcW w:w="7323" w:type="dxa"/>
          </w:tcPr>
          <w:p w:rsidR="0047602B" w:rsidRPr="00BC647E" w:rsidRDefault="00845141" w:rsidP="00186282">
            <w:pPr>
              <w:pStyle w:val="text"/>
            </w:pPr>
            <w:r>
              <w:rPr>
                <w:spacing w:val="-4"/>
              </w:rPr>
              <w:t xml:space="preserve">Ve srovnání </w:t>
            </w:r>
            <w:r w:rsidR="00186282">
              <w:rPr>
                <w:spacing w:val="-4"/>
              </w:rPr>
              <w:t>s</w:t>
            </w:r>
            <w:r>
              <w:rPr>
                <w:spacing w:val="-4"/>
              </w:rPr>
              <w:t> rokem 2012 došlo v kraji k poměrně výraznému zvýšení počtu dopravních nehod o 230, tj. o 16,5 %. Nejvíce se na tomto nárůstu podílel okres Karlovy Vary (nárůst o 32,0 %), naopak v okrese Sokolov se počet nehod meziročně snížil (o 7,1 </w:t>
            </w:r>
            <w:r w:rsidRPr="00390522">
              <w:rPr>
                <w:spacing w:val="-4"/>
              </w:rPr>
              <w:t>%). Pozitivním zjištěním je, že ukazatel počtu dopravních nehod na 1 000 obyvatel má nejnižší hodnotu (5,4) ze všech krajů ČR a je o 2,6 procentního bodu nižší, než je republikový průměr.</w:t>
            </w:r>
          </w:p>
        </w:tc>
      </w:tr>
      <w:tr w:rsidR="0047602B" w:rsidTr="002B1930">
        <w:tc>
          <w:tcPr>
            <w:tcW w:w="2452" w:type="dxa"/>
          </w:tcPr>
          <w:p w:rsidR="0047602B" w:rsidRPr="00BC647E" w:rsidRDefault="00845141" w:rsidP="00845141">
            <w:pPr>
              <w:pStyle w:val="text"/>
              <w:jc w:val="left"/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</w:rPr>
              <w:t>N</w:t>
            </w:r>
            <w:r w:rsidRPr="00704E9B">
              <w:rPr>
                <w:b/>
                <w:bCs/>
                <w:i/>
                <w:iCs/>
              </w:rPr>
              <w:t>ižší počet usmrcených osob při</w:t>
            </w:r>
            <w:r>
              <w:rPr>
                <w:b/>
                <w:bCs/>
                <w:i/>
                <w:iCs/>
              </w:rPr>
              <w:t> </w:t>
            </w:r>
            <w:r w:rsidRPr="00704E9B">
              <w:rPr>
                <w:b/>
                <w:bCs/>
                <w:i/>
                <w:iCs/>
              </w:rPr>
              <w:t>dopravních nehodách</w:t>
            </w:r>
            <w:r w:rsidR="00571B20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7323" w:type="dxa"/>
          </w:tcPr>
          <w:p w:rsidR="0047602B" w:rsidRPr="00BC647E" w:rsidRDefault="00845141">
            <w:pPr>
              <w:pStyle w:val="text"/>
            </w:pPr>
            <w:r>
              <w:rPr>
                <w:spacing w:val="-4"/>
              </w:rPr>
              <w:t>Nadále pokračoval trend snižování počtu osob usmrcených při dopravních nehodách, který můžeme sledovat již od roku 2004. V roce 2013 bylo při dopravních nehodách usmrceno celkem 8 osob, což představuje meziroční pokles o 3 usmrcené osoby, tj. o 27,3 %. Největší počet dopravních nehod byl způsoben nesprávným způsobem jízdy a nepřiměřenou rychlostí.</w:t>
            </w:r>
          </w:p>
        </w:tc>
      </w:tr>
    </w:tbl>
    <w:p w:rsidR="00DE0AF2" w:rsidRDefault="00DE0AF2" w:rsidP="00E866F7">
      <w:pPr>
        <w:pStyle w:val="text"/>
      </w:pPr>
    </w:p>
    <w:p w:rsidR="00D04F7F" w:rsidRDefault="00D04F7F" w:rsidP="00E866F7">
      <w:pPr>
        <w:pStyle w:val="text"/>
      </w:pPr>
    </w:p>
    <w:p w:rsidR="00DE0AF2" w:rsidRDefault="00DE0AF2" w:rsidP="00DE0AF2">
      <w:pPr>
        <w:pStyle w:val="NORMAArialCE"/>
        <w:rPr>
          <w:b/>
          <w:bCs/>
          <w:i/>
          <w:iCs/>
          <w:sz w:val="18"/>
        </w:rPr>
      </w:pPr>
      <w:r>
        <w:rPr>
          <w:b/>
          <w:bCs/>
          <w:i/>
          <w:iCs/>
          <w:sz w:val="18"/>
        </w:rPr>
        <w:t>Podrobnější údaje k sociálnímu vývoji Karlovarského kraje v roce 201</w:t>
      </w:r>
      <w:r w:rsidR="009C7F70">
        <w:rPr>
          <w:b/>
          <w:bCs/>
          <w:i/>
          <w:iCs/>
          <w:sz w:val="18"/>
        </w:rPr>
        <w:t>3</w:t>
      </w:r>
      <w:r>
        <w:rPr>
          <w:b/>
          <w:bCs/>
          <w:i/>
          <w:iCs/>
          <w:sz w:val="18"/>
        </w:rPr>
        <w:t>:</w:t>
      </w:r>
    </w:p>
    <w:p w:rsidR="00DE0AF2" w:rsidRPr="0061231C" w:rsidRDefault="002A0AE6" w:rsidP="00DE0AF2">
      <w:pPr>
        <w:pStyle w:val="NORMAArialCE"/>
        <w:spacing w:before="60" w:after="60"/>
        <w:rPr>
          <w:color w:val="365F91" w:themeColor="accent1" w:themeShade="BF"/>
        </w:rPr>
      </w:pPr>
      <w:hyperlink r:id="rId18" w:history="1">
        <w:r w:rsidR="00DE0AF2" w:rsidRPr="0061231C">
          <w:rPr>
            <w:rStyle w:val="Hypertextovodkaz"/>
            <w:b/>
            <w:bCs/>
            <w:color w:val="365F91" w:themeColor="accent1" w:themeShade="BF"/>
            <w:sz w:val="18"/>
          </w:rPr>
          <w:t>Statistický bulletin Karlovarského kraje</w:t>
        </w:r>
      </w:hyperlink>
    </w:p>
    <w:p w:rsidR="0061231C" w:rsidRPr="0061231C" w:rsidRDefault="002A0AE6" w:rsidP="00DE0AF2">
      <w:pPr>
        <w:pStyle w:val="NORMAArialCE"/>
        <w:spacing w:before="60" w:after="60"/>
        <w:rPr>
          <w:b/>
          <w:bCs/>
          <w:color w:val="365F91" w:themeColor="accent1" w:themeShade="BF"/>
          <w:sz w:val="18"/>
        </w:rPr>
      </w:pPr>
      <w:hyperlink r:id="rId19" w:history="1">
        <w:r w:rsidR="0061231C" w:rsidRPr="0061231C">
          <w:rPr>
            <w:rStyle w:val="Hypertextovodkaz"/>
            <w:b/>
            <w:color w:val="365F91" w:themeColor="accent1" w:themeShade="BF"/>
            <w:sz w:val="18"/>
          </w:rPr>
          <w:t>Statistická ročenka Karlovarského kraje</w:t>
        </w:r>
      </w:hyperlink>
    </w:p>
    <w:p w:rsidR="00DE0AF2" w:rsidRPr="0061231C" w:rsidRDefault="002A0AE6" w:rsidP="00DE0AF2">
      <w:pPr>
        <w:pStyle w:val="NORMAArialCE"/>
        <w:spacing w:before="60" w:after="60"/>
        <w:rPr>
          <w:rStyle w:val="Hypertextovodkaz"/>
          <w:b/>
          <w:bCs/>
          <w:color w:val="365F91" w:themeColor="accent1" w:themeShade="BF"/>
          <w:sz w:val="18"/>
        </w:rPr>
      </w:pPr>
      <w:hyperlink r:id="rId20" w:history="1">
        <w:r w:rsidR="00DE0AF2" w:rsidRPr="0061231C">
          <w:rPr>
            <w:rStyle w:val="Hypertextovodkaz"/>
            <w:b/>
            <w:bCs/>
            <w:color w:val="365F91" w:themeColor="accent1" w:themeShade="BF"/>
            <w:sz w:val="18"/>
          </w:rPr>
          <w:t>Zaměstnanost a nezaměstnanost v ČR podle výsledků výběrového šetření pracovních sil 4. čtvrtletí 201</w:t>
        </w:r>
        <w:r w:rsidR="009C7F70" w:rsidRPr="0061231C">
          <w:rPr>
            <w:rStyle w:val="Hypertextovodkaz"/>
            <w:b/>
            <w:bCs/>
            <w:color w:val="365F91" w:themeColor="accent1" w:themeShade="BF"/>
            <w:sz w:val="18"/>
          </w:rPr>
          <w:t>3</w:t>
        </w:r>
      </w:hyperlink>
    </w:p>
    <w:p w:rsidR="00DE0AF2" w:rsidRPr="0061231C" w:rsidRDefault="002A0AE6" w:rsidP="00DE0AF2">
      <w:pPr>
        <w:pStyle w:val="NORMAArialCE"/>
        <w:spacing w:before="60" w:after="60"/>
        <w:rPr>
          <w:rStyle w:val="Hypertextovodkaz"/>
          <w:b/>
          <w:bCs/>
          <w:color w:val="365F91" w:themeColor="accent1" w:themeShade="BF"/>
          <w:sz w:val="18"/>
        </w:rPr>
      </w:pPr>
      <w:hyperlink r:id="rId21" w:history="1">
        <w:r w:rsidR="00DE0AF2" w:rsidRPr="0061231C">
          <w:rPr>
            <w:rStyle w:val="Hypertextovodkaz"/>
            <w:b/>
            <w:bCs/>
            <w:color w:val="365F91" w:themeColor="accent1" w:themeShade="BF"/>
            <w:sz w:val="18"/>
          </w:rPr>
          <w:t>Zaměstnanost a nezaměstnanost v ČR podle výsledků výběrového šetření pracovních sil – roční průměry 201</w:t>
        </w:r>
        <w:r w:rsidR="009C7F70" w:rsidRPr="0061231C">
          <w:rPr>
            <w:rStyle w:val="Hypertextovodkaz"/>
            <w:b/>
            <w:bCs/>
            <w:color w:val="365F91" w:themeColor="accent1" w:themeShade="BF"/>
            <w:sz w:val="18"/>
          </w:rPr>
          <w:t>3</w:t>
        </w:r>
      </w:hyperlink>
    </w:p>
    <w:p w:rsidR="007A4AB3" w:rsidRPr="00E82858" w:rsidRDefault="002A0AE6" w:rsidP="00E82858">
      <w:pPr>
        <w:pStyle w:val="NORMAArialCE"/>
        <w:spacing w:before="60" w:after="60"/>
        <w:rPr>
          <w:b/>
          <w:bCs/>
          <w:color w:val="333399"/>
          <w:sz w:val="18"/>
          <w:u w:val="single"/>
        </w:rPr>
      </w:pPr>
      <w:hyperlink r:id="rId22" w:history="1">
        <w:r w:rsidR="00DE0AF2" w:rsidRPr="0061231C">
          <w:rPr>
            <w:rStyle w:val="Hypertextovodkaz"/>
            <w:b/>
            <w:bCs/>
            <w:color w:val="365F91" w:themeColor="accent1" w:themeShade="BF"/>
            <w:sz w:val="18"/>
          </w:rPr>
          <w:t>Evidenční počet zaměstnanců a jejic</w:t>
        </w:r>
        <w:r w:rsidR="00177EE0">
          <w:rPr>
            <w:rStyle w:val="Hypertextovodkaz"/>
            <w:b/>
            <w:bCs/>
            <w:color w:val="365F91" w:themeColor="accent1" w:themeShade="BF"/>
            <w:sz w:val="18"/>
          </w:rPr>
          <w:t>h mzdy v Č</w:t>
        </w:r>
        <w:r w:rsidR="00DE0AF2" w:rsidRPr="0061231C">
          <w:rPr>
            <w:rStyle w:val="Hypertextovodkaz"/>
            <w:b/>
            <w:bCs/>
            <w:color w:val="365F91" w:themeColor="accent1" w:themeShade="BF"/>
            <w:sz w:val="18"/>
          </w:rPr>
          <w:t>R 4. čtvrtletí 201</w:t>
        </w:r>
        <w:r w:rsidR="009C7F70" w:rsidRPr="0061231C">
          <w:rPr>
            <w:rStyle w:val="Hypertextovodkaz"/>
            <w:b/>
            <w:bCs/>
            <w:color w:val="365F91" w:themeColor="accent1" w:themeShade="BF"/>
            <w:sz w:val="18"/>
          </w:rPr>
          <w:t>3</w:t>
        </w:r>
      </w:hyperlink>
    </w:p>
    <w:sectPr w:rsidR="007A4AB3" w:rsidRPr="00E82858" w:rsidSect="001C74B4">
      <w:footerReference w:type="first" r:id="rId23"/>
      <w:type w:val="continuous"/>
      <w:pgSz w:w="11906" w:h="16838" w:code="9"/>
      <w:pgMar w:top="1134" w:right="1134" w:bottom="1247" w:left="1134" w:header="567" w:footer="709" w:gutter="0"/>
      <w:cols w:space="708" w:equalWidth="0">
        <w:col w:w="9638"/>
      </w:cols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61E" w:rsidRDefault="0003761E">
      <w:r>
        <w:separator/>
      </w:r>
    </w:p>
  </w:endnote>
  <w:endnote w:type="continuationSeparator" w:id="0">
    <w:p w:rsidR="0003761E" w:rsidRDefault="000376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526" w:rsidRDefault="002A0AE6">
    <w:pPr>
      <w:pStyle w:val="Zpat"/>
      <w:framePr w:wrap="around" w:vAnchor="text" w:hAnchor="margin" w:xAlign="outside" w:y="1"/>
      <w:rPr>
        <w:rStyle w:val="slostrnky"/>
        <w:sz w:val="16"/>
      </w:rPr>
    </w:pPr>
    <w:r>
      <w:rPr>
        <w:rStyle w:val="slostrnky"/>
        <w:sz w:val="16"/>
      </w:rPr>
      <w:fldChar w:fldCharType="begin"/>
    </w:r>
    <w:r w:rsidR="00EB3526">
      <w:rPr>
        <w:rStyle w:val="slostrnky"/>
        <w:sz w:val="16"/>
      </w:rPr>
      <w:instrText xml:space="preserve">PAGE  </w:instrText>
    </w:r>
    <w:r>
      <w:rPr>
        <w:rStyle w:val="slostrnky"/>
        <w:sz w:val="16"/>
      </w:rPr>
      <w:fldChar w:fldCharType="separate"/>
    </w:r>
    <w:r w:rsidR="00D04F7F">
      <w:rPr>
        <w:rStyle w:val="slostrnky"/>
        <w:noProof/>
        <w:sz w:val="16"/>
      </w:rPr>
      <w:t>1</w:t>
    </w:r>
    <w:r>
      <w:rPr>
        <w:rStyle w:val="slostrnky"/>
        <w:sz w:val="16"/>
      </w:rPr>
      <w:fldChar w:fldCharType="end"/>
    </w:r>
  </w:p>
  <w:p w:rsidR="00EB3526" w:rsidRDefault="00EB3526">
    <w:pPr>
      <w:pStyle w:val="Rbntext"/>
      <w:ind w:right="360" w:firstLine="360"/>
      <w:jc w:val="center"/>
    </w:pPr>
    <w:r>
      <w:rPr>
        <w:sz w:val="16"/>
      </w:rPr>
      <w:t xml:space="preserve">Základní tendence demografického, sociálního a ekonomického vývoje </w:t>
    </w:r>
    <w:r w:rsidRPr="00241A51">
      <w:rPr>
        <w:sz w:val="16"/>
      </w:rPr>
      <w:t>Karlovarského</w:t>
    </w:r>
    <w:r>
      <w:rPr>
        <w:color w:val="FF0000"/>
        <w:sz w:val="16"/>
      </w:rPr>
      <w:t xml:space="preserve"> </w:t>
    </w:r>
    <w:r>
      <w:rPr>
        <w:sz w:val="16"/>
      </w:rPr>
      <w:t>kraje v roce 2013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61E" w:rsidRDefault="0003761E">
      <w:r>
        <w:separator/>
      </w:r>
    </w:p>
  </w:footnote>
  <w:footnote w:type="continuationSeparator" w:id="0">
    <w:p w:rsidR="0003761E" w:rsidRDefault="0003761E">
      <w:r>
        <w:continuationSeparator/>
      </w:r>
    </w:p>
  </w:footnote>
  <w:footnote w:id="1">
    <w:p w:rsidR="001C74B4" w:rsidRDefault="001C74B4">
      <w:pPr>
        <w:pStyle w:val="Textpoznpodarou"/>
      </w:pPr>
      <w:r>
        <w:rPr>
          <w:rStyle w:val="Znakapoznpodarou"/>
        </w:rPr>
        <w:footnoteRef/>
      </w:r>
      <w:r>
        <w:t xml:space="preserve"> Výběrové šetření pracovních sil provádí ČSÚ za účelem zachycení situace a vývoje na trhu práce. Šetření vychází z metodiky Mezinárodní organizace práce (ILO) a výsledné ukazatele, které jsou jednotně definované </w:t>
      </w:r>
      <w:proofErr w:type="spellStart"/>
      <w:r>
        <w:t>Eurostatem</w:t>
      </w:r>
      <w:proofErr w:type="spellEnd"/>
      <w:r>
        <w:t>, jsou mezinárodně srovnatelné v rámci zemí EU. Údaje se publikují čtvrtletně a ročně do úrovně krajů.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7EFF"/>
    <w:multiLevelType w:val="hybridMultilevel"/>
    <w:tmpl w:val="AA7C0B06"/>
    <w:lvl w:ilvl="0" w:tplc="2AE290F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kern w:val="32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55E64"/>
    <w:multiLevelType w:val="hybridMultilevel"/>
    <w:tmpl w:val="FF5E4A34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A25A79"/>
    <w:multiLevelType w:val="hybridMultilevel"/>
    <w:tmpl w:val="53901094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7C0BAE"/>
    <w:multiLevelType w:val="hybridMultilevel"/>
    <w:tmpl w:val="79A65E2C"/>
    <w:lvl w:ilvl="0" w:tplc="419EA1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0DA63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A5439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1043F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E0AD4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75EBF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29862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B32F8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418B0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BF073C"/>
    <w:multiLevelType w:val="hybridMultilevel"/>
    <w:tmpl w:val="710C51E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EB3DEC"/>
    <w:multiLevelType w:val="hybridMultilevel"/>
    <w:tmpl w:val="9D8A5F2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06C0299"/>
    <w:multiLevelType w:val="hybridMultilevel"/>
    <w:tmpl w:val="B5E0FF56"/>
    <w:lvl w:ilvl="0" w:tplc="C02A922C">
      <w:start w:val="1"/>
      <w:numFmt w:val="bullet"/>
      <w:pStyle w:val="normalnsodrkami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D5643D"/>
    <w:multiLevelType w:val="hybridMultilevel"/>
    <w:tmpl w:val="7FCC1B1A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BCF63C1"/>
    <w:multiLevelType w:val="hybridMultilevel"/>
    <w:tmpl w:val="6C929912"/>
    <w:lvl w:ilvl="0" w:tplc="F3C6A1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DC0F6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99012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D34E0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538C5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98A0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CF802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D944D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B542B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A214C2"/>
    <w:multiLevelType w:val="multilevel"/>
    <w:tmpl w:val="CD7EF4C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0">
    <w:nsid w:val="37905F58"/>
    <w:multiLevelType w:val="multilevel"/>
    <w:tmpl w:val="3AD2064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suff w:val="space"/>
      <w:lvlText w:val="%1.%2."/>
      <w:lvlJc w:val="left"/>
      <w:pPr>
        <w:ind w:left="624" w:hanging="624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suff w:val="space"/>
      <w:lvlText w:val="Tab. %1.%2.%3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Restart w:val="0"/>
      <w:suff w:val="space"/>
      <w:lvlText w:val="Graf %4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4">
      <w:start w:val="1"/>
      <w:numFmt w:val="none"/>
      <w:lvlRestart w:val="2"/>
      <w:suff w:val="space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39356FAB"/>
    <w:multiLevelType w:val="hybridMultilevel"/>
    <w:tmpl w:val="D2D61754"/>
    <w:lvl w:ilvl="0" w:tplc="3904DA1E">
      <w:start w:val="1"/>
      <w:numFmt w:val="decimal"/>
      <w:pStyle w:val="Nadpis1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032543"/>
    <w:multiLevelType w:val="hybridMultilevel"/>
    <w:tmpl w:val="59F8FA1C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09F6259"/>
    <w:multiLevelType w:val="multilevel"/>
    <w:tmpl w:val="5F0256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>
    <w:nsid w:val="40C17374"/>
    <w:multiLevelType w:val="hybridMultilevel"/>
    <w:tmpl w:val="997A7FF2"/>
    <w:lvl w:ilvl="0" w:tplc="20B05D3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41BD209C"/>
    <w:multiLevelType w:val="hybridMultilevel"/>
    <w:tmpl w:val="E4F05C5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1C38EB"/>
    <w:multiLevelType w:val="hybridMultilevel"/>
    <w:tmpl w:val="B66E33E6"/>
    <w:lvl w:ilvl="0" w:tplc="44BAF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B8C9C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2A43A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7E862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38254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063E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96A33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850D6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C89A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6E4C15"/>
    <w:multiLevelType w:val="hybridMultilevel"/>
    <w:tmpl w:val="EC589EEE"/>
    <w:lvl w:ilvl="0" w:tplc="C688D0C4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A675AA"/>
    <w:multiLevelType w:val="hybridMultilevel"/>
    <w:tmpl w:val="EC589EEE"/>
    <w:lvl w:ilvl="0" w:tplc="08227994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EC5D64"/>
    <w:multiLevelType w:val="hybridMultilevel"/>
    <w:tmpl w:val="FD5A289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344518"/>
    <w:multiLevelType w:val="hybridMultilevel"/>
    <w:tmpl w:val="BEF2CDD0"/>
    <w:lvl w:ilvl="0" w:tplc="376475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3211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EEC78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7880E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AB052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35A8B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594EF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E80C7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F1E0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CB7216"/>
    <w:multiLevelType w:val="hybridMultilevel"/>
    <w:tmpl w:val="EC589EEE"/>
    <w:lvl w:ilvl="0" w:tplc="AF829932">
      <w:start w:val="1"/>
      <w:numFmt w:val="bullet"/>
      <w:lvlText w:val=""/>
      <w:lvlJc w:val="left"/>
      <w:pPr>
        <w:tabs>
          <w:tab w:val="num" w:pos="417"/>
        </w:tabs>
        <w:ind w:left="0" w:firstLine="5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AB56198"/>
    <w:multiLevelType w:val="hybridMultilevel"/>
    <w:tmpl w:val="C4128E2A"/>
    <w:lvl w:ilvl="0" w:tplc="6B865C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3C0A0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D5E97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438C3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872D4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6EC0D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DAA59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ED04A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A48F9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D9607B"/>
    <w:multiLevelType w:val="hybridMultilevel"/>
    <w:tmpl w:val="31E6A404"/>
    <w:lvl w:ilvl="0" w:tplc="DC88D7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570B8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F109B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9CC94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79A1B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2E6CC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848B6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158CE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0BE3C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3D68C4"/>
    <w:multiLevelType w:val="hybridMultilevel"/>
    <w:tmpl w:val="F0CA277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F346794"/>
    <w:multiLevelType w:val="hybridMultilevel"/>
    <w:tmpl w:val="AE849F66"/>
    <w:lvl w:ilvl="0" w:tplc="3F0AAC5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71DC430A"/>
    <w:multiLevelType w:val="multilevel"/>
    <w:tmpl w:val="1080472A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>
    <w:nsid w:val="721A2E8F"/>
    <w:multiLevelType w:val="multilevel"/>
    <w:tmpl w:val="AD5066C6"/>
    <w:lvl w:ilvl="0">
      <w:start w:val="3"/>
      <w:numFmt w:val="decimal"/>
      <w:lvlText w:val="%1.."/>
      <w:lvlJc w:val="left"/>
      <w:pPr>
        <w:tabs>
          <w:tab w:val="num" w:pos="720"/>
        </w:tabs>
        <w:ind w:left="15" w:hanging="15"/>
      </w:pPr>
      <w:rPr>
        <w:rFonts w:hint="default"/>
        <w:sz w:val="20"/>
      </w:rPr>
    </w:lvl>
    <w:lvl w:ilvl="1">
      <w:start w:val="2"/>
      <w:numFmt w:val="decimal"/>
      <w:lvlText w:val="%1.%2.."/>
      <w:lvlJc w:val="left"/>
      <w:pPr>
        <w:tabs>
          <w:tab w:val="num" w:pos="720"/>
        </w:tabs>
        <w:ind w:left="15" w:hanging="15"/>
      </w:pPr>
      <w:rPr>
        <w:rFonts w:hint="default"/>
        <w:sz w:val="20"/>
      </w:rPr>
    </w:lvl>
    <w:lvl w:ilvl="2">
      <w:start w:val="1"/>
      <w:numFmt w:val="decimal"/>
      <w:lvlText w:val="%1.%2.%3.."/>
      <w:lvlJc w:val="left"/>
      <w:pPr>
        <w:tabs>
          <w:tab w:val="num" w:pos="720"/>
        </w:tabs>
        <w:ind w:left="15" w:hanging="15"/>
      </w:pPr>
      <w:rPr>
        <w:rFonts w:hint="default"/>
        <w:sz w:val="20"/>
      </w:rPr>
    </w:lvl>
    <w:lvl w:ilvl="3">
      <w:start w:val="1"/>
      <w:numFmt w:val="decimal"/>
      <w:lvlText w:val="%1.%2.%3.%3.."/>
      <w:lvlJc w:val="left"/>
      <w:pPr>
        <w:tabs>
          <w:tab w:val="num" w:pos="1080"/>
        </w:tabs>
        <w:ind w:left="375" w:hanging="375"/>
      </w:pPr>
      <w:rPr>
        <w:rFonts w:hint="default"/>
        <w:sz w:val="20"/>
      </w:rPr>
    </w:lvl>
    <w:lvl w:ilvl="4">
      <w:start w:val="1"/>
      <w:numFmt w:val="decimal"/>
      <w:lvlText w:val="%1.%2.%3.%3.%4.."/>
      <w:lvlJc w:val="left"/>
      <w:pPr>
        <w:tabs>
          <w:tab w:val="num" w:pos="1080"/>
        </w:tabs>
        <w:ind w:left="375" w:hanging="375"/>
      </w:pPr>
      <w:rPr>
        <w:rFonts w:hint="default"/>
        <w:sz w:val="20"/>
      </w:rPr>
    </w:lvl>
    <w:lvl w:ilvl="5">
      <w:start w:val="1"/>
      <w:numFmt w:val="decimal"/>
      <w:lvlText w:val="%1.%2.%3.%3.%4.%5.."/>
      <w:lvlJc w:val="left"/>
      <w:pPr>
        <w:tabs>
          <w:tab w:val="num" w:pos="1440"/>
        </w:tabs>
        <w:ind w:left="735" w:hanging="735"/>
      </w:pPr>
      <w:rPr>
        <w:rFonts w:hint="default"/>
        <w:sz w:val="20"/>
      </w:rPr>
    </w:lvl>
    <w:lvl w:ilvl="6">
      <w:start w:val="1"/>
      <w:numFmt w:val="decimal"/>
      <w:lvlText w:val="%1.%2.%3.%3.%4.%5.%6.."/>
      <w:lvlJc w:val="left"/>
      <w:pPr>
        <w:tabs>
          <w:tab w:val="num" w:pos="1440"/>
        </w:tabs>
        <w:ind w:left="735" w:hanging="735"/>
      </w:pPr>
      <w:rPr>
        <w:rFonts w:hint="default"/>
        <w:sz w:val="20"/>
      </w:rPr>
    </w:lvl>
    <w:lvl w:ilvl="7">
      <w:start w:val="1"/>
      <w:numFmt w:val="decimal"/>
      <w:lvlText w:val="%1.%2.%3.%3.%4.%5.%6.%7.."/>
      <w:lvlJc w:val="left"/>
      <w:pPr>
        <w:tabs>
          <w:tab w:val="num" w:pos="1800"/>
        </w:tabs>
        <w:ind w:left="1095" w:hanging="1095"/>
      </w:pPr>
      <w:rPr>
        <w:rFonts w:hint="default"/>
        <w:sz w:val="20"/>
      </w:rPr>
    </w:lvl>
    <w:lvl w:ilvl="8">
      <w:start w:val="1"/>
      <w:numFmt w:val="decimal"/>
      <w:lvlText w:val="%1.%2.%3.%3.%4.%5.%6.%7.%8.."/>
      <w:lvlJc w:val="left"/>
      <w:pPr>
        <w:tabs>
          <w:tab w:val="num" w:pos="1800"/>
        </w:tabs>
        <w:ind w:left="1095" w:hanging="1095"/>
      </w:pPr>
      <w:rPr>
        <w:rFonts w:hint="default"/>
        <w:sz w:val="20"/>
      </w:rPr>
    </w:lvl>
  </w:abstractNum>
  <w:abstractNum w:abstractNumId="28">
    <w:nsid w:val="74D54FB5"/>
    <w:multiLevelType w:val="multilevel"/>
    <w:tmpl w:val="368610AC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772F27D4"/>
    <w:multiLevelType w:val="hybridMultilevel"/>
    <w:tmpl w:val="71822B0A"/>
    <w:lvl w:ilvl="0" w:tplc="569E60D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015912"/>
    <w:multiLevelType w:val="hybridMultilevel"/>
    <w:tmpl w:val="06880BD0"/>
    <w:lvl w:ilvl="0" w:tplc="D3389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6"/>
  </w:num>
  <w:num w:numId="3">
    <w:abstractNumId w:val="6"/>
  </w:num>
  <w:num w:numId="4">
    <w:abstractNumId w:val="21"/>
  </w:num>
  <w:num w:numId="5">
    <w:abstractNumId w:val="30"/>
  </w:num>
  <w:num w:numId="6">
    <w:abstractNumId w:val="9"/>
  </w:num>
  <w:num w:numId="7">
    <w:abstractNumId w:val="4"/>
  </w:num>
  <w:num w:numId="8">
    <w:abstractNumId w:val="15"/>
  </w:num>
  <w:num w:numId="9">
    <w:abstractNumId w:val="16"/>
  </w:num>
  <w:num w:numId="10">
    <w:abstractNumId w:val="28"/>
  </w:num>
  <w:num w:numId="11">
    <w:abstractNumId w:val="27"/>
  </w:num>
  <w:num w:numId="12">
    <w:abstractNumId w:val="13"/>
  </w:num>
  <w:num w:numId="13">
    <w:abstractNumId w:val="17"/>
  </w:num>
  <w:num w:numId="14">
    <w:abstractNumId w:val="18"/>
  </w:num>
  <w:num w:numId="15">
    <w:abstractNumId w:val="19"/>
  </w:num>
  <w:num w:numId="16">
    <w:abstractNumId w:val="24"/>
  </w:num>
  <w:num w:numId="17">
    <w:abstractNumId w:val="29"/>
  </w:num>
  <w:num w:numId="18">
    <w:abstractNumId w:val="2"/>
  </w:num>
  <w:num w:numId="19">
    <w:abstractNumId w:val="7"/>
  </w:num>
  <w:num w:numId="20">
    <w:abstractNumId w:val="23"/>
  </w:num>
  <w:num w:numId="21">
    <w:abstractNumId w:val="20"/>
  </w:num>
  <w:num w:numId="22">
    <w:abstractNumId w:val="22"/>
  </w:num>
  <w:num w:numId="23">
    <w:abstractNumId w:val="8"/>
  </w:num>
  <w:num w:numId="24">
    <w:abstractNumId w:val="3"/>
  </w:num>
  <w:num w:numId="25">
    <w:abstractNumId w:val="12"/>
  </w:num>
  <w:num w:numId="26">
    <w:abstractNumId w:val="1"/>
  </w:num>
  <w:num w:numId="27">
    <w:abstractNumId w:val="10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25"/>
  </w:num>
  <w:num w:numId="30">
    <w:abstractNumId w:val="5"/>
  </w:num>
  <w:num w:numId="31">
    <w:abstractNumId w:val="11"/>
  </w:num>
  <w:num w:numId="3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proofState w:spelling="clean" w:grammar="clean"/>
  <w:doNotTrackMoves/>
  <w:defaultTabStop w:val="0"/>
  <w:hyphenationZone w:val="425"/>
  <w:noPunctuationKerning/>
  <w:characterSpacingControl w:val="doNotCompress"/>
  <w:hdrShapeDefaults>
    <o:shapedefaults v:ext="edit" spidmax="5939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4EEC"/>
    <w:rsid w:val="000008B4"/>
    <w:rsid w:val="00000981"/>
    <w:rsid w:val="00001F61"/>
    <w:rsid w:val="00006973"/>
    <w:rsid w:val="00011B35"/>
    <w:rsid w:val="000124D8"/>
    <w:rsid w:val="00014476"/>
    <w:rsid w:val="0002144F"/>
    <w:rsid w:val="000319C6"/>
    <w:rsid w:val="0003761E"/>
    <w:rsid w:val="000508DA"/>
    <w:rsid w:val="000530CC"/>
    <w:rsid w:val="00053591"/>
    <w:rsid w:val="00054EC9"/>
    <w:rsid w:val="00060702"/>
    <w:rsid w:val="00070BFE"/>
    <w:rsid w:val="00073AE6"/>
    <w:rsid w:val="0009394E"/>
    <w:rsid w:val="000A50BA"/>
    <w:rsid w:val="000B7D18"/>
    <w:rsid w:val="000D02F3"/>
    <w:rsid w:val="000D5A5C"/>
    <w:rsid w:val="000E5996"/>
    <w:rsid w:val="000E663A"/>
    <w:rsid w:val="000E7CFC"/>
    <w:rsid w:val="000F21AE"/>
    <w:rsid w:val="000F2F6C"/>
    <w:rsid w:val="001001BE"/>
    <w:rsid w:val="001056F0"/>
    <w:rsid w:val="001061D3"/>
    <w:rsid w:val="00106F2C"/>
    <w:rsid w:val="00113FAB"/>
    <w:rsid w:val="001156A4"/>
    <w:rsid w:val="00122552"/>
    <w:rsid w:val="00134841"/>
    <w:rsid w:val="00135AB3"/>
    <w:rsid w:val="0014430E"/>
    <w:rsid w:val="00147657"/>
    <w:rsid w:val="00152EF4"/>
    <w:rsid w:val="00154083"/>
    <w:rsid w:val="00154D24"/>
    <w:rsid w:val="00156E28"/>
    <w:rsid w:val="00160DD9"/>
    <w:rsid w:val="00163F03"/>
    <w:rsid w:val="00172C77"/>
    <w:rsid w:val="0017742A"/>
    <w:rsid w:val="00177EE0"/>
    <w:rsid w:val="00185D01"/>
    <w:rsid w:val="00186282"/>
    <w:rsid w:val="00191C64"/>
    <w:rsid w:val="00195636"/>
    <w:rsid w:val="00196E1B"/>
    <w:rsid w:val="001A2476"/>
    <w:rsid w:val="001A5A21"/>
    <w:rsid w:val="001A6F55"/>
    <w:rsid w:val="001B08A1"/>
    <w:rsid w:val="001C1A41"/>
    <w:rsid w:val="001C2C3C"/>
    <w:rsid w:val="001C4B04"/>
    <w:rsid w:val="001C5741"/>
    <w:rsid w:val="001C74B4"/>
    <w:rsid w:val="001D3564"/>
    <w:rsid w:val="001E0ABE"/>
    <w:rsid w:val="001F07E6"/>
    <w:rsid w:val="001F67D0"/>
    <w:rsid w:val="00202E3B"/>
    <w:rsid w:val="00215C80"/>
    <w:rsid w:val="0022045E"/>
    <w:rsid w:val="00221616"/>
    <w:rsid w:val="00221682"/>
    <w:rsid w:val="0023185E"/>
    <w:rsid w:val="00231899"/>
    <w:rsid w:val="00237BB2"/>
    <w:rsid w:val="00241A51"/>
    <w:rsid w:val="00245861"/>
    <w:rsid w:val="002800AB"/>
    <w:rsid w:val="002941F4"/>
    <w:rsid w:val="00295044"/>
    <w:rsid w:val="002955AA"/>
    <w:rsid w:val="00297E0C"/>
    <w:rsid w:val="002A0AE6"/>
    <w:rsid w:val="002A0D8A"/>
    <w:rsid w:val="002A3B42"/>
    <w:rsid w:val="002A4ABB"/>
    <w:rsid w:val="002A78DD"/>
    <w:rsid w:val="002B1930"/>
    <w:rsid w:val="002B4DAC"/>
    <w:rsid w:val="002C2F5C"/>
    <w:rsid w:val="002D240B"/>
    <w:rsid w:val="002E13CA"/>
    <w:rsid w:val="002E54DB"/>
    <w:rsid w:val="00303583"/>
    <w:rsid w:val="00306A8F"/>
    <w:rsid w:val="00311222"/>
    <w:rsid w:val="00313A2E"/>
    <w:rsid w:val="00314D21"/>
    <w:rsid w:val="00347AA5"/>
    <w:rsid w:val="00354F05"/>
    <w:rsid w:val="003557F7"/>
    <w:rsid w:val="00356BC2"/>
    <w:rsid w:val="00361832"/>
    <w:rsid w:val="00365019"/>
    <w:rsid w:val="00374DF9"/>
    <w:rsid w:val="003764CE"/>
    <w:rsid w:val="00381F31"/>
    <w:rsid w:val="00392400"/>
    <w:rsid w:val="003A4E6B"/>
    <w:rsid w:val="003A5323"/>
    <w:rsid w:val="003C7CA1"/>
    <w:rsid w:val="003D2D1E"/>
    <w:rsid w:val="003E0CC7"/>
    <w:rsid w:val="003E2FD3"/>
    <w:rsid w:val="003E50EC"/>
    <w:rsid w:val="004045D7"/>
    <w:rsid w:val="00406A39"/>
    <w:rsid w:val="004073B6"/>
    <w:rsid w:val="00414C67"/>
    <w:rsid w:val="004274FA"/>
    <w:rsid w:val="00433398"/>
    <w:rsid w:val="00433945"/>
    <w:rsid w:val="004476B6"/>
    <w:rsid w:val="00475A64"/>
    <w:rsid w:val="0047602B"/>
    <w:rsid w:val="00481C9B"/>
    <w:rsid w:val="00490C5E"/>
    <w:rsid w:val="004A537D"/>
    <w:rsid w:val="004D4527"/>
    <w:rsid w:val="004E2F59"/>
    <w:rsid w:val="004F17C6"/>
    <w:rsid w:val="0050128A"/>
    <w:rsid w:val="00502E3C"/>
    <w:rsid w:val="0051250F"/>
    <w:rsid w:val="00520AFE"/>
    <w:rsid w:val="00530E35"/>
    <w:rsid w:val="0053212F"/>
    <w:rsid w:val="0053500E"/>
    <w:rsid w:val="00535160"/>
    <w:rsid w:val="005375BC"/>
    <w:rsid w:val="00555F17"/>
    <w:rsid w:val="00557D1C"/>
    <w:rsid w:val="005659BB"/>
    <w:rsid w:val="00571B20"/>
    <w:rsid w:val="00576DD8"/>
    <w:rsid w:val="00581BA0"/>
    <w:rsid w:val="00581C84"/>
    <w:rsid w:val="00583CBE"/>
    <w:rsid w:val="005861C1"/>
    <w:rsid w:val="005958E4"/>
    <w:rsid w:val="005A42D1"/>
    <w:rsid w:val="005B0ECD"/>
    <w:rsid w:val="005D0BF4"/>
    <w:rsid w:val="005D4A9B"/>
    <w:rsid w:val="005D6BB7"/>
    <w:rsid w:val="005D6F4E"/>
    <w:rsid w:val="005E721D"/>
    <w:rsid w:val="005E7637"/>
    <w:rsid w:val="005F66D1"/>
    <w:rsid w:val="00604F29"/>
    <w:rsid w:val="0060538F"/>
    <w:rsid w:val="0061231C"/>
    <w:rsid w:val="0061461A"/>
    <w:rsid w:val="00624C8E"/>
    <w:rsid w:val="006267BD"/>
    <w:rsid w:val="0063419C"/>
    <w:rsid w:val="00635FCA"/>
    <w:rsid w:val="006455C9"/>
    <w:rsid w:val="00645662"/>
    <w:rsid w:val="00647E36"/>
    <w:rsid w:val="006552ED"/>
    <w:rsid w:val="00686564"/>
    <w:rsid w:val="00690C59"/>
    <w:rsid w:val="00690F7C"/>
    <w:rsid w:val="006913DF"/>
    <w:rsid w:val="00696B03"/>
    <w:rsid w:val="006A0BBB"/>
    <w:rsid w:val="006A53FB"/>
    <w:rsid w:val="006A75CE"/>
    <w:rsid w:val="006C0920"/>
    <w:rsid w:val="006C3AD4"/>
    <w:rsid w:val="006D4502"/>
    <w:rsid w:val="006D7220"/>
    <w:rsid w:val="006E0E24"/>
    <w:rsid w:val="006E4F88"/>
    <w:rsid w:val="006E5E9A"/>
    <w:rsid w:val="006F0609"/>
    <w:rsid w:val="006F39F4"/>
    <w:rsid w:val="006F71A4"/>
    <w:rsid w:val="00704152"/>
    <w:rsid w:val="00704488"/>
    <w:rsid w:val="007070F0"/>
    <w:rsid w:val="00732FC5"/>
    <w:rsid w:val="007361B1"/>
    <w:rsid w:val="00736347"/>
    <w:rsid w:val="007421FA"/>
    <w:rsid w:val="0074534C"/>
    <w:rsid w:val="007516FF"/>
    <w:rsid w:val="00764660"/>
    <w:rsid w:val="00774EEC"/>
    <w:rsid w:val="00785780"/>
    <w:rsid w:val="00791BBD"/>
    <w:rsid w:val="007A0669"/>
    <w:rsid w:val="007A4AB3"/>
    <w:rsid w:val="007B3BB9"/>
    <w:rsid w:val="007B3CEE"/>
    <w:rsid w:val="007B64BB"/>
    <w:rsid w:val="007B71E9"/>
    <w:rsid w:val="007B73F2"/>
    <w:rsid w:val="007C121A"/>
    <w:rsid w:val="007C7F44"/>
    <w:rsid w:val="007D49A4"/>
    <w:rsid w:val="007E1472"/>
    <w:rsid w:val="007E742A"/>
    <w:rsid w:val="007F5ECA"/>
    <w:rsid w:val="0082185C"/>
    <w:rsid w:val="00834F78"/>
    <w:rsid w:val="0084454A"/>
    <w:rsid w:val="00845141"/>
    <w:rsid w:val="00852492"/>
    <w:rsid w:val="00861281"/>
    <w:rsid w:val="00872E06"/>
    <w:rsid w:val="00876542"/>
    <w:rsid w:val="008801E2"/>
    <w:rsid w:val="008840B0"/>
    <w:rsid w:val="00884418"/>
    <w:rsid w:val="0088665B"/>
    <w:rsid w:val="00887285"/>
    <w:rsid w:val="008874D8"/>
    <w:rsid w:val="008A09F6"/>
    <w:rsid w:val="008A28D9"/>
    <w:rsid w:val="008A7092"/>
    <w:rsid w:val="008B3363"/>
    <w:rsid w:val="008B447C"/>
    <w:rsid w:val="008C4883"/>
    <w:rsid w:val="008E0138"/>
    <w:rsid w:val="008E1F9A"/>
    <w:rsid w:val="008E2C03"/>
    <w:rsid w:val="008E7D2A"/>
    <w:rsid w:val="008F0E5D"/>
    <w:rsid w:val="008F3D80"/>
    <w:rsid w:val="008F69D9"/>
    <w:rsid w:val="00922974"/>
    <w:rsid w:val="009237C0"/>
    <w:rsid w:val="0092629B"/>
    <w:rsid w:val="00934DA5"/>
    <w:rsid w:val="00946546"/>
    <w:rsid w:val="00956951"/>
    <w:rsid w:val="00960B16"/>
    <w:rsid w:val="00963D25"/>
    <w:rsid w:val="009669C9"/>
    <w:rsid w:val="009671C9"/>
    <w:rsid w:val="009818CE"/>
    <w:rsid w:val="00981FF7"/>
    <w:rsid w:val="00986F01"/>
    <w:rsid w:val="00993AB2"/>
    <w:rsid w:val="0099433A"/>
    <w:rsid w:val="009A399C"/>
    <w:rsid w:val="009A44C7"/>
    <w:rsid w:val="009A48E5"/>
    <w:rsid w:val="009B01A8"/>
    <w:rsid w:val="009B390D"/>
    <w:rsid w:val="009B62FA"/>
    <w:rsid w:val="009C76A3"/>
    <w:rsid w:val="009C7F70"/>
    <w:rsid w:val="009D6AC4"/>
    <w:rsid w:val="009E1787"/>
    <w:rsid w:val="009E1913"/>
    <w:rsid w:val="009E557B"/>
    <w:rsid w:val="009F0F94"/>
    <w:rsid w:val="00A0174A"/>
    <w:rsid w:val="00A02511"/>
    <w:rsid w:val="00A136EE"/>
    <w:rsid w:val="00A23330"/>
    <w:rsid w:val="00A3164F"/>
    <w:rsid w:val="00A35648"/>
    <w:rsid w:val="00A43193"/>
    <w:rsid w:val="00A55678"/>
    <w:rsid w:val="00A61825"/>
    <w:rsid w:val="00A80095"/>
    <w:rsid w:val="00A80E92"/>
    <w:rsid w:val="00A836EA"/>
    <w:rsid w:val="00A857F8"/>
    <w:rsid w:val="00A8743A"/>
    <w:rsid w:val="00AA101E"/>
    <w:rsid w:val="00AA3E9B"/>
    <w:rsid w:val="00AA7EF2"/>
    <w:rsid w:val="00AB37FD"/>
    <w:rsid w:val="00AB5305"/>
    <w:rsid w:val="00AB62E9"/>
    <w:rsid w:val="00AD1BFF"/>
    <w:rsid w:val="00AE34E0"/>
    <w:rsid w:val="00B03B15"/>
    <w:rsid w:val="00B0409F"/>
    <w:rsid w:val="00B048B3"/>
    <w:rsid w:val="00B07A92"/>
    <w:rsid w:val="00B166BD"/>
    <w:rsid w:val="00B25B35"/>
    <w:rsid w:val="00B307C4"/>
    <w:rsid w:val="00B30851"/>
    <w:rsid w:val="00B3758D"/>
    <w:rsid w:val="00B611CE"/>
    <w:rsid w:val="00B6582E"/>
    <w:rsid w:val="00B70D5E"/>
    <w:rsid w:val="00B73B7C"/>
    <w:rsid w:val="00B77C44"/>
    <w:rsid w:val="00B77F27"/>
    <w:rsid w:val="00B82E15"/>
    <w:rsid w:val="00B9228F"/>
    <w:rsid w:val="00B95855"/>
    <w:rsid w:val="00BB1C98"/>
    <w:rsid w:val="00BC49CB"/>
    <w:rsid w:val="00BC647E"/>
    <w:rsid w:val="00BD02F5"/>
    <w:rsid w:val="00BD41ED"/>
    <w:rsid w:val="00BE6495"/>
    <w:rsid w:val="00BF27CA"/>
    <w:rsid w:val="00BF37D8"/>
    <w:rsid w:val="00BF693B"/>
    <w:rsid w:val="00BF7972"/>
    <w:rsid w:val="00C01A05"/>
    <w:rsid w:val="00C067FE"/>
    <w:rsid w:val="00C07318"/>
    <w:rsid w:val="00C25636"/>
    <w:rsid w:val="00C32C08"/>
    <w:rsid w:val="00C34B9A"/>
    <w:rsid w:val="00C34EB4"/>
    <w:rsid w:val="00C42D0A"/>
    <w:rsid w:val="00C4332E"/>
    <w:rsid w:val="00C46406"/>
    <w:rsid w:val="00C54EEF"/>
    <w:rsid w:val="00C657BD"/>
    <w:rsid w:val="00C929F3"/>
    <w:rsid w:val="00C93DB6"/>
    <w:rsid w:val="00C9538E"/>
    <w:rsid w:val="00C97F1A"/>
    <w:rsid w:val="00CA7BEE"/>
    <w:rsid w:val="00CB408B"/>
    <w:rsid w:val="00CB67C2"/>
    <w:rsid w:val="00CC362D"/>
    <w:rsid w:val="00CD60C0"/>
    <w:rsid w:val="00CE20BF"/>
    <w:rsid w:val="00CE3A2D"/>
    <w:rsid w:val="00CE4CBD"/>
    <w:rsid w:val="00CE6291"/>
    <w:rsid w:val="00D03CA5"/>
    <w:rsid w:val="00D04F7F"/>
    <w:rsid w:val="00D133A2"/>
    <w:rsid w:val="00D14237"/>
    <w:rsid w:val="00D200AC"/>
    <w:rsid w:val="00D23EE2"/>
    <w:rsid w:val="00D26DFD"/>
    <w:rsid w:val="00D36E1F"/>
    <w:rsid w:val="00D37DB4"/>
    <w:rsid w:val="00D5317B"/>
    <w:rsid w:val="00D54DBF"/>
    <w:rsid w:val="00D606D3"/>
    <w:rsid w:val="00D617F6"/>
    <w:rsid w:val="00D625B0"/>
    <w:rsid w:val="00D73D87"/>
    <w:rsid w:val="00D76351"/>
    <w:rsid w:val="00D84AB0"/>
    <w:rsid w:val="00D85A30"/>
    <w:rsid w:val="00D94685"/>
    <w:rsid w:val="00D979C8"/>
    <w:rsid w:val="00DB36D2"/>
    <w:rsid w:val="00DC0B13"/>
    <w:rsid w:val="00DC44BE"/>
    <w:rsid w:val="00DD2A66"/>
    <w:rsid w:val="00DE0AF2"/>
    <w:rsid w:val="00DE254D"/>
    <w:rsid w:val="00DE4229"/>
    <w:rsid w:val="00DF7B7F"/>
    <w:rsid w:val="00E11CBA"/>
    <w:rsid w:val="00E2039B"/>
    <w:rsid w:val="00E23629"/>
    <w:rsid w:val="00E31420"/>
    <w:rsid w:val="00E450C3"/>
    <w:rsid w:val="00E45733"/>
    <w:rsid w:val="00E564CC"/>
    <w:rsid w:val="00E626ED"/>
    <w:rsid w:val="00E67A34"/>
    <w:rsid w:val="00E82858"/>
    <w:rsid w:val="00E866F7"/>
    <w:rsid w:val="00E90939"/>
    <w:rsid w:val="00E92403"/>
    <w:rsid w:val="00EB3526"/>
    <w:rsid w:val="00EB6121"/>
    <w:rsid w:val="00ED4E36"/>
    <w:rsid w:val="00ED7354"/>
    <w:rsid w:val="00ED7784"/>
    <w:rsid w:val="00EF7B32"/>
    <w:rsid w:val="00F10AAF"/>
    <w:rsid w:val="00F2637E"/>
    <w:rsid w:val="00F46E6E"/>
    <w:rsid w:val="00F6058D"/>
    <w:rsid w:val="00F70CF6"/>
    <w:rsid w:val="00F742C4"/>
    <w:rsid w:val="00F84BB0"/>
    <w:rsid w:val="00F92A8B"/>
    <w:rsid w:val="00F971C1"/>
    <w:rsid w:val="00FB3721"/>
    <w:rsid w:val="00FB4E39"/>
    <w:rsid w:val="00FB5591"/>
    <w:rsid w:val="00FC01C0"/>
    <w:rsid w:val="00FC10ED"/>
    <w:rsid w:val="00FC3738"/>
    <w:rsid w:val="00FC4353"/>
    <w:rsid w:val="00FD1020"/>
    <w:rsid w:val="00FD2C27"/>
    <w:rsid w:val="00FD3B13"/>
    <w:rsid w:val="00FD5585"/>
    <w:rsid w:val="00FE258D"/>
    <w:rsid w:val="00FF0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08A1"/>
    <w:pPr>
      <w:jc w:val="both"/>
    </w:pPr>
    <w:rPr>
      <w:rFonts w:ascii="Arial" w:hAnsi="Arial"/>
      <w:szCs w:val="24"/>
    </w:rPr>
  </w:style>
  <w:style w:type="paragraph" w:styleId="Nadpis1">
    <w:name w:val="heading 1"/>
    <w:basedOn w:val="Normln"/>
    <w:next w:val="Normln"/>
    <w:qFormat/>
    <w:rsid w:val="00306A8F"/>
    <w:pPr>
      <w:keepNext/>
      <w:numPr>
        <w:numId w:val="31"/>
      </w:numPr>
      <w:spacing w:after="180"/>
      <w:ind w:left="142" w:hanging="357"/>
      <w:outlineLvl w:val="0"/>
    </w:pPr>
    <w:rPr>
      <w:rFonts w:cs="Arial"/>
      <w:b/>
      <w:bCs/>
      <w:caps/>
      <w:kern w:val="32"/>
      <w:sz w:val="24"/>
      <w:szCs w:val="32"/>
    </w:rPr>
  </w:style>
  <w:style w:type="paragraph" w:styleId="Nadpis2">
    <w:name w:val="heading 2"/>
    <w:basedOn w:val="Normln"/>
    <w:next w:val="Normln"/>
    <w:qFormat/>
    <w:rsid w:val="001B08A1"/>
    <w:pPr>
      <w:keepNext/>
      <w:spacing w:before="240" w:after="240"/>
      <w:outlineLvl w:val="1"/>
    </w:pPr>
    <w:rPr>
      <w:rFonts w:cs="Arial"/>
      <w:b/>
      <w:bCs/>
      <w:iCs/>
      <w:szCs w:val="28"/>
    </w:rPr>
  </w:style>
  <w:style w:type="paragraph" w:styleId="Nadpis3">
    <w:name w:val="heading 3"/>
    <w:basedOn w:val="Normln"/>
    <w:next w:val="Normln"/>
    <w:qFormat/>
    <w:rsid w:val="001B08A1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Nadpis4">
    <w:name w:val="heading 4"/>
    <w:basedOn w:val="Normln"/>
    <w:next w:val="Normln"/>
    <w:qFormat/>
    <w:rsid w:val="001B08A1"/>
    <w:pPr>
      <w:keepNext/>
      <w:jc w:val="right"/>
      <w:outlineLvl w:val="3"/>
    </w:pPr>
    <w:rPr>
      <w:i/>
      <w:iCs/>
      <w:color w:val="0000FF"/>
    </w:rPr>
  </w:style>
  <w:style w:type="paragraph" w:styleId="Nadpis5">
    <w:name w:val="heading 5"/>
    <w:basedOn w:val="Normln"/>
    <w:next w:val="Normln"/>
    <w:qFormat/>
    <w:rsid w:val="001B08A1"/>
    <w:pPr>
      <w:keepNext/>
      <w:spacing w:after="480"/>
      <w:outlineLvl w:val="4"/>
    </w:pPr>
    <w:rPr>
      <w:rFonts w:cs="Arial"/>
      <w:b/>
      <w:bCs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B08A1"/>
    <w:pPr>
      <w:spacing w:before="240" w:after="240"/>
      <w:jc w:val="center"/>
      <w:outlineLvl w:val="0"/>
    </w:pPr>
    <w:rPr>
      <w:rFonts w:cs="Arial"/>
      <w:b/>
      <w:bCs/>
      <w:kern w:val="28"/>
      <w:sz w:val="28"/>
      <w:szCs w:val="32"/>
    </w:rPr>
  </w:style>
  <w:style w:type="paragraph" w:customStyle="1" w:styleId="normalnsodrkami">
    <w:name w:val="normalní s odrážkami"/>
    <w:basedOn w:val="Normln"/>
    <w:rsid w:val="001B08A1"/>
    <w:pPr>
      <w:numPr>
        <w:numId w:val="3"/>
      </w:numPr>
    </w:pPr>
  </w:style>
  <w:style w:type="paragraph" w:styleId="Zpat">
    <w:name w:val="footer"/>
    <w:basedOn w:val="Normln"/>
    <w:semiHidden/>
    <w:rsid w:val="001B08A1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B08A1"/>
  </w:style>
  <w:style w:type="paragraph" w:styleId="Zhlav">
    <w:name w:val="header"/>
    <w:basedOn w:val="Normln"/>
    <w:semiHidden/>
    <w:rsid w:val="001B08A1"/>
    <w:pPr>
      <w:tabs>
        <w:tab w:val="center" w:pos="4536"/>
        <w:tab w:val="right" w:pos="9072"/>
      </w:tabs>
      <w:jc w:val="left"/>
    </w:pPr>
    <w:rPr>
      <w:rFonts w:ascii="Times New Roman" w:hAnsi="Times New Roman"/>
      <w:sz w:val="24"/>
    </w:rPr>
  </w:style>
  <w:style w:type="character" w:styleId="Hypertextovodkaz">
    <w:name w:val="Hyperlink"/>
    <w:basedOn w:val="Standardnpsmoodstavce"/>
    <w:rsid w:val="001B08A1"/>
    <w:rPr>
      <w:color w:val="0000FF"/>
      <w:u w:val="single"/>
    </w:rPr>
  </w:style>
  <w:style w:type="paragraph" w:styleId="Normlnweb">
    <w:name w:val="Normal (Web)"/>
    <w:basedOn w:val="Normln"/>
    <w:semiHidden/>
    <w:rsid w:val="001B08A1"/>
    <w:pPr>
      <w:spacing w:before="100" w:beforeAutospacing="1" w:after="100" w:afterAutospacing="1"/>
      <w:jc w:val="left"/>
    </w:pPr>
    <w:rPr>
      <w:rFonts w:ascii="Arial Unicode MS" w:eastAsia="Arial Unicode MS" w:hAnsi="Arial Unicode MS"/>
      <w:sz w:val="24"/>
    </w:rPr>
  </w:style>
  <w:style w:type="paragraph" w:styleId="Textpoznpodarou">
    <w:name w:val="footnote text"/>
    <w:aliases w:val="Text pozn. pod čarou_martin_ang"/>
    <w:basedOn w:val="Normln"/>
    <w:semiHidden/>
    <w:rsid w:val="001B08A1"/>
    <w:pPr>
      <w:spacing w:before="60" w:after="60"/>
      <w:ind w:left="113" w:hanging="113"/>
    </w:pPr>
    <w:rPr>
      <w:sz w:val="16"/>
      <w:szCs w:val="20"/>
    </w:rPr>
  </w:style>
  <w:style w:type="paragraph" w:styleId="Zkladntext">
    <w:name w:val="Body Text"/>
    <w:basedOn w:val="Normln"/>
    <w:semiHidden/>
    <w:rsid w:val="001B08A1"/>
    <w:pPr>
      <w:tabs>
        <w:tab w:val="left" w:pos="9000"/>
      </w:tabs>
      <w:ind w:right="-110"/>
    </w:pPr>
    <w:rPr>
      <w:rFonts w:cs="Arial"/>
    </w:rPr>
  </w:style>
  <w:style w:type="paragraph" w:styleId="Zkladntext2">
    <w:name w:val="Body Text 2"/>
    <w:basedOn w:val="Normln"/>
    <w:semiHidden/>
    <w:rsid w:val="001B08A1"/>
    <w:pPr>
      <w:tabs>
        <w:tab w:val="left" w:pos="9000"/>
      </w:tabs>
      <w:ind w:right="-70"/>
    </w:pPr>
    <w:rPr>
      <w:rFonts w:cs="Arial"/>
    </w:rPr>
  </w:style>
  <w:style w:type="character" w:styleId="Znakapoznpodarou">
    <w:name w:val="footnote reference"/>
    <w:basedOn w:val="Standardnpsmoodstavce"/>
    <w:semiHidden/>
    <w:rsid w:val="001B08A1"/>
    <w:rPr>
      <w:sz w:val="16"/>
      <w:vertAlign w:val="superscript"/>
    </w:rPr>
  </w:style>
  <w:style w:type="character" w:styleId="Sledovanodkaz">
    <w:name w:val="FollowedHyperlink"/>
    <w:basedOn w:val="Standardnpsmoodstavce"/>
    <w:semiHidden/>
    <w:rsid w:val="001B08A1"/>
    <w:rPr>
      <w:color w:val="800080"/>
      <w:u w:val="single"/>
    </w:rPr>
  </w:style>
  <w:style w:type="paragraph" w:styleId="Zkladntext3">
    <w:name w:val="Body Text 3"/>
    <w:basedOn w:val="Normln"/>
    <w:semiHidden/>
    <w:rsid w:val="001B08A1"/>
    <w:rPr>
      <w:i/>
      <w:iCs/>
      <w:color w:val="0000FF"/>
    </w:rPr>
  </w:style>
  <w:style w:type="paragraph" w:styleId="Zkladntextodsazen">
    <w:name w:val="Body Text Indent"/>
    <w:basedOn w:val="Normln"/>
    <w:semiHidden/>
    <w:rsid w:val="001B08A1"/>
    <w:pPr>
      <w:ind w:firstLine="708"/>
    </w:pPr>
  </w:style>
  <w:style w:type="paragraph" w:styleId="Titulek">
    <w:name w:val="caption"/>
    <w:basedOn w:val="Normln"/>
    <w:next w:val="Normln"/>
    <w:qFormat/>
    <w:rsid w:val="001B08A1"/>
    <w:pPr>
      <w:tabs>
        <w:tab w:val="left" w:pos="1260"/>
      </w:tabs>
    </w:pPr>
    <w:rPr>
      <w:b/>
      <w:bCs/>
    </w:rPr>
  </w:style>
  <w:style w:type="paragraph" w:customStyle="1" w:styleId="text">
    <w:name w:val="text"/>
    <w:basedOn w:val="Normln"/>
    <w:rsid w:val="001B08A1"/>
    <w:pPr>
      <w:spacing w:before="60" w:after="60"/>
    </w:pPr>
  </w:style>
  <w:style w:type="paragraph" w:customStyle="1" w:styleId="textRR">
    <w:name w:val="text RR"/>
    <w:rsid w:val="001B08A1"/>
    <w:pPr>
      <w:spacing w:before="120"/>
      <w:jc w:val="both"/>
    </w:pPr>
    <w:rPr>
      <w:rFonts w:ascii="Arial" w:hAnsi="Arial"/>
    </w:rPr>
  </w:style>
  <w:style w:type="paragraph" w:customStyle="1" w:styleId="Rbntext">
    <w:name w:val="R běžný text"/>
    <w:rsid w:val="001B08A1"/>
    <w:pPr>
      <w:spacing w:after="120"/>
      <w:jc w:val="both"/>
    </w:pPr>
    <w:rPr>
      <w:rFonts w:ascii="Arial" w:hAnsi="Arial"/>
    </w:rPr>
  </w:style>
  <w:style w:type="paragraph" w:customStyle="1" w:styleId="Rnadpis">
    <w:name w:val="R nadpis"/>
    <w:basedOn w:val="Rbntext"/>
    <w:next w:val="Rbntext"/>
    <w:rsid w:val="00F6058D"/>
    <w:pPr>
      <w:tabs>
        <w:tab w:val="right" w:pos="9356"/>
      </w:tabs>
      <w:spacing w:before="360" w:after="240"/>
      <w:jc w:val="left"/>
      <w:outlineLvl w:val="0"/>
    </w:pPr>
    <w:rPr>
      <w:b/>
      <w:caps/>
      <w:sz w:val="24"/>
    </w:rPr>
  </w:style>
  <w:style w:type="paragraph" w:customStyle="1" w:styleId="Rtextobsah">
    <w:name w:val="R text obsah"/>
    <w:basedOn w:val="Rbntext"/>
    <w:rsid w:val="001B08A1"/>
    <w:pPr>
      <w:tabs>
        <w:tab w:val="right" w:leader="dot" w:pos="4423"/>
      </w:tabs>
      <w:ind w:left="454" w:hanging="454"/>
    </w:pPr>
    <w:rPr>
      <w:bCs/>
    </w:rPr>
  </w:style>
  <w:style w:type="paragraph" w:customStyle="1" w:styleId="poznamka">
    <w:name w:val="poznamka"/>
    <w:basedOn w:val="Normln"/>
    <w:rsid w:val="001B08A1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sz w:val="24"/>
    </w:rPr>
  </w:style>
  <w:style w:type="paragraph" w:customStyle="1" w:styleId="NORMAArialCE">
    <w:name w:val="NORMA Arial CE"/>
    <w:basedOn w:val="Normln"/>
    <w:rsid w:val="001B08A1"/>
    <w:pPr>
      <w:spacing w:before="120" w:after="120"/>
    </w:pPr>
  </w:style>
  <w:style w:type="paragraph" w:customStyle="1" w:styleId="RbntextA">
    <w:name w:val="R běžný text A"/>
    <w:basedOn w:val="Rbntext"/>
    <w:rsid w:val="001B08A1"/>
    <w:rPr>
      <w:i/>
      <w:lang w:val="en-GB"/>
    </w:rPr>
  </w:style>
  <w:style w:type="paragraph" w:customStyle="1" w:styleId="Ptext">
    <w:name w:val="P text"/>
    <w:rsid w:val="001B08A1"/>
    <w:pPr>
      <w:spacing w:before="60" w:after="120"/>
      <w:jc w:val="both"/>
    </w:pPr>
    <w:rPr>
      <w:rFonts w:ascii="Arial" w:hAnsi="Arial"/>
    </w:rPr>
  </w:style>
  <w:style w:type="paragraph" w:customStyle="1" w:styleId="PGraf">
    <w:name w:val="P Graf"/>
    <w:basedOn w:val="Ptext"/>
    <w:next w:val="Ptext"/>
    <w:rsid w:val="001B08A1"/>
    <w:pPr>
      <w:spacing w:before="120" w:after="0"/>
      <w:jc w:val="left"/>
    </w:pPr>
    <w:rPr>
      <w:b/>
    </w:rPr>
  </w:style>
  <w:style w:type="paragraph" w:styleId="Obsah1">
    <w:name w:val="toc 1"/>
    <w:basedOn w:val="Normln"/>
    <w:next w:val="Normln"/>
    <w:autoRedefine/>
    <w:uiPriority w:val="39"/>
    <w:unhideWhenUsed/>
    <w:rsid w:val="00433945"/>
    <w:pPr>
      <w:tabs>
        <w:tab w:val="left" w:pos="284"/>
        <w:tab w:val="right" w:leader="dot" w:pos="9628"/>
      </w:tabs>
      <w:spacing w:after="1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8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czso.cz/csu/2013edicniplan.nsf/krajpubl/411302-13-q4_2013-xk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zso.cz/csu/2014edicniplan.nsf/publ/250132-14-r_201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czso.cz/csu/2013edicniplan.nsf/publ/3101-13-q4_201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www.czso.cz/csu/2013edicniplan.nsf/krajpubl/411011-13-r_2013-x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czso.cz/csu/2013edicniplan.nsf/publ/3106-13-q4_2013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44973-6A0E-4DEC-B50D-5B5074D02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1659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Úvod</vt:lpstr>
    </vt:vector>
  </TitlesOfParts>
  <Company>CSU</Company>
  <LinksUpToDate>false</LinksUpToDate>
  <CharactersWithSpaces>11430</CharactersWithSpaces>
  <SharedDoc>false</SharedDoc>
  <HLinks>
    <vt:vector size="6" baseType="variant">
      <vt:variant>
        <vt:i4>5636130</vt:i4>
      </vt:variant>
      <vt:variant>
        <vt:i4>0</vt:i4>
      </vt:variant>
      <vt:variant>
        <vt:i4>0</vt:i4>
      </vt:variant>
      <vt:variant>
        <vt:i4>5</vt:i4>
      </vt:variant>
      <vt:variant>
        <vt:lpwstr>mailto:ivana.duskova@czso.cz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Úvod</dc:title>
  <dc:creator>Dubska</dc:creator>
  <cp:lastModifiedBy>Soukupova</cp:lastModifiedBy>
  <cp:revision>5</cp:revision>
  <cp:lastPrinted>2014-08-25T11:28:00Z</cp:lastPrinted>
  <dcterms:created xsi:type="dcterms:W3CDTF">2014-08-27T10:40:00Z</dcterms:created>
  <dcterms:modified xsi:type="dcterms:W3CDTF">2014-08-27T10:51:00Z</dcterms:modified>
</cp:coreProperties>
</file>