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2A" w:rsidRDefault="0017742A" w:rsidP="007F3EB9">
      <w:pPr>
        <w:pStyle w:val="Nadpis1"/>
        <w:numPr>
          <w:ilvl w:val="0"/>
          <w:numId w:val="0"/>
        </w:numPr>
        <w:ind w:left="142" w:hanging="142"/>
      </w:pPr>
      <w:bookmarkStart w:id="0" w:name="_Toc393277659"/>
      <w:r w:rsidRPr="00306A8F">
        <w:t>Demografický</w:t>
      </w:r>
      <w:r>
        <w:t xml:space="preserve"> vývoj</w:t>
      </w:r>
      <w:bookmarkEnd w:id="0"/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7200"/>
      </w:tblGrid>
      <w:tr w:rsidR="0017742A">
        <w:tc>
          <w:tcPr>
            <w:tcW w:w="2410" w:type="dxa"/>
          </w:tcPr>
          <w:p w:rsidR="0017742A" w:rsidRDefault="00791BBD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5B7FEC">
              <w:rPr>
                <w:b/>
                <w:bCs/>
                <w:i/>
                <w:iCs/>
              </w:rPr>
              <w:t>Počet obyvatel oproti minulému roku mírně poklesl</w:t>
            </w:r>
            <w:r>
              <w:rPr>
                <w:b/>
                <w:bCs/>
                <w:i/>
                <w:iCs/>
              </w:rPr>
              <w:t>…</w:t>
            </w:r>
          </w:p>
        </w:tc>
        <w:tc>
          <w:tcPr>
            <w:tcW w:w="7200" w:type="dxa"/>
          </w:tcPr>
          <w:p w:rsidR="0017742A" w:rsidRDefault="00791BBD">
            <w:pPr>
              <w:pStyle w:val="text"/>
              <w:rPr>
                <w:highlight w:val="yellow"/>
              </w:rPr>
            </w:pPr>
            <w:r>
              <w:t xml:space="preserve">Počtem obyvatel zaujímá Karlovarský kraj 2,9 % z celkového úhrnu ČR, a je tak nejméně lidnatým krajem. </w:t>
            </w:r>
            <w:r w:rsidRPr="005B7FEC">
              <w:t>Na konci roku 2013 žilo v kraji 30</w:t>
            </w:r>
            <w:r>
              <w:t>0</w:t>
            </w:r>
            <w:r w:rsidRPr="005B7FEC">
              <w:t> 30</w:t>
            </w:r>
            <w:r>
              <w:t>9</w:t>
            </w:r>
            <w:r w:rsidRPr="005B7FEC">
              <w:t xml:space="preserve"> obyvatel, což je o 0,5 % obyvatel méně, než před rokem. Po</w:t>
            </w:r>
            <w:r>
              <w:t> </w:t>
            </w:r>
            <w:r w:rsidRPr="005B7FEC">
              <w:t>poměrně výrazném zvýšení počtu obyvatel v roce 2007 (díky vysokému počtu přistěhovalých)</w:t>
            </w:r>
            <w:r w:rsidR="00B77C44">
              <w:t>,</w:t>
            </w:r>
            <w:r w:rsidRPr="005B7FEC">
              <w:t xml:space="preserve"> tak v roce 201</w:t>
            </w:r>
            <w:r>
              <w:t>3</w:t>
            </w:r>
            <w:r w:rsidRPr="005B7FEC">
              <w:t xml:space="preserve"> pokračoval klesající trend počtu obyvatel v kraji v několika posledních letech.</w:t>
            </w:r>
          </w:p>
        </w:tc>
      </w:tr>
      <w:tr w:rsidR="0017742A">
        <w:trPr>
          <w:cantSplit/>
        </w:trPr>
        <w:tc>
          <w:tcPr>
            <w:tcW w:w="9610" w:type="dxa"/>
            <w:gridSpan w:val="2"/>
          </w:tcPr>
          <w:p w:rsidR="0017742A" w:rsidRDefault="00B82B90" w:rsidP="00E45733">
            <w:pPr>
              <w:pStyle w:val="text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6.25pt;height:333.75pt">
                  <v:imagedata r:id="rId8" o:title=""/>
                </v:shape>
              </w:pict>
            </w:r>
          </w:p>
        </w:tc>
      </w:tr>
      <w:tr w:rsidR="00D133A2" w:rsidTr="00A23330">
        <w:tc>
          <w:tcPr>
            <w:tcW w:w="9610" w:type="dxa"/>
            <w:gridSpan w:val="2"/>
          </w:tcPr>
          <w:p w:rsidR="00D133A2" w:rsidRPr="00916A1B" w:rsidRDefault="007F3EB9" w:rsidP="00D133A2">
            <w:pPr>
              <w:pStyle w:val="text"/>
              <w:jc w:val="center"/>
            </w:pPr>
            <w:r>
              <w:pict>
                <v:shape id="_x0000_i1026" type="#_x0000_t75" style="width:459pt;height:261pt">
                  <v:imagedata r:id="rId9" o:title=""/>
                </v:shape>
              </w:pict>
            </w:r>
          </w:p>
        </w:tc>
      </w:tr>
    </w:tbl>
    <w:p w:rsidR="00A23330" w:rsidRDefault="00A23330"/>
    <w:tbl>
      <w:tblPr>
        <w:tblW w:w="96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7200"/>
      </w:tblGrid>
      <w:tr w:rsidR="0017742A">
        <w:tc>
          <w:tcPr>
            <w:tcW w:w="2410" w:type="dxa"/>
          </w:tcPr>
          <w:p w:rsidR="0017742A" w:rsidRDefault="00791BBD" w:rsidP="00791BBD">
            <w:pPr>
              <w:pStyle w:val="PGraf"/>
            </w:pPr>
            <w:r w:rsidRPr="00CE29A8">
              <w:rPr>
                <w:bCs/>
                <w:i/>
                <w:iCs/>
              </w:rPr>
              <w:lastRenderedPageBreak/>
              <w:t>…díky migračnímu úbytku…</w:t>
            </w:r>
          </w:p>
        </w:tc>
        <w:tc>
          <w:tcPr>
            <w:tcW w:w="7200" w:type="dxa"/>
          </w:tcPr>
          <w:p w:rsidR="0017742A" w:rsidRDefault="00791BBD">
            <w:pPr>
              <w:pStyle w:val="text"/>
              <w:rPr>
                <w:highlight w:val="yellow"/>
              </w:rPr>
            </w:pPr>
            <w:r w:rsidRPr="00916A1B">
              <w:t xml:space="preserve">Již </w:t>
            </w:r>
            <w:r>
              <w:t>od roku 2009</w:t>
            </w:r>
            <w:r w:rsidRPr="00916A1B">
              <w:t xml:space="preserve"> vykazuje</w:t>
            </w:r>
            <w:r>
              <w:t xml:space="preserve"> každoročně </w:t>
            </w:r>
            <w:r w:rsidRPr="00916A1B">
              <w:t xml:space="preserve">migrační přírůstek záporné hodnoty. Do kraje se přistěhovalo celkem 2 697 obyvatel, z nichž </w:t>
            </w:r>
            <w:r w:rsidRPr="00023651">
              <w:t>35,9 % bylo ze zahraničí. Vystěhovalo se celkem 3 754 obyvatel, z nich 24,1 % se stěhovalo do zahraničí. To předst</w:t>
            </w:r>
            <w:r w:rsidRPr="00916A1B">
              <w:t>avuje migrační úbytek o 1 057 osob</w:t>
            </w:r>
            <w:r>
              <w:t>.</w:t>
            </w:r>
          </w:p>
        </w:tc>
      </w:tr>
      <w:tr w:rsidR="0017742A">
        <w:tc>
          <w:tcPr>
            <w:tcW w:w="2410" w:type="dxa"/>
          </w:tcPr>
          <w:p w:rsidR="0017742A" w:rsidRDefault="00791BBD" w:rsidP="00791BBD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…</w:t>
            </w:r>
            <w:r w:rsidRPr="00CE29A8">
              <w:rPr>
                <w:b/>
                <w:bCs/>
                <w:i/>
                <w:iCs/>
              </w:rPr>
              <w:t>a t</w:t>
            </w:r>
            <w:r>
              <w:rPr>
                <w:b/>
                <w:bCs/>
                <w:i/>
                <w:iCs/>
              </w:rPr>
              <w:t xml:space="preserve">aké díky zápornému přirozenému </w:t>
            </w:r>
            <w:r w:rsidRPr="00CE29A8">
              <w:rPr>
                <w:b/>
                <w:bCs/>
                <w:i/>
                <w:iCs/>
              </w:rPr>
              <w:t>přírůstku</w:t>
            </w:r>
            <w:r w:rsidR="0017742A">
              <w:rPr>
                <w:b/>
                <w:bCs/>
                <w:i/>
                <w:iCs/>
              </w:rPr>
              <w:t>…</w:t>
            </w:r>
          </w:p>
        </w:tc>
        <w:tc>
          <w:tcPr>
            <w:tcW w:w="7200" w:type="dxa"/>
          </w:tcPr>
          <w:p w:rsidR="0017742A" w:rsidRDefault="00791BBD">
            <w:pPr>
              <w:pStyle w:val="text"/>
              <w:rPr>
                <w:highlight w:val="yellow"/>
              </w:rPr>
            </w:pPr>
            <w:r>
              <w:t xml:space="preserve">Také </w:t>
            </w:r>
            <w:r w:rsidRPr="00480DFB">
              <w:t xml:space="preserve">přirozený přírůstek obyvatel v kraji </w:t>
            </w:r>
            <w:r>
              <w:t xml:space="preserve">vykazuje již </w:t>
            </w:r>
            <w:r w:rsidRPr="00480DFB">
              <w:t>pátým rokem po sobě záporné hodnoty. V roce 2013 se v Karlovarském kraji živě narodilo celkem 2 </w:t>
            </w:r>
            <w:r>
              <w:t>826</w:t>
            </w:r>
            <w:r w:rsidRPr="00480DFB">
              <w:t xml:space="preserve"> dětí, což je o 360 méně</w:t>
            </w:r>
            <w:r>
              <w:t>,</w:t>
            </w:r>
            <w:r w:rsidRPr="00480DFB">
              <w:t xml:space="preserve"> než kolik obyvatel ve stejném roce zemřelo. V rámci celé České republiky tak byl jední</w:t>
            </w:r>
            <w:r w:rsidRPr="0073508A">
              <w:t>m z </w:t>
            </w:r>
            <w:r>
              <w:t>deseti</w:t>
            </w:r>
            <w:r w:rsidRPr="0073508A">
              <w:t xml:space="preserve"> krajů, které vykazovaly záporný přirozený </w:t>
            </w:r>
            <w:r w:rsidRPr="00F55B27">
              <w:t>přírůstek. Ve většině krajů pak došlo ke snížení hodnoty přirozeného přírůstku ve srovnání s minulým rokem (</w:t>
            </w:r>
            <w:r>
              <w:t>s výjimkou Jihomoravského kraje</w:t>
            </w:r>
            <w:r w:rsidRPr="00F55B27">
              <w:t xml:space="preserve"> a </w:t>
            </w:r>
            <w:r>
              <w:t>Hl. m. Prahy</w:t>
            </w:r>
            <w:r w:rsidRPr="00F55B27">
              <w:t>).</w:t>
            </w:r>
          </w:p>
        </w:tc>
      </w:tr>
      <w:tr w:rsidR="00B77F27" w:rsidTr="00555F17">
        <w:trPr>
          <w:cantSplit/>
        </w:trPr>
        <w:tc>
          <w:tcPr>
            <w:tcW w:w="9610" w:type="dxa"/>
            <w:gridSpan w:val="2"/>
          </w:tcPr>
          <w:p w:rsidR="00B77F27" w:rsidRDefault="007F3EB9" w:rsidP="00E45733">
            <w:pPr>
              <w:pStyle w:val="text"/>
              <w:jc w:val="center"/>
            </w:pPr>
            <w:r>
              <w:pict>
                <v:shape id="_x0000_i1027" type="#_x0000_t75" style="width:453.75pt;height:321.75pt">
                  <v:imagedata r:id="rId10" o:title=""/>
                </v:shape>
              </w:pict>
            </w:r>
          </w:p>
        </w:tc>
      </w:tr>
      <w:tr w:rsidR="00B77F27" w:rsidTr="0053212F">
        <w:tc>
          <w:tcPr>
            <w:tcW w:w="2410" w:type="dxa"/>
          </w:tcPr>
          <w:p w:rsidR="00B77F27" w:rsidRDefault="00791BBD" w:rsidP="00B77C44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DC1961">
              <w:rPr>
                <w:b/>
                <w:bCs/>
                <w:i/>
                <w:iCs/>
              </w:rPr>
              <w:t xml:space="preserve">Porodnost </w:t>
            </w:r>
            <w:r>
              <w:rPr>
                <w:b/>
                <w:bCs/>
                <w:i/>
                <w:iCs/>
              </w:rPr>
              <w:t xml:space="preserve">se </w:t>
            </w:r>
            <w:r w:rsidR="00B77C44">
              <w:rPr>
                <w:b/>
                <w:bCs/>
                <w:i/>
                <w:iCs/>
              </w:rPr>
              <w:t>zvýšila </w:t>
            </w:r>
            <w:r>
              <w:rPr>
                <w:b/>
                <w:bCs/>
                <w:i/>
                <w:iCs/>
              </w:rPr>
              <w:t>minimálně..</w:t>
            </w:r>
            <w:r w:rsidR="00B77F27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200" w:type="dxa"/>
          </w:tcPr>
          <w:p w:rsidR="00B77F27" w:rsidRDefault="00791BBD" w:rsidP="00B77C44">
            <w:pPr>
              <w:pStyle w:val="text"/>
              <w:rPr>
                <w:highlight w:val="yellow"/>
              </w:rPr>
            </w:pPr>
            <w:r w:rsidRPr="002B1639">
              <w:t xml:space="preserve">V roce 2013 se v kraji živě narodilo 2 840 dětí, což představuje porodnost okolo 9,4 ‰. To znamená minimální nárůst (o 0,1 ‰) oproti roku předchozímu. </w:t>
            </w:r>
            <w:r>
              <w:t xml:space="preserve">Při pohledu na </w:t>
            </w:r>
            <w:r w:rsidRPr="007C6163">
              <w:t>úroveň porodnosti v několika posledních letech zjišťujeme, že</w:t>
            </w:r>
            <w:r w:rsidR="00B77C44">
              <w:t> </w:t>
            </w:r>
            <w:r w:rsidRPr="007C6163">
              <w:t xml:space="preserve">porodnost dlouhodobě klesala již od roku 2009, </w:t>
            </w:r>
            <w:r w:rsidRPr="00FE28BC">
              <w:t>nejvyšší porodnost za</w:t>
            </w:r>
            <w:r>
              <w:t> </w:t>
            </w:r>
            <w:r w:rsidRPr="00FE28BC">
              <w:t>posledních patnáct let byla vykázána v roce 2008</w:t>
            </w:r>
            <w:r>
              <w:t xml:space="preserve"> (11,5 </w:t>
            </w:r>
            <w:r w:rsidRPr="00365824">
              <w:t xml:space="preserve">‰). Celkem 47,3 % živě narozených </w:t>
            </w:r>
            <w:r w:rsidR="00B77C44">
              <w:t xml:space="preserve">dětí </w:t>
            </w:r>
            <w:r w:rsidRPr="00365824">
              <w:t xml:space="preserve">bylo v pořadí prvním dítětem matky, což je podíl, který se </w:t>
            </w:r>
            <w:r w:rsidRPr="00B45C3D">
              <w:t>v předchozích letech, až do roku 2012, mírně snižoval ve prospěch podílu druhorozených dětí. V</w:t>
            </w:r>
            <w:r>
              <w:t> roce 2013 se tento podíl poprvé meziročně zvýšil v neprospěch druhorozených dětí, jejich</w:t>
            </w:r>
            <w:r w:rsidRPr="00B45C3D">
              <w:t xml:space="preserve"> podíl </w:t>
            </w:r>
            <w:r>
              <w:t>činil</w:t>
            </w:r>
            <w:r w:rsidRPr="00B45C3D">
              <w:t xml:space="preserve"> 35,1 %.</w:t>
            </w:r>
          </w:p>
        </w:tc>
      </w:tr>
      <w:tr w:rsidR="00791BBD" w:rsidTr="0053212F">
        <w:tc>
          <w:tcPr>
            <w:tcW w:w="2410" w:type="dxa"/>
          </w:tcPr>
          <w:p w:rsidR="00791BBD" w:rsidRPr="00DC1961" w:rsidRDefault="00054EC9" w:rsidP="0053212F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…</w:t>
            </w:r>
            <w:r w:rsidRPr="00906FD3">
              <w:rPr>
                <w:b/>
                <w:bCs/>
                <w:i/>
                <w:iCs/>
              </w:rPr>
              <w:t>třetí rok po sobě je  nižší než úmrtnost.</w:t>
            </w:r>
          </w:p>
        </w:tc>
        <w:tc>
          <w:tcPr>
            <w:tcW w:w="7200" w:type="dxa"/>
          </w:tcPr>
          <w:p w:rsidR="00791BBD" w:rsidRPr="002B1639" w:rsidRDefault="00054EC9" w:rsidP="0053212F">
            <w:pPr>
              <w:pStyle w:val="text"/>
            </w:pPr>
            <w:r w:rsidRPr="00906FD3">
              <w:t>V </w:t>
            </w:r>
            <w:r>
              <w:t>minulém</w:t>
            </w:r>
            <w:r w:rsidRPr="00906FD3">
              <w:t xml:space="preserve"> roce zemřelo v Karlovarském kraji 3 186 obyvatel</w:t>
            </w:r>
            <w:r>
              <w:t>, což představuje meziroční nárůst o 114, tj. o 3,7 %</w:t>
            </w:r>
            <w:r w:rsidRPr="00906FD3">
              <w:t xml:space="preserve">. </w:t>
            </w:r>
            <w:r>
              <w:t>Ukazatel ú</w:t>
            </w:r>
            <w:r w:rsidRPr="00906FD3">
              <w:t>mrtnost</w:t>
            </w:r>
            <w:r>
              <w:t>i</w:t>
            </w:r>
            <w:r w:rsidRPr="00906FD3">
              <w:t xml:space="preserve"> (</w:t>
            </w:r>
            <w:r>
              <w:t>počet zemřelých na 1 000 obyvatel středního stavu</w:t>
            </w:r>
            <w:r w:rsidRPr="00906FD3">
              <w:t xml:space="preserve">) se dlouhodobě udržuje na přibližně stejné úrovni, </w:t>
            </w:r>
            <w:r>
              <w:t xml:space="preserve">v roce </w:t>
            </w:r>
            <w:r w:rsidRPr="00906FD3">
              <w:t>2013 činila je</w:t>
            </w:r>
            <w:r>
              <w:t>ho</w:t>
            </w:r>
            <w:r w:rsidRPr="00906FD3">
              <w:t xml:space="preserve"> hodnota 10,6 ‰</w:t>
            </w:r>
            <w:r>
              <w:t xml:space="preserve">. Nejvyšší meziroční nárůst tohoto ukazatele vykázal okres Cheb. V celorepublikovém srovnání se Karlovarský kraj umístil na 9. místě pomyslného žebříčku a </w:t>
            </w:r>
            <w:r w:rsidRPr="007B3BB9">
              <w:t>byl jedním z osmi krajů s vyšší hodnotou úmrtnosti než je průměr ČR (10,4 ‰). Podle příčiny smrti zaujímají rozhodující podíl nemoci oběhové soustavy (1 461 osob, tj. 45,9 %), na zhoubné novotvary zemřelo celkem 823 osob, tj. 25,8 %.</w:t>
            </w:r>
          </w:p>
        </w:tc>
      </w:tr>
      <w:tr w:rsidR="00B95855" w:rsidTr="00B307C4">
        <w:tc>
          <w:tcPr>
            <w:tcW w:w="9610" w:type="dxa"/>
            <w:gridSpan w:val="2"/>
          </w:tcPr>
          <w:p w:rsidR="00B95855" w:rsidRPr="00906FD3" w:rsidRDefault="007F3EB9" w:rsidP="00B95855">
            <w:pPr>
              <w:pStyle w:val="text"/>
              <w:jc w:val="center"/>
            </w:pPr>
            <w:r>
              <w:lastRenderedPageBreak/>
              <w:pict>
                <v:shape id="_x0000_i1028" type="#_x0000_t75" style="width:459pt;height:222pt">
                  <v:imagedata r:id="rId11" o:title=""/>
                </v:shape>
              </w:pict>
            </w:r>
          </w:p>
        </w:tc>
      </w:tr>
      <w:tr w:rsidR="00791BBD" w:rsidTr="0053212F">
        <w:tc>
          <w:tcPr>
            <w:tcW w:w="2410" w:type="dxa"/>
          </w:tcPr>
          <w:p w:rsidR="00791BBD" w:rsidRPr="00DC1961" w:rsidRDefault="00054EC9" w:rsidP="0053212F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D07705">
              <w:rPr>
                <w:b/>
                <w:bCs/>
                <w:i/>
                <w:iCs/>
              </w:rPr>
              <w:t>Novorozenecká i kojenecká úmrtnost se udržují na nízké</w:t>
            </w:r>
            <w:r>
              <w:rPr>
                <w:b/>
                <w:bCs/>
                <w:i/>
                <w:iCs/>
              </w:rPr>
              <w:t xml:space="preserve"> úrovni.</w:t>
            </w:r>
          </w:p>
        </w:tc>
        <w:tc>
          <w:tcPr>
            <w:tcW w:w="7200" w:type="dxa"/>
          </w:tcPr>
          <w:p w:rsidR="00791BBD" w:rsidRPr="002B1639" w:rsidRDefault="00054EC9" w:rsidP="00E11CBA">
            <w:pPr>
              <w:pStyle w:val="text"/>
            </w:pPr>
            <w:r w:rsidRPr="00D07705">
              <w:t>Úmrtnost v nízkém věku se v kraji meziročně snížila, a to jak novorozenecká, tak i kojenecká. Novorozenecká i kojenecká úmrtnost se pohybovaly v roce 2013 na úrovni 1,1 ‰.</w:t>
            </w:r>
            <w:r w:rsidR="00E11CBA">
              <w:t xml:space="preserve"> </w:t>
            </w:r>
            <w:r w:rsidRPr="00D07705">
              <w:t>Přestože obě míry úmrtnosti v kraji dlouhodobě klesají, pohybují se většinou vysoko nad republikovým průměrem. V roce 2013 ale obě míry úmrtnosti zaznamenal</w:t>
            </w:r>
            <w:r>
              <w:t>y</w:t>
            </w:r>
            <w:r w:rsidRPr="00D07705">
              <w:t xml:space="preserve"> meziroční pokles a dosáhly tak poprvé po</w:t>
            </w:r>
            <w:r>
              <w:t> </w:t>
            </w:r>
            <w:r w:rsidRPr="00D07705">
              <w:t>sedmi letech hodnoty nižší než je celorepublikový průměr, a to novorozenecká úmrtnost o 0,3 procentního bodu a kojenecká úmrtnost o</w:t>
            </w:r>
            <w:r>
              <w:t> </w:t>
            </w:r>
            <w:r w:rsidRPr="00D07705">
              <w:t xml:space="preserve">1,4 procentního </w:t>
            </w:r>
            <w:r w:rsidRPr="009A23CB">
              <w:t xml:space="preserve">bodu.  </w:t>
            </w:r>
            <w:r w:rsidRPr="00D07705">
              <w:t xml:space="preserve">V rámci celé České republiky byla hodnota </w:t>
            </w:r>
            <w:r>
              <w:t xml:space="preserve">novorozenecké úmrtnosti v kraji čtvrtá nejnižší a hodnota </w:t>
            </w:r>
            <w:r w:rsidRPr="00D07705">
              <w:t xml:space="preserve">kojenecké </w:t>
            </w:r>
            <w:r w:rsidRPr="009A23CB">
              <w:t>úmrtnosti byla dokonce nejnižší ze všech krajů ČR.</w:t>
            </w:r>
          </w:p>
        </w:tc>
      </w:tr>
      <w:tr w:rsidR="005B0ECD" w:rsidTr="00555F17">
        <w:tc>
          <w:tcPr>
            <w:tcW w:w="9610" w:type="dxa"/>
            <w:gridSpan w:val="2"/>
          </w:tcPr>
          <w:p w:rsidR="005B0ECD" w:rsidRPr="00277CF2" w:rsidRDefault="007F3EB9" w:rsidP="005B0ECD">
            <w:pPr>
              <w:pStyle w:val="text"/>
              <w:jc w:val="center"/>
            </w:pPr>
            <w:r>
              <w:pict>
                <v:shape id="_x0000_i1029" type="#_x0000_t75" style="width:453pt;height:193.5pt">
                  <v:imagedata r:id="rId12" o:title=""/>
                </v:shape>
              </w:pict>
            </w:r>
          </w:p>
        </w:tc>
      </w:tr>
      <w:tr w:rsidR="00791BBD" w:rsidTr="0053212F">
        <w:tc>
          <w:tcPr>
            <w:tcW w:w="2410" w:type="dxa"/>
          </w:tcPr>
          <w:p w:rsidR="00791BBD" w:rsidRPr="00DC1961" w:rsidRDefault="00054EC9" w:rsidP="0053212F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A104FF">
              <w:rPr>
                <w:b/>
                <w:bCs/>
                <w:i/>
                <w:iCs/>
              </w:rPr>
              <w:t>Více než 60 % narozených mimo manželství.</w:t>
            </w:r>
          </w:p>
        </w:tc>
        <w:tc>
          <w:tcPr>
            <w:tcW w:w="7200" w:type="dxa"/>
          </w:tcPr>
          <w:p w:rsidR="00791BBD" w:rsidRPr="002B1639" w:rsidRDefault="00054EC9" w:rsidP="0053212F">
            <w:pPr>
              <w:pStyle w:val="text"/>
            </w:pPr>
            <w:r w:rsidRPr="00277CF2">
              <w:t>V roce 2013 pokračoval trend dlouhodobého růstu počtu (a podílu) dětí narozených mimo manželství</w:t>
            </w:r>
            <w:r w:rsidRPr="00277CF2">
              <w:rPr>
                <w:rStyle w:val="Znakapoznpodarou"/>
              </w:rPr>
              <w:footnoteReference w:id="1"/>
            </w:r>
            <w:r w:rsidRPr="00277CF2">
              <w:t>. Již od roku 2006 je podíl takto narozených dětí v kraji vyšší než 50 % všech narozených dětí. V roce 2013 se v Karlovarském kraji mimo manželství narodilo celkem 1 715 dětí, což představuje 60,7 % všech živě narozených dětí. Z okresů Karlovarského kraje zaznamenal nejvyšší podíl dětí narozených mimo manželství okres Sokolov (65,4 %), naopak nejnižší okres Karlovy Vary (58,0 %).</w:t>
            </w:r>
          </w:p>
        </w:tc>
      </w:tr>
    </w:tbl>
    <w:p w:rsidR="00834F78" w:rsidRDefault="00834F78"/>
    <w:p w:rsidR="00834F78" w:rsidRDefault="00834F78"/>
    <w:p w:rsidR="00AE34E0" w:rsidRDefault="00AE34E0"/>
    <w:p w:rsidR="00834F78" w:rsidRDefault="00834F78"/>
    <w:tbl>
      <w:tblPr>
        <w:tblW w:w="96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7200"/>
      </w:tblGrid>
      <w:tr w:rsidR="00791BBD" w:rsidTr="0053212F">
        <w:tc>
          <w:tcPr>
            <w:tcW w:w="2410" w:type="dxa"/>
          </w:tcPr>
          <w:p w:rsidR="00791BBD" w:rsidRPr="00DC1961" w:rsidRDefault="00054EC9" w:rsidP="0053212F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8545C1">
              <w:rPr>
                <w:b/>
                <w:bCs/>
                <w:i/>
                <w:iCs/>
              </w:rPr>
              <w:lastRenderedPageBreak/>
              <w:t>Sňatečnost se meziročně nezměnila…</w:t>
            </w:r>
          </w:p>
        </w:tc>
        <w:tc>
          <w:tcPr>
            <w:tcW w:w="7200" w:type="dxa"/>
          </w:tcPr>
          <w:p w:rsidR="00791BBD" w:rsidRPr="002B1639" w:rsidRDefault="00054EC9" w:rsidP="00392400">
            <w:pPr>
              <w:pStyle w:val="text"/>
            </w:pPr>
            <w:r w:rsidRPr="008545C1">
              <w:t xml:space="preserve">Počty sňatků i rozvodů v kraji v posledních letech víceméně stagnují. </w:t>
            </w:r>
            <w:r>
              <w:t xml:space="preserve">Poté, co minulý rok </w:t>
            </w:r>
            <w:r w:rsidRPr="008545C1">
              <w:t xml:space="preserve">poprvé od roku 2008 došlo k nárůstu počtu sňatků oproti </w:t>
            </w:r>
            <w:r>
              <w:t>předcházejícímu</w:t>
            </w:r>
            <w:r w:rsidRPr="008545C1">
              <w:t xml:space="preserve"> roku</w:t>
            </w:r>
            <w:r>
              <w:t>, se v roce 2013 počet sňatků meziročně prakticky nezměnil</w:t>
            </w:r>
            <w:r w:rsidRPr="008545C1">
              <w:t xml:space="preserve">. V roce 2013 tak bylo uzavřeno celkem 1 300 sňatků, což představuje minimální meziroční nárůst o 0,2 % oproti počtu sňatků v roce 2012. Míra </w:t>
            </w:r>
            <w:r w:rsidR="00834F78" w:rsidRPr="008545C1">
              <w:t xml:space="preserve">sňatečnosti v Karlovarském kraji činila 4,3 ‰ a pohybovala se tak </w:t>
            </w:r>
            <w:r w:rsidR="00834F78">
              <w:t xml:space="preserve">mírně </w:t>
            </w:r>
            <w:r w:rsidR="00834F78" w:rsidRPr="008545C1">
              <w:t>nad</w:t>
            </w:r>
            <w:r w:rsidR="00834F78">
              <w:t> </w:t>
            </w:r>
            <w:r w:rsidR="00834F78" w:rsidRPr="008545C1">
              <w:t>úrovní celorepublikového průměru.</w:t>
            </w:r>
            <w:r w:rsidR="00834F78">
              <w:t xml:space="preserve"> Průměrný věk nevěst činil 34,0 let, ženichů 37,7 roku. Do manželství vstupovaly nejčastěji ženy ve věkové kategorii 25-29 let (27,8 %), nejvíce mužů se ženilo ve věku 25-29 let (22,8 %). První manželství uzavíralo 898 nevěst a 877 ženichů.</w:t>
            </w:r>
          </w:p>
        </w:tc>
      </w:tr>
      <w:tr w:rsidR="00392400" w:rsidTr="001D3564">
        <w:tc>
          <w:tcPr>
            <w:tcW w:w="9610" w:type="dxa"/>
            <w:gridSpan w:val="2"/>
          </w:tcPr>
          <w:p w:rsidR="00392400" w:rsidRPr="008545C1" w:rsidRDefault="007F3EB9" w:rsidP="00392400">
            <w:pPr>
              <w:pStyle w:val="text"/>
              <w:jc w:val="center"/>
            </w:pPr>
            <w:r>
              <w:pict>
                <v:shape id="_x0000_i1030" type="#_x0000_t75" style="width:465pt;height:185.25pt">
                  <v:imagedata r:id="rId13" o:title=""/>
                </v:shape>
              </w:pict>
            </w:r>
          </w:p>
        </w:tc>
      </w:tr>
      <w:tr w:rsidR="00791BBD" w:rsidTr="0053212F">
        <w:tc>
          <w:tcPr>
            <w:tcW w:w="2410" w:type="dxa"/>
          </w:tcPr>
          <w:p w:rsidR="00791BBD" w:rsidRPr="00DC1961" w:rsidRDefault="00054EC9" w:rsidP="00960B16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560D6C">
              <w:rPr>
                <w:b/>
                <w:bCs/>
                <w:i/>
                <w:iCs/>
              </w:rPr>
              <w:t>…rozvodovost</w:t>
            </w:r>
            <w:r w:rsidR="00960B16">
              <w:rPr>
                <w:b/>
                <w:bCs/>
                <w:i/>
                <w:iCs/>
              </w:rPr>
              <w:t xml:space="preserve"> se pohybuje</w:t>
            </w:r>
            <w:r w:rsidRPr="00560D6C">
              <w:rPr>
                <w:b/>
                <w:bCs/>
                <w:i/>
                <w:iCs/>
              </w:rPr>
              <w:t xml:space="preserve"> nad</w:t>
            </w:r>
            <w:r>
              <w:rPr>
                <w:b/>
                <w:bCs/>
                <w:i/>
                <w:iCs/>
              </w:rPr>
              <w:t> </w:t>
            </w:r>
            <w:r w:rsidRPr="00560D6C">
              <w:rPr>
                <w:b/>
                <w:bCs/>
                <w:i/>
                <w:iCs/>
              </w:rPr>
              <w:t>průměrem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560D6C">
              <w:rPr>
                <w:b/>
                <w:bCs/>
                <w:i/>
                <w:iCs/>
              </w:rPr>
              <w:t>České</w:t>
            </w:r>
            <w:r>
              <w:t> </w:t>
            </w:r>
            <w:r w:rsidRPr="00560D6C">
              <w:rPr>
                <w:b/>
                <w:bCs/>
                <w:i/>
                <w:iCs/>
              </w:rPr>
              <w:t>republiky.</w:t>
            </w:r>
          </w:p>
        </w:tc>
        <w:tc>
          <w:tcPr>
            <w:tcW w:w="7200" w:type="dxa"/>
          </w:tcPr>
          <w:p w:rsidR="00791BBD" w:rsidRPr="002B1639" w:rsidRDefault="00054EC9" w:rsidP="0053212F">
            <w:pPr>
              <w:pStyle w:val="text"/>
            </w:pPr>
            <w:r w:rsidRPr="00560D6C">
              <w:t>Míra rozvodovosti v roce 2013</w:t>
            </w:r>
            <w:r>
              <w:t xml:space="preserve"> již </w:t>
            </w:r>
            <w:r w:rsidRPr="00560D6C">
              <w:t>třetí rok za sebou nedosáhla hranice tří rozvodů na tisíc obyvatel (2,9 ‰)</w:t>
            </w:r>
            <w:r>
              <w:t>, přesto byla</w:t>
            </w:r>
            <w:r w:rsidRPr="00560D6C">
              <w:t xml:space="preserve"> vyšší než celorepublikový průměr (2,7 ‰) a v mezikrajovém srovnání třetí nejvyšší ze všech krajů ČR, vyšší míru rozvodovosti vykazovaly pouze Liberecký a Středočeský kraj.</w:t>
            </w:r>
            <w:r>
              <w:t xml:space="preserve"> Průměrný věk při rozvodu činil u mužů 43,9 roku, u žen 41,0 let. Nejčastěji se rozváděli manželé ve věku 40-49 let (u mužů 35,3 % všech rozvodů, u žen 32,2 % všech rozvodů). Jako důvod rozvodu byl nejčastěji uváděn </w:t>
            </w:r>
            <w:r w:rsidRPr="00C23C12">
              <w:t>rozdíl povah, názorů a</w:t>
            </w:r>
            <w:r>
              <w:t> </w:t>
            </w:r>
            <w:r w:rsidRPr="00C23C12">
              <w:t>zájmů</w:t>
            </w:r>
            <w:r>
              <w:t xml:space="preserve"> (na straně mužů 79,1 % rozvodů, na straně žen 76,6 % rozvodů).</w:t>
            </w:r>
          </w:p>
        </w:tc>
      </w:tr>
      <w:tr w:rsidR="00791BBD" w:rsidTr="0053212F">
        <w:tc>
          <w:tcPr>
            <w:tcW w:w="2410" w:type="dxa"/>
          </w:tcPr>
          <w:p w:rsidR="00791BBD" w:rsidRPr="00DC1961" w:rsidRDefault="00490C5E" w:rsidP="00490C5E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Potratovost se mírně </w:t>
            </w:r>
            <w:r w:rsidRPr="00B456F9">
              <w:rPr>
                <w:b/>
                <w:bCs/>
                <w:i/>
                <w:iCs/>
              </w:rPr>
              <w:t>snížila, přesto je Karlovarský kraj stále pátý nejhorší.</w:t>
            </w:r>
          </w:p>
        </w:tc>
        <w:tc>
          <w:tcPr>
            <w:tcW w:w="7200" w:type="dxa"/>
          </w:tcPr>
          <w:p w:rsidR="00791BBD" w:rsidRPr="002B1639" w:rsidRDefault="00490C5E" w:rsidP="00DC0B13">
            <w:pPr>
              <w:pStyle w:val="text"/>
            </w:pPr>
            <w:r w:rsidRPr="003062D5">
              <w:t>Míra potratovosti, vyjádřená počtem potratů na 1 000 obyvatel</w:t>
            </w:r>
            <w:r w:rsidR="00DC0B13">
              <w:t xml:space="preserve"> </w:t>
            </w:r>
            <w:r w:rsidRPr="003062D5">
              <w:t xml:space="preserve">do roku 2008 v Karlovarském kraji kolísala kolem 5,2 ‰, pozitivní je, že od roku 2009 můžeme </w:t>
            </w:r>
            <w:r>
              <w:t>pozorovat</w:t>
            </w:r>
            <w:r w:rsidRPr="003062D5">
              <w:t xml:space="preserve"> klesající trend míry potratovosti. V roce 2013 činila její hodnota v kraji 3,8 ‰. V meziokresním srovnání </w:t>
            </w:r>
            <w:r>
              <w:t xml:space="preserve">vykazoval </w:t>
            </w:r>
            <w:r w:rsidRPr="003062D5">
              <w:t xml:space="preserve">nejvyšší míru potratovosti okres Cheb (4,3 ‰), nejnižší naopak okres Karlovy Vary (3,1 ‰). V rámci celé ČR vykazuje </w:t>
            </w:r>
            <w:r w:rsidRPr="00B456F9">
              <w:t>Karlovarský kraj pátou nejvyšší míru potratovosti po Ústeckém, Libereckém, Plzeňském a Středočeském kraji.</w:t>
            </w:r>
          </w:p>
        </w:tc>
      </w:tr>
      <w:tr w:rsidR="00490C5E" w:rsidTr="001D3564">
        <w:tc>
          <w:tcPr>
            <w:tcW w:w="9610" w:type="dxa"/>
            <w:gridSpan w:val="2"/>
          </w:tcPr>
          <w:p w:rsidR="00490C5E" w:rsidRPr="002B1639" w:rsidRDefault="007F3EB9" w:rsidP="00D979C8">
            <w:pPr>
              <w:pStyle w:val="text"/>
              <w:jc w:val="center"/>
            </w:pPr>
            <w:r>
              <w:pict>
                <v:shape id="_x0000_i1031" type="#_x0000_t75" style="width:473.25pt;height:180.75pt">
                  <v:imagedata r:id="rId14" o:title=""/>
                </v:shape>
              </w:pict>
            </w:r>
          </w:p>
        </w:tc>
      </w:tr>
    </w:tbl>
    <w:p w:rsidR="00154D24" w:rsidRDefault="00154D24"/>
    <w:p w:rsidR="00154D24" w:rsidRDefault="00154D24"/>
    <w:tbl>
      <w:tblPr>
        <w:tblW w:w="96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7200"/>
      </w:tblGrid>
      <w:tr w:rsidR="00D979C8" w:rsidTr="0053212F">
        <w:tc>
          <w:tcPr>
            <w:tcW w:w="2410" w:type="dxa"/>
          </w:tcPr>
          <w:p w:rsidR="00D979C8" w:rsidRDefault="00D979C8" w:rsidP="0053212F">
            <w:pPr>
              <w:pStyle w:val="text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7200" w:type="dxa"/>
          </w:tcPr>
          <w:p w:rsidR="00D979C8" w:rsidRPr="002B1639" w:rsidRDefault="00D979C8" w:rsidP="00414C67">
            <w:pPr>
              <w:pStyle w:val="text"/>
            </w:pPr>
            <w:r w:rsidRPr="001633E4">
              <w:t xml:space="preserve">Jak lze vyčíst i z grafu </w:t>
            </w:r>
            <w:r w:rsidR="00414C67">
              <w:t>6</w:t>
            </w:r>
            <w:r w:rsidRPr="001633E4">
              <w:t>, počet potratů dlouhodobě klesá, a to především díky poklesu počtu umělých přerušení těhotenství. Přesto se dlouhodobě míra potratovosti v Karlovarském kraji pohybuje vysoko nad úrovní celorepublikového průměru.</w:t>
            </w:r>
          </w:p>
        </w:tc>
      </w:tr>
      <w:tr w:rsidR="00D979C8" w:rsidTr="0053212F">
        <w:tc>
          <w:tcPr>
            <w:tcW w:w="2410" w:type="dxa"/>
          </w:tcPr>
          <w:p w:rsidR="00D979C8" w:rsidRPr="00DC1961" w:rsidRDefault="00D979C8" w:rsidP="0053212F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Průměrný věk obyvatel kraje roste.</w:t>
            </w:r>
          </w:p>
        </w:tc>
        <w:tc>
          <w:tcPr>
            <w:tcW w:w="7200" w:type="dxa"/>
          </w:tcPr>
          <w:p w:rsidR="00D979C8" w:rsidRPr="002B1639" w:rsidRDefault="00D979C8" w:rsidP="00C4332E">
            <w:pPr>
              <w:pStyle w:val="text"/>
            </w:pPr>
            <w:r w:rsidRPr="006A49DE">
              <w:t xml:space="preserve">Průměrný věk obyvatel Karlovarského kraje v roce 2013 </w:t>
            </w:r>
            <w:r w:rsidRPr="00BD2D41">
              <w:t>činil 41</w:t>
            </w:r>
            <w:r>
              <w:t>,5</w:t>
            </w:r>
            <w:r w:rsidRPr="00BD2D41">
              <w:t xml:space="preserve"> roku</w:t>
            </w:r>
            <w:r>
              <w:t xml:space="preserve"> a od roku 2014 se zvýšil o 2,7 roku. Průměrný věk žen je přitom vyšší (42,8 roku) než průměrný věk mužů (40,1 roku).</w:t>
            </w:r>
          </w:p>
        </w:tc>
      </w:tr>
      <w:tr w:rsidR="00154D24" w:rsidTr="0063419C">
        <w:tc>
          <w:tcPr>
            <w:tcW w:w="9610" w:type="dxa"/>
            <w:gridSpan w:val="2"/>
          </w:tcPr>
          <w:p w:rsidR="00154D24" w:rsidRPr="006A49DE" w:rsidRDefault="007F3EB9" w:rsidP="00154D24">
            <w:pPr>
              <w:pStyle w:val="text"/>
              <w:jc w:val="center"/>
            </w:pPr>
            <w:r>
              <w:pict>
                <v:shape id="_x0000_i1032" type="#_x0000_t75" style="width:476.25pt;height:333.75pt">
                  <v:imagedata r:id="rId15" o:title=""/>
                </v:shape>
              </w:pict>
            </w:r>
          </w:p>
        </w:tc>
      </w:tr>
      <w:tr w:rsidR="00D979C8" w:rsidTr="0053212F">
        <w:tc>
          <w:tcPr>
            <w:tcW w:w="2410" w:type="dxa"/>
          </w:tcPr>
          <w:p w:rsidR="00D979C8" w:rsidRPr="00DC1961" w:rsidRDefault="00D979C8" w:rsidP="0053212F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Populace kraje stárne.</w:t>
            </w:r>
          </w:p>
        </w:tc>
        <w:tc>
          <w:tcPr>
            <w:tcW w:w="7200" w:type="dxa"/>
          </w:tcPr>
          <w:p w:rsidR="00D979C8" w:rsidRPr="002B1639" w:rsidRDefault="00D979C8" w:rsidP="00B77C44">
            <w:pPr>
              <w:pStyle w:val="text"/>
            </w:pPr>
            <w:r w:rsidRPr="00C05645">
              <w:t>Podíl dětí do 14 let</w:t>
            </w:r>
            <w:r>
              <w:t xml:space="preserve"> v roce 2013 představoval 14,8 % a zaznamenal tak za posledních deset let pokles o 1,1 procentního bodu</w:t>
            </w:r>
            <w:r w:rsidRPr="00C05645">
              <w:t>.</w:t>
            </w:r>
            <w:r>
              <w:t xml:space="preserve"> Také podíl ekonomicky aktivních obyvatel, tj. obyvatel ve věku 15-64 let, se snížil, a to o 3,4 procentního bodu na 68,4 %. Naopak podíl obyvatel ve věkové skupině 65 a více let stoupá a od roku 2003 zaznamenal nárůst o 4,5 procentního bodu na 16,8 %. Situace v ostatních krajích ČR je velmi podobná, je zřejmé, že</w:t>
            </w:r>
            <w:r w:rsidR="00B77C44">
              <w:t> </w:t>
            </w:r>
            <w:r>
              <w:t>populace České republiky stárne.</w:t>
            </w:r>
          </w:p>
        </w:tc>
      </w:tr>
    </w:tbl>
    <w:p w:rsidR="00154D24" w:rsidRDefault="00154D24" w:rsidP="00E45733">
      <w:pPr>
        <w:pStyle w:val="text"/>
      </w:pPr>
    </w:p>
    <w:p w:rsidR="007F3EB9" w:rsidRDefault="007F3EB9" w:rsidP="00E45733">
      <w:pPr>
        <w:pStyle w:val="text"/>
      </w:pPr>
    </w:p>
    <w:p w:rsidR="004E2F59" w:rsidRDefault="004E2F59" w:rsidP="004E2F59">
      <w:pPr>
        <w:pStyle w:val="NORMAArialCE"/>
        <w:spacing w:before="0"/>
        <w:rPr>
          <w:b/>
          <w:bCs/>
          <w:i/>
          <w:iCs/>
          <w:sz w:val="18"/>
        </w:rPr>
      </w:pPr>
      <w:r>
        <w:rPr>
          <w:b/>
          <w:bCs/>
          <w:i/>
          <w:iCs/>
          <w:sz w:val="18"/>
        </w:rPr>
        <w:t>Podrobnější údaje k demografickému vývoji Karlovarského kraje v roce 2013:</w:t>
      </w:r>
    </w:p>
    <w:p w:rsidR="004E2F59" w:rsidRPr="0061231C" w:rsidRDefault="00B82B90" w:rsidP="004E2F59">
      <w:pPr>
        <w:pStyle w:val="NORMAArialCE"/>
        <w:spacing w:before="60" w:after="60"/>
        <w:rPr>
          <w:b/>
          <w:color w:val="365F91" w:themeColor="accent1" w:themeShade="BF"/>
          <w:sz w:val="18"/>
        </w:rPr>
      </w:pPr>
      <w:hyperlink r:id="rId16" w:history="1">
        <w:r w:rsidR="004E2F59" w:rsidRPr="0061231C">
          <w:rPr>
            <w:rStyle w:val="Hypertextovodkaz"/>
            <w:b/>
            <w:bCs/>
            <w:color w:val="365F91" w:themeColor="accent1" w:themeShade="BF"/>
            <w:sz w:val="18"/>
          </w:rPr>
          <w:t>Statistický bulletin Karlovarského kraje</w:t>
        </w:r>
      </w:hyperlink>
    </w:p>
    <w:p w:rsidR="001F67D0" w:rsidRPr="0061231C" w:rsidRDefault="00B82B90" w:rsidP="004E2F59">
      <w:pPr>
        <w:pStyle w:val="NORMAArialCE"/>
        <w:spacing w:before="60" w:after="60"/>
        <w:rPr>
          <w:b/>
          <w:bCs/>
          <w:color w:val="365F91" w:themeColor="accent1" w:themeShade="BF"/>
          <w:sz w:val="18"/>
        </w:rPr>
      </w:pPr>
      <w:hyperlink r:id="rId17" w:history="1">
        <w:r w:rsidR="001F67D0" w:rsidRPr="0061231C">
          <w:rPr>
            <w:rStyle w:val="Hypertextovodkaz"/>
            <w:b/>
            <w:color w:val="365F91" w:themeColor="accent1" w:themeShade="BF"/>
            <w:sz w:val="18"/>
          </w:rPr>
          <w:t>Statistická ročenka Karlovarského kraje</w:t>
        </w:r>
      </w:hyperlink>
    </w:p>
    <w:p w:rsidR="004E2F59" w:rsidRPr="0061231C" w:rsidRDefault="004E2F59" w:rsidP="004E2F59">
      <w:pPr>
        <w:pStyle w:val="NORMAArialCE"/>
        <w:spacing w:before="60" w:after="60"/>
        <w:rPr>
          <w:b/>
          <w:bCs/>
          <w:color w:val="365F91" w:themeColor="accent1" w:themeShade="BF"/>
          <w:sz w:val="18"/>
        </w:rPr>
      </w:pPr>
      <w:r w:rsidRPr="0061231C">
        <w:rPr>
          <w:b/>
          <w:bCs/>
          <w:color w:val="365F91" w:themeColor="accent1" w:themeShade="BF"/>
          <w:sz w:val="18"/>
        </w:rPr>
        <w:t>Demografická ročenka ČR 201</w:t>
      </w:r>
      <w:r w:rsidR="001F67D0" w:rsidRPr="0061231C">
        <w:rPr>
          <w:b/>
          <w:bCs/>
          <w:color w:val="365F91" w:themeColor="accent1" w:themeShade="BF"/>
          <w:sz w:val="18"/>
        </w:rPr>
        <w:t>3</w:t>
      </w:r>
      <w:r w:rsidRPr="0061231C">
        <w:rPr>
          <w:b/>
          <w:bCs/>
          <w:color w:val="365F91" w:themeColor="accent1" w:themeShade="BF"/>
          <w:sz w:val="18"/>
        </w:rPr>
        <w:t xml:space="preserve"> (vyjde 31. 10. 201</w:t>
      </w:r>
      <w:r w:rsidR="001F67D0" w:rsidRPr="0061231C">
        <w:rPr>
          <w:b/>
          <w:bCs/>
          <w:color w:val="365F91" w:themeColor="accent1" w:themeShade="BF"/>
          <w:sz w:val="18"/>
        </w:rPr>
        <w:t>4</w:t>
      </w:r>
      <w:r w:rsidRPr="0061231C">
        <w:rPr>
          <w:b/>
          <w:bCs/>
          <w:color w:val="365F91" w:themeColor="accent1" w:themeShade="BF"/>
          <w:sz w:val="18"/>
        </w:rPr>
        <w:t>)</w:t>
      </w:r>
    </w:p>
    <w:p w:rsidR="007A4AB3" w:rsidRDefault="00B82B90" w:rsidP="003118B2">
      <w:pPr>
        <w:pStyle w:val="text"/>
      </w:pPr>
      <w:hyperlink r:id="rId18" w:history="1">
        <w:r w:rsidR="004E2F59" w:rsidRPr="0061231C">
          <w:rPr>
            <w:rStyle w:val="Hypertextovodkaz"/>
            <w:b/>
            <w:bCs/>
            <w:color w:val="365F91" w:themeColor="accent1" w:themeShade="BF"/>
            <w:sz w:val="18"/>
          </w:rPr>
          <w:t xml:space="preserve">Stav a pohyb obyvatelstva v ČR </w:t>
        </w:r>
        <w:r w:rsidR="0061231C">
          <w:rPr>
            <w:rStyle w:val="Hypertextovodkaz"/>
            <w:b/>
            <w:bCs/>
            <w:color w:val="365F91" w:themeColor="accent1" w:themeShade="BF"/>
            <w:sz w:val="18"/>
          </w:rPr>
          <w:t xml:space="preserve">4. čtvrtletí </w:t>
        </w:r>
        <w:r w:rsidR="004E2F59" w:rsidRPr="0061231C">
          <w:rPr>
            <w:rStyle w:val="Hypertextovodkaz"/>
            <w:b/>
            <w:bCs/>
            <w:color w:val="365F91" w:themeColor="accent1" w:themeShade="BF"/>
            <w:sz w:val="18"/>
          </w:rPr>
          <w:t>201</w:t>
        </w:r>
        <w:r w:rsidR="0061231C">
          <w:rPr>
            <w:rStyle w:val="Hypertextovodkaz"/>
            <w:b/>
            <w:bCs/>
            <w:color w:val="365F91" w:themeColor="accent1" w:themeShade="BF"/>
            <w:sz w:val="18"/>
          </w:rPr>
          <w:t>3</w:t>
        </w:r>
      </w:hyperlink>
    </w:p>
    <w:sectPr w:rsidR="007A4AB3" w:rsidSect="001C74B4">
      <w:footerReference w:type="first" r:id="rId19"/>
      <w:type w:val="continuous"/>
      <w:pgSz w:w="11906" w:h="16838" w:code="9"/>
      <w:pgMar w:top="1134" w:right="1134" w:bottom="1247" w:left="1134" w:header="567" w:footer="709" w:gutter="0"/>
      <w:cols w:space="708" w:equalWidth="0">
        <w:col w:w="9638"/>
      </w:cols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D28" w:rsidRDefault="000B5D28">
      <w:r>
        <w:separator/>
      </w:r>
    </w:p>
  </w:endnote>
  <w:endnote w:type="continuationSeparator" w:id="0">
    <w:p w:rsidR="000B5D28" w:rsidRDefault="000B5D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26" w:rsidRDefault="00B82B90">
    <w:pPr>
      <w:pStyle w:val="Zpat"/>
      <w:framePr w:wrap="around" w:vAnchor="text" w:hAnchor="margin" w:xAlign="outside" w:y="1"/>
      <w:rPr>
        <w:rStyle w:val="slostrnky"/>
        <w:sz w:val="16"/>
      </w:rPr>
    </w:pPr>
    <w:r>
      <w:rPr>
        <w:rStyle w:val="slostrnky"/>
        <w:sz w:val="16"/>
      </w:rPr>
      <w:fldChar w:fldCharType="begin"/>
    </w:r>
    <w:r w:rsidR="00EB3526">
      <w:rPr>
        <w:rStyle w:val="slostrnky"/>
        <w:sz w:val="16"/>
      </w:rPr>
      <w:instrText xml:space="preserve">PAGE  </w:instrText>
    </w:r>
    <w:r>
      <w:rPr>
        <w:rStyle w:val="slostrnky"/>
        <w:sz w:val="16"/>
      </w:rPr>
      <w:fldChar w:fldCharType="separate"/>
    </w:r>
    <w:r w:rsidR="007F3EB9">
      <w:rPr>
        <w:rStyle w:val="slostrnky"/>
        <w:noProof/>
        <w:sz w:val="16"/>
      </w:rPr>
      <w:t>1</w:t>
    </w:r>
    <w:r>
      <w:rPr>
        <w:rStyle w:val="slostrnky"/>
        <w:sz w:val="16"/>
      </w:rPr>
      <w:fldChar w:fldCharType="end"/>
    </w:r>
  </w:p>
  <w:p w:rsidR="00EB3526" w:rsidRDefault="00EB3526">
    <w:pPr>
      <w:pStyle w:val="Rbntext"/>
      <w:ind w:right="360" w:firstLine="360"/>
      <w:jc w:val="center"/>
    </w:pPr>
    <w:r>
      <w:rPr>
        <w:sz w:val="16"/>
      </w:rPr>
      <w:t xml:space="preserve">Základní tendence demografického, sociálního a ekonomického vývoje </w:t>
    </w:r>
    <w:r w:rsidRPr="00241A51">
      <w:rPr>
        <w:sz w:val="16"/>
      </w:rPr>
      <w:t>Karlovarského</w:t>
    </w:r>
    <w:r>
      <w:rPr>
        <w:color w:val="FF0000"/>
        <w:sz w:val="16"/>
      </w:rPr>
      <w:t xml:space="preserve"> </w:t>
    </w:r>
    <w:r>
      <w:rPr>
        <w:sz w:val="16"/>
      </w:rPr>
      <w:t>kraje v roce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D28" w:rsidRDefault="000B5D28">
      <w:r>
        <w:separator/>
      </w:r>
    </w:p>
  </w:footnote>
  <w:footnote w:type="continuationSeparator" w:id="0">
    <w:p w:rsidR="000B5D28" w:rsidRDefault="000B5D28">
      <w:r>
        <w:continuationSeparator/>
      </w:r>
    </w:p>
  </w:footnote>
  <w:footnote w:id="1">
    <w:p w:rsidR="00EB3526" w:rsidRDefault="00EB3526" w:rsidP="00054EC9">
      <w:pPr>
        <w:pStyle w:val="Textpoznpodarou"/>
      </w:pPr>
      <w:r>
        <w:rPr>
          <w:rStyle w:val="Znakapoznpodarou"/>
        </w:rPr>
        <w:footnoteRef/>
      </w:r>
      <w:r>
        <w:t xml:space="preserve"> Z dostupných údajů ovšem nelze zjistit, kolik z dětí narozených mimo manželství se skutečně narodilo svobodným matkám žijícím v domácnosti bez partnera a kolik jich žije v úplných rodinách bez uzavření sňatku.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7EFF"/>
    <w:multiLevelType w:val="hybridMultilevel"/>
    <w:tmpl w:val="AA7C0B06"/>
    <w:lvl w:ilvl="0" w:tplc="2AE290F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kern w:val="32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5E64"/>
    <w:multiLevelType w:val="hybridMultilevel"/>
    <w:tmpl w:val="FF5E4A3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A25A79"/>
    <w:multiLevelType w:val="hybridMultilevel"/>
    <w:tmpl w:val="5390109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7C0BAE"/>
    <w:multiLevelType w:val="hybridMultilevel"/>
    <w:tmpl w:val="79A65E2C"/>
    <w:lvl w:ilvl="0" w:tplc="419EA1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0DA63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A5439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1043F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0AD4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75EBF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29862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B32F8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418B0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BF073C"/>
    <w:multiLevelType w:val="hybridMultilevel"/>
    <w:tmpl w:val="710C51E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EB3DEC"/>
    <w:multiLevelType w:val="hybridMultilevel"/>
    <w:tmpl w:val="9D8A5F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D5643D"/>
    <w:multiLevelType w:val="hybridMultilevel"/>
    <w:tmpl w:val="7FCC1B1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BCF63C1"/>
    <w:multiLevelType w:val="hybridMultilevel"/>
    <w:tmpl w:val="6C929912"/>
    <w:lvl w:ilvl="0" w:tplc="F3C6A1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DC0F6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99012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D34E0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538C5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98A0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CF802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D944D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B542B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A214C2"/>
    <w:multiLevelType w:val="multilevel"/>
    <w:tmpl w:val="CD7EF4C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>
    <w:nsid w:val="37905F58"/>
    <w:multiLevelType w:val="multilevel"/>
    <w:tmpl w:val="3AD2064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suff w:val="space"/>
      <w:lvlText w:val="%1.%2."/>
      <w:lvlJc w:val="left"/>
      <w:pPr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suff w:val="space"/>
      <w:lvlText w:val="Tab. %1.%2.%3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Restart w:val="0"/>
      <w:suff w:val="space"/>
      <w:lvlText w:val="Graf %4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4">
      <w:start w:val="1"/>
      <w:numFmt w:val="none"/>
      <w:lvlRestart w:val="2"/>
      <w:suff w:val="space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39356FAB"/>
    <w:multiLevelType w:val="hybridMultilevel"/>
    <w:tmpl w:val="D2D61754"/>
    <w:lvl w:ilvl="0" w:tplc="3904DA1E">
      <w:start w:val="1"/>
      <w:numFmt w:val="decimal"/>
      <w:pStyle w:val="Nadpis1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032543"/>
    <w:multiLevelType w:val="hybridMultilevel"/>
    <w:tmpl w:val="59F8FA1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09F6259"/>
    <w:multiLevelType w:val="multilevel"/>
    <w:tmpl w:val="5F0256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40C17374"/>
    <w:multiLevelType w:val="hybridMultilevel"/>
    <w:tmpl w:val="997A7FF2"/>
    <w:lvl w:ilvl="0" w:tplc="20B05D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41BD209C"/>
    <w:multiLevelType w:val="hybridMultilevel"/>
    <w:tmpl w:val="E4F05C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1C38EB"/>
    <w:multiLevelType w:val="hybridMultilevel"/>
    <w:tmpl w:val="B66E33E6"/>
    <w:lvl w:ilvl="0" w:tplc="44BAF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8C9C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2A43A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7E862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38254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063E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96A33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50D6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C89A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6E4C15"/>
    <w:multiLevelType w:val="hybridMultilevel"/>
    <w:tmpl w:val="EC589EEE"/>
    <w:lvl w:ilvl="0" w:tplc="C688D0C4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A675AA"/>
    <w:multiLevelType w:val="hybridMultilevel"/>
    <w:tmpl w:val="EC589EEE"/>
    <w:lvl w:ilvl="0" w:tplc="08227994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EC5D64"/>
    <w:multiLevelType w:val="hybridMultilevel"/>
    <w:tmpl w:val="FD5A28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344518"/>
    <w:multiLevelType w:val="hybridMultilevel"/>
    <w:tmpl w:val="BEF2CDD0"/>
    <w:lvl w:ilvl="0" w:tplc="376475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3211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EEC78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7880E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AB052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35A8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94EF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E80C7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F1E0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CB7216"/>
    <w:multiLevelType w:val="hybridMultilevel"/>
    <w:tmpl w:val="EC589EEE"/>
    <w:lvl w:ilvl="0" w:tplc="AF829932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B56198"/>
    <w:multiLevelType w:val="hybridMultilevel"/>
    <w:tmpl w:val="C4128E2A"/>
    <w:lvl w:ilvl="0" w:tplc="6B865C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3C0A0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5E97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438C3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872D4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6EC0D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DAA59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ED04A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A48F9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D9607B"/>
    <w:multiLevelType w:val="hybridMultilevel"/>
    <w:tmpl w:val="31E6A404"/>
    <w:lvl w:ilvl="0" w:tplc="DC88D7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570B8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F109B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9CC94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9A1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2E6CC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848B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58CE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0BE3C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3D68C4"/>
    <w:multiLevelType w:val="hybridMultilevel"/>
    <w:tmpl w:val="F0CA27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346794"/>
    <w:multiLevelType w:val="hybridMultilevel"/>
    <w:tmpl w:val="AE849F66"/>
    <w:lvl w:ilvl="0" w:tplc="3F0AAC5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71DC430A"/>
    <w:multiLevelType w:val="multilevel"/>
    <w:tmpl w:val="1080472A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721A2E8F"/>
    <w:multiLevelType w:val="multilevel"/>
    <w:tmpl w:val="AD5066C6"/>
    <w:lvl w:ilvl="0">
      <w:start w:val="3"/>
      <w:numFmt w:val="decimal"/>
      <w:lvlText w:val="%1.."/>
      <w:lvlJc w:val="left"/>
      <w:pPr>
        <w:tabs>
          <w:tab w:val="num" w:pos="720"/>
        </w:tabs>
        <w:ind w:left="15" w:hanging="15"/>
      </w:pPr>
      <w:rPr>
        <w:rFonts w:hint="default"/>
        <w:sz w:val="20"/>
      </w:rPr>
    </w:lvl>
    <w:lvl w:ilvl="1">
      <w:start w:val="2"/>
      <w:numFmt w:val="decimal"/>
      <w:lvlText w:val="%1.%2.."/>
      <w:lvlJc w:val="left"/>
      <w:pPr>
        <w:tabs>
          <w:tab w:val="num" w:pos="720"/>
        </w:tabs>
        <w:ind w:left="15" w:hanging="15"/>
      </w:pPr>
      <w:rPr>
        <w:rFonts w:hint="default"/>
        <w:sz w:val="20"/>
      </w:rPr>
    </w:lvl>
    <w:lvl w:ilvl="2">
      <w:start w:val="1"/>
      <w:numFmt w:val="decimal"/>
      <w:lvlText w:val="%1.%2.%3.."/>
      <w:lvlJc w:val="left"/>
      <w:pPr>
        <w:tabs>
          <w:tab w:val="num" w:pos="720"/>
        </w:tabs>
        <w:ind w:left="15" w:hanging="15"/>
      </w:pPr>
      <w:rPr>
        <w:rFonts w:hint="default"/>
        <w:sz w:val="20"/>
      </w:rPr>
    </w:lvl>
    <w:lvl w:ilvl="3">
      <w:start w:val="1"/>
      <w:numFmt w:val="decimal"/>
      <w:lvlText w:val="%1.%2.%3.%3.."/>
      <w:lvlJc w:val="left"/>
      <w:pPr>
        <w:tabs>
          <w:tab w:val="num" w:pos="1080"/>
        </w:tabs>
        <w:ind w:left="375" w:hanging="375"/>
      </w:pPr>
      <w:rPr>
        <w:rFonts w:hint="default"/>
        <w:sz w:val="20"/>
      </w:rPr>
    </w:lvl>
    <w:lvl w:ilvl="4">
      <w:start w:val="1"/>
      <w:numFmt w:val="decimal"/>
      <w:lvlText w:val="%1.%2.%3.%3.%4.."/>
      <w:lvlJc w:val="left"/>
      <w:pPr>
        <w:tabs>
          <w:tab w:val="num" w:pos="1080"/>
        </w:tabs>
        <w:ind w:left="375" w:hanging="375"/>
      </w:pPr>
      <w:rPr>
        <w:rFonts w:hint="default"/>
        <w:sz w:val="20"/>
      </w:rPr>
    </w:lvl>
    <w:lvl w:ilvl="5">
      <w:start w:val="1"/>
      <w:numFmt w:val="decimal"/>
      <w:lvlText w:val="%1.%2.%3.%3.%4.%5.."/>
      <w:lvlJc w:val="left"/>
      <w:pPr>
        <w:tabs>
          <w:tab w:val="num" w:pos="1440"/>
        </w:tabs>
        <w:ind w:left="735" w:hanging="735"/>
      </w:pPr>
      <w:rPr>
        <w:rFonts w:hint="default"/>
        <w:sz w:val="20"/>
      </w:rPr>
    </w:lvl>
    <w:lvl w:ilvl="6">
      <w:start w:val="1"/>
      <w:numFmt w:val="decimal"/>
      <w:lvlText w:val="%1.%2.%3.%3.%4.%5.%6.."/>
      <w:lvlJc w:val="left"/>
      <w:pPr>
        <w:tabs>
          <w:tab w:val="num" w:pos="1440"/>
        </w:tabs>
        <w:ind w:left="735" w:hanging="735"/>
      </w:pPr>
      <w:rPr>
        <w:rFonts w:hint="default"/>
        <w:sz w:val="20"/>
      </w:rPr>
    </w:lvl>
    <w:lvl w:ilvl="7">
      <w:start w:val="1"/>
      <w:numFmt w:val="decimal"/>
      <w:lvlText w:val="%1.%2.%3.%3.%4.%5.%6.%7.."/>
      <w:lvlJc w:val="left"/>
      <w:pPr>
        <w:tabs>
          <w:tab w:val="num" w:pos="1800"/>
        </w:tabs>
        <w:ind w:left="1095" w:hanging="1095"/>
      </w:pPr>
      <w:rPr>
        <w:rFonts w:hint="default"/>
        <w:sz w:val="20"/>
      </w:rPr>
    </w:lvl>
    <w:lvl w:ilvl="8">
      <w:start w:val="1"/>
      <w:numFmt w:val="decimal"/>
      <w:lvlText w:val="%1.%2.%3.%3.%4.%5.%6.%7.%8.."/>
      <w:lvlJc w:val="left"/>
      <w:pPr>
        <w:tabs>
          <w:tab w:val="num" w:pos="1800"/>
        </w:tabs>
        <w:ind w:left="1095" w:hanging="1095"/>
      </w:pPr>
      <w:rPr>
        <w:rFonts w:hint="default"/>
        <w:sz w:val="20"/>
      </w:rPr>
    </w:lvl>
  </w:abstractNum>
  <w:abstractNum w:abstractNumId="28">
    <w:nsid w:val="74D54FB5"/>
    <w:multiLevelType w:val="multilevel"/>
    <w:tmpl w:val="368610AC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72F27D4"/>
    <w:multiLevelType w:val="hybridMultilevel"/>
    <w:tmpl w:val="71822B0A"/>
    <w:lvl w:ilvl="0" w:tplc="569E60D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015912"/>
    <w:multiLevelType w:val="hybridMultilevel"/>
    <w:tmpl w:val="06880BD0"/>
    <w:lvl w:ilvl="0" w:tplc="D3389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6"/>
  </w:num>
  <w:num w:numId="3">
    <w:abstractNumId w:val="6"/>
  </w:num>
  <w:num w:numId="4">
    <w:abstractNumId w:val="21"/>
  </w:num>
  <w:num w:numId="5">
    <w:abstractNumId w:val="30"/>
  </w:num>
  <w:num w:numId="6">
    <w:abstractNumId w:val="9"/>
  </w:num>
  <w:num w:numId="7">
    <w:abstractNumId w:val="4"/>
  </w:num>
  <w:num w:numId="8">
    <w:abstractNumId w:val="15"/>
  </w:num>
  <w:num w:numId="9">
    <w:abstractNumId w:val="16"/>
  </w:num>
  <w:num w:numId="10">
    <w:abstractNumId w:val="28"/>
  </w:num>
  <w:num w:numId="11">
    <w:abstractNumId w:val="27"/>
  </w:num>
  <w:num w:numId="12">
    <w:abstractNumId w:val="13"/>
  </w:num>
  <w:num w:numId="13">
    <w:abstractNumId w:val="17"/>
  </w:num>
  <w:num w:numId="14">
    <w:abstractNumId w:val="18"/>
  </w:num>
  <w:num w:numId="15">
    <w:abstractNumId w:val="19"/>
  </w:num>
  <w:num w:numId="16">
    <w:abstractNumId w:val="24"/>
  </w:num>
  <w:num w:numId="17">
    <w:abstractNumId w:val="29"/>
  </w:num>
  <w:num w:numId="18">
    <w:abstractNumId w:val="2"/>
  </w:num>
  <w:num w:numId="19">
    <w:abstractNumId w:val="7"/>
  </w:num>
  <w:num w:numId="20">
    <w:abstractNumId w:val="23"/>
  </w:num>
  <w:num w:numId="21">
    <w:abstractNumId w:val="20"/>
  </w:num>
  <w:num w:numId="22">
    <w:abstractNumId w:val="22"/>
  </w:num>
  <w:num w:numId="23">
    <w:abstractNumId w:val="8"/>
  </w:num>
  <w:num w:numId="24">
    <w:abstractNumId w:val="3"/>
  </w:num>
  <w:num w:numId="25">
    <w:abstractNumId w:val="12"/>
  </w:num>
  <w:num w:numId="26">
    <w:abstractNumId w:val="1"/>
  </w:num>
  <w:num w:numId="27">
    <w:abstractNumId w:val="1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5"/>
  </w:num>
  <w:num w:numId="30">
    <w:abstractNumId w:val="5"/>
  </w:num>
  <w:num w:numId="31">
    <w:abstractNumId w:val="11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proofState w:spelling="clean"/>
  <w:doNotTrackMoves/>
  <w:defaultTabStop w:val="0"/>
  <w:hyphenationZone w:val="425"/>
  <w:noPunctuationKerning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4EEC"/>
    <w:rsid w:val="000008B4"/>
    <w:rsid w:val="00000981"/>
    <w:rsid w:val="00001F61"/>
    <w:rsid w:val="00006973"/>
    <w:rsid w:val="00011B35"/>
    <w:rsid w:val="000124D8"/>
    <w:rsid w:val="00014476"/>
    <w:rsid w:val="0002144F"/>
    <w:rsid w:val="000319C6"/>
    <w:rsid w:val="000508DA"/>
    <w:rsid w:val="000530CC"/>
    <w:rsid w:val="00053591"/>
    <w:rsid w:val="00054EC9"/>
    <w:rsid w:val="00060702"/>
    <w:rsid w:val="00070BFE"/>
    <w:rsid w:val="00073AE6"/>
    <w:rsid w:val="0009394E"/>
    <w:rsid w:val="000A50BA"/>
    <w:rsid w:val="000B5D28"/>
    <w:rsid w:val="000B7D18"/>
    <w:rsid w:val="000D02F3"/>
    <w:rsid w:val="000D5A5C"/>
    <w:rsid w:val="000E5996"/>
    <w:rsid w:val="000E663A"/>
    <w:rsid w:val="000E7CFC"/>
    <w:rsid w:val="000F21AE"/>
    <w:rsid w:val="000F2F6C"/>
    <w:rsid w:val="001001BE"/>
    <w:rsid w:val="001056F0"/>
    <w:rsid w:val="001061D3"/>
    <w:rsid w:val="00106F2C"/>
    <w:rsid w:val="00113C33"/>
    <w:rsid w:val="00113FAB"/>
    <w:rsid w:val="00122552"/>
    <w:rsid w:val="00134841"/>
    <w:rsid w:val="00135AB3"/>
    <w:rsid w:val="0014430E"/>
    <w:rsid w:val="00147657"/>
    <w:rsid w:val="00152EF4"/>
    <w:rsid w:val="00154083"/>
    <w:rsid w:val="00154D24"/>
    <w:rsid w:val="00156E28"/>
    <w:rsid w:val="00160356"/>
    <w:rsid w:val="00160DD9"/>
    <w:rsid w:val="00163F03"/>
    <w:rsid w:val="00172C77"/>
    <w:rsid w:val="0017742A"/>
    <w:rsid w:val="00177EE0"/>
    <w:rsid w:val="00185D01"/>
    <w:rsid w:val="00186282"/>
    <w:rsid w:val="00191C64"/>
    <w:rsid w:val="00195636"/>
    <w:rsid w:val="00196E1B"/>
    <w:rsid w:val="001A2476"/>
    <w:rsid w:val="001A5A21"/>
    <w:rsid w:val="001A6F55"/>
    <w:rsid w:val="001B08A1"/>
    <w:rsid w:val="001C1A41"/>
    <w:rsid w:val="001C2C3C"/>
    <w:rsid w:val="001C4B04"/>
    <w:rsid w:val="001C5741"/>
    <w:rsid w:val="001C74B4"/>
    <w:rsid w:val="001D3564"/>
    <w:rsid w:val="001E0ABE"/>
    <w:rsid w:val="001F07E6"/>
    <w:rsid w:val="001F67D0"/>
    <w:rsid w:val="00202E3B"/>
    <w:rsid w:val="00215C80"/>
    <w:rsid w:val="0022045E"/>
    <w:rsid w:val="00221616"/>
    <w:rsid w:val="00221682"/>
    <w:rsid w:val="0023185E"/>
    <w:rsid w:val="00231899"/>
    <w:rsid w:val="00237BB2"/>
    <w:rsid w:val="00241A51"/>
    <w:rsid w:val="00245861"/>
    <w:rsid w:val="002800AB"/>
    <w:rsid w:val="002941F4"/>
    <w:rsid w:val="00295044"/>
    <w:rsid w:val="002955AA"/>
    <w:rsid w:val="00297E0C"/>
    <w:rsid w:val="002A0D8A"/>
    <w:rsid w:val="002A3B42"/>
    <w:rsid w:val="002A4ABB"/>
    <w:rsid w:val="002A78DD"/>
    <w:rsid w:val="002B1930"/>
    <w:rsid w:val="002B4DAC"/>
    <w:rsid w:val="002C2F5C"/>
    <w:rsid w:val="002D240B"/>
    <w:rsid w:val="002E13CA"/>
    <w:rsid w:val="002E54DB"/>
    <w:rsid w:val="00303583"/>
    <w:rsid w:val="00306A8F"/>
    <w:rsid w:val="00311222"/>
    <w:rsid w:val="003118B2"/>
    <w:rsid w:val="00314D21"/>
    <w:rsid w:val="00347AA5"/>
    <w:rsid w:val="00354F05"/>
    <w:rsid w:val="003557F7"/>
    <w:rsid w:val="00356BC2"/>
    <w:rsid w:val="00361832"/>
    <w:rsid w:val="00365019"/>
    <w:rsid w:val="003764CE"/>
    <w:rsid w:val="00381F31"/>
    <w:rsid w:val="00392400"/>
    <w:rsid w:val="003A4E6B"/>
    <w:rsid w:val="003A5323"/>
    <w:rsid w:val="003C7CA1"/>
    <w:rsid w:val="003D2D1E"/>
    <w:rsid w:val="003E0CC7"/>
    <w:rsid w:val="003E2FD3"/>
    <w:rsid w:val="003E50EC"/>
    <w:rsid w:val="004045D7"/>
    <w:rsid w:val="00406A39"/>
    <w:rsid w:val="004073B6"/>
    <w:rsid w:val="00414C67"/>
    <w:rsid w:val="004274FA"/>
    <w:rsid w:val="00433398"/>
    <w:rsid w:val="00433945"/>
    <w:rsid w:val="004476B6"/>
    <w:rsid w:val="00475A64"/>
    <w:rsid w:val="0047602B"/>
    <w:rsid w:val="00481C9B"/>
    <w:rsid w:val="00490C5E"/>
    <w:rsid w:val="004A537D"/>
    <w:rsid w:val="004D4527"/>
    <w:rsid w:val="004E2F59"/>
    <w:rsid w:val="004F17C6"/>
    <w:rsid w:val="0050128A"/>
    <w:rsid w:val="00502E3C"/>
    <w:rsid w:val="0051250F"/>
    <w:rsid w:val="00520AFE"/>
    <w:rsid w:val="00530E35"/>
    <w:rsid w:val="0053212F"/>
    <w:rsid w:val="0053500E"/>
    <w:rsid w:val="00535160"/>
    <w:rsid w:val="005375BC"/>
    <w:rsid w:val="00555F17"/>
    <w:rsid w:val="00557D1C"/>
    <w:rsid w:val="005659BB"/>
    <w:rsid w:val="00571B20"/>
    <w:rsid w:val="00576DD8"/>
    <w:rsid w:val="00581BA0"/>
    <w:rsid w:val="00581C84"/>
    <w:rsid w:val="00583CBE"/>
    <w:rsid w:val="005861C1"/>
    <w:rsid w:val="00592DEA"/>
    <w:rsid w:val="005958E4"/>
    <w:rsid w:val="005A42D1"/>
    <w:rsid w:val="005B0ECD"/>
    <w:rsid w:val="005D0BF4"/>
    <w:rsid w:val="005D4A9B"/>
    <w:rsid w:val="005D6BB7"/>
    <w:rsid w:val="005D6F4E"/>
    <w:rsid w:val="005E721D"/>
    <w:rsid w:val="005E7637"/>
    <w:rsid w:val="005F66D1"/>
    <w:rsid w:val="00604F29"/>
    <w:rsid w:val="0060538F"/>
    <w:rsid w:val="0061231C"/>
    <w:rsid w:val="0061461A"/>
    <w:rsid w:val="00624C8E"/>
    <w:rsid w:val="006267BD"/>
    <w:rsid w:val="0063419C"/>
    <w:rsid w:val="00635FCA"/>
    <w:rsid w:val="006455C9"/>
    <w:rsid w:val="00645662"/>
    <w:rsid w:val="00647E36"/>
    <w:rsid w:val="006552ED"/>
    <w:rsid w:val="00686564"/>
    <w:rsid w:val="00690C59"/>
    <w:rsid w:val="00690F7C"/>
    <w:rsid w:val="006913DF"/>
    <w:rsid w:val="00696B03"/>
    <w:rsid w:val="006A0BBB"/>
    <w:rsid w:val="006A53FB"/>
    <w:rsid w:val="006A75CE"/>
    <w:rsid w:val="006C0920"/>
    <w:rsid w:val="006C3AD4"/>
    <w:rsid w:val="006D4502"/>
    <w:rsid w:val="006D7220"/>
    <w:rsid w:val="006E0E24"/>
    <w:rsid w:val="006E4F88"/>
    <w:rsid w:val="006E5E9A"/>
    <w:rsid w:val="006F0609"/>
    <w:rsid w:val="006F39F4"/>
    <w:rsid w:val="006F71A4"/>
    <w:rsid w:val="00704152"/>
    <w:rsid w:val="00704488"/>
    <w:rsid w:val="007070F0"/>
    <w:rsid w:val="00732FC5"/>
    <w:rsid w:val="007361B1"/>
    <w:rsid w:val="00736347"/>
    <w:rsid w:val="007421FA"/>
    <w:rsid w:val="0074534C"/>
    <w:rsid w:val="007516FF"/>
    <w:rsid w:val="00764660"/>
    <w:rsid w:val="00774EEC"/>
    <w:rsid w:val="00785780"/>
    <w:rsid w:val="00791BBD"/>
    <w:rsid w:val="007A0669"/>
    <w:rsid w:val="007A4AB3"/>
    <w:rsid w:val="007B3BB9"/>
    <w:rsid w:val="007B3CEE"/>
    <w:rsid w:val="007B64BB"/>
    <w:rsid w:val="007B71E9"/>
    <w:rsid w:val="007B73F2"/>
    <w:rsid w:val="007C121A"/>
    <w:rsid w:val="007C7F44"/>
    <w:rsid w:val="007D49A4"/>
    <w:rsid w:val="007E1472"/>
    <w:rsid w:val="007E742A"/>
    <w:rsid w:val="007F3EB9"/>
    <w:rsid w:val="007F5ECA"/>
    <w:rsid w:val="0082185C"/>
    <w:rsid w:val="00834F78"/>
    <w:rsid w:val="0084454A"/>
    <w:rsid w:val="00845141"/>
    <w:rsid w:val="00852492"/>
    <w:rsid w:val="00861281"/>
    <w:rsid w:val="00872E06"/>
    <w:rsid w:val="00876542"/>
    <w:rsid w:val="008801E2"/>
    <w:rsid w:val="008840B0"/>
    <w:rsid w:val="00884418"/>
    <w:rsid w:val="0088665B"/>
    <w:rsid w:val="00887285"/>
    <w:rsid w:val="008874D8"/>
    <w:rsid w:val="008A09F6"/>
    <w:rsid w:val="008A28D9"/>
    <w:rsid w:val="008A7092"/>
    <w:rsid w:val="008B3363"/>
    <w:rsid w:val="008B447C"/>
    <w:rsid w:val="008C4883"/>
    <w:rsid w:val="008E0138"/>
    <w:rsid w:val="008E1F9A"/>
    <w:rsid w:val="008E2C03"/>
    <w:rsid w:val="008E7D2A"/>
    <w:rsid w:val="008F0E5D"/>
    <w:rsid w:val="008F3D80"/>
    <w:rsid w:val="008F69D9"/>
    <w:rsid w:val="00922974"/>
    <w:rsid w:val="009237C0"/>
    <w:rsid w:val="0092629B"/>
    <w:rsid w:val="00934DA5"/>
    <w:rsid w:val="00946546"/>
    <w:rsid w:val="00956951"/>
    <w:rsid w:val="00960B16"/>
    <w:rsid w:val="00963D25"/>
    <w:rsid w:val="009669C9"/>
    <w:rsid w:val="009671C9"/>
    <w:rsid w:val="009818CE"/>
    <w:rsid w:val="00981FF7"/>
    <w:rsid w:val="00986F01"/>
    <w:rsid w:val="00993AB2"/>
    <w:rsid w:val="0099433A"/>
    <w:rsid w:val="009A399C"/>
    <w:rsid w:val="009A44C7"/>
    <w:rsid w:val="009A48E5"/>
    <w:rsid w:val="009B01A8"/>
    <w:rsid w:val="009B390D"/>
    <w:rsid w:val="009B62FA"/>
    <w:rsid w:val="009C7F70"/>
    <w:rsid w:val="009D6AC4"/>
    <w:rsid w:val="009E1787"/>
    <w:rsid w:val="009E1913"/>
    <w:rsid w:val="009E557B"/>
    <w:rsid w:val="009F0F94"/>
    <w:rsid w:val="00A0174A"/>
    <w:rsid w:val="00A02511"/>
    <w:rsid w:val="00A136EE"/>
    <w:rsid w:val="00A23330"/>
    <w:rsid w:val="00A3164F"/>
    <w:rsid w:val="00A35648"/>
    <w:rsid w:val="00A43193"/>
    <w:rsid w:val="00A55678"/>
    <w:rsid w:val="00A61825"/>
    <w:rsid w:val="00A80095"/>
    <w:rsid w:val="00A80E92"/>
    <w:rsid w:val="00A836EA"/>
    <w:rsid w:val="00A857F8"/>
    <w:rsid w:val="00A8743A"/>
    <w:rsid w:val="00AA101E"/>
    <w:rsid w:val="00AA3E9B"/>
    <w:rsid w:val="00AA7EF2"/>
    <w:rsid w:val="00AB37FD"/>
    <w:rsid w:val="00AB5305"/>
    <w:rsid w:val="00AB62E9"/>
    <w:rsid w:val="00AD1BFF"/>
    <w:rsid w:val="00AE34E0"/>
    <w:rsid w:val="00B03B15"/>
    <w:rsid w:val="00B0409F"/>
    <w:rsid w:val="00B048B3"/>
    <w:rsid w:val="00B07A92"/>
    <w:rsid w:val="00B166BD"/>
    <w:rsid w:val="00B25B35"/>
    <w:rsid w:val="00B307C4"/>
    <w:rsid w:val="00B30851"/>
    <w:rsid w:val="00B3758D"/>
    <w:rsid w:val="00B611CE"/>
    <w:rsid w:val="00B6582E"/>
    <w:rsid w:val="00B70D5E"/>
    <w:rsid w:val="00B73B7C"/>
    <w:rsid w:val="00B77C44"/>
    <w:rsid w:val="00B77F27"/>
    <w:rsid w:val="00B82B90"/>
    <w:rsid w:val="00B82E15"/>
    <w:rsid w:val="00B9228F"/>
    <w:rsid w:val="00B95855"/>
    <w:rsid w:val="00BB1C98"/>
    <w:rsid w:val="00BC49CB"/>
    <w:rsid w:val="00BC647E"/>
    <w:rsid w:val="00BD02F5"/>
    <w:rsid w:val="00BD41ED"/>
    <w:rsid w:val="00BE6495"/>
    <w:rsid w:val="00BF27CA"/>
    <w:rsid w:val="00BF37D8"/>
    <w:rsid w:val="00BF693B"/>
    <w:rsid w:val="00BF7972"/>
    <w:rsid w:val="00C01A05"/>
    <w:rsid w:val="00C067FE"/>
    <w:rsid w:val="00C07318"/>
    <w:rsid w:val="00C25636"/>
    <w:rsid w:val="00C32C08"/>
    <w:rsid w:val="00C34B9A"/>
    <w:rsid w:val="00C42D0A"/>
    <w:rsid w:val="00C4332E"/>
    <w:rsid w:val="00C46406"/>
    <w:rsid w:val="00C54EEF"/>
    <w:rsid w:val="00C657BD"/>
    <w:rsid w:val="00C929F3"/>
    <w:rsid w:val="00C93DB6"/>
    <w:rsid w:val="00C9538E"/>
    <w:rsid w:val="00C97F1A"/>
    <w:rsid w:val="00CA7BEE"/>
    <w:rsid w:val="00CB408B"/>
    <w:rsid w:val="00CB67C2"/>
    <w:rsid w:val="00CC362D"/>
    <w:rsid w:val="00CD60C0"/>
    <w:rsid w:val="00CE20BF"/>
    <w:rsid w:val="00CE3A2D"/>
    <w:rsid w:val="00CE4CBD"/>
    <w:rsid w:val="00CE6291"/>
    <w:rsid w:val="00D03CA5"/>
    <w:rsid w:val="00D133A2"/>
    <w:rsid w:val="00D14237"/>
    <w:rsid w:val="00D200AC"/>
    <w:rsid w:val="00D23EE2"/>
    <w:rsid w:val="00D26DFD"/>
    <w:rsid w:val="00D36E1F"/>
    <w:rsid w:val="00D37DB4"/>
    <w:rsid w:val="00D5317B"/>
    <w:rsid w:val="00D54DBF"/>
    <w:rsid w:val="00D606D3"/>
    <w:rsid w:val="00D617F6"/>
    <w:rsid w:val="00D625B0"/>
    <w:rsid w:val="00D73D87"/>
    <w:rsid w:val="00D76351"/>
    <w:rsid w:val="00D84AB0"/>
    <w:rsid w:val="00D85A30"/>
    <w:rsid w:val="00D94685"/>
    <w:rsid w:val="00D979C8"/>
    <w:rsid w:val="00DB36D2"/>
    <w:rsid w:val="00DC0B13"/>
    <w:rsid w:val="00DC44BE"/>
    <w:rsid w:val="00DD2A66"/>
    <w:rsid w:val="00DE0AF2"/>
    <w:rsid w:val="00DE254D"/>
    <w:rsid w:val="00DE4229"/>
    <w:rsid w:val="00DF7B7F"/>
    <w:rsid w:val="00E11CBA"/>
    <w:rsid w:val="00E2039B"/>
    <w:rsid w:val="00E23629"/>
    <w:rsid w:val="00E31420"/>
    <w:rsid w:val="00E450C3"/>
    <w:rsid w:val="00E45733"/>
    <w:rsid w:val="00E564CC"/>
    <w:rsid w:val="00E626ED"/>
    <w:rsid w:val="00E67A34"/>
    <w:rsid w:val="00E866F7"/>
    <w:rsid w:val="00E90939"/>
    <w:rsid w:val="00E92403"/>
    <w:rsid w:val="00EB3526"/>
    <w:rsid w:val="00EB6121"/>
    <w:rsid w:val="00ED4E36"/>
    <w:rsid w:val="00ED7354"/>
    <w:rsid w:val="00ED7784"/>
    <w:rsid w:val="00EF7B32"/>
    <w:rsid w:val="00F10AAF"/>
    <w:rsid w:val="00F2637E"/>
    <w:rsid w:val="00F46E6E"/>
    <w:rsid w:val="00F6058D"/>
    <w:rsid w:val="00F70CF6"/>
    <w:rsid w:val="00F742C4"/>
    <w:rsid w:val="00F84BB0"/>
    <w:rsid w:val="00F92A8B"/>
    <w:rsid w:val="00F971C1"/>
    <w:rsid w:val="00FB3721"/>
    <w:rsid w:val="00FB4E39"/>
    <w:rsid w:val="00FB5591"/>
    <w:rsid w:val="00FC01C0"/>
    <w:rsid w:val="00FC10ED"/>
    <w:rsid w:val="00FC3738"/>
    <w:rsid w:val="00FC4353"/>
    <w:rsid w:val="00FD1020"/>
    <w:rsid w:val="00FD2C27"/>
    <w:rsid w:val="00FD3B13"/>
    <w:rsid w:val="00FD5585"/>
    <w:rsid w:val="00FE258D"/>
    <w:rsid w:val="00FF0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08A1"/>
    <w:pPr>
      <w:jc w:val="both"/>
    </w:pPr>
    <w:rPr>
      <w:rFonts w:ascii="Arial" w:hAnsi="Arial"/>
      <w:szCs w:val="24"/>
    </w:rPr>
  </w:style>
  <w:style w:type="paragraph" w:styleId="Nadpis1">
    <w:name w:val="heading 1"/>
    <w:basedOn w:val="Normln"/>
    <w:next w:val="Normln"/>
    <w:qFormat/>
    <w:rsid w:val="00306A8F"/>
    <w:pPr>
      <w:keepNext/>
      <w:numPr>
        <w:numId w:val="31"/>
      </w:numPr>
      <w:spacing w:after="180"/>
      <w:ind w:left="142" w:hanging="357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Nadpis2">
    <w:name w:val="heading 2"/>
    <w:basedOn w:val="Normln"/>
    <w:next w:val="Normln"/>
    <w:qFormat/>
    <w:rsid w:val="001B08A1"/>
    <w:pPr>
      <w:keepNext/>
      <w:spacing w:before="240" w:after="240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ln"/>
    <w:next w:val="Normln"/>
    <w:qFormat/>
    <w:rsid w:val="001B08A1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qFormat/>
    <w:rsid w:val="001B08A1"/>
    <w:pPr>
      <w:keepNext/>
      <w:jc w:val="right"/>
      <w:outlineLvl w:val="3"/>
    </w:pPr>
    <w:rPr>
      <w:i/>
      <w:iCs/>
      <w:color w:val="0000FF"/>
    </w:rPr>
  </w:style>
  <w:style w:type="paragraph" w:styleId="Nadpis5">
    <w:name w:val="heading 5"/>
    <w:basedOn w:val="Normln"/>
    <w:next w:val="Normln"/>
    <w:qFormat/>
    <w:rsid w:val="001B08A1"/>
    <w:pPr>
      <w:keepNext/>
      <w:spacing w:after="480"/>
      <w:outlineLvl w:val="4"/>
    </w:pPr>
    <w:rPr>
      <w:rFonts w:cs="Arial"/>
      <w:b/>
      <w:bCs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B08A1"/>
    <w:pPr>
      <w:spacing w:before="240" w:after="240"/>
      <w:jc w:val="center"/>
      <w:outlineLvl w:val="0"/>
    </w:pPr>
    <w:rPr>
      <w:rFonts w:cs="Arial"/>
      <w:b/>
      <w:bCs/>
      <w:kern w:val="28"/>
      <w:sz w:val="28"/>
      <w:szCs w:val="32"/>
    </w:rPr>
  </w:style>
  <w:style w:type="paragraph" w:customStyle="1" w:styleId="normalnsodrkami">
    <w:name w:val="normalní s odrážkami"/>
    <w:basedOn w:val="Normln"/>
    <w:rsid w:val="001B08A1"/>
    <w:pPr>
      <w:numPr>
        <w:numId w:val="3"/>
      </w:numPr>
    </w:pPr>
  </w:style>
  <w:style w:type="paragraph" w:styleId="Zpat">
    <w:name w:val="footer"/>
    <w:basedOn w:val="Normln"/>
    <w:semiHidden/>
    <w:rsid w:val="001B08A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B08A1"/>
  </w:style>
  <w:style w:type="paragraph" w:styleId="Zhlav">
    <w:name w:val="header"/>
    <w:basedOn w:val="Normln"/>
    <w:semiHidden/>
    <w:rsid w:val="001B08A1"/>
    <w:pPr>
      <w:tabs>
        <w:tab w:val="center" w:pos="4536"/>
        <w:tab w:val="right" w:pos="9072"/>
      </w:tabs>
      <w:jc w:val="left"/>
    </w:pPr>
    <w:rPr>
      <w:rFonts w:ascii="Times New Roman" w:hAnsi="Times New Roman"/>
      <w:sz w:val="24"/>
    </w:rPr>
  </w:style>
  <w:style w:type="character" w:styleId="Hypertextovodkaz">
    <w:name w:val="Hyperlink"/>
    <w:basedOn w:val="Standardnpsmoodstavce"/>
    <w:rsid w:val="001B08A1"/>
    <w:rPr>
      <w:color w:val="0000FF"/>
      <w:u w:val="single"/>
    </w:rPr>
  </w:style>
  <w:style w:type="paragraph" w:styleId="Normlnweb">
    <w:name w:val="Normal (Web)"/>
    <w:basedOn w:val="Normln"/>
    <w:semiHidden/>
    <w:rsid w:val="001B08A1"/>
    <w:pPr>
      <w:spacing w:before="100" w:beforeAutospacing="1" w:after="100" w:afterAutospacing="1"/>
      <w:jc w:val="left"/>
    </w:pPr>
    <w:rPr>
      <w:rFonts w:ascii="Arial Unicode MS" w:eastAsia="Arial Unicode MS" w:hAnsi="Arial Unicode MS"/>
      <w:sz w:val="24"/>
    </w:rPr>
  </w:style>
  <w:style w:type="paragraph" w:styleId="Textpoznpodarou">
    <w:name w:val="footnote text"/>
    <w:aliases w:val="Text pozn. pod čarou_martin_ang"/>
    <w:basedOn w:val="Normln"/>
    <w:semiHidden/>
    <w:rsid w:val="001B08A1"/>
    <w:pPr>
      <w:spacing w:before="60" w:after="60"/>
      <w:ind w:left="113" w:hanging="113"/>
    </w:pPr>
    <w:rPr>
      <w:sz w:val="16"/>
      <w:szCs w:val="20"/>
    </w:rPr>
  </w:style>
  <w:style w:type="paragraph" w:styleId="Zkladntext">
    <w:name w:val="Body Text"/>
    <w:basedOn w:val="Normln"/>
    <w:semiHidden/>
    <w:rsid w:val="001B08A1"/>
    <w:pPr>
      <w:tabs>
        <w:tab w:val="left" w:pos="9000"/>
      </w:tabs>
      <w:ind w:right="-110"/>
    </w:pPr>
    <w:rPr>
      <w:rFonts w:cs="Arial"/>
    </w:rPr>
  </w:style>
  <w:style w:type="paragraph" w:styleId="Zkladntext2">
    <w:name w:val="Body Text 2"/>
    <w:basedOn w:val="Normln"/>
    <w:semiHidden/>
    <w:rsid w:val="001B08A1"/>
    <w:pPr>
      <w:tabs>
        <w:tab w:val="left" w:pos="9000"/>
      </w:tabs>
      <w:ind w:right="-70"/>
    </w:pPr>
    <w:rPr>
      <w:rFonts w:cs="Arial"/>
    </w:rPr>
  </w:style>
  <w:style w:type="character" w:styleId="Znakapoznpodarou">
    <w:name w:val="footnote reference"/>
    <w:basedOn w:val="Standardnpsmoodstavce"/>
    <w:semiHidden/>
    <w:rsid w:val="001B08A1"/>
    <w:rPr>
      <w:sz w:val="16"/>
      <w:vertAlign w:val="superscript"/>
    </w:rPr>
  </w:style>
  <w:style w:type="character" w:styleId="Sledovanodkaz">
    <w:name w:val="FollowedHyperlink"/>
    <w:basedOn w:val="Standardnpsmoodstavce"/>
    <w:semiHidden/>
    <w:rsid w:val="001B08A1"/>
    <w:rPr>
      <w:color w:val="800080"/>
      <w:u w:val="single"/>
    </w:rPr>
  </w:style>
  <w:style w:type="paragraph" w:styleId="Zkladntext3">
    <w:name w:val="Body Text 3"/>
    <w:basedOn w:val="Normln"/>
    <w:semiHidden/>
    <w:rsid w:val="001B08A1"/>
    <w:rPr>
      <w:i/>
      <w:iCs/>
      <w:color w:val="0000FF"/>
    </w:rPr>
  </w:style>
  <w:style w:type="paragraph" w:styleId="Zkladntextodsazen">
    <w:name w:val="Body Text Indent"/>
    <w:basedOn w:val="Normln"/>
    <w:semiHidden/>
    <w:rsid w:val="001B08A1"/>
    <w:pPr>
      <w:ind w:firstLine="708"/>
    </w:pPr>
  </w:style>
  <w:style w:type="paragraph" w:styleId="Titulek">
    <w:name w:val="caption"/>
    <w:basedOn w:val="Normln"/>
    <w:next w:val="Normln"/>
    <w:qFormat/>
    <w:rsid w:val="001B08A1"/>
    <w:pPr>
      <w:tabs>
        <w:tab w:val="left" w:pos="1260"/>
      </w:tabs>
    </w:pPr>
    <w:rPr>
      <w:b/>
      <w:bCs/>
    </w:rPr>
  </w:style>
  <w:style w:type="paragraph" w:customStyle="1" w:styleId="text">
    <w:name w:val="text"/>
    <w:basedOn w:val="Normln"/>
    <w:rsid w:val="001B08A1"/>
    <w:pPr>
      <w:spacing w:before="60" w:after="60"/>
    </w:pPr>
  </w:style>
  <w:style w:type="paragraph" w:customStyle="1" w:styleId="textRR">
    <w:name w:val="text RR"/>
    <w:rsid w:val="001B08A1"/>
    <w:pPr>
      <w:spacing w:before="120"/>
      <w:jc w:val="both"/>
    </w:pPr>
    <w:rPr>
      <w:rFonts w:ascii="Arial" w:hAnsi="Arial"/>
    </w:rPr>
  </w:style>
  <w:style w:type="paragraph" w:customStyle="1" w:styleId="Rbntext">
    <w:name w:val="R běžný text"/>
    <w:rsid w:val="001B08A1"/>
    <w:pPr>
      <w:spacing w:after="120"/>
      <w:jc w:val="both"/>
    </w:pPr>
    <w:rPr>
      <w:rFonts w:ascii="Arial" w:hAnsi="Arial"/>
    </w:rPr>
  </w:style>
  <w:style w:type="paragraph" w:customStyle="1" w:styleId="Rnadpis">
    <w:name w:val="R nadpis"/>
    <w:basedOn w:val="Rbntext"/>
    <w:next w:val="Rbntext"/>
    <w:rsid w:val="00F6058D"/>
    <w:pPr>
      <w:tabs>
        <w:tab w:val="right" w:pos="9356"/>
      </w:tabs>
      <w:spacing w:before="360" w:after="240"/>
      <w:jc w:val="left"/>
      <w:outlineLvl w:val="0"/>
    </w:pPr>
    <w:rPr>
      <w:b/>
      <w:caps/>
      <w:sz w:val="24"/>
    </w:rPr>
  </w:style>
  <w:style w:type="paragraph" w:customStyle="1" w:styleId="Rtextobsah">
    <w:name w:val="R text obsah"/>
    <w:basedOn w:val="Rbntext"/>
    <w:rsid w:val="001B08A1"/>
    <w:pPr>
      <w:tabs>
        <w:tab w:val="right" w:leader="dot" w:pos="4423"/>
      </w:tabs>
      <w:ind w:left="454" w:hanging="454"/>
    </w:pPr>
    <w:rPr>
      <w:bCs/>
    </w:rPr>
  </w:style>
  <w:style w:type="paragraph" w:customStyle="1" w:styleId="poznamka">
    <w:name w:val="poznamka"/>
    <w:basedOn w:val="Normln"/>
    <w:rsid w:val="001B08A1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sz w:val="24"/>
    </w:rPr>
  </w:style>
  <w:style w:type="paragraph" w:customStyle="1" w:styleId="NORMAArialCE">
    <w:name w:val="NORMA Arial CE"/>
    <w:basedOn w:val="Normln"/>
    <w:rsid w:val="001B08A1"/>
    <w:pPr>
      <w:spacing w:before="120" w:after="120"/>
    </w:pPr>
  </w:style>
  <w:style w:type="paragraph" w:customStyle="1" w:styleId="RbntextA">
    <w:name w:val="R běžný text A"/>
    <w:basedOn w:val="Rbntext"/>
    <w:rsid w:val="001B08A1"/>
    <w:rPr>
      <w:i/>
      <w:lang w:val="en-GB"/>
    </w:rPr>
  </w:style>
  <w:style w:type="paragraph" w:customStyle="1" w:styleId="Ptext">
    <w:name w:val="P text"/>
    <w:rsid w:val="001B08A1"/>
    <w:pPr>
      <w:spacing w:before="60" w:after="120"/>
      <w:jc w:val="both"/>
    </w:pPr>
    <w:rPr>
      <w:rFonts w:ascii="Arial" w:hAnsi="Arial"/>
    </w:rPr>
  </w:style>
  <w:style w:type="paragraph" w:customStyle="1" w:styleId="PGraf">
    <w:name w:val="P Graf"/>
    <w:basedOn w:val="Ptext"/>
    <w:next w:val="Ptext"/>
    <w:rsid w:val="001B08A1"/>
    <w:pPr>
      <w:spacing w:before="120" w:after="0"/>
      <w:jc w:val="left"/>
    </w:pPr>
    <w:rPr>
      <w:b/>
    </w:rPr>
  </w:style>
  <w:style w:type="paragraph" w:styleId="Obsah1">
    <w:name w:val="toc 1"/>
    <w:basedOn w:val="Normln"/>
    <w:next w:val="Normln"/>
    <w:autoRedefine/>
    <w:uiPriority w:val="39"/>
    <w:unhideWhenUsed/>
    <w:rsid w:val="00433945"/>
    <w:pPr>
      <w:tabs>
        <w:tab w:val="left" w:pos="284"/>
        <w:tab w:val="right" w:leader="dot" w:pos="9628"/>
      </w:tabs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8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czso.cz/csu/2013edicniplan.nsf/publ/4001-13-q4_201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czso.cz/csu/2013edicniplan.nsf/krajpubl/411011-13-r_2013-x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zso.cz/csu/2013edicniplan.nsf/krajpubl/411302-13-q4_2013-x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4FD8B-BD51-41A2-8761-B9118D8F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1078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</vt:lpstr>
    </vt:vector>
  </TitlesOfParts>
  <Company>CSU</Company>
  <LinksUpToDate>false</LinksUpToDate>
  <CharactersWithSpaces>7430</CharactersWithSpaces>
  <SharedDoc>false</SharedDoc>
  <HLinks>
    <vt:vector size="6" baseType="variant">
      <vt:variant>
        <vt:i4>5636130</vt:i4>
      </vt:variant>
      <vt:variant>
        <vt:i4>0</vt:i4>
      </vt:variant>
      <vt:variant>
        <vt:i4>0</vt:i4>
      </vt:variant>
      <vt:variant>
        <vt:i4>5</vt:i4>
      </vt:variant>
      <vt:variant>
        <vt:lpwstr>mailto:ivana.duskova@czso.cz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</dc:title>
  <dc:creator>Dubska</dc:creator>
  <cp:lastModifiedBy>Soukupova</cp:lastModifiedBy>
  <cp:revision>4</cp:revision>
  <cp:lastPrinted>2014-08-25T11:28:00Z</cp:lastPrinted>
  <dcterms:created xsi:type="dcterms:W3CDTF">2014-08-27T10:38:00Z</dcterms:created>
  <dcterms:modified xsi:type="dcterms:W3CDTF">2014-08-27T10:49:00Z</dcterms:modified>
</cp:coreProperties>
</file>