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3E0A67">
      <w:pPr>
        <w:pStyle w:val="Nadpis8"/>
        <w:spacing w:line="233" w:lineRule="auto"/>
        <w:rPr>
          <w:rStyle w:val="Siln"/>
        </w:rPr>
      </w:pPr>
      <w:r w:rsidRPr="001950B2">
        <w:rPr>
          <w:rStyle w:val="Siln"/>
          <w:rFonts w:cs="Arial"/>
          <w:b/>
          <w:bCs/>
        </w:rPr>
        <w:t>OBYVATELSTVO</w:t>
      </w:r>
      <w:r w:rsidRPr="003E0A67">
        <w:rPr>
          <w:rStyle w:val="Siln"/>
        </w:rPr>
        <w:t xml:space="preserve"> </w:t>
      </w:r>
    </w:p>
    <w:p w:rsidR="003E0A67" w:rsidRDefault="003E0A67" w:rsidP="003E0A67">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spacing w:after="120"/>
        <w:jc w:val="both"/>
        <w:rPr>
          <w:rFonts w:ascii="Arial" w:hAnsi="Arial" w:cs="Arial"/>
          <w:sz w:val="20"/>
          <w:szCs w:val="20"/>
        </w:rPr>
      </w:pPr>
      <w:r w:rsidRPr="001A7C45">
        <w:rPr>
          <w:rFonts w:ascii="Arial" w:hAnsi="Arial" w:cs="Arial"/>
          <w:sz w:val="20"/>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 dlouhodobým pobytem.</w:t>
      </w:r>
    </w:p>
    <w:p w:rsidR="003E0A67" w:rsidRDefault="003E0A67" w:rsidP="003E0A67">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3E0A67" w:rsidRDefault="001613CD" w:rsidP="003E0A67">
      <w:pPr>
        <w:pStyle w:val="Nadpis8"/>
        <w:spacing w:line="233" w:lineRule="auto"/>
        <w:rPr>
          <w:rStyle w:val="Siln"/>
        </w:rPr>
      </w:pPr>
      <w:r w:rsidRPr="001950B2">
        <w:rPr>
          <w:rStyle w:val="Siln"/>
          <w:rFonts w:cs="Arial"/>
          <w:b/>
          <w:bCs/>
        </w:rPr>
        <w:t>ZAMĚSTNANOST A MZDY</w:t>
      </w:r>
      <w:r w:rsidRPr="003E0A67">
        <w:rPr>
          <w:rStyle w:val="Siln"/>
        </w:rPr>
        <w:t xml:space="preserve"> </w:t>
      </w:r>
    </w:p>
    <w:p w:rsidR="003E0A67" w:rsidRDefault="003E0A67" w:rsidP="00F01EE3">
      <w:pPr>
        <w:spacing w:before="120" w:after="120"/>
        <w:jc w:val="both"/>
        <w:rPr>
          <w:rFonts w:ascii="Arial" w:hAnsi="Arial" w:cs="Arial"/>
          <w:sz w:val="20"/>
        </w:rPr>
      </w:pPr>
      <w:r>
        <w:rPr>
          <w:rFonts w:ascii="Arial" w:hAnsi="Arial" w:cs="Arial"/>
          <w:b/>
          <w:bCs/>
          <w:sz w:val="20"/>
        </w:rPr>
        <w:t xml:space="preserve">Výsledky jsou publikovány za celou populaci podniků </w:t>
      </w:r>
      <w:r>
        <w:rPr>
          <w:rFonts w:ascii="Arial" w:hAnsi="Arial" w:cs="Arial"/>
          <w:sz w:val="20"/>
        </w:rPr>
        <w:t>s</w:t>
      </w:r>
      <w:r w:rsidR="00767361">
        <w:rPr>
          <w:rFonts w:ascii="Arial" w:hAnsi="Arial" w:cs="Arial"/>
          <w:sz w:val="20"/>
        </w:rPr>
        <w:t xml:space="preserve"> </w:t>
      </w:r>
      <w:r>
        <w:rPr>
          <w:rFonts w:ascii="Arial" w:hAnsi="Arial" w:cs="Arial"/>
          <w:sz w:val="20"/>
        </w:rPr>
        <w:t xml:space="preserve">důrazem na </w:t>
      </w:r>
      <w:r>
        <w:rPr>
          <w:rFonts w:ascii="Arial" w:hAnsi="Arial" w:cs="Arial"/>
          <w:b/>
          <w:bCs/>
          <w:sz w:val="20"/>
        </w:rPr>
        <w:t>průměrné</w:t>
      </w:r>
      <w:r>
        <w:rPr>
          <w:rFonts w:ascii="Arial" w:hAnsi="Arial" w:cs="Arial"/>
          <w:sz w:val="20"/>
        </w:rPr>
        <w:t xml:space="preserve"> </w:t>
      </w:r>
      <w:r>
        <w:rPr>
          <w:rFonts w:ascii="Arial" w:hAnsi="Arial" w:cs="Arial"/>
          <w:b/>
          <w:bCs/>
          <w:sz w:val="20"/>
        </w:rPr>
        <w:t>mzdy zaměstnanců přepočten</w:t>
      </w:r>
      <w:r w:rsidR="00767361">
        <w:rPr>
          <w:rFonts w:ascii="Arial" w:hAnsi="Arial" w:cs="Arial"/>
          <w:b/>
          <w:bCs/>
          <w:sz w:val="20"/>
        </w:rPr>
        <w:t>ých</w:t>
      </w:r>
      <w:r>
        <w:rPr>
          <w:rFonts w:ascii="Arial" w:hAnsi="Arial" w:cs="Arial"/>
          <w:b/>
          <w:bCs/>
          <w:sz w:val="20"/>
        </w:rPr>
        <w:t xml:space="preserve"> na plně zaměstnané</w:t>
      </w:r>
      <w:r>
        <w:rPr>
          <w:rFonts w:ascii="Arial" w:hAnsi="Arial" w:cs="Arial"/>
          <w:sz w:val="20"/>
        </w:rPr>
        <w:t>, které zohledňují délku pracovního úvazku.</w:t>
      </w:r>
    </w:p>
    <w:p w:rsidR="003E0A67" w:rsidRDefault="003E0A67" w:rsidP="00F01EE3">
      <w:pPr>
        <w:spacing w:before="120" w:after="120"/>
        <w:jc w:val="both"/>
        <w:rPr>
          <w:rFonts w:ascii="Arial" w:hAnsi="Arial" w:cs="Arial"/>
          <w:sz w:val="20"/>
        </w:rPr>
      </w:pPr>
      <w:r>
        <w:rPr>
          <w:rFonts w:ascii="Arial" w:hAnsi="Arial" w:cs="Arial"/>
          <w:b/>
          <w:sz w:val="20"/>
        </w:rPr>
        <w:t>Od roku 2011 je ú</w:t>
      </w:r>
      <w:r w:rsidRPr="00E07AEF">
        <w:rPr>
          <w:rFonts w:ascii="Arial" w:hAnsi="Arial" w:cs="Arial"/>
          <w:b/>
          <w:sz w:val="20"/>
        </w:rPr>
        <w:t xml:space="preserve">zemní třídění na rozdíl </w:t>
      </w:r>
      <w:r>
        <w:rPr>
          <w:rFonts w:ascii="Arial" w:hAnsi="Arial" w:cs="Arial"/>
          <w:b/>
          <w:sz w:val="20"/>
        </w:rPr>
        <w:t xml:space="preserve">od </w:t>
      </w:r>
      <w:r w:rsidRPr="00E07AEF">
        <w:rPr>
          <w:rFonts w:ascii="Arial" w:hAnsi="Arial" w:cs="Arial"/>
          <w:b/>
          <w:sz w:val="20"/>
        </w:rPr>
        <w:t>předchozích let provedeno</w:t>
      </w:r>
      <w:r>
        <w:rPr>
          <w:rFonts w:ascii="Arial" w:hAnsi="Arial" w:cs="Arial"/>
          <w:sz w:val="20"/>
        </w:rPr>
        <w:t xml:space="preserve"> </w:t>
      </w:r>
      <w:r>
        <w:rPr>
          <w:rFonts w:ascii="Arial" w:hAnsi="Arial" w:cs="Arial"/>
          <w:b/>
          <w:bCs/>
          <w:sz w:val="20"/>
        </w:rPr>
        <w:t xml:space="preserve">podle místa skutečného pracoviště zaměstnanců, tzv. </w:t>
      </w:r>
      <w:proofErr w:type="spellStart"/>
      <w:r>
        <w:rPr>
          <w:rFonts w:ascii="Arial" w:hAnsi="Arial" w:cs="Arial"/>
          <w:b/>
          <w:bCs/>
          <w:sz w:val="20"/>
        </w:rPr>
        <w:t>pracovištní</w:t>
      </w:r>
      <w:proofErr w:type="spellEnd"/>
      <w:r>
        <w:rPr>
          <w:rFonts w:ascii="Arial" w:hAnsi="Arial" w:cs="Arial"/>
          <w:b/>
          <w:bCs/>
          <w:sz w:val="20"/>
        </w:rPr>
        <w:t xml:space="preserve"> metodou</w:t>
      </w:r>
      <w:r w:rsidRPr="00E07AEF">
        <w:rPr>
          <w:rFonts w:ascii="Arial" w:hAnsi="Arial" w:cs="Arial"/>
          <w:bCs/>
          <w:sz w:val="20"/>
        </w:rPr>
        <w:t xml:space="preserve">, která </w:t>
      </w:r>
      <w:r>
        <w:rPr>
          <w:rFonts w:ascii="Arial" w:hAnsi="Arial" w:cs="Arial"/>
          <w:bCs/>
          <w:sz w:val="20"/>
        </w:rPr>
        <w:t>poskytuje pravdivější</w:t>
      </w:r>
      <w:r w:rsidRPr="00E07AEF">
        <w:rPr>
          <w:rFonts w:ascii="Arial" w:hAnsi="Arial" w:cs="Arial"/>
          <w:bCs/>
          <w:sz w:val="20"/>
        </w:rPr>
        <w:t xml:space="preserve"> regionální pohled na trh práce než</w:t>
      </w:r>
      <w:r>
        <w:rPr>
          <w:rFonts w:ascii="Arial" w:hAnsi="Arial" w:cs="Arial"/>
          <w:b/>
          <w:bCs/>
          <w:sz w:val="20"/>
        </w:rPr>
        <w:t xml:space="preserve"> </w:t>
      </w:r>
      <w:r w:rsidRPr="00A22B26">
        <w:rPr>
          <w:rFonts w:ascii="Arial" w:hAnsi="Arial" w:cs="Arial"/>
          <w:bCs/>
          <w:sz w:val="20"/>
        </w:rPr>
        <w:t xml:space="preserve">dříve </w:t>
      </w:r>
      <w:r>
        <w:rPr>
          <w:rFonts w:ascii="Arial" w:hAnsi="Arial" w:cs="Arial"/>
          <w:bCs/>
          <w:sz w:val="20"/>
        </w:rPr>
        <w:t>zveřejňovaná</w:t>
      </w:r>
      <w:r w:rsidRPr="00A22B26">
        <w:rPr>
          <w:rFonts w:ascii="Arial" w:hAnsi="Arial" w:cs="Arial"/>
          <w:bCs/>
          <w:sz w:val="20"/>
        </w:rPr>
        <w:t xml:space="preserve"> podnikov</w:t>
      </w:r>
      <w:r>
        <w:rPr>
          <w:rFonts w:ascii="Arial" w:hAnsi="Arial" w:cs="Arial"/>
          <w:bCs/>
          <w:sz w:val="20"/>
        </w:rPr>
        <w:t>á</w:t>
      </w:r>
      <w:r w:rsidRPr="00A22B26">
        <w:rPr>
          <w:rFonts w:ascii="Arial" w:hAnsi="Arial" w:cs="Arial"/>
          <w:bCs/>
          <w:sz w:val="20"/>
        </w:rPr>
        <w:t xml:space="preserve"> </w:t>
      </w:r>
      <w:r w:rsidRPr="00F01EE3">
        <w:rPr>
          <w:rFonts w:ascii="Arial" w:hAnsi="Arial" w:cs="Arial"/>
          <w:sz w:val="20"/>
        </w:rPr>
        <w:t>metoda</w:t>
      </w:r>
      <w:r>
        <w:rPr>
          <w:rFonts w:ascii="Arial" w:hAnsi="Arial" w:cs="Arial"/>
          <w:bCs/>
          <w:sz w:val="20"/>
        </w:rPr>
        <w:t xml:space="preserve"> (zařazení celého</w:t>
      </w:r>
      <w:r w:rsidRPr="00A22B26">
        <w:rPr>
          <w:rFonts w:ascii="Arial" w:hAnsi="Arial" w:cs="Arial"/>
          <w:bCs/>
          <w:sz w:val="20"/>
        </w:rPr>
        <w:t xml:space="preserve"> vykazujícího ekonomického subjektu</w:t>
      </w:r>
      <w:r>
        <w:rPr>
          <w:rFonts w:ascii="Arial" w:hAnsi="Arial" w:cs="Arial"/>
          <w:bCs/>
          <w:sz w:val="20"/>
        </w:rPr>
        <w:t xml:space="preserve"> do</w:t>
      </w:r>
      <w:r w:rsidR="00234A25">
        <w:rPr>
          <w:rFonts w:ascii="Arial" w:hAnsi="Arial" w:cs="Arial"/>
          <w:bCs/>
          <w:sz w:val="20"/>
        </w:rPr>
        <w:t> </w:t>
      </w:r>
      <w:r>
        <w:rPr>
          <w:rFonts w:ascii="Arial" w:hAnsi="Arial" w:cs="Arial"/>
          <w:bCs/>
          <w:sz w:val="20"/>
        </w:rPr>
        <w:t xml:space="preserve">kraje, v němž sídlí jeho ústředí). </w:t>
      </w:r>
    </w:p>
    <w:p w:rsidR="003E0A67" w:rsidRDefault="003E0A67" w:rsidP="00F01EE3">
      <w:pPr>
        <w:spacing w:before="120" w:after="120"/>
        <w:jc w:val="both"/>
        <w:rPr>
          <w:rFonts w:ascii="Arial" w:hAnsi="Arial" w:cs="Arial"/>
          <w:sz w:val="20"/>
        </w:rPr>
      </w:pPr>
      <w:r>
        <w:rPr>
          <w:rFonts w:ascii="Arial" w:hAnsi="Arial" w:cs="Arial"/>
          <w:b/>
          <w:bCs/>
          <w:sz w:val="20"/>
        </w:rPr>
        <w:t>Průměrný evidenční počet zaměstnanců přepočtený</w:t>
      </w:r>
      <w:r>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234A25">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after="120"/>
        <w:jc w:val="both"/>
        <w:rPr>
          <w:rFonts w:ascii="Arial" w:hAnsi="Arial" w:cs="Arial"/>
          <w:sz w:val="20"/>
        </w:rPr>
      </w:pPr>
      <w:r>
        <w:rPr>
          <w:rFonts w:ascii="Arial" w:hAnsi="Arial" w:cs="Arial"/>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ascii="Arial" w:hAnsi="Arial" w:cs="Arial"/>
          <w:sz w:val="20"/>
        </w:rPr>
      </w:pPr>
      <w:r>
        <w:rPr>
          <w:rFonts w:ascii="Arial" w:hAnsi="Arial" w:cs="Arial"/>
          <w:sz w:val="20"/>
        </w:rPr>
        <w:t xml:space="preserve">Podrobnější informace jsou k dispozici na  </w:t>
      </w:r>
      <w:hyperlink r:id="rId8" w:history="1">
        <w:r w:rsidRPr="00A078FE">
          <w:rPr>
            <w:rStyle w:val="Hypertextovodkaz"/>
            <w:rFonts w:ascii="Arial" w:hAnsi="Arial" w:cs="Arial"/>
            <w:sz w:val="20"/>
          </w:rPr>
          <w:t>https://www.czso.cz/csu/czso/1-pmz_m</w:t>
        </w:r>
      </w:hyperlink>
    </w:p>
    <w:p w:rsidR="005D197A" w:rsidRPr="00E5328D" w:rsidRDefault="005D197A" w:rsidP="005D197A">
      <w:pPr>
        <w:rPr>
          <w:rFonts w:ascii="Arial" w:hAnsi="Arial" w:cs="Arial"/>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w:t>
      </w:r>
      <w:r w:rsidR="00234A25">
        <w:rPr>
          <w:rFonts w:cs="Arial"/>
          <w:szCs w:val="20"/>
        </w:rPr>
        <w:t> </w:t>
      </w:r>
      <w:r w:rsidRPr="00511AFE">
        <w:rPr>
          <w:rFonts w:cs="Arial"/>
          <w:szCs w:val="20"/>
        </w:rPr>
        <w:t>práce, aktivně ji hledaly a byly připraveny k nástupu do zaměstnání nejpozději do 14 dnů. Za</w:t>
      </w:r>
      <w:r w:rsidR="00234A25">
        <w:rPr>
          <w:rFonts w:cs="Arial"/>
          <w:szCs w:val="20"/>
        </w:rPr>
        <w:t> </w:t>
      </w:r>
      <w:r w:rsidRPr="00511AFE">
        <w:rPr>
          <w:rFonts w:cs="Arial"/>
          <w:szCs w:val="20"/>
        </w:rPr>
        <w:t xml:space="preserve">nezaměstnané jsou považování i ti, kteří již práci našli, ale nástup je stanoven nejpozději do tří měsíců. </w:t>
      </w:r>
    </w:p>
    <w:p w:rsidR="003E0A67" w:rsidRPr="00511AFE" w:rsidRDefault="003E0A67" w:rsidP="003E0A67">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Pr>
          <w:rFonts w:ascii="Arial" w:hAnsi="Arial" w:cs="Arial"/>
          <w:sz w:val="20"/>
          <w:szCs w:val="20"/>
        </w:rPr>
        <w:t>:</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7111CB">
        <w:rPr>
          <w:rFonts w:ascii="Arial" w:hAnsi="Arial" w:cs="Arial"/>
          <w:b/>
          <w:bCs/>
          <w:sz w:val="20"/>
          <w:szCs w:val="20"/>
        </w:rPr>
        <w:t>2</w:t>
      </w:r>
      <w:r>
        <w:rPr>
          <w:rFonts w:ascii="Arial" w:hAnsi="Arial" w:cs="Arial"/>
          <w:b/>
          <w:bCs/>
          <w:sz w:val="20"/>
          <w:szCs w:val="20"/>
        </w:rPr>
        <w:t>. čtvrtletí 201</w:t>
      </w:r>
      <w:r w:rsidR="007166B0">
        <w:rPr>
          <w:rFonts w:ascii="Arial" w:hAnsi="Arial" w:cs="Arial"/>
          <w:b/>
          <w:bCs/>
          <w:sz w:val="20"/>
          <w:szCs w:val="20"/>
        </w:rPr>
        <w:t>5</w:t>
      </w:r>
      <w:r>
        <w:rPr>
          <w:rFonts w:ascii="Arial" w:hAnsi="Arial" w:cs="Arial"/>
          <w:b/>
          <w:bCs/>
          <w:sz w:val="20"/>
          <w:szCs w:val="20"/>
        </w:rPr>
        <w:t>)</w:t>
      </w:r>
    </w:p>
    <w:p w:rsidR="00F03E13" w:rsidRDefault="00234A25" w:rsidP="007111CB">
      <w:pPr>
        <w:rPr>
          <w:rFonts w:ascii="Arial" w:hAnsi="Arial" w:cs="Arial"/>
          <w:b/>
          <w:bCs/>
          <w:sz w:val="20"/>
          <w:szCs w:val="20"/>
        </w:rPr>
      </w:pPr>
      <w:r w:rsidRPr="00236B59">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11.25pt">
            <v:imagedata r:id="rId9" o:title=""/>
          </v:shape>
        </w:pict>
      </w:r>
    </w:p>
    <w:p w:rsidR="00084D9B" w:rsidRPr="00A650B4" w:rsidRDefault="00084D9B">
      <w:pPr>
        <w:pStyle w:val="Nadpis8"/>
        <w:rPr>
          <w:rStyle w:val="Siln"/>
          <w:rFonts w:cs="Arial"/>
          <w:b/>
          <w:bCs/>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ascii="Arial" w:hAnsi="Arial" w:cs="Arial"/>
          <w:sz w:val="20"/>
          <w:szCs w:val="20"/>
        </w:rPr>
      </w:pPr>
      <w:r w:rsidRPr="00AE37DB">
        <w:rPr>
          <w:rFonts w:ascii="Arial" w:hAnsi="Arial" w:cs="Arial"/>
          <w:b/>
          <w:sz w:val="20"/>
          <w:szCs w:val="20"/>
        </w:rPr>
        <w:t>Dosažitelní uchazeči</w:t>
      </w:r>
      <w:r>
        <w:rPr>
          <w:rFonts w:ascii="Arial" w:hAnsi="Arial" w:cs="Arial"/>
          <w:sz w:val="20"/>
          <w:szCs w:val="20"/>
        </w:rPr>
        <w:t xml:space="preserve"> o zaměstnání </w:t>
      </w:r>
      <w:r w:rsidRPr="004C7E25">
        <w:rPr>
          <w:rFonts w:ascii="Arial" w:hAnsi="Arial" w:cs="Arial"/>
          <w:sz w:val="20"/>
          <w:szCs w:val="20"/>
        </w:rPr>
        <w:t>jsou</w:t>
      </w:r>
      <w:r w:rsidRPr="00FF69A0">
        <w:rPr>
          <w:rFonts w:ascii="Arial" w:hAnsi="Arial" w:cs="Arial"/>
          <w:sz w:val="20"/>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 ve věku 15 – 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ascii="Arial" w:hAnsi="Arial" w:cs="Arial"/>
          <w:sz w:val="20"/>
          <w:szCs w:val="20"/>
        </w:rPr>
      </w:pPr>
      <w:r w:rsidRPr="00BB5CFF">
        <w:rPr>
          <w:rFonts w:ascii="Arial" w:hAnsi="Arial" w:cs="Arial"/>
          <w:b/>
          <w:sz w:val="20"/>
          <w:szCs w:val="20"/>
        </w:rPr>
        <w:t>Volnými pracovními místy</w:t>
      </w:r>
      <w:r w:rsidRPr="00BB5CFF">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BB5CFF">
        <w:rPr>
          <w:rFonts w:ascii="Arial" w:hAnsi="Arial" w:cs="Arial"/>
          <w:b/>
          <w:sz w:val="20"/>
          <w:szCs w:val="20"/>
        </w:rPr>
        <w:t>agentury práce</w:t>
      </w:r>
      <w:r w:rsidRPr="00BB5CFF">
        <w:rPr>
          <w:rFonts w:ascii="Arial" w:hAnsi="Arial" w:cs="Arial"/>
          <w:sz w:val="20"/>
          <w:szCs w:val="20"/>
        </w:rPr>
        <w:t xml:space="preserve"> (</w:t>
      </w:r>
      <w:r>
        <w:rPr>
          <w:rFonts w:ascii="Arial" w:hAnsi="Arial" w:cs="Arial"/>
          <w:sz w:val="20"/>
          <w:szCs w:val="20"/>
        </w:rPr>
        <w:t xml:space="preserve">zákon č. 435/2004 Sb. o zaměstnanosti </w:t>
      </w:r>
      <w:r w:rsidRPr="00BB5CFF">
        <w:rPr>
          <w:rFonts w:ascii="Arial" w:hAnsi="Arial" w:cs="Arial"/>
          <w:sz w:val="20"/>
          <w:szCs w:val="20"/>
        </w:rPr>
        <w:t>§ 35).</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ascii="Arial" w:hAnsi="Arial" w:cs="Arial"/>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w:t>
      </w:r>
      <w:r w:rsidRPr="00F01EE3">
        <w:rPr>
          <w:rFonts w:ascii="Arial" w:hAnsi="Arial" w:cs="Arial"/>
          <w:sz w:val="20"/>
          <w:szCs w:val="20"/>
        </w:rPr>
        <w:t>sektorů</w:t>
      </w:r>
      <w:r>
        <w:rPr>
          <w:rFonts w:ascii="Arial" w:hAnsi="Arial" w:cs="Arial"/>
          <w:sz w:val="20"/>
        </w:rPr>
        <w:t xml:space="preserve">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after="12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w:t>
      </w:r>
      <w:r>
        <w:rPr>
          <w:rFonts w:ascii="Arial" w:hAnsi="Arial" w:cs="Arial"/>
          <w:sz w:val="20"/>
        </w:rPr>
        <w:t> </w:t>
      </w:r>
      <w:r w:rsidRPr="00A650B4">
        <w:rPr>
          <w:rFonts w:ascii="Arial" w:hAnsi="Arial" w:cs="Arial"/>
          <w:sz w:val="20"/>
        </w:rPr>
        <w:t>újezdními úřady. Stavební povolení odpovídají zákonu č. 183/2006 Sb., o územním plánování a stavebním řádu (stavební zákon)</w:t>
      </w:r>
      <w:r>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224BF2" w:rsidRPr="00A650B4" w:rsidRDefault="00224BF2" w:rsidP="00F01EE3">
      <w:pPr>
        <w:spacing w:after="12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ascii="Arial" w:hAnsi="Arial" w:cs="Arial"/>
          <w:sz w:val="20"/>
          <w:szCs w:val="20"/>
        </w:rPr>
        <w:t>vnější</w:t>
      </w:r>
      <w:r w:rsidRPr="00A650B4">
        <w:rPr>
          <w:rFonts w:ascii="Arial" w:hAnsi="Arial" w:cs="Arial"/>
          <w:sz w:val="20"/>
        </w:rPr>
        <w:t xml:space="preserve"> </w:t>
      </w:r>
      <w:r w:rsidRPr="00224BF2">
        <w:rPr>
          <w:rFonts w:ascii="Arial" w:hAnsi="Arial" w:cs="Arial"/>
          <w:sz w:val="20"/>
        </w:rPr>
        <w:t>půdorysné</w:t>
      </w:r>
      <w:r w:rsidRPr="00A650B4">
        <w:rPr>
          <w:rFonts w:ascii="Arial" w:hAnsi="Arial" w:cs="Arial"/>
          <w:sz w:val="20"/>
        </w:rPr>
        <w:t xml:space="preserve"> i výškové ohraničení stavby. </w:t>
      </w:r>
    </w:p>
    <w:p w:rsidR="00C92701" w:rsidRPr="00A650B4" w:rsidRDefault="00224BF2" w:rsidP="00E5328D">
      <w:pPr>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ascii="Arial" w:hAnsi="Arial" w:cs="Arial"/>
          <w:sz w:val="20"/>
          <w:szCs w:val="20"/>
        </w:rPr>
        <w:t>prostředí</w:t>
      </w:r>
      <w:r w:rsidRPr="00A650B4">
        <w:rPr>
          <w:rFonts w:ascii="Arial" w:hAnsi="Arial" w:cs="Arial"/>
          <w:sz w:val="20"/>
        </w:rPr>
        <w:t>.</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ascii="Arial" w:hAnsi="Arial" w:cs="Arial"/>
          <w:sz w:val="20"/>
        </w:rPr>
        <w:t>, jsou tady</w:t>
      </w:r>
      <w:r w:rsidRPr="00A650B4">
        <w:rPr>
          <w:rFonts w:ascii="Arial" w:hAnsi="Arial" w:cs="Arial"/>
          <w:sz w:val="20"/>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nebo byla stavba </w:t>
      </w:r>
      <w:r w:rsidRPr="00A650B4">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Default="00485AB3">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ascii="Arial" w:hAnsi="Arial" w:cs="Arial"/>
          <w:sz w:val="20"/>
          <w:szCs w:val="26"/>
        </w:rPr>
      </w:pPr>
      <w:r>
        <w:rPr>
          <w:rFonts w:ascii="Arial" w:hAnsi="Arial" w:cs="Arial"/>
          <w:sz w:val="20"/>
          <w:szCs w:val="26"/>
        </w:rPr>
        <w:t>Obsah t</w:t>
      </w:r>
      <w:r w:rsidRPr="00921D84">
        <w:rPr>
          <w:rFonts w:ascii="Arial" w:hAnsi="Arial" w:cs="Arial"/>
          <w:sz w:val="20"/>
          <w:szCs w:val="26"/>
        </w:rPr>
        <w:t>abulk</w:t>
      </w:r>
      <w:r>
        <w:rPr>
          <w:rFonts w:ascii="Arial" w:hAnsi="Arial" w:cs="Arial"/>
          <w:sz w:val="20"/>
          <w:szCs w:val="26"/>
        </w:rPr>
        <w:t>y</w:t>
      </w:r>
      <w:r w:rsidRPr="00921D84">
        <w:rPr>
          <w:rFonts w:ascii="Arial" w:hAnsi="Arial" w:cs="Arial"/>
          <w:sz w:val="20"/>
          <w:szCs w:val="26"/>
        </w:rPr>
        <w:t xml:space="preserve"> </w:t>
      </w:r>
      <w:proofErr w:type="gramStart"/>
      <w:r w:rsidRPr="00921D84">
        <w:rPr>
          <w:rFonts w:ascii="Arial" w:hAnsi="Arial" w:cs="Arial"/>
          <w:sz w:val="20"/>
          <w:szCs w:val="26"/>
        </w:rPr>
        <w:t xml:space="preserve">K.2 </w:t>
      </w:r>
      <w:r>
        <w:rPr>
          <w:rFonts w:ascii="Arial" w:hAnsi="Arial" w:cs="Arial"/>
          <w:sz w:val="20"/>
          <w:szCs w:val="26"/>
        </w:rPr>
        <w:t>je</w:t>
      </w:r>
      <w:proofErr w:type="gramEnd"/>
      <w:r>
        <w:rPr>
          <w:rFonts w:ascii="Arial" w:hAnsi="Arial" w:cs="Arial"/>
          <w:sz w:val="20"/>
          <w:szCs w:val="26"/>
        </w:rPr>
        <w:t xml:space="preserve"> proměnlivý: v bulletinu za 1. čtvrtletí přináší </w:t>
      </w:r>
      <w:r w:rsidRPr="00921D84">
        <w:rPr>
          <w:rFonts w:ascii="Arial" w:hAnsi="Arial" w:cs="Arial"/>
          <w:sz w:val="20"/>
          <w:szCs w:val="26"/>
        </w:rPr>
        <w:t xml:space="preserve">výsledky </w:t>
      </w:r>
      <w:r w:rsidRPr="005B2BFA">
        <w:rPr>
          <w:rFonts w:ascii="Arial" w:hAnsi="Arial" w:cs="Arial"/>
          <w:b/>
          <w:sz w:val="20"/>
          <w:szCs w:val="26"/>
        </w:rPr>
        <w:t>soupisu hospodářských zvířat</w:t>
      </w:r>
      <w:r w:rsidRPr="00921D84">
        <w:rPr>
          <w:rFonts w:ascii="Arial" w:hAnsi="Arial" w:cs="Arial"/>
          <w:sz w:val="20"/>
          <w:szCs w:val="26"/>
        </w:rPr>
        <w:t xml:space="preserve"> k</w:t>
      </w:r>
      <w:r>
        <w:rPr>
          <w:rFonts w:ascii="Arial" w:hAnsi="Arial" w:cs="Arial"/>
          <w:sz w:val="20"/>
          <w:szCs w:val="26"/>
        </w:rPr>
        <w:t> 1</w:t>
      </w:r>
      <w:r w:rsidRPr="00921D84">
        <w:rPr>
          <w:rFonts w:ascii="Arial" w:hAnsi="Arial" w:cs="Arial"/>
          <w:sz w:val="20"/>
          <w:szCs w:val="26"/>
        </w:rPr>
        <w:t>.</w:t>
      </w:r>
      <w:r>
        <w:rPr>
          <w:rFonts w:ascii="Arial" w:hAnsi="Arial" w:cs="Arial"/>
          <w:sz w:val="20"/>
          <w:szCs w:val="26"/>
        </w:rPr>
        <w:t> </w:t>
      </w:r>
      <w:r w:rsidRPr="00921D84">
        <w:rPr>
          <w:rFonts w:ascii="Arial" w:hAnsi="Arial" w:cs="Arial"/>
          <w:sz w:val="20"/>
          <w:szCs w:val="26"/>
        </w:rPr>
        <w:t>4., v</w:t>
      </w:r>
      <w:r>
        <w:rPr>
          <w:rFonts w:ascii="Arial" w:hAnsi="Arial" w:cs="Arial"/>
          <w:sz w:val="20"/>
          <w:szCs w:val="26"/>
        </w:rPr>
        <w:t> bulletinu za 1. až</w:t>
      </w:r>
      <w:r w:rsidRPr="00921D84">
        <w:rPr>
          <w:rFonts w:ascii="Arial" w:hAnsi="Arial" w:cs="Arial"/>
          <w:sz w:val="20"/>
          <w:szCs w:val="26"/>
        </w:rPr>
        <w:t xml:space="preserve"> 2. čtvrtletí </w:t>
      </w:r>
      <w:r>
        <w:rPr>
          <w:rFonts w:ascii="Arial" w:hAnsi="Arial" w:cs="Arial"/>
          <w:sz w:val="20"/>
          <w:szCs w:val="26"/>
        </w:rPr>
        <w:t xml:space="preserve">údaje o </w:t>
      </w:r>
      <w:r w:rsidRPr="005B2BFA">
        <w:rPr>
          <w:rFonts w:ascii="Arial" w:hAnsi="Arial" w:cs="Arial"/>
          <w:b/>
          <w:sz w:val="20"/>
          <w:szCs w:val="26"/>
        </w:rPr>
        <w:t>osevních plochách</w:t>
      </w:r>
      <w:r>
        <w:rPr>
          <w:rFonts w:ascii="Arial" w:hAnsi="Arial" w:cs="Arial"/>
          <w:sz w:val="20"/>
          <w:szCs w:val="26"/>
        </w:rPr>
        <w:t xml:space="preserve"> </w:t>
      </w:r>
      <w:r w:rsidRPr="00921D84">
        <w:rPr>
          <w:rFonts w:ascii="Arial" w:hAnsi="Arial" w:cs="Arial"/>
          <w:sz w:val="20"/>
          <w:szCs w:val="26"/>
        </w:rPr>
        <w:t>k 3</w:t>
      </w:r>
      <w:r>
        <w:rPr>
          <w:rFonts w:ascii="Arial" w:hAnsi="Arial" w:cs="Arial"/>
          <w:sz w:val="20"/>
          <w:szCs w:val="26"/>
        </w:rPr>
        <w:t>1</w:t>
      </w:r>
      <w:r w:rsidRPr="00921D84">
        <w:rPr>
          <w:rFonts w:ascii="Arial" w:hAnsi="Arial" w:cs="Arial"/>
          <w:sz w:val="20"/>
          <w:szCs w:val="26"/>
        </w:rPr>
        <w:t>. 5., v</w:t>
      </w:r>
      <w:r>
        <w:rPr>
          <w:rFonts w:ascii="Arial" w:hAnsi="Arial" w:cs="Arial"/>
          <w:sz w:val="20"/>
          <w:szCs w:val="26"/>
        </w:rPr>
        <w:t> bulletinu za 1. až</w:t>
      </w:r>
      <w:r w:rsidRPr="00921D84">
        <w:rPr>
          <w:rFonts w:ascii="Arial" w:hAnsi="Arial" w:cs="Arial"/>
          <w:sz w:val="20"/>
          <w:szCs w:val="26"/>
        </w:rPr>
        <w:t xml:space="preserve"> 3. čtvrtletí </w:t>
      </w:r>
      <w:r w:rsidRPr="005B2BFA">
        <w:rPr>
          <w:rFonts w:ascii="Arial" w:hAnsi="Arial" w:cs="Arial"/>
          <w:b/>
          <w:sz w:val="20"/>
          <w:szCs w:val="26"/>
        </w:rPr>
        <w:t>odhad sklizně</w:t>
      </w:r>
      <w:r w:rsidRPr="00921D84">
        <w:rPr>
          <w:rFonts w:ascii="Arial" w:hAnsi="Arial" w:cs="Arial"/>
          <w:sz w:val="20"/>
          <w:szCs w:val="26"/>
        </w:rPr>
        <w:t xml:space="preserve"> zemědělských plodin a v bulletinu za 1</w:t>
      </w:r>
      <w:r w:rsidRPr="006354C0">
        <w:rPr>
          <w:rFonts w:ascii="Arial" w:hAnsi="Arial" w:cs="Arial"/>
          <w:sz w:val="20"/>
          <w:szCs w:val="26"/>
        </w:rPr>
        <w:t xml:space="preserve"> </w:t>
      </w:r>
      <w:r>
        <w:rPr>
          <w:rFonts w:ascii="Arial" w:hAnsi="Arial" w:cs="Arial"/>
          <w:sz w:val="20"/>
          <w:szCs w:val="26"/>
        </w:rPr>
        <w:t xml:space="preserve">až </w:t>
      </w:r>
      <w:r w:rsidRPr="006354C0">
        <w:rPr>
          <w:rFonts w:ascii="Arial" w:hAnsi="Arial" w:cs="Arial"/>
          <w:sz w:val="20"/>
          <w:szCs w:val="26"/>
        </w:rPr>
        <w:t>4.</w:t>
      </w:r>
      <w:r w:rsidRPr="00921D84">
        <w:rPr>
          <w:rFonts w:ascii="Arial" w:hAnsi="Arial" w:cs="Arial"/>
          <w:sz w:val="20"/>
          <w:szCs w:val="26"/>
        </w:rPr>
        <w:t xml:space="preserve"> čtvrtletí </w:t>
      </w:r>
      <w:r w:rsidRPr="005B2BFA">
        <w:rPr>
          <w:rFonts w:ascii="Arial" w:hAnsi="Arial" w:cs="Arial"/>
          <w:b/>
          <w:sz w:val="20"/>
          <w:szCs w:val="26"/>
        </w:rPr>
        <w:t>výsledky sklizně</w:t>
      </w:r>
      <w:r w:rsidRPr="00921D84">
        <w:rPr>
          <w:rFonts w:ascii="Arial" w:hAnsi="Arial" w:cs="Arial"/>
          <w:sz w:val="20"/>
          <w:szCs w:val="26"/>
        </w:rPr>
        <w:t xml:space="preserve">. Podrobné metodické vysvětlivky </w:t>
      </w:r>
      <w:r>
        <w:rPr>
          <w:rFonts w:ascii="Arial" w:hAnsi="Arial" w:cs="Arial"/>
          <w:sz w:val="20"/>
          <w:szCs w:val="26"/>
        </w:rPr>
        <w:t xml:space="preserve">k tabulkám </w:t>
      </w:r>
      <w:r w:rsidRPr="00921D84">
        <w:rPr>
          <w:rFonts w:ascii="Arial" w:hAnsi="Arial" w:cs="Arial"/>
          <w:sz w:val="20"/>
          <w:szCs w:val="26"/>
        </w:rPr>
        <w:t>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224BF2" w:rsidRPr="00A650B4" w:rsidRDefault="00224BF2" w:rsidP="00224BF2">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w:t>
      </w:r>
      <w:r w:rsidR="008F0599">
        <w:rPr>
          <w:rFonts w:ascii="Arial" w:hAnsi="Arial" w:cs="Arial"/>
          <w:sz w:val="20"/>
          <w:szCs w:val="22"/>
        </w:rPr>
        <w:t xml:space="preserve">ke </w:t>
      </w:r>
      <w:r w:rsidRPr="00A650B4">
        <w:rPr>
          <w:rFonts w:ascii="Arial" w:hAnsi="Arial" w:cs="Arial"/>
          <w:sz w:val="20"/>
          <w:szCs w:val="22"/>
        </w:rPr>
        <w:t>sledovaný</w:t>
      </w:r>
      <w:r w:rsidR="008F0599">
        <w:rPr>
          <w:rFonts w:ascii="Arial" w:hAnsi="Arial" w:cs="Arial"/>
          <w:sz w:val="20"/>
          <w:szCs w:val="22"/>
        </w:rPr>
        <w:t>m</w:t>
      </w:r>
      <w:r w:rsidRPr="00A650B4">
        <w:rPr>
          <w:rFonts w:ascii="Arial" w:hAnsi="Arial" w:cs="Arial"/>
          <w:sz w:val="20"/>
          <w:szCs w:val="22"/>
        </w:rPr>
        <w:t xml:space="preserve"> podniků</w:t>
      </w:r>
      <w:r w:rsidR="008F0599">
        <w:rPr>
          <w:rFonts w:ascii="Arial" w:hAnsi="Arial" w:cs="Arial"/>
          <w:sz w:val="20"/>
          <w:szCs w:val="22"/>
        </w:rPr>
        <w:t>m</w:t>
      </w:r>
      <w:r w:rsidRPr="00A650B4">
        <w:rPr>
          <w:rFonts w:ascii="Arial" w:hAnsi="Arial" w:cs="Arial"/>
          <w:sz w:val="20"/>
          <w:szCs w:val="22"/>
        </w:rPr>
        <w:t>. Mzdy jsou uváděny v hrubých částkách.</w:t>
      </w:r>
    </w:p>
    <w:p w:rsidR="00224BF2" w:rsidRDefault="00224BF2" w:rsidP="00224BF2">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Pr>
          <w:rFonts w:ascii="Arial" w:hAnsi="Arial" w:cs="Arial"/>
          <w:b/>
          <w:bCs/>
          <w:sz w:val="20"/>
        </w:rPr>
        <w:t>(</w:t>
      </w:r>
      <w:r w:rsidRPr="00A650B4">
        <w:rPr>
          <w:rFonts w:ascii="Arial" w:hAnsi="Arial" w:cs="Arial"/>
          <w:b/>
          <w:bCs/>
          <w:sz w:val="20"/>
        </w:rPr>
        <w:t>ZSV</w:t>
      </w:r>
      <w:r>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Inženýrské stavitelství zahrnuje veškeré práce provedené na inženýrských stavbách (výstavba silnic a železnic, výstavba inženýrských sítí a ostatních staveb jako např. vodních děl).</w:t>
      </w:r>
    </w:p>
    <w:p w:rsidR="00C75C59" w:rsidRPr="00E5328D" w:rsidRDefault="00C75C59" w:rsidP="00E5328D">
      <w:pPr>
        <w:pStyle w:val="Normlnweb"/>
        <w:spacing w:before="0" w:beforeAutospacing="0" w:after="0" w:afterAutospacing="0"/>
        <w:jc w:val="both"/>
        <w:rPr>
          <w:rFonts w:ascii="Arial" w:hAnsi="Arial" w:cs="Arial"/>
        </w:rPr>
      </w:pPr>
    </w:p>
    <w:p w:rsidR="001613CD" w:rsidRPr="00A650B4" w:rsidRDefault="001613CD">
      <w:pPr>
        <w:pStyle w:val="Nadpis8"/>
        <w:rPr>
          <w:rFonts w:cs="Arial"/>
        </w:rPr>
      </w:pPr>
      <w:r w:rsidRPr="00A650B4">
        <w:rPr>
          <w:rFonts w:cs="Arial"/>
        </w:rPr>
        <w:lastRenderedPageBreak/>
        <w:t>CESTOVNÍ RUCH</w:t>
      </w:r>
    </w:p>
    <w:p w:rsidR="00EB372D" w:rsidRDefault="00EB372D" w:rsidP="00EB372D">
      <w:pPr>
        <w:pStyle w:val="Zkladntext"/>
        <w:spacing w:before="120" w:after="120"/>
      </w:pPr>
      <w:r>
        <w:t>Údaje o kapacitách hromadných ubytovacích zařízení a jejich návštěvnosti vycházejí z pravidelného měsíčního a čtvrtletního šetření.</w:t>
      </w:r>
    </w:p>
    <w:p w:rsidR="00EB372D" w:rsidRDefault="00EB372D" w:rsidP="00EB372D">
      <w:pPr>
        <w:pStyle w:val="Zkladntext"/>
        <w:spacing w:after="120"/>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w:t>
      </w:r>
      <w:r w:rsidR="00234A25">
        <w:rPr>
          <w:rFonts w:cs="Arial"/>
        </w:rPr>
        <w:t> </w:t>
      </w:r>
      <w:r w:rsidRPr="00EB372D">
        <w:rPr>
          <w:rFonts w:cs="Arial"/>
        </w:rPr>
        <w:t>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w:t>
      </w:r>
      <w:proofErr w:type="spellStart"/>
      <w:r w:rsidRPr="00EB372D">
        <w:rPr>
          <w:rFonts w:cs="Arial"/>
        </w:rPr>
        <w:t>Laspeyresova</w:t>
      </w:r>
      <w:proofErr w:type="spellEnd"/>
      <w:r w:rsidRPr="00EB372D">
        <w:rPr>
          <w:rFonts w:cs="Arial"/>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w:t>
      </w:r>
      <w:r w:rsidR="00234A25">
        <w:rPr>
          <w:rFonts w:cs="Arial"/>
        </w:rPr>
        <w:br/>
      </w:r>
      <w:r w:rsidRPr="00EB372D">
        <w:rPr>
          <w:rFonts w:cs="Arial"/>
        </w:rPr>
        <w:t>CZ-COICOP (</w:t>
      </w:r>
      <w:proofErr w:type="spellStart"/>
      <w:r w:rsidRPr="00EB372D">
        <w:rPr>
          <w:rFonts w:cs="Arial"/>
        </w:rPr>
        <w:t>Classification</w:t>
      </w:r>
      <w:proofErr w:type="spellEnd"/>
      <w:r w:rsidRPr="00EB372D">
        <w:rPr>
          <w:rFonts w:cs="Arial"/>
        </w:rPr>
        <w:t xml:space="preserve"> </w:t>
      </w:r>
      <w:proofErr w:type="spellStart"/>
      <w:r w:rsidRPr="00EB372D">
        <w:rPr>
          <w:rFonts w:cs="Arial"/>
        </w:rPr>
        <w:t>of</w:t>
      </w:r>
      <w:proofErr w:type="spellEnd"/>
      <w:r w:rsidRPr="00EB372D">
        <w:rPr>
          <w:rFonts w:cs="Arial"/>
        </w:rPr>
        <w:t xml:space="preserve"> </w:t>
      </w:r>
      <w:proofErr w:type="spellStart"/>
      <w:r w:rsidRPr="00EB372D">
        <w:rPr>
          <w:rFonts w:cs="Arial"/>
        </w:rPr>
        <w:t>individual</w:t>
      </w:r>
      <w:proofErr w:type="spellEnd"/>
      <w:r w:rsidRPr="00EB372D">
        <w:rPr>
          <w:rFonts w:cs="Arial"/>
        </w:rPr>
        <w:t xml:space="preserve"> </w:t>
      </w:r>
      <w:proofErr w:type="spellStart"/>
      <w:r w:rsidRPr="00EB372D">
        <w:rPr>
          <w:rFonts w:cs="Arial"/>
        </w:rPr>
        <w:t>Consumption</w:t>
      </w:r>
      <w:proofErr w:type="spellEnd"/>
      <w:r w:rsidRPr="00EB372D">
        <w:rPr>
          <w:rFonts w:cs="Arial"/>
        </w:rPr>
        <w:t xml:space="preserve"> by </w:t>
      </w:r>
      <w:proofErr w:type="spellStart"/>
      <w:r w:rsidRPr="00EB372D">
        <w:rPr>
          <w:rFonts w:cs="Arial"/>
        </w:rPr>
        <w:t>Purpose</w:t>
      </w:r>
      <w:proofErr w:type="spellEnd"/>
      <w:r w:rsidRPr="00EB372D">
        <w:rPr>
          <w:rFonts w:cs="Arial"/>
        </w:rPr>
        <w:t>).</w:t>
      </w:r>
    </w:p>
    <w:p w:rsidR="00EB372D" w:rsidRPr="00EB372D" w:rsidRDefault="00EB372D" w:rsidP="00EB372D">
      <w:pPr>
        <w:pStyle w:val="Rbntext"/>
        <w:spacing w:before="0" w:after="120" w:line="228" w:lineRule="auto"/>
        <w:rPr>
          <w:rFonts w:cs="Arial"/>
        </w:rPr>
      </w:pPr>
      <w:r w:rsidRPr="00EB372D">
        <w:rPr>
          <w:rFonts w:cs="Arial"/>
        </w:rPr>
        <w:t>V letech 2010-2011 proběhla komplexní revize váhového systému. Váhy od roku 2012 byly stanoveny na</w:t>
      </w:r>
      <w:r w:rsidR="00234A25">
        <w:rPr>
          <w:rFonts w:cs="Arial"/>
        </w:rPr>
        <w:t> </w:t>
      </w:r>
      <w:r w:rsidRPr="00EB372D">
        <w:rPr>
          <w:rFonts w:cs="Arial"/>
        </w:rPr>
        <w:t xml:space="preserve">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lastRenderedPageBreak/>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EB372D">
        <w:rPr>
          <w:rFonts w:cs="Arial"/>
        </w:rPr>
        <w:t>Prům</w:t>
      </w:r>
      <w:proofErr w:type="spellEnd"/>
      <w:r w:rsidRPr="00EB372D">
        <w:rPr>
          <w:rFonts w:cs="Arial"/>
        </w:rPr>
        <w:t xml:space="preserve"> 2-01, P4-01 a Ceny </w:t>
      </w:r>
      <w:proofErr w:type="spellStart"/>
      <w:r w:rsidRPr="00EB372D">
        <w:rPr>
          <w:rFonts w:cs="Arial"/>
        </w:rPr>
        <w:t>Prům</w:t>
      </w:r>
      <w:proofErr w:type="spellEnd"/>
      <w:r w:rsidRPr="00EB372D">
        <w:rPr>
          <w:rFonts w:cs="Arial"/>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ascii="Arial" w:hAnsi="Arial" w:cs="Arial"/>
          <w:sz w:val="20"/>
          <w:szCs w:val="20"/>
        </w:rPr>
      </w:pPr>
      <w:r w:rsidRPr="00EB372D">
        <w:rPr>
          <w:rFonts w:ascii="Arial" w:hAnsi="Arial" w:cs="Arial"/>
          <w:b/>
          <w:bCs/>
          <w:sz w:val="20"/>
          <w:szCs w:val="20"/>
        </w:rPr>
        <w:t xml:space="preserve">Průměrné ceny vybraných výrobků průmyslových výrobců </w:t>
      </w:r>
      <w:r w:rsidRPr="00EB372D">
        <w:rPr>
          <w:rFonts w:ascii="Arial" w:hAnsi="Arial" w:cs="Arial"/>
          <w:sz w:val="20"/>
          <w:szCs w:val="20"/>
        </w:rPr>
        <w:t>jsou měsíčně počítány a publikovány za</w:t>
      </w:r>
      <w:r w:rsidR="00234A25">
        <w:rPr>
          <w:rFonts w:ascii="Arial" w:hAnsi="Arial" w:cs="Arial"/>
          <w:sz w:val="20"/>
          <w:szCs w:val="20"/>
        </w:rPr>
        <w:t> </w:t>
      </w:r>
      <w:r w:rsidRPr="00EB372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E5328D"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Údaje o kriminalitě a dopravních nehodách</w:t>
      </w:r>
      <w:r w:rsidRPr="007111CB">
        <w:rPr>
          <w:sz w:val="20"/>
          <w:szCs w:val="20"/>
        </w:rPr>
        <w:t xml:space="preserve"> </w:t>
      </w:r>
      <w:r w:rsidRPr="007111CB">
        <w:rPr>
          <w:rFonts w:ascii="Arial" w:hAnsi="Arial" w:cs="Arial"/>
          <w:sz w:val="20"/>
          <w:szCs w:val="20"/>
        </w:rPr>
        <w:t>byly převzaty z podkladů Policejního prezidia ČR.</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 xml:space="preserve">Data o zjištěných a objasněných trestných činech (tzn. přečinech, zločinech a trestných </w:t>
      </w:r>
      <w:proofErr w:type="gramStart"/>
      <w:r w:rsidRPr="007111CB">
        <w:rPr>
          <w:rFonts w:ascii="Arial" w:hAnsi="Arial" w:cs="Arial"/>
          <w:sz w:val="20"/>
          <w:szCs w:val="20"/>
        </w:rPr>
        <w:t>činech</w:t>
      </w:r>
      <w:proofErr w:type="gramEnd"/>
      <w:r w:rsidRPr="007111CB">
        <w:rPr>
          <w:rFonts w:ascii="Arial" w:hAnsi="Arial" w:cs="Arial"/>
          <w:sz w:val="20"/>
          <w:szCs w:val="20"/>
        </w:rPr>
        <w:t>) zahrnují také trestné činy na železnici a trestné činy evidované službou cizinecké policie. Objasněné trestné činy zahrnují trestné činy spáchané a vyřešené ve vykazovaném období.</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b/>
          <w:sz w:val="20"/>
          <w:szCs w:val="20"/>
        </w:rPr>
        <w:t>Obecná kriminalita</w:t>
      </w:r>
      <w:r w:rsidRPr="007111CB">
        <w:rPr>
          <w:rFonts w:ascii="Arial" w:hAnsi="Arial" w:cs="Arial"/>
          <w:sz w:val="20"/>
          <w:szCs w:val="20"/>
        </w:rPr>
        <w:t xml:space="preserve"> zahrnuje násilné trestné činy, mravnostní trestné činy, majetkové trestné činy, podvody a zpronevěry, ostatní majetkové a ostatní kriminální trestné činy. </w:t>
      </w:r>
      <w:r w:rsidRPr="007111CB">
        <w:rPr>
          <w:rFonts w:ascii="Arial" w:hAnsi="Arial" w:cs="Arial"/>
          <w:b/>
          <w:sz w:val="20"/>
          <w:szCs w:val="20"/>
        </w:rPr>
        <w:t>Hospodářská kriminalita</w:t>
      </w:r>
      <w:r w:rsidRPr="007111CB">
        <w:rPr>
          <w:rFonts w:ascii="Arial" w:hAnsi="Arial" w:cs="Arial"/>
          <w:sz w:val="20"/>
          <w:szCs w:val="20"/>
        </w:rPr>
        <w:t xml:space="preserve"> zahrnuje především trestné činy v obchodních a finančních vztazích.</w:t>
      </w:r>
    </w:p>
    <w:p w:rsidR="00C14E0A" w:rsidRPr="007111CB" w:rsidRDefault="00C14E0A" w:rsidP="00C14E0A">
      <w:pPr>
        <w:pStyle w:val="Rbntext"/>
        <w:spacing w:before="0" w:line="228" w:lineRule="auto"/>
        <w:rPr>
          <w:rFonts w:cs="Arial"/>
          <w:b/>
          <w:bCs/>
        </w:rPr>
      </w:pPr>
    </w:p>
    <w:p w:rsidR="00C14E0A" w:rsidRPr="007111CB" w:rsidRDefault="00C14E0A" w:rsidP="00C14E0A">
      <w:pPr>
        <w:pStyle w:val="Rtextmetodika"/>
        <w:rPr>
          <w:sz w:val="20"/>
        </w:rPr>
      </w:pPr>
      <w:r w:rsidRPr="007111CB">
        <w:rPr>
          <w:rFonts w:cs="Arial"/>
          <w:b/>
          <w:bCs/>
          <w:sz w:val="20"/>
        </w:rPr>
        <w:t>Dopravní nehody</w:t>
      </w:r>
      <w:r w:rsidRPr="007111CB">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7111CB" w:rsidRDefault="00C14E0A" w:rsidP="003E03B6">
      <w:pPr>
        <w:pStyle w:val="Rbntext"/>
        <w:spacing w:before="0" w:after="120" w:line="228" w:lineRule="auto"/>
        <w:rPr>
          <w:rFonts w:cs="Arial"/>
          <w:b/>
          <w:bCs/>
        </w:rPr>
      </w:pPr>
      <w:r w:rsidRPr="007111CB">
        <w:rPr>
          <w:rFonts w:cs="Arial"/>
        </w:rPr>
        <w:t xml:space="preserve">Údaje o </w:t>
      </w:r>
      <w:r w:rsidRPr="007111CB">
        <w:rPr>
          <w:rFonts w:cs="Arial"/>
          <w:b/>
          <w:bCs/>
        </w:rPr>
        <w:t>požárech</w:t>
      </w:r>
      <w:r w:rsidRPr="007111CB">
        <w:rPr>
          <w:rFonts w:cs="Arial"/>
        </w:rPr>
        <w:t xml:space="preserve"> byly převzaty z podkladů Hasičského záchranného sboru ČR.</w:t>
      </w:r>
    </w:p>
    <w:p w:rsidR="00145516" w:rsidRDefault="00145516">
      <w:pPr>
        <w:pStyle w:val="Rbntext"/>
        <w:spacing w:before="0" w:line="228" w:lineRule="auto"/>
        <w:rPr>
          <w:rFonts w:cs="Arial"/>
          <w:b/>
          <w:bCs/>
          <w:sz w:val="24"/>
          <w:szCs w:val="24"/>
        </w:rPr>
      </w:pPr>
    </w:p>
    <w:p w:rsidR="007111CB" w:rsidRPr="007111CB" w:rsidRDefault="007111CB" w:rsidP="007111CB">
      <w:pPr>
        <w:pStyle w:val="Nadpis20"/>
        <w:spacing w:line="228" w:lineRule="auto"/>
        <w:rPr>
          <w:rFonts w:cs="Arial"/>
          <w:bCs/>
          <w:sz w:val="24"/>
        </w:rPr>
      </w:pPr>
      <w:r w:rsidRPr="007111CB">
        <w:rPr>
          <w:rFonts w:cs="Arial"/>
          <w:bCs/>
          <w:sz w:val="24"/>
        </w:rPr>
        <w:t>ŽIVOTNÍ PODMÍNKY</w:t>
      </w:r>
    </w:p>
    <w:p w:rsidR="007111CB" w:rsidRPr="007111CB" w:rsidRDefault="007111CB" w:rsidP="007111CB">
      <w:pPr>
        <w:pStyle w:val="Nadpis20"/>
        <w:spacing w:after="120" w:line="228" w:lineRule="auto"/>
        <w:rPr>
          <w:rFonts w:cs="Arial"/>
          <w:b w:val="0"/>
          <w:bCs/>
          <w:szCs w:val="20"/>
        </w:rPr>
      </w:pPr>
      <w:r w:rsidRPr="007111CB">
        <w:rPr>
          <w:rFonts w:cs="Arial"/>
          <w:b w:val="0"/>
          <w:bCs/>
          <w:szCs w:val="20"/>
        </w:rPr>
        <w:t>Na základě členství v Evropské unii provedl Český statistický úřad další ročník výběrového šetření EU-SILC o příjmech a životních podmínkách domácností pod názvem „Životní podmínky 2014“. Cílem tohoto šetření je dlouhodobě získávat srovnatelná data o sociální situaci domácností, která jsou díky jednotné metodice porovnatelná i s dalšími zeměmi EU.</w:t>
      </w:r>
    </w:p>
    <w:p w:rsidR="007111CB" w:rsidRPr="007111CB" w:rsidRDefault="007111CB" w:rsidP="007111CB">
      <w:pPr>
        <w:pStyle w:val="Nadpis20"/>
        <w:spacing w:after="120" w:line="228" w:lineRule="auto"/>
        <w:rPr>
          <w:rFonts w:cs="Arial"/>
          <w:b w:val="0"/>
          <w:bCs/>
          <w:szCs w:val="20"/>
        </w:rPr>
      </w:pPr>
      <w:r w:rsidRPr="007111CB">
        <w:rPr>
          <w:rFonts w:cs="Arial"/>
          <w:b w:val="0"/>
          <w:bCs/>
          <w:szCs w:val="20"/>
        </w:rPr>
        <w:lastRenderedPageBreak/>
        <w:t xml:space="preserve">Šetření je realizováno jako čtyřletý rotační panel, každoročně se část domácností obmění. Výsledky šetření jsou vzhledem k velikosti výběrového souboru reprezentativní jen do úrovně krajů. Při interpretaci výsledků šetření je třeba mít na paměti, že vznikly zpracováním dat získaných z výběrového šetření a jsou zatíženy určitou statistickou chybou (výběrovou i nevýběrovou). </w:t>
      </w:r>
    </w:p>
    <w:p w:rsidR="007111CB" w:rsidRPr="007111CB" w:rsidRDefault="007111CB" w:rsidP="007111CB">
      <w:pPr>
        <w:pStyle w:val="Nadpis20"/>
        <w:spacing w:after="120" w:line="228" w:lineRule="auto"/>
        <w:rPr>
          <w:rFonts w:cs="Arial"/>
          <w:b w:val="0"/>
          <w:bCs/>
          <w:szCs w:val="20"/>
        </w:rPr>
      </w:pPr>
      <w:r w:rsidRPr="007111CB">
        <w:rPr>
          <w:rFonts w:cs="Arial"/>
          <w:b w:val="0"/>
          <w:bCs/>
          <w:szCs w:val="20"/>
        </w:rPr>
        <w:t>Do šetření byly zahrnuty všechny osoby, které v době šetření měly ve vybraném bytě obvyklé bydliště, a to včetně osob dočasně nepřítomných. Toto se vztahovalo i na cizí státní příslušníky a podnájemníky. Hospodařící domácnost tvoří jedinec nebo skupina osob, které spolu trvale žijí a společně hradí základní a provozní výdaje domácnosti. Příjmy osob a domácností jsou zjišťovány vždy za kalendářní rok předcházející šetření (2013).</w:t>
      </w:r>
    </w:p>
    <w:p w:rsidR="007111CB" w:rsidRPr="007111CB" w:rsidRDefault="007111CB" w:rsidP="007111CB">
      <w:pPr>
        <w:pStyle w:val="Nadpis20"/>
        <w:spacing w:before="0" w:after="120" w:line="228" w:lineRule="auto"/>
        <w:rPr>
          <w:rFonts w:cs="Arial"/>
          <w:b w:val="0"/>
          <w:bCs/>
          <w:szCs w:val="20"/>
        </w:rPr>
      </w:pPr>
      <w:r w:rsidRPr="007111CB">
        <w:rPr>
          <w:rFonts w:cs="Arial"/>
          <w:b w:val="0"/>
          <w:bCs/>
          <w:szCs w:val="20"/>
        </w:rPr>
        <w:t>Podrobné výsledky šetření, metodika a tabulky s odhady 95% intervalu spolehlivosti, jsou uvedeny ve</w:t>
      </w:r>
      <w:r w:rsidR="00234A25">
        <w:rPr>
          <w:rFonts w:cs="Arial"/>
          <w:b w:val="0"/>
          <w:bCs/>
          <w:szCs w:val="20"/>
        </w:rPr>
        <w:t> </w:t>
      </w:r>
      <w:r w:rsidRPr="007111CB">
        <w:rPr>
          <w:rFonts w:cs="Arial"/>
          <w:b w:val="0"/>
          <w:bCs/>
          <w:szCs w:val="20"/>
        </w:rPr>
        <w:t xml:space="preserve">zdrojové publikaci </w:t>
      </w:r>
      <w:r w:rsidRPr="007111CB">
        <w:rPr>
          <w:rFonts w:cs="Arial"/>
          <w:b w:val="0"/>
        </w:rPr>
        <w:t>„</w:t>
      </w:r>
      <w:hyperlink r:id="rId10" w:history="1">
        <w:r w:rsidRPr="00A85B8D">
          <w:rPr>
            <w:rStyle w:val="Hypertextovodkaz"/>
            <w:rFonts w:cs="Arial"/>
            <w:bCs/>
          </w:rPr>
          <w:t>Příjmy a životní podmínky domácností v roce 2014</w:t>
        </w:r>
      </w:hyperlink>
      <w:r w:rsidRPr="007111CB">
        <w:rPr>
          <w:rFonts w:cs="Arial"/>
          <w:b w:val="0"/>
        </w:rPr>
        <w:t>“,</w:t>
      </w:r>
      <w:r>
        <w:rPr>
          <w:rFonts w:cs="Arial"/>
          <w:b w:val="0"/>
        </w:rPr>
        <w:t xml:space="preserve"> </w:t>
      </w:r>
      <w:r w:rsidRPr="007111CB">
        <w:rPr>
          <w:rFonts w:cs="Arial"/>
          <w:b w:val="0"/>
          <w:bCs/>
          <w:szCs w:val="20"/>
        </w:rPr>
        <w:t>která je dostupná na</w:t>
      </w:r>
      <w:r w:rsidR="00234A25">
        <w:rPr>
          <w:rFonts w:cs="Arial"/>
          <w:b w:val="0"/>
          <w:bCs/>
          <w:szCs w:val="20"/>
        </w:rPr>
        <w:t> </w:t>
      </w:r>
      <w:r w:rsidRPr="007111CB">
        <w:rPr>
          <w:rFonts w:cs="Arial"/>
          <w:b w:val="0"/>
          <w:bCs/>
          <w:szCs w:val="20"/>
        </w:rPr>
        <w:t>internetových stránkách ČSÚ.</w:t>
      </w:r>
    </w:p>
    <w:p w:rsidR="007111CB" w:rsidRDefault="007111CB" w:rsidP="007111CB">
      <w:pPr>
        <w:pStyle w:val="Nadpis20"/>
        <w:spacing w:before="0" w:after="120" w:line="228" w:lineRule="auto"/>
        <w:rPr>
          <w:rFonts w:cs="Arial"/>
          <w:bCs/>
          <w:sz w:val="24"/>
        </w:rPr>
      </w:pPr>
    </w:p>
    <w:p w:rsidR="00145516" w:rsidRDefault="00145516" w:rsidP="007111CB">
      <w:pPr>
        <w:pStyle w:val="Nadpis20"/>
        <w:spacing w:before="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sidR="00C14E0A">
        <w:rPr>
          <w:rFonts w:ascii="Arial" w:hAnsi="Arial" w:cs="Arial"/>
          <w:sz w:val="20"/>
        </w:rPr>
        <w:t>.</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236B59">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234A25">
      <w:rPr>
        <w:rStyle w:val="slostrnky"/>
        <w:noProof/>
      </w:rPr>
      <w:t>2</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34A25"/>
    <w:rsid w:val="00236B59"/>
    <w:rsid w:val="002B41D5"/>
    <w:rsid w:val="002D562D"/>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E3467"/>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11CB"/>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C6272"/>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D2EC3"/>
    <w:rsid w:val="00C14E0A"/>
    <w:rsid w:val="00C75C59"/>
    <w:rsid w:val="00C92701"/>
    <w:rsid w:val="00CA2FB3"/>
    <w:rsid w:val="00CC1FBA"/>
    <w:rsid w:val="00CF5312"/>
    <w:rsid w:val="00D20F62"/>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02F2-C3B4-4C5B-9068-EEEB5260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3585</Words>
  <Characters>22081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25615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Bc. Ondřej Beneš</cp:lastModifiedBy>
  <cp:revision>4</cp:revision>
  <cp:lastPrinted>2015-06-15T15:16:00Z</cp:lastPrinted>
  <dcterms:created xsi:type="dcterms:W3CDTF">2015-06-19T15:37:00Z</dcterms:created>
  <dcterms:modified xsi:type="dcterms:W3CDTF">2015-09-30T11:05:00Z</dcterms:modified>
</cp:coreProperties>
</file>