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27" w:rsidRDefault="005C6C27" w:rsidP="005C6C27">
      <w:pPr>
        <w:pStyle w:val="Nadpis1"/>
      </w:pPr>
      <w:bookmarkStart w:id="0" w:name="_Toc435002874"/>
      <w:bookmarkStart w:id="1" w:name="_Toc435003630"/>
      <w:bookmarkStart w:id="2" w:name="_Toc435002875"/>
      <w:bookmarkStart w:id="3" w:name="_Toc435003631"/>
      <w:bookmarkStart w:id="4" w:name="_Toc435002876"/>
      <w:bookmarkStart w:id="5" w:name="_Toc435003632"/>
      <w:bookmarkStart w:id="6" w:name="_Toc435002877"/>
      <w:bookmarkStart w:id="7" w:name="_Toc435003633"/>
      <w:bookmarkStart w:id="8" w:name="_Toc435002878"/>
      <w:bookmarkStart w:id="9" w:name="_Toc435003634"/>
      <w:bookmarkStart w:id="10" w:name="_Toc436052690"/>
      <w:r>
        <w:t>6. Územní rozdíly indukované potratovosti</w:t>
      </w:r>
      <w:bookmarkEnd w:id="8"/>
      <w:bookmarkEnd w:id="9"/>
      <w:bookmarkEnd w:id="10"/>
    </w:p>
    <w:p w:rsidR="005C6C27" w:rsidRDefault="005C6C27" w:rsidP="005C6C27">
      <w:pPr>
        <w:jc w:val="both"/>
      </w:pPr>
      <w:r>
        <w:t xml:space="preserve">Regionální rozdíly v úrovni potratovosti jsou popsány pouze za indukovanou potratovost, protože odráží rozdílný charakter reprodukčního chování v jednotlivých územních jednotkách, zatímco regionální rozložení samovolné potratovosti je důsledkem biologické podmíněnosti a je výrazně méně diferencované. Hodnoty úhrnné indukované potratovosti byly vypočítány za tříletá období za kraje i okresy, aby byl eliminován vliv náhody a případné výkyvy v hodnotách ukazatele. Ve všech sledovaných obdobích dosahovaly nejnižší intenzity indukované potratovosti kraje Pardubický, Vysočina a Zlínský. Ženy v těchto krajích </w:t>
      </w:r>
      <w:r w:rsidRPr="00815B66">
        <w:rPr>
          <w:bCs/>
        </w:rPr>
        <w:t xml:space="preserve">tak spíše </w:t>
      </w:r>
      <w:r>
        <w:rPr>
          <w:bCs/>
        </w:rPr>
        <w:t>zastávají hodnoty, které častěji odporují</w:t>
      </w:r>
      <w:r w:rsidRPr="00815B66">
        <w:rPr>
          <w:bCs/>
        </w:rPr>
        <w:t xml:space="preserve"> ukončení těhotenství formou umělého přerušení, případně jsou úspěšnější v prevenci nechtěného těhotenství.</w:t>
      </w:r>
      <w:r>
        <w:t xml:space="preserve"> Vysoké hodnoty indukované potratovosti lze ve všech období nalézt v Karlovarském a Ústeckém kraji, s určitým odstupem za nimi byl Liberecký kraj. Územní obraz indukované potratovosti na krajské úrovni tak byl ve sledovaném období poměrně stálý. Podstatněji se změnilo pouze postavení Hlavního města Prahy, které dosahovalo v obdobích 2003–2005 a 2006–2008 nadprůměrných hodnot úhrnné indukované potratovosti, zatímco v dalších dvou tříletých obdobích se nacházelo na úrovni celorepublikové hodnoty.       </w:t>
      </w:r>
    </w:p>
    <w:p w:rsidR="005C6C27" w:rsidRDefault="005C6C27" w:rsidP="005C6C27">
      <w:pPr>
        <w:jc w:val="both"/>
      </w:pPr>
    </w:p>
    <w:p w:rsidR="005C6C27" w:rsidRPr="002B31EC" w:rsidRDefault="005C6C27" w:rsidP="005C6C27">
      <w:pPr>
        <w:spacing w:after="60"/>
        <w:rPr>
          <w:rStyle w:val="Siln"/>
          <w:b w:val="0"/>
          <w:sz w:val="16"/>
          <w:szCs w:val="16"/>
          <w:vertAlign w:val="superscript"/>
        </w:rPr>
      </w:pPr>
      <w:r>
        <w:rPr>
          <w:rStyle w:val="Siln"/>
        </w:rPr>
        <w:t xml:space="preserve">Tab. 10 </w:t>
      </w:r>
      <w:r w:rsidRPr="002B31EC">
        <w:rPr>
          <w:rStyle w:val="Siln"/>
        </w:rPr>
        <w:t>Úhrnná indukovaná potratovost podle krajů v letech 2003–2014</w:t>
      </w:r>
      <w:r w:rsidRPr="002B31EC">
        <w:rPr>
          <w:rStyle w:val="Siln"/>
          <w:b w:val="0"/>
          <w:sz w:val="16"/>
          <w:szCs w:val="16"/>
          <w:vertAlign w:val="superscript"/>
        </w:rPr>
        <w:t>1)</w:t>
      </w:r>
    </w:p>
    <w:tbl>
      <w:tblPr>
        <w:tblW w:w="9639" w:type="dxa"/>
        <w:tblCellMar>
          <w:left w:w="70" w:type="dxa"/>
          <w:right w:w="70" w:type="dxa"/>
        </w:tblCellMar>
        <w:tblLook w:val="04A0"/>
      </w:tblPr>
      <w:tblGrid>
        <w:gridCol w:w="2563"/>
        <w:gridCol w:w="1769"/>
        <w:gridCol w:w="1769"/>
        <w:gridCol w:w="1769"/>
        <w:gridCol w:w="1769"/>
      </w:tblGrid>
      <w:tr w:rsidR="005C6C27" w:rsidRPr="002B31EC" w:rsidTr="00E73EF4">
        <w:trPr>
          <w:trHeight w:val="240"/>
        </w:trPr>
        <w:tc>
          <w:tcPr>
            <w:tcW w:w="1680" w:type="dxa"/>
            <w:tcBorders>
              <w:top w:val="single" w:sz="4" w:space="0" w:color="auto"/>
              <w:left w:val="nil"/>
              <w:bottom w:val="single" w:sz="4" w:space="0" w:color="auto"/>
              <w:right w:val="single" w:sz="4" w:space="0" w:color="auto"/>
            </w:tcBorders>
            <w:shd w:val="clear" w:color="FFFFFF" w:fill="F5DADD"/>
            <w:vAlign w:val="bottom"/>
            <w:hideMark/>
          </w:tcPr>
          <w:p w:rsidR="005C6C27" w:rsidRPr="002B31EC" w:rsidRDefault="005C6C27" w:rsidP="00E73EF4">
            <w:pPr>
              <w:spacing w:line="240" w:lineRule="auto"/>
              <w:jc w:val="center"/>
              <w:rPr>
                <w:rFonts w:cs="Arial"/>
                <w:b/>
                <w:bCs/>
                <w:sz w:val="16"/>
                <w:szCs w:val="16"/>
              </w:rPr>
            </w:pPr>
            <w:r w:rsidRPr="002B31EC">
              <w:rPr>
                <w:rFonts w:cs="Arial"/>
                <w:b/>
                <w:bCs/>
                <w:sz w:val="16"/>
                <w:szCs w:val="16"/>
              </w:rPr>
              <w:t>Kraj</w:t>
            </w:r>
          </w:p>
        </w:tc>
        <w:tc>
          <w:tcPr>
            <w:tcW w:w="1160" w:type="dxa"/>
            <w:tcBorders>
              <w:top w:val="single" w:sz="4" w:space="0" w:color="auto"/>
              <w:left w:val="nil"/>
              <w:bottom w:val="single" w:sz="4" w:space="0" w:color="auto"/>
              <w:right w:val="single" w:sz="4" w:space="0" w:color="auto"/>
            </w:tcBorders>
            <w:shd w:val="clear" w:color="FFFFFF" w:fill="F5DADD"/>
            <w:noWrap/>
            <w:vAlign w:val="bottom"/>
            <w:hideMark/>
          </w:tcPr>
          <w:p w:rsidR="005C6C27" w:rsidRPr="002B31EC" w:rsidRDefault="005C6C27" w:rsidP="00E73EF4">
            <w:pPr>
              <w:spacing w:line="240" w:lineRule="auto"/>
              <w:jc w:val="center"/>
              <w:rPr>
                <w:rFonts w:cs="Arial"/>
                <w:b/>
                <w:sz w:val="16"/>
                <w:szCs w:val="16"/>
              </w:rPr>
            </w:pPr>
            <w:r w:rsidRPr="002B31EC">
              <w:rPr>
                <w:rFonts w:cs="Arial"/>
                <w:b/>
                <w:sz w:val="16"/>
                <w:szCs w:val="16"/>
              </w:rPr>
              <w:t>2003–2005</w:t>
            </w:r>
          </w:p>
        </w:tc>
        <w:tc>
          <w:tcPr>
            <w:tcW w:w="1160" w:type="dxa"/>
            <w:tcBorders>
              <w:top w:val="single" w:sz="4" w:space="0" w:color="auto"/>
              <w:left w:val="nil"/>
              <w:bottom w:val="single" w:sz="4" w:space="0" w:color="auto"/>
              <w:right w:val="single" w:sz="4" w:space="0" w:color="auto"/>
            </w:tcBorders>
            <w:shd w:val="clear" w:color="FFFFFF" w:fill="F5DADD"/>
            <w:noWrap/>
            <w:vAlign w:val="bottom"/>
            <w:hideMark/>
          </w:tcPr>
          <w:p w:rsidR="005C6C27" w:rsidRPr="002B31EC" w:rsidRDefault="005C6C27" w:rsidP="00E73EF4">
            <w:pPr>
              <w:spacing w:line="240" w:lineRule="auto"/>
              <w:jc w:val="center"/>
              <w:rPr>
                <w:rFonts w:cs="Arial"/>
                <w:b/>
                <w:sz w:val="16"/>
                <w:szCs w:val="16"/>
              </w:rPr>
            </w:pPr>
            <w:r w:rsidRPr="002B31EC">
              <w:rPr>
                <w:rFonts w:cs="Arial"/>
                <w:b/>
                <w:sz w:val="16"/>
                <w:szCs w:val="16"/>
              </w:rPr>
              <w:t>2006–2008</w:t>
            </w:r>
          </w:p>
        </w:tc>
        <w:tc>
          <w:tcPr>
            <w:tcW w:w="1160" w:type="dxa"/>
            <w:tcBorders>
              <w:top w:val="single" w:sz="4" w:space="0" w:color="auto"/>
              <w:left w:val="nil"/>
              <w:bottom w:val="single" w:sz="4" w:space="0" w:color="auto"/>
              <w:right w:val="single" w:sz="4" w:space="0" w:color="auto"/>
            </w:tcBorders>
            <w:shd w:val="clear" w:color="FFFFFF" w:fill="F5DADD"/>
            <w:noWrap/>
            <w:vAlign w:val="bottom"/>
            <w:hideMark/>
          </w:tcPr>
          <w:p w:rsidR="005C6C27" w:rsidRPr="002B31EC" w:rsidRDefault="005C6C27" w:rsidP="00E73EF4">
            <w:pPr>
              <w:spacing w:line="240" w:lineRule="auto"/>
              <w:jc w:val="center"/>
              <w:rPr>
                <w:rFonts w:cs="Arial"/>
                <w:b/>
                <w:sz w:val="16"/>
                <w:szCs w:val="16"/>
              </w:rPr>
            </w:pPr>
            <w:r w:rsidRPr="002B31EC">
              <w:rPr>
                <w:rFonts w:cs="Arial"/>
                <w:b/>
                <w:sz w:val="16"/>
                <w:szCs w:val="16"/>
              </w:rPr>
              <w:t>2009–2011</w:t>
            </w:r>
          </w:p>
        </w:tc>
        <w:tc>
          <w:tcPr>
            <w:tcW w:w="1160" w:type="dxa"/>
            <w:tcBorders>
              <w:top w:val="single" w:sz="4" w:space="0" w:color="auto"/>
              <w:left w:val="nil"/>
              <w:bottom w:val="single" w:sz="4" w:space="0" w:color="auto"/>
              <w:right w:val="nil"/>
            </w:tcBorders>
            <w:shd w:val="clear" w:color="FFFFFF" w:fill="F5DADD"/>
            <w:noWrap/>
            <w:vAlign w:val="bottom"/>
            <w:hideMark/>
          </w:tcPr>
          <w:p w:rsidR="005C6C27" w:rsidRPr="002B31EC" w:rsidRDefault="005C6C27" w:rsidP="00E73EF4">
            <w:pPr>
              <w:spacing w:line="240" w:lineRule="auto"/>
              <w:jc w:val="center"/>
              <w:rPr>
                <w:rFonts w:cs="Arial"/>
                <w:b/>
                <w:sz w:val="16"/>
                <w:szCs w:val="16"/>
              </w:rPr>
            </w:pPr>
            <w:r w:rsidRPr="002B31EC">
              <w:rPr>
                <w:rFonts w:cs="Arial"/>
                <w:b/>
                <w:sz w:val="16"/>
                <w:szCs w:val="16"/>
              </w:rPr>
              <w:t>2012–2014</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ČR</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0,37</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0,34</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0,32</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0,31</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Hlavní město Praha</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0,41</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0,37</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0,33</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0,31</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Středočeský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0,38</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0,35</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0,35</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0,33</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Jihočeský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0,36</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0,31</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0,31</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0,32</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Plzeňský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0,43</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0,37</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0,34</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0,33</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Karlovarský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0,52</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0,47</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0,42</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0,41</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Ústecký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0,52</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0,48</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0,47</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0,44</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Liberecký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0,44</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0,39</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0,39</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0,39</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Královéhradecký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0,42</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0,37</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0,34</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0,34</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Pardubický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0,28</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0,24</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0,23</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0,22</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Kraj Vysočina</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0,30</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0,27</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0,23</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0,23</w:t>
            </w:r>
          </w:p>
        </w:tc>
      </w:tr>
      <w:tr w:rsidR="005C6C27" w:rsidRPr="002B31EC" w:rsidTr="00E73EF4">
        <w:trPr>
          <w:trHeight w:val="240"/>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cs="Arial"/>
                <w:sz w:val="16"/>
                <w:szCs w:val="16"/>
              </w:rPr>
            </w:pPr>
            <w:r w:rsidRPr="002B31EC">
              <w:rPr>
                <w:rFonts w:cs="Arial"/>
                <w:sz w:val="16"/>
                <w:szCs w:val="16"/>
              </w:rPr>
              <w:t>Jihomoravský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0,32</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0,30</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0,27</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0,28</w:t>
            </w:r>
          </w:p>
        </w:tc>
      </w:tr>
      <w:tr w:rsidR="005C6C27" w:rsidRPr="002B31EC" w:rsidTr="00E73EF4">
        <w:trPr>
          <w:trHeight w:val="264"/>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ascii="Arial CE" w:hAnsi="Arial CE"/>
                <w:sz w:val="16"/>
                <w:szCs w:val="16"/>
              </w:rPr>
            </w:pPr>
            <w:r w:rsidRPr="002B31EC">
              <w:rPr>
                <w:rFonts w:ascii="Arial CE" w:hAnsi="Arial CE"/>
                <w:sz w:val="16"/>
                <w:szCs w:val="16"/>
              </w:rPr>
              <w:t>Olomoucký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0,31</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0,27</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0,27</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0,28</w:t>
            </w:r>
          </w:p>
        </w:tc>
      </w:tr>
      <w:tr w:rsidR="005C6C27" w:rsidRPr="002B31EC" w:rsidTr="00E73EF4">
        <w:trPr>
          <w:trHeight w:val="264"/>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ascii="Arial CE" w:hAnsi="Arial CE"/>
                <w:sz w:val="16"/>
                <w:szCs w:val="16"/>
              </w:rPr>
            </w:pPr>
            <w:r w:rsidRPr="002B31EC">
              <w:rPr>
                <w:rFonts w:ascii="Arial CE" w:hAnsi="Arial CE"/>
                <w:sz w:val="16"/>
                <w:szCs w:val="16"/>
              </w:rPr>
              <w:t>Zlínský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0,26</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0,24</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0,25</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0,24</w:t>
            </w:r>
          </w:p>
        </w:tc>
      </w:tr>
      <w:tr w:rsidR="005C6C27" w:rsidRPr="002B31EC" w:rsidTr="00E73EF4">
        <w:trPr>
          <w:trHeight w:val="264"/>
        </w:trPr>
        <w:tc>
          <w:tcPr>
            <w:tcW w:w="168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rPr>
                <w:rFonts w:ascii="Arial CE" w:hAnsi="Arial CE"/>
                <w:sz w:val="16"/>
                <w:szCs w:val="16"/>
              </w:rPr>
            </w:pPr>
            <w:r w:rsidRPr="002B31EC">
              <w:rPr>
                <w:rFonts w:ascii="Arial CE" w:hAnsi="Arial CE"/>
                <w:sz w:val="16"/>
                <w:szCs w:val="16"/>
              </w:rPr>
              <w:t>Moravskoslezský kraj</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0,34</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0,33</w:t>
            </w:r>
          </w:p>
        </w:tc>
        <w:tc>
          <w:tcPr>
            <w:tcW w:w="1160" w:type="dxa"/>
            <w:tcBorders>
              <w:top w:val="nil"/>
              <w:left w:val="nil"/>
              <w:bottom w:val="nil"/>
              <w:right w:val="single" w:sz="4" w:space="0" w:color="auto"/>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0,32</w:t>
            </w:r>
          </w:p>
        </w:tc>
        <w:tc>
          <w:tcPr>
            <w:tcW w:w="1160" w:type="dxa"/>
            <w:tcBorders>
              <w:top w:val="nil"/>
              <w:left w:val="nil"/>
              <w:bottom w:val="nil"/>
              <w:right w:val="nil"/>
            </w:tcBorders>
            <w:shd w:val="clear" w:color="FFFFFF" w:fill="FFFFFF"/>
            <w:noWrap/>
            <w:vAlign w:val="bottom"/>
            <w:hideMark/>
          </w:tcPr>
          <w:p w:rsidR="005C6C27" w:rsidRPr="002B31EC" w:rsidRDefault="005C6C27" w:rsidP="00E73EF4">
            <w:pPr>
              <w:spacing w:line="240" w:lineRule="auto"/>
              <w:jc w:val="center"/>
              <w:rPr>
                <w:rFonts w:cs="Arial"/>
                <w:sz w:val="16"/>
                <w:szCs w:val="16"/>
              </w:rPr>
            </w:pPr>
            <w:r w:rsidRPr="002B31EC">
              <w:rPr>
                <w:rFonts w:cs="Arial"/>
                <w:sz w:val="16"/>
                <w:szCs w:val="16"/>
              </w:rPr>
              <w:t>0,30</w:t>
            </w:r>
          </w:p>
        </w:tc>
      </w:tr>
    </w:tbl>
    <w:p w:rsidR="005C6C27" w:rsidRDefault="005C6C27" w:rsidP="005C6C27">
      <w:pPr>
        <w:spacing w:before="60" w:after="60"/>
        <w:rPr>
          <w:rStyle w:val="Siln"/>
          <w:b w:val="0"/>
          <w:i/>
          <w:sz w:val="16"/>
          <w:szCs w:val="16"/>
        </w:rPr>
      </w:pPr>
      <w:r w:rsidRPr="002B31EC">
        <w:rPr>
          <w:rStyle w:val="Siln"/>
          <w:b w:val="0"/>
          <w:i/>
          <w:sz w:val="16"/>
          <w:szCs w:val="16"/>
        </w:rPr>
        <w:t>1)</w:t>
      </w:r>
      <w:r>
        <w:rPr>
          <w:rStyle w:val="Siln"/>
          <w:b w:val="0"/>
          <w:i/>
          <w:sz w:val="16"/>
          <w:szCs w:val="16"/>
        </w:rPr>
        <w:t xml:space="preserve"> Hodnota úhrnné indukované potratovosti byla vypočítána za tříletá období.</w:t>
      </w:r>
    </w:p>
    <w:p w:rsidR="005C6C27" w:rsidRDefault="005C6C27" w:rsidP="005C6C27">
      <w:pPr>
        <w:jc w:val="both"/>
        <w:rPr>
          <w:b/>
          <w:bCs/>
        </w:rPr>
      </w:pPr>
    </w:p>
    <w:p w:rsidR="005C6C27" w:rsidRDefault="005C6C27" w:rsidP="005C6C27">
      <w:pPr>
        <w:spacing w:after="60"/>
        <w:jc w:val="both"/>
        <w:rPr>
          <w:bCs/>
        </w:rPr>
      </w:pPr>
      <w:r>
        <w:rPr>
          <w:bCs/>
        </w:rPr>
        <w:t xml:space="preserve">Regionální obraz úhrnné indukované potratovosti zůstal velice podobný i na okresní úrovni. Okresy s nejvyššími hodnotami ukazatele se obvykle nacházely v severních a severozápadních Čechách, naopak nízká intenzita umělé potratovosti byla typická pro oblast tvořící historickou hranici mezi Čechy a Moravou a jihovýchodní Moravu. V 73 ze 77 okresů došlo ve srovnání období 2003–2005 a 2012–2014 k poklesu úrovně úhrnné indukované potratovosti. Výjimku tvořily pouze okresy Mladá Boleslav a Jindřichův Hradec (hodnota nižší zhruba o 15 %), Olomouc (o 3 %) a Břeclav spolu se Znojmem (stejná úroveň indukované </w:t>
      </w:r>
      <w:proofErr w:type="gramStart"/>
      <w:r>
        <w:rPr>
          <w:bCs/>
        </w:rPr>
        <w:t>potratovosti)..</w:t>
      </w:r>
      <w:proofErr w:type="gramEnd"/>
      <w:r>
        <w:rPr>
          <w:bCs/>
        </w:rPr>
        <w:t xml:space="preserve"> Okresy s největším poklesem (větším než 30 %) byly Pelhřimov, Chrudim, Havlíčkův Brod, Hradec Králové, Prachatice a Plzeň-sever (seřazeno od okresu s největším k nejmenšímu poklesu).</w:t>
      </w:r>
    </w:p>
    <w:p w:rsidR="005C6C27" w:rsidRPr="005A3E79" w:rsidRDefault="005C6C27" w:rsidP="005C6C27">
      <w:pPr>
        <w:jc w:val="both"/>
      </w:pPr>
    </w:p>
    <w:p w:rsidR="005C6C27" w:rsidRDefault="005C6C27" w:rsidP="005C6C27">
      <w:pPr>
        <w:spacing w:after="60"/>
        <w:jc w:val="both"/>
        <w:rPr>
          <w:bCs/>
        </w:rPr>
      </w:pPr>
      <w:r>
        <w:rPr>
          <w:bCs/>
        </w:rPr>
        <w:t xml:space="preserve">Okres Teplice dosahoval v celém sledovaném období nejvyšší úrovně úhrnné indukované potratovosti. Mezi další okresy s nejvyššími hodnotami patřily Cheb, Chomutov, Ústí nad Labem a Most. Na druhé straně pomyslného žebříčku se potom nacházel okres Pardubice s nejnižší intenzitou umělé potratovosti v celém rozmezí let 2003 až 2014. Ženy s bydlištěm v okresech Žďár nad Sázavou, Brno-venkov, Chrudim, Uherské Hradiště a Třebíč patřily mezi ty s nejnižšími hodnotami úhrnné indukované potratovosti. V čase docházelo ke snižování okresní diferenciace v úrovni tohoto ukazatele. Zatímco v období 2003–2005 činil rozdíl mezi maximální a minimální hodnotou 0,47 UPT na jednu ženu, tak v období 2012–2014 to bylo již pouze 0,31 </w:t>
      </w:r>
      <w:r>
        <w:rPr>
          <w:bCs/>
        </w:rPr>
        <w:lastRenderedPageBreak/>
        <w:t xml:space="preserve">UPT na jednu ženu. Směrodatná odchylka souboru okresů poklesla ve stejném období z 0,09 na 0,07, což je další důkaz vzájemného přibližování okresů z pohledu intenzity indukované potratovosti.  </w:t>
      </w:r>
    </w:p>
    <w:p w:rsidR="005C6C27" w:rsidRPr="0082216C" w:rsidRDefault="005C6C27" w:rsidP="005C6C27">
      <w:pPr>
        <w:jc w:val="both"/>
      </w:pPr>
    </w:p>
    <w:p w:rsidR="005C6C27" w:rsidRDefault="005C6C27" w:rsidP="005C6C27">
      <w:pPr>
        <w:rPr>
          <w:rStyle w:val="Siln"/>
        </w:rPr>
      </w:pPr>
      <w:r>
        <w:rPr>
          <w:rStyle w:val="Siln"/>
        </w:rPr>
        <w:t xml:space="preserve">Tab. 11 </w:t>
      </w:r>
      <w:r w:rsidRPr="003E197C">
        <w:rPr>
          <w:rStyle w:val="Siln"/>
        </w:rPr>
        <w:t xml:space="preserve">Okresy s nejvyššími a nejnižšími hodnotami úhrnné indukované potratovosti </w:t>
      </w:r>
    </w:p>
    <w:p w:rsidR="005C6C27" w:rsidRPr="002B31EC" w:rsidRDefault="005C6C27" w:rsidP="005C6C27">
      <w:pPr>
        <w:spacing w:after="60"/>
        <w:rPr>
          <w:rStyle w:val="Siln"/>
          <w:b w:val="0"/>
          <w:sz w:val="16"/>
          <w:szCs w:val="16"/>
          <w:vertAlign w:val="superscript"/>
        </w:rPr>
      </w:pPr>
      <w:r w:rsidRPr="003E197C">
        <w:rPr>
          <w:rStyle w:val="Siln"/>
        </w:rPr>
        <w:t>v letech 2003–2014</w:t>
      </w:r>
      <w:r w:rsidRPr="002B31EC">
        <w:rPr>
          <w:rStyle w:val="Siln"/>
          <w:b w:val="0"/>
          <w:sz w:val="16"/>
          <w:szCs w:val="16"/>
          <w:vertAlign w:val="superscript"/>
        </w:rPr>
        <w:t>1)</w:t>
      </w:r>
    </w:p>
    <w:tbl>
      <w:tblPr>
        <w:tblW w:w="9600" w:type="dxa"/>
        <w:tblInd w:w="55" w:type="dxa"/>
        <w:tblCellMar>
          <w:left w:w="70" w:type="dxa"/>
          <w:right w:w="70" w:type="dxa"/>
        </w:tblCellMar>
        <w:tblLook w:val="04A0"/>
      </w:tblPr>
      <w:tblGrid>
        <w:gridCol w:w="1200"/>
        <w:gridCol w:w="1200"/>
        <w:gridCol w:w="1200"/>
        <w:gridCol w:w="1200"/>
        <w:gridCol w:w="1200"/>
        <w:gridCol w:w="1200"/>
        <w:gridCol w:w="1200"/>
        <w:gridCol w:w="1200"/>
      </w:tblGrid>
      <w:tr w:rsidR="005C6C27" w:rsidRPr="00EC1924" w:rsidTr="00E73EF4">
        <w:trPr>
          <w:trHeight w:val="240"/>
        </w:trPr>
        <w:tc>
          <w:tcPr>
            <w:tcW w:w="2400" w:type="dxa"/>
            <w:gridSpan w:val="2"/>
            <w:tcBorders>
              <w:top w:val="single" w:sz="4" w:space="0" w:color="auto"/>
              <w:left w:val="nil"/>
              <w:bottom w:val="single" w:sz="4" w:space="0" w:color="auto"/>
              <w:right w:val="single" w:sz="4" w:space="0" w:color="000000"/>
            </w:tcBorders>
            <w:shd w:val="clear" w:color="FFFFFF" w:fill="F5DADD"/>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2003–2005</w:t>
            </w:r>
          </w:p>
        </w:tc>
        <w:tc>
          <w:tcPr>
            <w:tcW w:w="2400" w:type="dxa"/>
            <w:gridSpan w:val="2"/>
            <w:tcBorders>
              <w:top w:val="single" w:sz="4" w:space="0" w:color="auto"/>
              <w:left w:val="nil"/>
              <w:bottom w:val="single" w:sz="4" w:space="0" w:color="auto"/>
              <w:right w:val="single" w:sz="4" w:space="0" w:color="000000"/>
            </w:tcBorders>
            <w:shd w:val="clear" w:color="FFFFFF" w:fill="F5DADD"/>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2006–2008</w:t>
            </w:r>
          </w:p>
        </w:tc>
        <w:tc>
          <w:tcPr>
            <w:tcW w:w="2400" w:type="dxa"/>
            <w:gridSpan w:val="2"/>
            <w:tcBorders>
              <w:top w:val="single" w:sz="4" w:space="0" w:color="auto"/>
              <w:left w:val="nil"/>
              <w:bottom w:val="single" w:sz="4" w:space="0" w:color="auto"/>
              <w:right w:val="single" w:sz="4" w:space="0" w:color="000000"/>
            </w:tcBorders>
            <w:shd w:val="clear" w:color="FFFFFF" w:fill="F5DADD"/>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2009–2011</w:t>
            </w:r>
          </w:p>
        </w:tc>
        <w:tc>
          <w:tcPr>
            <w:tcW w:w="2400" w:type="dxa"/>
            <w:gridSpan w:val="2"/>
            <w:tcBorders>
              <w:top w:val="single" w:sz="4" w:space="0" w:color="auto"/>
              <w:left w:val="nil"/>
              <w:bottom w:val="single" w:sz="4" w:space="0" w:color="auto"/>
              <w:right w:val="single" w:sz="4" w:space="0" w:color="000000"/>
            </w:tcBorders>
            <w:shd w:val="clear" w:color="FFFFFF" w:fill="F5DADD"/>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2012–2014</w:t>
            </w:r>
          </w:p>
        </w:tc>
      </w:tr>
      <w:tr w:rsidR="005C6C27" w:rsidRPr="00EC1924" w:rsidTr="00E73EF4">
        <w:trPr>
          <w:trHeight w:val="240"/>
        </w:trPr>
        <w:tc>
          <w:tcPr>
            <w:tcW w:w="1200" w:type="dxa"/>
            <w:tcBorders>
              <w:top w:val="nil"/>
              <w:left w:val="nil"/>
              <w:bottom w:val="single" w:sz="4" w:space="0" w:color="auto"/>
              <w:right w:val="single" w:sz="4" w:space="0" w:color="auto"/>
            </w:tcBorders>
            <w:shd w:val="clear" w:color="FFFFFF" w:fill="F5DADD"/>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Okres</w:t>
            </w:r>
          </w:p>
        </w:tc>
        <w:tc>
          <w:tcPr>
            <w:tcW w:w="1200" w:type="dxa"/>
            <w:tcBorders>
              <w:top w:val="nil"/>
              <w:left w:val="nil"/>
              <w:bottom w:val="single" w:sz="4" w:space="0" w:color="auto"/>
              <w:right w:val="single" w:sz="4" w:space="0" w:color="auto"/>
            </w:tcBorders>
            <w:shd w:val="clear" w:color="FFFFFF" w:fill="F5DADD"/>
            <w:noWrap/>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Hodnota</w:t>
            </w:r>
          </w:p>
        </w:tc>
        <w:tc>
          <w:tcPr>
            <w:tcW w:w="1200" w:type="dxa"/>
            <w:tcBorders>
              <w:top w:val="nil"/>
              <w:left w:val="nil"/>
              <w:bottom w:val="single" w:sz="4" w:space="0" w:color="auto"/>
              <w:right w:val="single" w:sz="4" w:space="0" w:color="auto"/>
            </w:tcBorders>
            <w:shd w:val="clear" w:color="FFFFFF" w:fill="F5DADD"/>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Okres</w:t>
            </w:r>
          </w:p>
        </w:tc>
        <w:tc>
          <w:tcPr>
            <w:tcW w:w="1200" w:type="dxa"/>
            <w:tcBorders>
              <w:top w:val="nil"/>
              <w:left w:val="nil"/>
              <w:bottom w:val="single" w:sz="4" w:space="0" w:color="auto"/>
              <w:right w:val="single" w:sz="4" w:space="0" w:color="auto"/>
            </w:tcBorders>
            <w:shd w:val="clear" w:color="FFFFFF" w:fill="F5DADD"/>
            <w:noWrap/>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Hodnota</w:t>
            </w:r>
          </w:p>
        </w:tc>
        <w:tc>
          <w:tcPr>
            <w:tcW w:w="1200" w:type="dxa"/>
            <w:tcBorders>
              <w:top w:val="nil"/>
              <w:left w:val="nil"/>
              <w:bottom w:val="single" w:sz="4" w:space="0" w:color="auto"/>
              <w:right w:val="single" w:sz="4" w:space="0" w:color="auto"/>
            </w:tcBorders>
            <w:shd w:val="clear" w:color="FFFFFF" w:fill="F5DADD"/>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Okres</w:t>
            </w:r>
          </w:p>
        </w:tc>
        <w:tc>
          <w:tcPr>
            <w:tcW w:w="1200" w:type="dxa"/>
            <w:tcBorders>
              <w:top w:val="nil"/>
              <w:left w:val="nil"/>
              <w:bottom w:val="single" w:sz="4" w:space="0" w:color="auto"/>
              <w:right w:val="single" w:sz="4" w:space="0" w:color="auto"/>
            </w:tcBorders>
            <w:shd w:val="clear" w:color="FFFFFF" w:fill="F5DADD"/>
            <w:noWrap/>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Hodnota</w:t>
            </w:r>
          </w:p>
        </w:tc>
        <w:tc>
          <w:tcPr>
            <w:tcW w:w="1200" w:type="dxa"/>
            <w:tcBorders>
              <w:top w:val="nil"/>
              <w:left w:val="nil"/>
              <w:bottom w:val="single" w:sz="4" w:space="0" w:color="auto"/>
              <w:right w:val="single" w:sz="4" w:space="0" w:color="auto"/>
            </w:tcBorders>
            <w:shd w:val="clear" w:color="FFFFFF" w:fill="F5DADD"/>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Okres</w:t>
            </w:r>
          </w:p>
        </w:tc>
        <w:tc>
          <w:tcPr>
            <w:tcW w:w="1200" w:type="dxa"/>
            <w:tcBorders>
              <w:top w:val="nil"/>
              <w:left w:val="nil"/>
              <w:bottom w:val="single" w:sz="4" w:space="0" w:color="auto"/>
              <w:right w:val="single" w:sz="4" w:space="0" w:color="auto"/>
            </w:tcBorders>
            <w:shd w:val="clear" w:color="FFFFFF" w:fill="F5DADD"/>
            <w:noWrap/>
            <w:vAlign w:val="center"/>
            <w:hideMark/>
          </w:tcPr>
          <w:p w:rsidR="005C6C27" w:rsidRPr="00EC1924" w:rsidRDefault="005C6C27" w:rsidP="00E73EF4">
            <w:pPr>
              <w:spacing w:line="240" w:lineRule="auto"/>
              <w:jc w:val="center"/>
              <w:rPr>
                <w:rFonts w:cs="Arial"/>
                <w:b/>
                <w:bCs/>
                <w:sz w:val="16"/>
                <w:szCs w:val="16"/>
              </w:rPr>
            </w:pPr>
            <w:r w:rsidRPr="00EC1924">
              <w:rPr>
                <w:rFonts w:cs="Arial"/>
                <w:b/>
                <w:bCs/>
                <w:sz w:val="16"/>
                <w:szCs w:val="16"/>
              </w:rPr>
              <w:t>Hodnota</w:t>
            </w:r>
          </w:p>
        </w:tc>
      </w:tr>
      <w:tr w:rsidR="005C6C27" w:rsidRPr="00EC1924" w:rsidTr="00E73EF4">
        <w:trPr>
          <w:trHeight w:val="240"/>
        </w:trPr>
        <w:tc>
          <w:tcPr>
            <w:tcW w:w="9600" w:type="dxa"/>
            <w:gridSpan w:val="8"/>
            <w:tcBorders>
              <w:top w:val="single" w:sz="4" w:space="0" w:color="auto"/>
              <w:left w:val="nil"/>
              <w:bottom w:val="single" w:sz="4" w:space="0" w:color="auto"/>
              <w:right w:val="nil"/>
            </w:tcBorders>
            <w:shd w:val="clear" w:color="FFFFFF" w:fill="FFFFFF"/>
            <w:noWrap/>
            <w:vAlign w:val="bottom"/>
            <w:hideMark/>
          </w:tcPr>
          <w:p w:rsidR="005C6C27" w:rsidRPr="00EC1924" w:rsidRDefault="005C6C27" w:rsidP="00E73EF4">
            <w:pPr>
              <w:spacing w:line="240" w:lineRule="auto"/>
              <w:jc w:val="center"/>
              <w:rPr>
                <w:rFonts w:cs="Arial"/>
                <w:sz w:val="16"/>
                <w:szCs w:val="16"/>
              </w:rPr>
            </w:pPr>
            <w:r w:rsidRPr="00EC1924">
              <w:rPr>
                <w:rFonts w:cs="Arial"/>
                <w:sz w:val="16"/>
                <w:szCs w:val="16"/>
              </w:rPr>
              <w:t>Nejvyšší hodnoty</w:t>
            </w:r>
          </w:p>
        </w:tc>
      </w:tr>
      <w:tr w:rsidR="005C6C27" w:rsidRPr="00EC1924" w:rsidTr="00E73EF4">
        <w:trPr>
          <w:trHeight w:val="240"/>
        </w:trPr>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Teplice</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0,68</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Teplice</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0,61</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Teplice</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0,57</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Teplice</w:t>
            </w:r>
          </w:p>
        </w:tc>
        <w:tc>
          <w:tcPr>
            <w:tcW w:w="1200" w:type="dxa"/>
            <w:tcBorders>
              <w:top w:val="nil"/>
              <w:left w:val="nil"/>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0,49</w:t>
            </w:r>
          </w:p>
        </w:tc>
      </w:tr>
      <w:tr w:rsidR="005C6C27" w:rsidRPr="00EC1924" w:rsidTr="00E73EF4">
        <w:trPr>
          <w:trHeight w:val="240"/>
        </w:trPr>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Cheb</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0,60</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Cheb</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0,55</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Ústí nad Labem</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0,51</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Cheb</w:t>
            </w:r>
          </w:p>
        </w:tc>
        <w:tc>
          <w:tcPr>
            <w:tcW w:w="1200" w:type="dxa"/>
            <w:tcBorders>
              <w:top w:val="nil"/>
              <w:left w:val="nil"/>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0,47</w:t>
            </w:r>
          </w:p>
        </w:tc>
      </w:tr>
      <w:tr w:rsidR="005C6C27" w:rsidRPr="00EC1924" w:rsidTr="00E73EF4">
        <w:trPr>
          <w:trHeight w:val="240"/>
        </w:trPr>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Most</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0,54</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Ústí nad Labem</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0,51</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Chomutov</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0,50</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Most</w:t>
            </w:r>
          </w:p>
        </w:tc>
        <w:tc>
          <w:tcPr>
            <w:tcW w:w="1200" w:type="dxa"/>
            <w:tcBorders>
              <w:top w:val="nil"/>
              <w:left w:val="nil"/>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0,47</w:t>
            </w:r>
          </w:p>
        </w:tc>
      </w:tr>
      <w:tr w:rsidR="005C6C27" w:rsidRPr="00EC1924" w:rsidTr="00E73EF4">
        <w:trPr>
          <w:trHeight w:val="240"/>
        </w:trPr>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Chomutov</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0,53</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Chomutov</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0,50</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Cheb</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0,48</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Louny</w:t>
            </w:r>
          </w:p>
        </w:tc>
        <w:tc>
          <w:tcPr>
            <w:tcW w:w="1200" w:type="dxa"/>
            <w:tcBorders>
              <w:top w:val="nil"/>
              <w:left w:val="nil"/>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0,44</w:t>
            </w:r>
          </w:p>
        </w:tc>
      </w:tr>
      <w:tr w:rsidR="005C6C27" w:rsidRPr="00EC1924" w:rsidTr="00E73EF4">
        <w:trPr>
          <w:trHeight w:val="240"/>
        </w:trPr>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Ústí nad Labem</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0,52</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Děčín</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0,48</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Český Krumlov</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0,46</w:t>
            </w:r>
          </w:p>
        </w:tc>
        <w:tc>
          <w:tcPr>
            <w:tcW w:w="1200" w:type="dxa"/>
            <w:tcBorders>
              <w:top w:val="nil"/>
              <w:left w:val="nil"/>
              <w:bottom w:val="nil"/>
              <w:right w:val="single" w:sz="4" w:space="0" w:color="auto"/>
            </w:tcBorders>
            <w:shd w:val="clear" w:color="FFFFFF" w:fill="FFFFFF"/>
            <w:noWrap/>
            <w:vAlign w:val="center"/>
            <w:hideMark/>
          </w:tcPr>
          <w:p w:rsidR="005C6C27" w:rsidRPr="00EC1924" w:rsidRDefault="005C6C27" w:rsidP="00E73EF4">
            <w:pPr>
              <w:spacing w:line="240" w:lineRule="auto"/>
              <w:rPr>
                <w:rFonts w:cs="Arial"/>
                <w:sz w:val="16"/>
                <w:szCs w:val="16"/>
              </w:rPr>
            </w:pPr>
            <w:r w:rsidRPr="00EC1924">
              <w:rPr>
                <w:rFonts w:cs="Arial"/>
                <w:sz w:val="16"/>
                <w:szCs w:val="16"/>
              </w:rPr>
              <w:t>Chomutov</w:t>
            </w:r>
          </w:p>
        </w:tc>
        <w:tc>
          <w:tcPr>
            <w:tcW w:w="1200" w:type="dxa"/>
            <w:tcBorders>
              <w:top w:val="nil"/>
              <w:left w:val="nil"/>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0,44</w:t>
            </w:r>
          </w:p>
        </w:tc>
      </w:tr>
      <w:tr w:rsidR="005C6C27" w:rsidRPr="00EC1924" w:rsidTr="00E73EF4">
        <w:trPr>
          <w:trHeight w:val="240"/>
        </w:trPr>
        <w:tc>
          <w:tcPr>
            <w:tcW w:w="9600" w:type="dxa"/>
            <w:gridSpan w:val="8"/>
            <w:tcBorders>
              <w:top w:val="single" w:sz="4" w:space="0" w:color="auto"/>
              <w:left w:val="nil"/>
              <w:bottom w:val="single" w:sz="4" w:space="0" w:color="auto"/>
              <w:right w:val="nil"/>
            </w:tcBorders>
            <w:shd w:val="clear" w:color="FFFFFF" w:fill="FFFFFF"/>
            <w:noWrap/>
            <w:vAlign w:val="bottom"/>
            <w:hideMark/>
          </w:tcPr>
          <w:p w:rsidR="005C6C27" w:rsidRPr="00EC1924" w:rsidRDefault="005C6C27" w:rsidP="00E73EF4">
            <w:pPr>
              <w:spacing w:line="240" w:lineRule="auto"/>
              <w:jc w:val="center"/>
              <w:rPr>
                <w:rFonts w:cs="Arial"/>
                <w:sz w:val="16"/>
                <w:szCs w:val="16"/>
              </w:rPr>
            </w:pPr>
            <w:r w:rsidRPr="00EC1924">
              <w:rPr>
                <w:rFonts w:cs="Arial"/>
                <w:sz w:val="16"/>
                <w:szCs w:val="16"/>
              </w:rPr>
              <w:t>Nejnižší hodnoty</w:t>
            </w:r>
          </w:p>
        </w:tc>
      </w:tr>
      <w:tr w:rsidR="005C6C27" w:rsidRPr="00EC1924" w:rsidTr="00E73EF4">
        <w:trPr>
          <w:trHeight w:val="240"/>
        </w:trPr>
        <w:tc>
          <w:tcPr>
            <w:tcW w:w="1200" w:type="dxa"/>
            <w:tcBorders>
              <w:top w:val="nil"/>
              <w:left w:val="nil"/>
              <w:bottom w:val="nil"/>
              <w:right w:val="single" w:sz="4" w:space="0" w:color="auto"/>
            </w:tcBorders>
            <w:shd w:val="clear" w:color="FFFFFF" w:fill="FFFFFF"/>
            <w:noWrap/>
            <w:vAlign w:val="bottom"/>
            <w:hideMark/>
          </w:tcPr>
          <w:p w:rsidR="005C6C27" w:rsidRPr="00EC1924" w:rsidRDefault="005C6C27" w:rsidP="00E73EF4">
            <w:pPr>
              <w:spacing w:line="240" w:lineRule="auto"/>
              <w:rPr>
                <w:rFonts w:cs="Arial"/>
                <w:sz w:val="16"/>
                <w:szCs w:val="16"/>
              </w:rPr>
            </w:pPr>
            <w:r w:rsidRPr="00EC1924">
              <w:rPr>
                <w:rFonts w:cs="Arial"/>
                <w:sz w:val="16"/>
                <w:szCs w:val="16"/>
              </w:rPr>
              <w:t>Pardubice</w:t>
            </w:r>
          </w:p>
        </w:tc>
        <w:tc>
          <w:tcPr>
            <w:tcW w:w="1200" w:type="dxa"/>
            <w:tcBorders>
              <w:top w:val="nil"/>
              <w:left w:val="nil"/>
              <w:bottom w:val="nil"/>
              <w:right w:val="single" w:sz="4" w:space="0" w:color="auto"/>
            </w:tcBorders>
            <w:shd w:val="clear" w:color="FFFFFF" w:fill="FFFFFF"/>
            <w:noWrap/>
            <w:vAlign w:val="bottom"/>
            <w:hideMark/>
          </w:tcPr>
          <w:p w:rsidR="005C6C27" w:rsidRPr="00EC1924" w:rsidRDefault="005C6C27" w:rsidP="00E73EF4">
            <w:pPr>
              <w:spacing w:line="240" w:lineRule="auto"/>
              <w:jc w:val="center"/>
              <w:rPr>
                <w:rFonts w:cs="Arial"/>
                <w:sz w:val="16"/>
                <w:szCs w:val="16"/>
              </w:rPr>
            </w:pPr>
            <w:r w:rsidRPr="00EC1924">
              <w:rPr>
                <w:rFonts w:cs="Arial"/>
                <w:sz w:val="16"/>
                <w:szCs w:val="16"/>
              </w:rPr>
              <w:t>0,22</w:t>
            </w:r>
          </w:p>
        </w:tc>
        <w:tc>
          <w:tcPr>
            <w:tcW w:w="1200" w:type="dxa"/>
            <w:tcBorders>
              <w:top w:val="nil"/>
              <w:left w:val="nil"/>
              <w:bottom w:val="nil"/>
              <w:right w:val="single" w:sz="4" w:space="0" w:color="auto"/>
            </w:tcBorders>
            <w:shd w:val="clear" w:color="FFFFFF" w:fill="FFFFFF"/>
            <w:noWrap/>
            <w:vAlign w:val="bottom"/>
            <w:hideMark/>
          </w:tcPr>
          <w:p w:rsidR="005C6C27" w:rsidRPr="00EC1924" w:rsidRDefault="005C6C27" w:rsidP="00E73EF4">
            <w:pPr>
              <w:spacing w:line="240" w:lineRule="auto"/>
              <w:rPr>
                <w:rFonts w:cs="Arial"/>
                <w:sz w:val="16"/>
                <w:szCs w:val="16"/>
              </w:rPr>
            </w:pPr>
            <w:r w:rsidRPr="00EC1924">
              <w:rPr>
                <w:rFonts w:cs="Arial"/>
                <w:sz w:val="16"/>
                <w:szCs w:val="16"/>
              </w:rPr>
              <w:t>Pardubice</w:t>
            </w:r>
          </w:p>
        </w:tc>
        <w:tc>
          <w:tcPr>
            <w:tcW w:w="1200" w:type="dxa"/>
            <w:tcBorders>
              <w:top w:val="nil"/>
              <w:left w:val="nil"/>
              <w:bottom w:val="nil"/>
              <w:right w:val="single" w:sz="4" w:space="0" w:color="auto"/>
            </w:tcBorders>
            <w:shd w:val="clear" w:color="FFFFFF" w:fill="FFFFFF"/>
            <w:noWrap/>
            <w:vAlign w:val="bottom"/>
            <w:hideMark/>
          </w:tcPr>
          <w:p w:rsidR="005C6C27" w:rsidRPr="00EC1924" w:rsidRDefault="005C6C27" w:rsidP="00E73EF4">
            <w:pPr>
              <w:spacing w:line="240" w:lineRule="auto"/>
              <w:jc w:val="center"/>
              <w:rPr>
                <w:rFonts w:cs="Arial"/>
                <w:sz w:val="16"/>
                <w:szCs w:val="16"/>
              </w:rPr>
            </w:pPr>
            <w:r w:rsidRPr="00EC1924">
              <w:rPr>
                <w:rFonts w:cs="Arial"/>
                <w:sz w:val="16"/>
                <w:szCs w:val="16"/>
              </w:rPr>
              <w:t>0,20</w:t>
            </w:r>
          </w:p>
        </w:tc>
        <w:tc>
          <w:tcPr>
            <w:tcW w:w="1200" w:type="dxa"/>
            <w:tcBorders>
              <w:top w:val="nil"/>
              <w:left w:val="nil"/>
              <w:bottom w:val="nil"/>
              <w:right w:val="single" w:sz="4" w:space="0" w:color="auto"/>
            </w:tcBorders>
            <w:shd w:val="clear" w:color="FFFFFF" w:fill="FFFFFF"/>
            <w:noWrap/>
            <w:vAlign w:val="bottom"/>
            <w:hideMark/>
          </w:tcPr>
          <w:p w:rsidR="005C6C27" w:rsidRPr="00EC1924" w:rsidRDefault="005C6C27" w:rsidP="00E73EF4">
            <w:pPr>
              <w:spacing w:line="240" w:lineRule="auto"/>
              <w:rPr>
                <w:rFonts w:cs="Arial"/>
                <w:sz w:val="16"/>
                <w:szCs w:val="16"/>
              </w:rPr>
            </w:pPr>
            <w:r w:rsidRPr="00EC1924">
              <w:rPr>
                <w:rFonts w:cs="Arial"/>
                <w:sz w:val="16"/>
                <w:szCs w:val="16"/>
              </w:rPr>
              <w:t>Pardubice</w:t>
            </w:r>
          </w:p>
        </w:tc>
        <w:tc>
          <w:tcPr>
            <w:tcW w:w="1200" w:type="dxa"/>
            <w:tcBorders>
              <w:top w:val="nil"/>
              <w:left w:val="nil"/>
              <w:bottom w:val="nil"/>
              <w:right w:val="single" w:sz="4" w:space="0" w:color="auto"/>
            </w:tcBorders>
            <w:shd w:val="clear" w:color="FFFFFF" w:fill="FFFFFF"/>
            <w:noWrap/>
            <w:vAlign w:val="bottom"/>
            <w:hideMark/>
          </w:tcPr>
          <w:p w:rsidR="005C6C27" w:rsidRPr="00EC1924" w:rsidRDefault="005C6C27" w:rsidP="00E73EF4">
            <w:pPr>
              <w:spacing w:line="240" w:lineRule="auto"/>
              <w:jc w:val="center"/>
              <w:rPr>
                <w:rFonts w:cs="Arial"/>
                <w:sz w:val="16"/>
                <w:szCs w:val="16"/>
              </w:rPr>
            </w:pPr>
            <w:r w:rsidRPr="00EC1924">
              <w:rPr>
                <w:rFonts w:cs="Arial"/>
                <w:sz w:val="16"/>
                <w:szCs w:val="16"/>
              </w:rPr>
              <w:t>0,18</w:t>
            </w:r>
          </w:p>
        </w:tc>
        <w:tc>
          <w:tcPr>
            <w:tcW w:w="1200" w:type="dxa"/>
            <w:tcBorders>
              <w:top w:val="nil"/>
              <w:left w:val="nil"/>
              <w:bottom w:val="nil"/>
              <w:right w:val="single" w:sz="4" w:space="0" w:color="auto"/>
            </w:tcBorders>
            <w:shd w:val="clear" w:color="FFFFFF" w:fill="FFFFFF"/>
            <w:noWrap/>
            <w:vAlign w:val="bottom"/>
            <w:hideMark/>
          </w:tcPr>
          <w:p w:rsidR="005C6C27" w:rsidRPr="00EC1924" w:rsidRDefault="005C6C27" w:rsidP="00E73EF4">
            <w:pPr>
              <w:spacing w:line="240" w:lineRule="auto"/>
              <w:rPr>
                <w:rFonts w:cs="Arial"/>
                <w:sz w:val="16"/>
                <w:szCs w:val="16"/>
              </w:rPr>
            </w:pPr>
            <w:r w:rsidRPr="00EC1924">
              <w:rPr>
                <w:rFonts w:cs="Arial"/>
                <w:sz w:val="16"/>
                <w:szCs w:val="16"/>
              </w:rPr>
              <w:t>Pardubice</w:t>
            </w:r>
          </w:p>
        </w:tc>
        <w:tc>
          <w:tcPr>
            <w:tcW w:w="1200" w:type="dxa"/>
            <w:tcBorders>
              <w:top w:val="nil"/>
              <w:left w:val="nil"/>
              <w:bottom w:val="nil"/>
              <w:right w:val="nil"/>
            </w:tcBorders>
            <w:shd w:val="clear" w:color="FFFFFF" w:fill="FFFFFF"/>
            <w:noWrap/>
            <w:vAlign w:val="bottom"/>
            <w:hideMark/>
          </w:tcPr>
          <w:p w:rsidR="005C6C27" w:rsidRPr="00EC1924" w:rsidRDefault="005C6C27" w:rsidP="00E73EF4">
            <w:pPr>
              <w:spacing w:line="240" w:lineRule="auto"/>
              <w:jc w:val="center"/>
              <w:rPr>
                <w:rFonts w:cs="Arial"/>
                <w:sz w:val="16"/>
                <w:szCs w:val="16"/>
              </w:rPr>
            </w:pPr>
            <w:r w:rsidRPr="00EC1924">
              <w:rPr>
                <w:rFonts w:cs="Arial"/>
                <w:sz w:val="16"/>
                <w:szCs w:val="16"/>
              </w:rPr>
              <w:t>0,18</w:t>
            </w:r>
          </w:p>
        </w:tc>
      </w:tr>
      <w:tr w:rsidR="005C6C27" w:rsidRPr="00EC1924" w:rsidTr="00E73EF4">
        <w:trPr>
          <w:trHeight w:val="240"/>
        </w:trPr>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Žďár nad Sázavou</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0,23</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Vsetín</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0,21</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Brno-venkov</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0,21</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Chrudim</w:t>
            </w:r>
          </w:p>
        </w:tc>
        <w:tc>
          <w:tcPr>
            <w:tcW w:w="1200" w:type="dxa"/>
            <w:vMerge w:val="restart"/>
            <w:tcBorders>
              <w:top w:val="nil"/>
              <w:left w:val="single" w:sz="4" w:space="0" w:color="auto"/>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0,20</w:t>
            </w:r>
          </w:p>
        </w:tc>
      </w:tr>
      <w:tr w:rsidR="005C6C27" w:rsidRPr="00EC1924" w:rsidTr="00E73EF4">
        <w:trPr>
          <w:trHeight w:val="240"/>
        </w:trPr>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nil"/>
            </w:tcBorders>
            <w:vAlign w:val="center"/>
            <w:hideMark/>
          </w:tcPr>
          <w:p w:rsidR="005C6C27" w:rsidRPr="00EC1924" w:rsidRDefault="005C6C27" w:rsidP="00E73EF4">
            <w:pPr>
              <w:spacing w:line="240" w:lineRule="auto"/>
              <w:rPr>
                <w:rFonts w:cs="Arial"/>
                <w:sz w:val="16"/>
                <w:szCs w:val="16"/>
              </w:rPr>
            </w:pPr>
          </w:p>
        </w:tc>
      </w:tr>
      <w:tr w:rsidR="005C6C27" w:rsidRPr="00EC1924" w:rsidTr="00E73EF4">
        <w:trPr>
          <w:trHeight w:val="240"/>
        </w:trPr>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Uherské Hradiště</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0,24</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Brno-venkov</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0,22</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Třebíč</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0,21</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Žďár nad Sázavou</w:t>
            </w:r>
          </w:p>
        </w:tc>
        <w:tc>
          <w:tcPr>
            <w:tcW w:w="1200" w:type="dxa"/>
            <w:vMerge w:val="restart"/>
            <w:tcBorders>
              <w:top w:val="nil"/>
              <w:left w:val="single" w:sz="4" w:space="0" w:color="auto"/>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0,21</w:t>
            </w:r>
          </w:p>
        </w:tc>
      </w:tr>
      <w:tr w:rsidR="005C6C27" w:rsidRPr="00EC1924" w:rsidTr="00E73EF4">
        <w:trPr>
          <w:trHeight w:val="240"/>
        </w:trPr>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nil"/>
            </w:tcBorders>
            <w:vAlign w:val="center"/>
            <w:hideMark/>
          </w:tcPr>
          <w:p w:rsidR="005C6C27" w:rsidRPr="00EC1924" w:rsidRDefault="005C6C27" w:rsidP="00E73EF4">
            <w:pPr>
              <w:spacing w:line="240" w:lineRule="auto"/>
              <w:rPr>
                <w:rFonts w:cs="Arial"/>
                <w:sz w:val="16"/>
                <w:szCs w:val="16"/>
              </w:rPr>
            </w:pPr>
          </w:p>
        </w:tc>
      </w:tr>
      <w:tr w:rsidR="005C6C27" w:rsidRPr="00EC1924" w:rsidTr="00E73EF4">
        <w:trPr>
          <w:trHeight w:val="240"/>
        </w:trPr>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Brno-venkov</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0,25</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Chrudim</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0,23</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Uherské Hradiště</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0,22</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Třebíč</w:t>
            </w:r>
          </w:p>
        </w:tc>
        <w:tc>
          <w:tcPr>
            <w:tcW w:w="1200" w:type="dxa"/>
            <w:vMerge w:val="restart"/>
            <w:tcBorders>
              <w:top w:val="nil"/>
              <w:left w:val="single" w:sz="4" w:space="0" w:color="auto"/>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0,21</w:t>
            </w:r>
          </w:p>
        </w:tc>
      </w:tr>
      <w:tr w:rsidR="005C6C27" w:rsidRPr="00EC1924" w:rsidTr="00E73EF4">
        <w:trPr>
          <w:trHeight w:val="240"/>
        </w:trPr>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nil"/>
            </w:tcBorders>
            <w:vAlign w:val="center"/>
            <w:hideMark/>
          </w:tcPr>
          <w:p w:rsidR="005C6C27" w:rsidRPr="00EC1924" w:rsidRDefault="005C6C27" w:rsidP="00E73EF4">
            <w:pPr>
              <w:spacing w:line="240" w:lineRule="auto"/>
              <w:rPr>
                <w:rFonts w:cs="Arial"/>
                <w:sz w:val="16"/>
                <w:szCs w:val="16"/>
              </w:rPr>
            </w:pPr>
          </w:p>
        </w:tc>
      </w:tr>
      <w:tr w:rsidR="005C6C27" w:rsidRPr="00EC1924" w:rsidTr="00E73EF4">
        <w:trPr>
          <w:trHeight w:val="240"/>
        </w:trPr>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proofErr w:type="spellStart"/>
            <w:r w:rsidRPr="00EC1924">
              <w:rPr>
                <w:rFonts w:cs="Arial"/>
                <w:sz w:val="16"/>
                <w:szCs w:val="16"/>
              </w:rPr>
              <w:t>Frýdek</w:t>
            </w:r>
            <w:proofErr w:type="spellEnd"/>
            <w:r w:rsidRPr="00EC1924">
              <w:rPr>
                <w:rFonts w:cs="Arial"/>
                <w:sz w:val="16"/>
                <w:szCs w:val="16"/>
              </w:rPr>
              <w:t>-Místek</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0,26</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Žďár nad Sázavou</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0,23</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Žďár nad Sázavou</w:t>
            </w:r>
          </w:p>
        </w:tc>
        <w:tc>
          <w:tcPr>
            <w:tcW w:w="1200" w:type="dxa"/>
            <w:vMerge w:val="restart"/>
            <w:tcBorders>
              <w:top w:val="nil"/>
              <w:left w:val="single" w:sz="4" w:space="0" w:color="auto"/>
              <w:bottom w:val="nil"/>
              <w:right w:val="single" w:sz="4" w:space="0" w:color="auto"/>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0,22</w:t>
            </w:r>
          </w:p>
        </w:tc>
        <w:tc>
          <w:tcPr>
            <w:tcW w:w="1200" w:type="dxa"/>
            <w:vMerge w:val="restart"/>
            <w:tcBorders>
              <w:top w:val="nil"/>
              <w:left w:val="nil"/>
              <w:bottom w:val="nil"/>
              <w:right w:val="single" w:sz="4" w:space="0" w:color="auto"/>
            </w:tcBorders>
            <w:shd w:val="clear" w:color="FFFFFF" w:fill="FFFFFF"/>
            <w:vAlign w:val="center"/>
            <w:hideMark/>
          </w:tcPr>
          <w:p w:rsidR="005C6C27" w:rsidRPr="00EC1924" w:rsidRDefault="005C6C27" w:rsidP="00E73EF4">
            <w:pPr>
              <w:spacing w:line="240" w:lineRule="auto"/>
              <w:rPr>
                <w:rFonts w:cs="Arial"/>
                <w:sz w:val="16"/>
                <w:szCs w:val="16"/>
              </w:rPr>
            </w:pPr>
            <w:r w:rsidRPr="00EC1924">
              <w:rPr>
                <w:rFonts w:cs="Arial"/>
                <w:sz w:val="16"/>
                <w:szCs w:val="16"/>
              </w:rPr>
              <w:t>Havlíčkův Brod</w:t>
            </w:r>
          </w:p>
        </w:tc>
        <w:tc>
          <w:tcPr>
            <w:tcW w:w="1200" w:type="dxa"/>
            <w:vMerge w:val="restart"/>
            <w:tcBorders>
              <w:top w:val="nil"/>
              <w:left w:val="single" w:sz="4" w:space="0" w:color="auto"/>
              <w:bottom w:val="nil"/>
              <w:right w:val="nil"/>
            </w:tcBorders>
            <w:shd w:val="clear" w:color="FFFFFF" w:fill="FFFFFF"/>
            <w:noWrap/>
            <w:vAlign w:val="center"/>
            <w:hideMark/>
          </w:tcPr>
          <w:p w:rsidR="005C6C27" w:rsidRPr="00EC1924" w:rsidRDefault="005C6C27" w:rsidP="00E73EF4">
            <w:pPr>
              <w:spacing w:line="240" w:lineRule="auto"/>
              <w:jc w:val="center"/>
              <w:rPr>
                <w:rFonts w:cs="Arial"/>
                <w:sz w:val="16"/>
                <w:szCs w:val="16"/>
              </w:rPr>
            </w:pPr>
            <w:r w:rsidRPr="00EC1924">
              <w:rPr>
                <w:rFonts w:cs="Arial"/>
                <w:sz w:val="16"/>
                <w:szCs w:val="16"/>
              </w:rPr>
              <w:t>0,22</w:t>
            </w:r>
          </w:p>
        </w:tc>
      </w:tr>
      <w:tr w:rsidR="005C6C27" w:rsidRPr="00EC1924" w:rsidTr="00E73EF4">
        <w:trPr>
          <w:trHeight w:val="240"/>
        </w:trPr>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nil"/>
              <w:bottom w:val="nil"/>
              <w:right w:val="single" w:sz="4" w:space="0" w:color="auto"/>
            </w:tcBorders>
            <w:vAlign w:val="center"/>
            <w:hideMark/>
          </w:tcPr>
          <w:p w:rsidR="005C6C27" w:rsidRPr="00EC1924" w:rsidRDefault="005C6C27" w:rsidP="00E73EF4">
            <w:pPr>
              <w:spacing w:line="240" w:lineRule="auto"/>
              <w:rPr>
                <w:rFonts w:cs="Arial"/>
                <w:sz w:val="16"/>
                <w:szCs w:val="16"/>
              </w:rPr>
            </w:pPr>
          </w:p>
        </w:tc>
        <w:tc>
          <w:tcPr>
            <w:tcW w:w="1200" w:type="dxa"/>
            <w:vMerge/>
            <w:tcBorders>
              <w:top w:val="nil"/>
              <w:left w:val="single" w:sz="4" w:space="0" w:color="auto"/>
              <w:bottom w:val="nil"/>
              <w:right w:val="nil"/>
            </w:tcBorders>
            <w:vAlign w:val="center"/>
            <w:hideMark/>
          </w:tcPr>
          <w:p w:rsidR="005C6C27" w:rsidRPr="00EC1924" w:rsidRDefault="005C6C27" w:rsidP="00E73EF4">
            <w:pPr>
              <w:spacing w:line="240" w:lineRule="auto"/>
              <w:rPr>
                <w:rFonts w:cs="Arial"/>
                <w:sz w:val="16"/>
                <w:szCs w:val="16"/>
              </w:rPr>
            </w:pPr>
          </w:p>
        </w:tc>
      </w:tr>
    </w:tbl>
    <w:p w:rsidR="005C6C27" w:rsidRDefault="005C6C27" w:rsidP="005C6C27">
      <w:pPr>
        <w:spacing w:before="60" w:after="60"/>
        <w:rPr>
          <w:rStyle w:val="Siln"/>
          <w:b w:val="0"/>
          <w:i/>
          <w:sz w:val="16"/>
          <w:szCs w:val="16"/>
        </w:rPr>
      </w:pPr>
      <w:r>
        <w:rPr>
          <w:rStyle w:val="Siln"/>
          <w:b w:val="0"/>
          <w:i/>
          <w:sz w:val="16"/>
          <w:szCs w:val="16"/>
        </w:rPr>
        <w:t>1</w:t>
      </w:r>
      <w:r w:rsidRPr="002B31EC">
        <w:rPr>
          <w:rStyle w:val="Siln"/>
          <w:b w:val="0"/>
          <w:i/>
          <w:sz w:val="16"/>
          <w:szCs w:val="16"/>
        </w:rPr>
        <w:t>)</w:t>
      </w:r>
      <w:r>
        <w:rPr>
          <w:rStyle w:val="Siln"/>
          <w:b w:val="0"/>
          <w:i/>
          <w:sz w:val="16"/>
          <w:szCs w:val="16"/>
        </w:rPr>
        <w:t xml:space="preserve"> Hodnota úhrnné indukované potratovosti byla vypočítána za tříletá období.</w:t>
      </w:r>
    </w:p>
    <w:p w:rsidR="005C6C27" w:rsidRPr="00C44F48" w:rsidRDefault="005C6C27" w:rsidP="005C6C27">
      <w:pPr>
        <w:jc w:val="both"/>
      </w:pPr>
    </w:p>
    <w:p w:rsidR="005C6C27" w:rsidRPr="00C70D55" w:rsidRDefault="005C6C27" w:rsidP="005C6C27">
      <w:pPr>
        <w:spacing w:after="60"/>
        <w:jc w:val="both"/>
        <w:rPr>
          <w:bCs/>
        </w:rPr>
      </w:pPr>
      <w:r w:rsidRPr="00C70D55">
        <w:rPr>
          <w:bCs/>
        </w:rPr>
        <w:t xml:space="preserve">Hodnoty úhrnné indukované potratovosti pro všechny okresy a kartogramy vizuálně znázorňující vývoj územního obrazu tohoto ukazatele na úrovni </w:t>
      </w:r>
      <w:r>
        <w:rPr>
          <w:bCs/>
        </w:rPr>
        <w:t xml:space="preserve">okresů </w:t>
      </w:r>
      <w:r w:rsidRPr="00C70D55">
        <w:rPr>
          <w:bCs/>
        </w:rPr>
        <w:t>jsou součástí přílohové části publikace.</w:t>
      </w:r>
    </w:p>
    <w:p w:rsidR="005C6C27" w:rsidRDefault="005C6C27" w:rsidP="005C6C27">
      <w:pPr>
        <w:jc w:val="both"/>
        <w:rPr>
          <w:bCs/>
        </w:rPr>
      </w:pPr>
    </w:p>
    <w:p w:rsidR="005C6C27" w:rsidRPr="002B31EC" w:rsidRDefault="005C6C27" w:rsidP="005C6C27">
      <w:pPr>
        <w:spacing w:after="60"/>
        <w:rPr>
          <w:rStyle w:val="Siln"/>
          <w:b w:val="0"/>
          <w:sz w:val="16"/>
          <w:szCs w:val="16"/>
          <w:vertAlign w:val="superscript"/>
        </w:rPr>
      </w:pPr>
      <w:r>
        <w:rPr>
          <w:rStyle w:val="Siln"/>
        </w:rPr>
        <w:t xml:space="preserve">Graf 9 </w:t>
      </w:r>
      <w:r w:rsidRPr="006F2803">
        <w:rPr>
          <w:rStyle w:val="Siln"/>
        </w:rPr>
        <w:t>Průměrný věk ženy při indukovaném potratu v období 2012–2014</w:t>
      </w:r>
      <w:r w:rsidRPr="002B31EC">
        <w:rPr>
          <w:rStyle w:val="Siln"/>
          <w:b w:val="0"/>
          <w:sz w:val="16"/>
          <w:szCs w:val="16"/>
          <w:vertAlign w:val="superscript"/>
        </w:rPr>
        <w:t>1)</w:t>
      </w:r>
    </w:p>
    <w:p w:rsidR="005C6C27" w:rsidRPr="00C44F48" w:rsidRDefault="005C7F68" w:rsidP="005C6C27">
      <w:pPr>
        <w:jc w:val="both"/>
        <w:rPr>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56.5pt">
            <v:imagedata r:id="rId8" o:title=""/>
          </v:shape>
        </w:pict>
      </w:r>
    </w:p>
    <w:p w:rsidR="005C6C27" w:rsidRDefault="005C6C27" w:rsidP="005C6C27">
      <w:pPr>
        <w:spacing w:before="60" w:after="60"/>
        <w:rPr>
          <w:rStyle w:val="Siln"/>
          <w:b w:val="0"/>
          <w:i/>
          <w:sz w:val="16"/>
          <w:szCs w:val="16"/>
        </w:rPr>
      </w:pPr>
      <w:r>
        <w:rPr>
          <w:rStyle w:val="Siln"/>
          <w:b w:val="0"/>
          <w:i/>
          <w:sz w:val="16"/>
          <w:szCs w:val="16"/>
        </w:rPr>
        <w:t>1</w:t>
      </w:r>
      <w:r w:rsidRPr="002B31EC">
        <w:rPr>
          <w:rStyle w:val="Siln"/>
          <w:b w:val="0"/>
          <w:i/>
          <w:sz w:val="16"/>
          <w:szCs w:val="16"/>
        </w:rPr>
        <w:t>)</w:t>
      </w:r>
      <w:r>
        <w:rPr>
          <w:rStyle w:val="Siln"/>
          <w:b w:val="0"/>
          <w:i/>
          <w:sz w:val="16"/>
          <w:szCs w:val="16"/>
        </w:rPr>
        <w:t xml:space="preserve"> Hodnota průměrného věku ženy při indukovaném potratu byla vypočítána za tříleté období z měr indukované potratovosti podle věku.</w:t>
      </w:r>
    </w:p>
    <w:p w:rsidR="005C6C27" w:rsidRPr="00657681" w:rsidRDefault="005C6C27" w:rsidP="005C6C27">
      <w:pPr>
        <w:jc w:val="both"/>
        <w:rPr>
          <w:bCs/>
        </w:rPr>
      </w:pPr>
    </w:p>
    <w:p w:rsidR="005C6C27" w:rsidRPr="00C44F48" w:rsidRDefault="005C6C27" w:rsidP="005C6C27">
      <w:pPr>
        <w:spacing w:after="60"/>
        <w:jc w:val="both"/>
      </w:pPr>
      <w:r>
        <w:lastRenderedPageBreak/>
        <w:t xml:space="preserve">Průměrný věk ženy při indukovaném potratu se v letech 2003–2014 výrazně nezměnil nejen na celorepublikové, ale ani na krajské úrovni. Mezi kraji navíc neexistovaly tak výrazné rozdíly jako v případě úhrnné indukované potratovosti. V období 2012–2014 byla nejvyšší hodnota tohoto ukazatele ve Zlínském kraji (30,6 let), </w:t>
      </w:r>
      <w:r w:rsidRPr="009E563A">
        <w:t>Kraji Vysočina</w:t>
      </w:r>
      <w:r>
        <w:t xml:space="preserve"> (30,5 roku), Jihomoravském (30,0 roku) a Pardubickém kraji (30,0 let). Naopak nejnižší průměrný věk ženy při indukovaném potratu byl zaznamenán v Karlovarském (28,9 let), Ústeckém (29,0 let) a Libereckém kraji (29,2 let). Vyšší hodnoty průměrného věku se tak nacházely v krajích se spíše nižší hodnotou úhrnné indukované potratovosti a naopak. </w:t>
      </w:r>
    </w:p>
    <w:bookmarkEnd w:id="0"/>
    <w:bookmarkEnd w:id="1"/>
    <w:bookmarkEnd w:id="2"/>
    <w:bookmarkEnd w:id="3"/>
    <w:bookmarkEnd w:id="4"/>
    <w:bookmarkEnd w:id="5"/>
    <w:bookmarkEnd w:id="6"/>
    <w:bookmarkEnd w:id="7"/>
    <w:p w:rsidR="005C6C27" w:rsidRDefault="005C6C27" w:rsidP="005C6C27">
      <w:pPr>
        <w:spacing w:after="60"/>
        <w:rPr>
          <w:rStyle w:val="Siln"/>
          <w:b w:val="0"/>
          <w:i/>
          <w:sz w:val="16"/>
          <w:szCs w:val="16"/>
        </w:rPr>
      </w:pPr>
    </w:p>
    <w:sectPr w:rsidR="005C6C27" w:rsidSect="00166881">
      <w:headerReference w:type="even" r:id="rId9"/>
      <w:headerReference w:type="default" r:id="rId10"/>
      <w:footerReference w:type="even" r:id="rId11"/>
      <w:footerReference w:type="default" r:id="rId12"/>
      <w:pgSz w:w="11906" w:h="16838" w:code="9"/>
      <w:pgMar w:top="1134" w:right="1134" w:bottom="1418" w:left="1134" w:header="680" w:footer="680"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A7" w:rsidRDefault="00F520A7" w:rsidP="00E71A58">
      <w:r>
        <w:separator/>
      </w:r>
    </w:p>
  </w:endnote>
  <w:endnote w:type="continuationSeparator" w:id="0">
    <w:p w:rsidR="00F520A7" w:rsidRDefault="00F520A7" w:rsidP="00E71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Default="00F4143B" w:rsidP="003A6B38">
    <w:pPr>
      <w:pStyle w:val="Zpat"/>
      <w:tabs>
        <w:tab w:val="clear" w:pos="4536"/>
        <w:tab w:val="clear" w:pos="9072"/>
        <w:tab w:val="center" w:pos="4820"/>
        <w:tab w:val="right" w:pos="9639"/>
      </w:tabs>
    </w:pPr>
    <w:r w:rsidRPr="00F4143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r w:rsidRPr="005A21E0">
      <w:rPr>
        <w:rFonts w:ascii="Arial" w:hAnsi="Arial" w:cs="Arial"/>
        <w:sz w:val="16"/>
        <w:szCs w:val="16"/>
      </w:rPr>
      <w:fldChar w:fldCharType="begin"/>
    </w:r>
    <w:r w:rsidR="008338AC" w:rsidRPr="005A21E0">
      <w:rPr>
        <w:rFonts w:ascii="Arial" w:hAnsi="Arial" w:cs="Arial"/>
        <w:sz w:val="16"/>
        <w:szCs w:val="16"/>
      </w:rPr>
      <w:instrText>PAGE   \* MERGEFORMAT</w:instrText>
    </w:r>
    <w:r w:rsidRPr="005A21E0">
      <w:rPr>
        <w:rFonts w:ascii="Arial" w:hAnsi="Arial" w:cs="Arial"/>
        <w:sz w:val="16"/>
        <w:szCs w:val="16"/>
      </w:rPr>
      <w:fldChar w:fldCharType="separate"/>
    </w:r>
    <w:r w:rsidR="00166881">
      <w:rPr>
        <w:rFonts w:ascii="Arial" w:hAnsi="Arial" w:cs="Arial"/>
        <w:noProof/>
        <w:sz w:val="16"/>
        <w:szCs w:val="16"/>
      </w:rPr>
      <w:t>18</w:t>
    </w:r>
    <w:r w:rsidRPr="005A21E0">
      <w:rPr>
        <w:rFonts w:ascii="Arial" w:hAnsi="Arial" w:cs="Arial"/>
        <w:sz w:val="16"/>
        <w:szCs w:val="16"/>
      </w:rPr>
      <w:fldChar w:fldCharType="end"/>
    </w:r>
    <w:r w:rsidR="008338AC">
      <w:rPr>
        <w:rFonts w:ascii="Arial" w:hAnsi="Arial" w:cs="Arial"/>
        <w:sz w:val="16"/>
        <w:szCs w:val="16"/>
      </w:rPr>
      <w:tab/>
      <w:t>2003 - 2014</w:t>
    </w:r>
    <w:r w:rsidR="008338AC">
      <w:tab/>
    </w:r>
    <w:r w:rsidR="008338A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Default="00F4143B" w:rsidP="003A6B38">
    <w:pPr>
      <w:pStyle w:val="Zpat"/>
      <w:tabs>
        <w:tab w:val="clear" w:pos="4536"/>
        <w:tab w:val="clear" w:pos="9072"/>
        <w:tab w:val="left" w:pos="1134"/>
        <w:tab w:val="left" w:pos="1920"/>
        <w:tab w:val="center" w:pos="4820"/>
        <w:tab w:val="right" w:pos="9639"/>
      </w:tabs>
    </w:pPr>
    <w:r w:rsidRPr="00F4143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8338AC">
      <w:tab/>
    </w:r>
    <w:r w:rsidR="008338AC">
      <w:tab/>
    </w:r>
    <w:r w:rsidR="008338AC" w:rsidRPr="00DC5B3B">
      <w:t xml:space="preserve">                              </w:t>
    </w:r>
  </w:p>
  <w:p w:rsidR="008338AC" w:rsidRDefault="008338A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2003 - 2014</w:t>
    </w:r>
    <w:r>
      <w:tab/>
    </w:r>
    <w:r>
      <w:tab/>
    </w:r>
    <w:r w:rsidR="00F4143B" w:rsidRPr="00B6608F">
      <w:rPr>
        <w:rFonts w:ascii="Arial" w:hAnsi="Arial" w:cs="Arial"/>
        <w:sz w:val="16"/>
        <w:szCs w:val="16"/>
      </w:rPr>
      <w:fldChar w:fldCharType="begin"/>
    </w:r>
    <w:r w:rsidRPr="00B6608F">
      <w:rPr>
        <w:rFonts w:ascii="Arial" w:hAnsi="Arial" w:cs="Arial"/>
        <w:sz w:val="16"/>
        <w:szCs w:val="16"/>
      </w:rPr>
      <w:instrText>PAGE   \* MERGEFORMAT</w:instrText>
    </w:r>
    <w:r w:rsidR="00F4143B" w:rsidRPr="00B6608F">
      <w:rPr>
        <w:rFonts w:ascii="Arial" w:hAnsi="Arial" w:cs="Arial"/>
        <w:sz w:val="16"/>
        <w:szCs w:val="16"/>
      </w:rPr>
      <w:fldChar w:fldCharType="separate"/>
    </w:r>
    <w:r w:rsidR="00166881">
      <w:rPr>
        <w:rFonts w:ascii="Arial" w:hAnsi="Arial" w:cs="Arial"/>
        <w:noProof/>
        <w:sz w:val="16"/>
        <w:szCs w:val="16"/>
      </w:rPr>
      <w:t>19</w:t>
    </w:r>
    <w:r w:rsidR="00F4143B"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A7" w:rsidRDefault="00F520A7" w:rsidP="00E71A58">
      <w:r>
        <w:separator/>
      </w:r>
    </w:p>
  </w:footnote>
  <w:footnote w:type="continuationSeparator" w:id="0">
    <w:p w:rsidR="00F520A7" w:rsidRDefault="00F520A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Pr="00274C52" w:rsidRDefault="008338AC" w:rsidP="00274C5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potratovosti v České republice 2003 - 2014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AC" w:rsidRPr="00DC5B3B" w:rsidRDefault="008338AC"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potratovosti v České republice 2003 - 2014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8194">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3560"/>
    <w:rsid w:val="0000767A"/>
    <w:rsid w:val="00010702"/>
    <w:rsid w:val="00012FC8"/>
    <w:rsid w:val="00017772"/>
    <w:rsid w:val="000201C7"/>
    <w:rsid w:val="00034244"/>
    <w:rsid w:val="00036285"/>
    <w:rsid w:val="0004352A"/>
    <w:rsid w:val="0004411B"/>
    <w:rsid w:val="0004694F"/>
    <w:rsid w:val="0005216C"/>
    <w:rsid w:val="000521A2"/>
    <w:rsid w:val="00054EE5"/>
    <w:rsid w:val="00062EC5"/>
    <w:rsid w:val="00064A6E"/>
    <w:rsid w:val="00065E26"/>
    <w:rsid w:val="0007196B"/>
    <w:rsid w:val="0007321F"/>
    <w:rsid w:val="00076502"/>
    <w:rsid w:val="00077995"/>
    <w:rsid w:val="000806A9"/>
    <w:rsid w:val="00087634"/>
    <w:rsid w:val="00087715"/>
    <w:rsid w:val="0009023E"/>
    <w:rsid w:val="000A1183"/>
    <w:rsid w:val="000A2408"/>
    <w:rsid w:val="000A3F77"/>
    <w:rsid w:val="000A7662"/>
    <w:rsid w:val="000B053B"/>
    <w:rsid w:val="000C2C9A"/>
    <w:rsid w:val="000C310C"/>
    <w:rsid w:val="000C3408"/>
    <w:rsid w:val="000C43DD"/>
    <w:rsid w:val="000C5D85"/>
    <w:rsid w:val="000D21E1"/>
    <w:rsid w:val="000D68B0"/>
    <w:rsid w:val="000F7F9F"/>
    <w:rsid w:val="001019DD"/>
    <w:rsid w:val="00103C72"/>
    <w:rsid w:val="00104C56"/>
    <w:rsid w:val="00105A44"/>
    <w:rsid w:val="0010609D"/>
    <w:rsid w:val="001134D8"/>
    <w:rsid w:val="001142C0"/>
    <w:rsid w:val="00122EB1"/>
    <w:rsid w:val="00123F17"/>
    <w:rsid w:val="001405FA"/>
    <w:rsid w:val="00140CDB"/>
    <w:rsid w:val="001425C3"/>
    <w:rsid w:val="0014699C"/>
    <w:rsid w:val="00147AF4"/>
    <w:rsid w:val="00154804"/>
    <w:rsid w:val="00157A9A"/>
    <w:rsid w:val="00163793"/>
    <w:rsid w:val="00164656"/>
    <w:rsid w:val="00166881"/>
    <w:rsid w:val="00170A75"/>
    <w:rsid w:val="001714F2"/>
    <w:rsid w:val="00172C9E"/>
    <w:rsid w:val="001806E5"/>
    <w:rsid w:val="00184F85"/>
    <w:rsid w:val="00185010"/>
    <w:rsid w:val="00192398"/>
    <w:rsid w:val="0019266C"/>
    <w:rsid w:val="00193560"/>
    <w:rsid w:val="00194A4D"/>
    <w:rsid w:val="001A1EEC"/>
    <w:rsid w:val="001A552F"/>
    <w:rsid w:val="001A6F8E"/>
    <w:rsid w:val="001B18F3"/>
    <w:rsid w:val="001B3110"/>
    <w:rsid w:val="001B44D9"/>
    <w:rsid w:val="001C2FEE"/>
    <w:rsid w:val="001C3F3F"/>
    <w:rsid w:val="001C4C5E"/>
    <w:rsid w:val="001D2B72"/>
    <w:rsid w:val="001D40B8"/>
    <w:rsid w:val="001D434C"/>
    <w:rsid w:val="001F01BA"/>
    <w:rsid w:val="001F1896"/>
    <w:rsid w:val="001F2FE0"/>
    <w:rsid w:val="001F375B"/>
    <w:rsid w:val="001F4597"/>
    <w:rsid w:val="001F511B"/>
    <w:rsid w:val="00200781"/>
    <w:rsid w:val="002029A2"/>
    <w:rsid w:val="00204CF0"/>
    <w:rsid w:val="00206968"/>
    <w:rsid w:val="00210AA5"/>
    <w:rsid w:val="00212167"/>
    <w:rsid w:val="00212BF7"/>
    <w:rsid w:val="00215DF1"/>
    <w:rsid w:val="00217A09"/>
    <w:rsid w:val="0022082C"/>
    <w:rsid w:val="0022139E"/>
    <w:rsid w:val="002252E0"/>
    <w:rsid w:val="002255F6"/>
    <w:rsid w:val="00236443"/>
    <w:rsid w:val="002436BA"/>
    <w:rsid w:val="00244A15"/>
    <w:rsid w:val="0024799E"/>
    <w:rsid w:val="002503C2"/>
    <w:rsid w:val="00252CA7"/>
    <w:rsid w:val="00260890"/>
    <w:rsid w:val="00264437"/>
    <w:rsid w:val="00264C1E"/>
    <w:rsid w:val="00274C52"/>
    <w:rsid w:val="00296D2C"/>
    <w:rsid w:val="00297DC1"/>
    <w:rsid w:val="002A185B"/>
    <w:rsid w:val="002A783F"/>
    <w:rsid w:val="002A7DC7"/>
    <w:rsid w:val="002B0FEE"/>
    <w:rsid w:val="002B31EC"/>
    <w:rsid w:val="002B4710"/>
    <w:rsid w:val="002B506E"/>
    <w:rsid w:val="002C43BD"/>
    <w:rsid w:val="002C7008"/>
    <w:rsid w:val="002D3CD5"/>
    <w:rsid w:val="002E02A1"/>
    <w:rsid w:val="002E114F"/>
    <w:rsid w:val="002E1B28"/>
    <w:rsid w:val="002E2E25"/>
    <w:rsid w:val="002E5906"/>
    <w:rsid w:val="002F2EF8"/>
    <w:rsid w:val="002F3A5D"/>
    <w:rsid w:val="0030026E"/>
    <w:rsid w:val="00304771"/>
    <w:rsid w:val="00306C5B"/>
    <w:rsid w:val="00311FE4"/>
    <w:rsid w:val="003209D6"/>
    <w:rsid w:val="003218AA"/>
    <w:rsid w:val="003240B7"/>
    <w:rsid w:val="00326E0A"/>
    <w:rsid w:val="00332124"/>
    <w:rsid w:val="003379B0"/>
    <w:rsid w:val="00361D8F"/>
    <w:rsid w:val="003657F3"/>
    <w:rsid w:val="00371ACE"/>
    <w:rsid w:val="0037516B"/>
    <w:rsid w:val="003755D9"/>
    <w:rsid w:val="00375620"/>
    <w:rsid w:val="00375CAA"/>
    <w:rsid w:val="00376E97"/>
    <w:rsid w:val="00381095"/>
    <w:rsid w:val="00385358"/>
    <w:rsid w:val="00385D98"/>
    <w:rsid w:val="003A2B4D"/>
    <w:rsid w:val="003A478C"/>
    <w:rsid w:val="003A5525"/>
    <w:rsid w:val="003A6B38"/>
    <w:rsid w:val="003B52BF"/>
    <w:rsid w:val="003B572A"/>
    <w:rsid w:val="003B5A32"/>
    <w:rsid w:val="003B6464"/>
    <w:rsid w:val="003C18AA"/>
    <w:rsid w:val="003C3D67"/>
    <w:rsid w:val="003C6CC2"/>
    <w:rsid w:val="003D7A50"/>
    <w:rsid w:val="003E0A11"/>
    <w:rsid w:val="003E197C"/>
    <w:rsid w:val="003E5477"/>
    <w:rsid w:val="003E5CB3"/>
    <w:rsid w:val="003F313C"/>
    <w:rsid w:val="003F34E0"/>
    <w:rsid w:val="003F69F1"/>
    <w:rsid w:val="004004F4"/>
    <w:rsid w:val="0040649E"/>
    <w:rsid w:val="0040650A"/>
    <w:rsid w:val="00411D86"/>
    <w:rsid w:val="00415DA1"/>
    <w:rsid w:val="004170E6"/>
    <w:rsid w:val="004355AF"/>
    <w:rsid w:val="0043661A"/>
    <w:rsid w:val="00436FFB"/>
    <w:rsid w:val="00445A62"/>
    <w:rsid w:val="0044703E"/>
    <w:rsid w:val="00460DDC"/>
    <w:rsid w:val="004667A9"/>
    <w:rsid w:val="00467479"/>
    <w:rsid w:val="00476265"/>
    <w:rsid w:val="0048086F"/>
    <w:rsid w:val="0048139F"/>
    <w:rsid w:val="0048153A"/>
    <w:rsid w:val="0048205E"/>
    <w:rsid w:val="00483998"/>
    <w:rsid w:val="004860D8"/>
    <w:rsid w:val="004913E7"/>
    <w:rsid w:val="0049170D"/>
    <w:rsid w:val="00495423"/>
    <w:rsid w:val="004A1370"/>
    <w:rsid w:val="004A77DF"/>
    <w:rsid w:val="004B520D"/>
    <w:rsid w:val="004B55B7"/>
    <w:rsid w:val="004B5666"/>
    <w:rsid w:val="004B6341"/>
    <w:rsid w:val="004B636E"/>
    <w:rsid w:val="004B6F16"/>
    <w:rsid w:val="004C108A"/>
    <w:rsid w:val="004C1616"/>
    <w:rsid w:val="004C3867"/>
    <w:rsid w:val="004C4CD0"/>
    <w:rsid w:val="004C70DC"/>
    <w:rsid w:val="004D0211"/>
    <w:rsid w:val="004D1956"/>
    <w:rsid w:val="004F06F5"/>
    <w:rsid w:val="004F31C9"/>
    <w:rsid w:val="00502AE2"/>
    <w:rsid w:val="00506651"/>
    <w:rsid w:val="005108C0"/>
    <w:rsid w:val="00511873"/>
    <w:rsid w:val="00513B7E"/>
    <w:rsid w:val="005241A9"/>
    <w:rsid w:val="00525137"/>
    <w:rsid w:val="005251DD"/>
    <w:rsid w:val="005327C8"/>
    <w:rsid w:val="0054005D"/>
    <w:rsid w:val="00542888"/>
    <w:rsid w:val="0054533E"/>
    <w:rsid w:val="00573280"/>
    <w:rsid w:val="00576AA9"/>
    <w:rsid w:val="00580978"/>
    <w:rsid w:val="00583FFD"/>
    <w:rsid w:val="00590BA0"/>
    <w:rsid w:val="00593152"/>
    <w:rsid w:val="005A21E0"/>
    <w:rsid w:val="005A3E79"/>
    <w:rsid w:val="005B2806"/>
    <w:rsid w:val="005B4B1A"/>
    <w:rsid w:val="005C666D"/>
    <w:rsid w:val="005C6C27"/>
    <w:rsid w:val="005C7F68"/>
    <w:rsid w:val="005D03FE"/>
    <w:rsid w:val="005D2852"/>
    <w:rsid w:val="005D5802"/>
    <w:rsid w:val="005E0178"/>
    <w:rsid w:val="005E06FB"/>
    <w:rsid w:val="005F4D2C"/>
    <w:rsid w:val="005F5483"/>
    <w:rsid w:val="00604307"/>
    <w:rsid w:val="0060487F"/>
    <w:rsid w:val="00613571"/>
    <w:rsid w:val="006137B9"/>
    <w:rsid w:val="00616584"/>
    <w:rsid w:val="00616B1B"/>
    <w:rsid w:val="00624093"/>
    <w:rsid w:val="00632F05"/>
    <w:rsid w:val="006404A7"/>
    <w:rsid w:val="00642BDB"/>
    <w:rsid w:val="006451E4"/>
    <w:rsid w:val="00657681"/>
    <w:rsid w:val="00657E87"/>
    <w:rsid w:val="00660EB1"/>
    <w:rsid w:val="00662D0E"/>
    <w:rsid w:val="006674CA"/>
    <w:rsid w:val="006707D9"/>
    <w:rsid w:val="006710C9"/>
    <w:rsid w:val="00674B68"/>
    <w:rsid w:val="00675E37"/>
    <w:rsid w:val="0068212B"/>
    <w:rsid w:val="0068260E"/>
    <w:rsid w:val="006828BF"/>
    <w:rsid w:val="00690F98"/>
    <w:rsid w:val="00691D13"/>
    <w:rsid w:val="00694DAC"/>
    <w:rsid w:val="006959CA"/>
    <w:rsid w:val="00695BEF"/>
    <w:rsid w:val="00696759"/>
    <w:rsid w:val="006977F6"/>
    <w:rsid w:val="00697A13"/>
    <w:rsid w:val="00697E9B"/>
    <w:rsid w:val="006A109C"/>
    <w:rsid w:val="006A5260"/>
    <w:rsid w:val="006B215A"/>
    <w:rsid w:val="006B4091"/>
    <w:rsid w:val="006B78D8"/>
    <w:rsid w:val="006C113F"/>
    <w:rsid w:val="006C33F3"/>
    <w:rsid w:val="006D244B"/>
    <w:rsid w:val="006D61F6"/>
    <w:rsid w:val="006D69AB"/>
    <w:rsid w:val="006E0B4C"/>
    <w:rsid w:val="006E279A"/>
    <w:rsid w:val="006E313B"/>
    <w:rsid w:val="006F0045"/>
    <w:rsid w:val="006F0845"/>
    <w:rsid w:val="006F24D2"/>
    <w:rsid w:val="006F2803"/>
    <w:rsid w:val="006F54F6"/>
    <w:rsid w:val="0070505F"/>
    <w:rsid w:val="00711088"/>
    <w:rsid w:val="007211F5"/>
    <w:rsid w:val="007228C4"/>
    <w:rsid w:val="007263C9"/>
    <w:rsid w:val="007264FE"/>
    <w:rsid w:val="00730AE8"/>
    <w:rsid w:val="00733C7C"/>
    <w:rsid w:val="00734238"/>
    <w:rsid w:val="00736A5D"/>
    <w:rsid w:val="00741493"/>
    <w:rsid w:val="007428C2"/>
    <w:rsid w:val="00752180"/>
    <w:rsid w:val="00755D3A"/>
    <w:rsid w:val="007578A3"/>
    <w:rsid w:val="007601F9"/>
    <w:rsid w:val="007609C6"/>
    <w:rsid w:val="0076792E"/>
    <w:rsid w:val="0077204F"/>
    <w:rsid w:val="00774AA2"/>
    <w:rsid w:val="00776527"/>
    <w:rsid w:val="00780786"/>
    <w:rsid w:val="007828F6"/>
    <w:rsid w:val="00790F30"/>
    <w:rsid w:val="007954FC"/>
    <w:rsid w:val="007A3527"/>
    <w:rsid w:val="007A6D51"/>
    <w:rsid w:val="007B1632"/>
    <w:rsid w:val="007B47EE"/>
    <w:rsid w:val="007B5593"/>
    <w:rsid w:val="007B60D9"/>
    <w:rsid w:val="007B6F89"/>
    <w:rsid w:val="007C02DC"/>
    <w:rsid w:val="007C6571"/>
    <w:rsid w:val="007C6C64"/>
    <w:rsid w:val="007D1AFF"/>
    <w:rsid w:val="007D2A36"/>
    <w:rsid w:val="007E12CE"/>
    <w:rsid w:val="007E61C9"/>
    <w:rsid w:val="007E7E61"/>
    <w:rsid w:val="007F1A9D"/>
    <w:rsid w:val="007F4DDE"/>
    <w:rsid w:val="007F4FF7"/>
    <w:rsid w:val="0080476F"/>
    <w:rsid w:val="00807690"/>
    <w:rsid w:val="008116AA"/>
    <w:rsid w:val="008157E9"/>
    <w:rsid w:val="00815B66"/>
    <w:rsid w:val="00817388"/>
    <w:rsid w:val="0082021A"/>
    <w:rsid w:val="0082089F"/>
    <w:rsid w:val="00821FF6"/>
    <w:rsid w:val="0082216C"/>
    <w:rsid w:val="0083143E"/>
    <w:rsid w:val="00832CAF"/>
    <w:rsid w:val="008338AC"/>
    <w:rsid w:val="00833B1C"/>
    <w:rsid w:val="0083424D"/>
    <w:rsid w:val="00834F39"/>
    <w:rsid w:val="00834FAA"/>
    <w:rsid w:val="00836086"/>
    <w:rsid w:val="00837203"/>
    <w:rsid w:val="00841677"/>
    <w:rsid w:val="008437F4"/>
    <w:rsid w:val="0085297F"/>
    <w:rsid w:val="00857096"/>
    <w:rsid w:val="008615A0"/>
    <w:rsid w:val="008655FD"/>
    <w:rsid w:val="00875C6F"/>
    <w:rsid w:val="00876086"/>
    <w:rsid w:val="008B2188"/>
    <w:rsid w:val="008B23DE"/>
    <w:rsid w:val="008B35C0"/>
    <w:rsid w:val="008B6F71"/>
    <w:rsid w:val="008B7C02"/>
    <w:rsid w:val="008C0E88"/>
    <w:rsid w:val="008D2A16"/>
    <w:rsid w:val="008D6FF1"/>
    <w:rsid w:val="008D7970"/>
    <w:rsid w:val="008E31FF"/>
    <w:rsid w:val="008F688E"/>
    <w:rsid w:val="009003A8"/>
    <w:rsid w:val="00902220"/>
    <w:rsid w:val="00902EFF"/>
    <w:rsid w:val="0090382A"/>
    <w:rsid w:val="00904570"/>
    <w:rsid w:val="0090722D"/>
    <w:rsid w:val="009136AA"/>
    <w:rsid w:val="00921F02"/>
    <w:rsid w:val="00921F14"/>
    <w:rsid w:val="009258A1"/>
    <w:rsid w:val="0093402A"/>
    <w:rsid w:val="00937669"/>
    <w:rsid w:val="009416E5"/>
    <w:rsid w:val="00941875"/>
    <w:rsid w:val="0094427A"/>
    <w:rsid w:val="009451B5"/>
    <w:rsid w:val="00955BD7"/>
    <w:rsid w:val="00960E53"/>
    <w:rsid w:val="00963E92"/>
    <w:rsid w:val="00973454"/>
    <w:rsid w:val="00973C48"/>
    <w:rsid w:val="00974923"/>
    <w:rsid w:val="0097703E"/>
    <w:rsid w:val="0098477B"/>
    <w:rsid w:val="009851B0"/>
    <w:rsid w:val="00990854"/>
    <w:rsid w:val="00992537"/>
    <w:rsid w:val="00997CE4"/>
    <w:rsid w:val="009B1284"/>
    <w:rsid w:val="009B1A67"/>
    <w:rsid w:val="009B6FD3"/>
    <w:rsid w:val="009B7FBC"/>
    <w:rsid w:val="009C14AE"/>
    <w:rsid w:val="009C4A06"/>
    <w:rsid w:val="009C4EE0"/>
    <w:rsid w:val="009C6708"/>
    <w:rsid w:val="009E4971"/>
    <w:rsid w:val="009E563A"/>
    <w:rsid w:val="009E6A52"/>
    <w:rsid w:val="009F2CF7"/>
    <w:rsid w:val="00A02998"/>
    <w:rsid w:val="00A05B33"/>
    <w:rsid w:val="00A10903"/>
    <w:rsid w:val="00A10D66"/>
    <w:rsid w:val="00A21518"/>
    <w:rsid w:val="00A22E33"/>
    <w:rsid w:val="00A23E43"/>
    <w:rsid w:val="00A258A7"/>
    <w:rsid w:val="00A31AFC"/>
    <w:rsid w:val="00A33EFD"/>
    <w:rsid w:val="00A35033"/>
    <w:rsid w:val="00A37E7C"/>
    <w:rsid w:val="00A40EA0"/>
    <w:rsid w:val="00A429B8"/>
    <w:rsid w:val="00A46DE0"/>
    <w:rsid w:val="00A51A01"/>
    <w:rsid w:val="00A52F3B"/>
    <w:rsid w:val="00A53F2C"/>
    <w:rsid w:val="00A56ABF"/>
    <w:rsid w:val="00A62522"/>
    <w:rsid w:val="00A62CE1"/>
    <w:rsid w:val="00A63587"/>
    <w:rsid w:val="00A6412E"/>
    <w:rsid w:val="00A75426"/>
    <w:rsid w:val="00A75E40"/>
    <w:rsid w:val="00A77E52"/>
    <w:rsid w:val="00A81345"/>
    <w:rsid w:val="00A8357E"/>
    <w:rsid w:val="00A857C0"/>
    <w:rsid w:val="00AA4771"/>
    <w:rsid w:val="00AA559A"/>
    <w:rsid w:val="00AB0140"/>
    <w:rsid w:val="00AB11D5"/>
    <w:rsid w:val="00AB238A"/>
    <w:rsid w:val="00AB2AF1"/>
    <w:rsid w:val="00AB5B80"/>
    <w:rsid w:val="00AD2536"/>
    <w:rsid w:val="00AD306C"/>
    <w:rsid w:val="00AD427F"/>
    <w:rsid w:val="00AD6E5C"/>
    <w:rsid w:val="00AD7ADA"/>
    <w:rsid w:val="00AE11E5"/>
    <w:rsid w:val="00AE42E0"/>
    <w:rsid w:val="00AE5985"/>
    <w:rsid w:val="00AE7D31"/>
    <w:rsid w:val="00AF0804"/>
    <w:rsid w:val="00AF0A3D"/>
    <w:rsid w:val="00AF263F"/>
    <w:rsid w:val="00AF5EEF"/>
    <w:rsid w:val="00B01CAD"/>
    <w:rsid w:val="00B05D4A"/>
    <w:rsid w:val="00B107C4"/>
    <w:rsid w:val="00B1157F"/>
    <w:rsid w:val="00B15B8E"/>
    <w:rsid w:val="00B17E71"/>
    <w:rsid w:val="00B17FDE"/>
    <w:rsid w:val="00B32DDB"/>
    <w:rsid w:val="00B3421C"/>
    <w:rsid w:val="00B34658"/>
    <w:rsid w:val="00B403C2"/>
    <w:rsid w:val="00B52068"/>
    <w:rsid w:val="00B54014"/>
    <w:rsid w:val="00B540AE"/>
    <w:rsid w:val="00B643B5"/>
    <w:rsid w:val="00B6608F"/>
    <w:rsid w:val="00B7412F"/>
    <w:rsid w:val="00B7422B"/>
    <w:rsid w:val="00B76D1E"/>
    <w:rsid w:val="00B87356"/>
    <w:rsid w:val="00B8761E"/>
    <w:rsid w:val="00B92363"/>
    <w:rsid w:val="00B95940"/>
    <w:rsid w:val="00B95E7B"/>
    <w:rsid w:val="00B9631C"/>
    <w:rsid w:val="00B968A3"/>
    <w:rsid w:val="00B97BEC"/>
    <w:rsid w:val="00BA493B"/>
    <w:rsid w:val="00BA53B4"/>
    <w:rsid w:val="00BB295B"/>
    <w:rsid w:val="00BC3543"/>
    <w:rsid w:val="00BD0FD6"/>
    <w:rsid w:val="00BD366B"/>
    <w:rsid w:val="00BD5F17"/>
    <w:rsid w:val="00BD6D50"/>
    <w:rsid w:val="00BF18B9"/>
    <w:rsid w:val="00BF6753"/>
    <w:rsid w:val="00BF684B"/>
    <w:rsid w:val="00C055E5"/>
    <w:rsid w:val="00C076AD"/>
    <w:rsid w:val="00C07CB0"/>
    <w:rsid w:val="00C13B41"/>
    <w:rsid w:val="00C21F94"/>
    <w:rsid w:val="00C22152"/>
    <w:rsid w:val="00C24662"/>
    <w:rsid w:val="00C32659"/>
    <w:rsid w:val="00C35311"/>
    <w:rsid w:val="00C429E2"/>
    <w:rsid w:val="00C44F48"/>
    <w:rsid w:val="00C70D55"/>
    <w:rsid w:val="00C71A82"/>
    <w:rsid w:val="00C80F44"/>
    <w:rsid w:val="00C83086"/>
    <w:rsid w:val="00C845F2"/>
    <w:rsid w:val="00C90CF4"/>
    <w:rsid w:val="00C93389"/>
    <w:rsid w:val="00C94820"/>
    <w:rsid w:val="00C9579E"/>
    <w:rsid w:val="00C96072"/>
    <w:rsid w:val="00CA40DC"/>
    <w:rsid w:val="00CA4DFD"/>
    <w:rsid w:val="00CB1A21"/>
    <w:rsid w:val="00CB1F20"/>
    <w:rsid w:val="00CC21CF"/>
    <w:rsid w:val="00CC2959"/>
    <w:rsid w:val="00CC55BF"/>
    <w:rsid w:val="00CD36EF"/>
    <w:rsid w:val="00CE28C3"/>
    <w:rsid w:val="00CE4593"/>
    <w:rsid w:val="00CF062E"/>
    <w:rsid w:val="00CF0AB9"/>
    <w:rsid w:val="00CF3D97"/>
    <w:rsid w:val="00CF51EC"/>
    <w:rsid w:val="00CF62E2"/>
    <w:rsid w:val="00D01F7E"/>
    <w:rsid w:val="00D02E35"/>
    <w:rsid w:val="00D040DD"/>
    <w:rsid w:val="00D068A7"/>
    <w:rsid w:val="00D10D82"/>
    <w:rsid w:val="00D122EA"/>
    <w:rsid w:val="00D23F39"/>
    <w:rsid w:val="00D263B1"/>
    <w:rsid w:val="00D32AAF"/>
    <w:rsid w:val="00D43D06"/>
    <w:rsid w:val="00D43D2E"/>
    <w:rsid w:val="00D460EA"/>
    <w:rsid w:val="00D534D1"/>
    <w:rsid w:val="00D572FB"/>
    <w:rsid w:val="00D575D2"/>
    <w:rsid w:val="00D625B4"/>
    <w:rsid w:val="00D62AC6"/>
    <w:rsid w:val="00D72B1F"/>
    <w:rsid w:val="00D743DE"/>
    <w:rsid w:val="00D754E2"/>
    <w:rsid w:val="00D762A9"/>
    <w:rsid w:val="00D7711E"/>
    <w:rsid w:val="00D83D01"/>
    <w:rsid w:val="00D842C8"/>
    <w:rsid w:val="00D93EF6"/>
    <w:rsid w:val="00DB4F12"/>
    <w:rsid w:val="00DB5E26"/>
    <w:rsid w:val="00DB68CB"/>
    <w:rsid w:val="00DC069D"/>
    <w:rsid w:val="00DC5B3B"/>
    <w:rsid w:val="00DC5DA5"/>
    <w:rsid w:val="00DD0975"/>
    <w:rsid w:val="00DD3A4D"/>
    <w:rsid w:val="00DE5DFF"/>
    <w:rsid w:val="00DE7B58"/>
    <w:rsid w:val="00DF55A4"/>
    <w:rsid w:val="00DF5D00"/>
    <w:rsid w:val="00E0185B"/>
    <w:rsid w:val="00E01C0E"/>
    <w:rsid w:val="00E04694"/>
    <w:rsid w:val="00E069D1"/>
    <w:rsid w:val="00E12FE5"/>
    <w:rsid w:val="00E130B7"/>
    <w:rsid w:val="00E35452"/>
    <w:rsid w:val="00E50A6A"/>
    <w:rsid w:val="00E5164D"/>
    <w:rsid w:val="00E54A3E"/>
    <w:rsid w:val="00E60723"/>
    <w:rsid w:val="00E66030"/>
    <w:rsid w:val="00E71A58"/>
    <w:rsid w:val="00E7533F"/>
    <w:rsid w:val="00E80415"/>
    <w:rsid w:val="00E84273"/>
    <w:rsid w:val="00E84B1E"/>
    <w:rsid w:val="00E86FC5"/>
    <w:rsid w:val="00E9330A"/>
    <w:rsid w:val="00E940A5"/>
    <w:rsid w:val="00EA0C68"/>
    <w:rsid w:val="00EA0EAA"/>
    <w:rsid w:val="00EA1E3B"/>
    <w:rsid w:val="00EA67F4"/>
    <w:rsid w:val="00EA6A1C"/>
    <w:rsid w:val="00EB0D24"/>
    <w:rsid w:val="00EB4350"/>
    <w:rsid w:val="00EC1924"/>
    <w:rsid w:val="00EC3698"/>
    <w:rsid w:val="00ED0F86"/>
    <w:rsid w:val="00ED286F"/>
    <w:rsid w:val="00ED324D"/>
    <w:rsid w:val="00EE0963"/>
    <w:rsid w:val="00EE36C2"/>
    <w:rsid w:val="00EE375F"/>
    <w:rsid w:val="00EE3E78"/>
    <w:rsid w:val="00EE67CC"/>
    <w:rsid w:val="00EE6F61"/>
    <w:rsid w:val="00EF1F5A"/>
    <w:rsid w:val="00EF4271"/>
    <w:rsid w:val="00EF4D97"/>
    <w:rsid w:val="00EF5EBF"/>
    <w:rsid w:val="00EF639D"/>
    <w:rsid w:val="00F029A3"/>
    <w:rsid w:val="00F04811"/>
    <w:rsid w:val="00F0488C"/>
    <w:rsid w:val="00F04B8A"/>
    <w:rsid w:val="00F06149"/>
    <w:rsid w:val="00F0701F"/>
    <w:rsid w:val="00F10F37"/>
    <w:rsid w:val="00F15BEF"/>
    <w:rsid w:val="00F21C5E"/>
    <w:rsid w:val="00F220F4"/>
    <w:rsid w:val="00F24FAA"/>
    <w:rsid w:val="00F30472"/>
    <w:rsid w:val="00F3364D"/>
    <w:rsid w:val="00F4143B"/>
    <w:rsid w:val="00F41787"/>
    <w:rsid w:val="00F520A7"/>
    <w:rsid w:val="00F55DA6"/>
    <w:rsid w:val="00F61146"/>
    <w:rsid w:val="00F617C2"/>
    <w:rsid w:val="00F61FFA"/>
    <w:rsid w:val="00F63DDE"/>
    <w:rsid w:val="00F63FB7"/>
    <w:rsid w:val="00F73A0C"/>
    <w:rsid w:val="00F764B8"/>
    <w:rsid w:val="00F8104D"/>
    <w:rsid w:val="00F825D6"/>
    <w:rsid w:val="00F84358"/>
    <w:rsid w:val="00F961E0"/>
    <w:rsid w:val="00F9790A"/>
    <w:rsid w:val="00FA283D"/>
    <w:rsid w:val="00FA2EF2"/>
    <w:rsid w:val="00FB34B2"/>
    <w:rsid w:val="00FB7DCB"/>
    <w:rsid w:val="00FC0E5F"/>
    <w:rsid w:val="00FC1018"/>
    <w:rsid w:val="00FC36CA"/>
    <w:rsid w:val="00FC435B"/>
    <w:rsid w:val="00FC56DE"/>
    <w:rsid w:val="00FC6923"/>
    <w:rsid w:val="00FE1C84"/>
    <w:rsid w:val="00FE2F78"/>
    <w:rsid w:val="00FE657A"/>
    <w:rsid w:val="00FF1979"/>
    <w:rsid w:val="00FF597E"/>
    <w:rsid w:val="00FF60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character" w:styleId="Siln">
    <w:name w:val="Strong"/>
    <w:uiPriority w:val="22"/>
    <w:qFormat/>
    <w:rsid w:val="00A258A7"/>
    <w:rPr>
      <w:b/>
      <w:bCs/>
    </w:rPr>
  </w:style>
  <w:style w:type="paragraph" w:styleId="Nadpisobsahu">
    <w:name w:val="TOC Heading"/>
    <w:basedOn w:val="Nadpis1"/>
    <w:next w:val="Normln"/>
    <w:uiPriority w:val="39"/>
    <w:unhideWhenUsed/>
    <w:qFormat/>
    <w:rsid w:val="00274C52"/>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unhideWhenUsed/>
    <w:rsid w:val="001C2FEE"/>
    <w:pPr>
      <w:tabs>
        <w:tab w:val="right" w:leader="dot" w:pos="9628"/>
      </w:tabs>
      <w:spacing w:afterLines="60"/>
    </w:pPr>
    <w:rPr>
      <w:sz w:val="24"/>
    </w:rPr>
  </w:style>
  <w:style w:type="paragraph" w:styleId="Obsah2">
    <w:name w:val="toc 2"/>
    <w:basedOn w:val="Normln"/>
    <w:next w:val="Normln"/>
    <w:autoRedefine/>
    <w:uiPriority w:val="39"/>
    <w:unhideWhenUsed/>
    <w:rsid w:val="00274C52"/>
    <w:pPr>
      <w:ind w:left="200"/>
    </w:pPr>
  </w:style>
  <w:style w:type="paragraph" w:styleId="Obsah3">
    <w:name w:val="toc 3"/>
    <w:basedOn w:val="Normln"/>
    <w:next w:val="Normln"/>
    <w:autoRedefine/>
    <w:uiPriority w:val="39"/>
    <w:unhideWhenUsed/>
    <w:rsid w:val="00274C52"/>
    <w:pPr>
      <w:ind w:left="400"/>
    </w:pPr>
  </w:style>
  <w:style w:type="paragraph" w:styleId="Normlnweb">
    <w:name w:val="Normal (Web)"/>
    <w:basedOn w:val="Normln"/>
    <w:uiPriority w:val="99"/>
    <w:semiHidden/>
    <w:unhideWhenUsed/>
    <w:rsid w:val="007F1A9D"/>
    <w:rPr>
      <w:rFonts w:ascii="Times New Roman" w:hAnsi="Times New Roman"/>
      <w:sz w:val="24"/>
    </w:rPr>
  </w:style>
  <w:style w:type="character" w:styleId="Zvraznn">
    <w:name w:val="Emphasis"/>
    <w:uiPriority w:val="20"/>
    <w:qFormat/>
    <w:rsid w:val="00204CF0"/>
    <w:rPr>
      <w:i/>
      <w:iCs/>
    </w:rPr>
  </w:style>
  <w:style w:type="character" w:styleId="Odkaznakoment">
    <w:name w:val="annotation reference"/>
    <w:uiPriority w:val="99"/>
    <w:semiHidden/>
    <w:unhideWhenUsed/>
    <w:rsid w:val="004B636E"/>
    <w:rPr>
      <w:sz w:val="16"/>
      <w:szCs w:val="16"/>
    </w:rPr>
  </w:style>
  <w:style w:type="paragraph" w:styleId="Textkomente">
    <w:name w:val="annotation text"/>
    <w:basedOn w:val="Normln"/>
    <w:link w:val="TextkomenteChar"/>
    <w:uiPriority w:val="99"/>
    <w:semiHidden/>
    <w:unhideWhenUsed/>
    <w:rsid w:val="004B636E"/>
    <w:rPr>
      <w:szCs w:val="20"/>
      <w:lang/>
    </w:rPr>
  </w:style>
  <w:style w:type="character" w:customStyle="1" w:styleId="TextkomenteChar">
    <w:name w:val="Text komentáře Char"/>
    <w:link w:val="Textkomente"/>
    <w:uiPriority w:val="99"/>
    <w:semiHidden/>
    <w:rsid w:val="004B636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4B636E"/>
    <w:rPr>
      <w:b/>
      <w:bCs/>
    </w:rPr>
  </w:style>
  <w:style w:type="character" w:customStyle="1" w:styleId="PedmtkomenteChar">
    <w:name w:val="Předmět komentáře Char"/>
    <w:link w:val="Pedmtkomente"/>
    <w:uiPriority w:val="99"/>
    <w:semiHidden/>
    <w:rsid w:val="004B636E"/>
    <w:rPr>
      <w:rFonts w:ascii="Arial" w:eastAsia="Times New Roman" w:hAnsi="Arial"/>
      <w:b/>
      <w:bCs/>
    </w:rPr>
  </w:style>
  <w:style w:type="paragraph" w:customStyle="1" w:styleId="paragraftext">
    <w:name w:val="paragraftext"/>
    <w:basedOn w:val="Normln"/>
    <w:rsid w:val="0054533E"/>
    <w:pPr>
      <w:spacing w:before="100" w:beforeAutospacing="1" w:after="100" w:afterAutospacing="1" w:line="240" w:lineRule="auto"/>
    </w:pPr>
    <w:rPr>
      <w:rFonts w:ascii="Times New Roman" w:hAnsi="Times New Roman"/>
      <w:sz w:val="24"/>
    </w:rPr>
  </w:style>
  <w:style w:type="paragraph" w:customStyle="1" w:styleId="pismeno">
    <w:name w:val="pismeno"/>
    <w:basedOn w:val="Normln"/>
    <w:rsid w:val="0054533E"/>
    <w:pPr>
      <w:spacing w:before="100" w:beforeAutospacing="1" w:after="100" w:afterAutospacing="1" w:line="240" w:lineRule="auto"/>
    </w:pPr>
    <w:rPr>
      <w:rFonts w:ascii="Times New Roman" w:hAnsi="Times New Roman"/>
      <w:sz w:val="24"/>
    </w:rPr>
  </w:style>
  <w:style w:type="paragraph" w:customStyle="1" w:styleId="bod">
    <w:name w:val="bod"/>
    <w:basedOn w:val="Normln"/>
    <w:rsid w:val="0054533E"/>
    <w:pPr>
      <w:spacing w:before="100" w:beforeAutospacing="1" w:after="100" w:afterAutospacing="1" w:line="240" w:lineRule="auto"/>
    </w:pPr>
    <w:rPr>
      <w:rFonts w:ascii="Times New Roman" w:hAnsi="Times New Roman"/>
      <w:sz w:val="24"/>
    </w:rPr>
  </w:style>
  <w:style w:type="paragraph" w:styleId="Textpoznpodarou">
    <w:name w:val="footnote text"/>
    <w:basedOn w:val="Normln"/>
    <w:link w:val="TextpoznpodarouChar"/>
    <w:uiPriority w:val="99"/>
    <w:semiHidden/>
    <w:unhideWhenUsed/>
    <w:rsid w:val="00F04B8A"/>
    <w:rPr>
      <w:szCs w:val="20"/>
    </w:rPr>
  </w:style>
  <w:style w:type="character" w:customStyle="1" w:styleId="TextpoznpodarouChar">
    <w:name w:val="Text pozn. pod čarou Char"/>
    <w:basedOn w:val="Standardnpsmoodstavce"/>
    <w:link w:val="Textpoznpodarou"/>
    <w:uiPriority w:val="99"/>
    <w:semiHidden/>
    <w:rsid w:val="00F04B8A"/>
    <w:rPr>
      <w:rFonts w:ascii="Arial" w:eastAsia="Times New Roman" w:hAnsi="Arial"/>
    </w:rPr>
  </w:style>
  <w:style w:type="character" w:styleId="Znakapoznpodarou">
    <w:name w:val="footnote reference"/>
    <w:basedOn w:val="Standardnpsmoodstavce"/>
    <w:uiPriority w:val="99"/>
    <w:semiHidden/>
    <w:unhideWhenUsed/>
    <w:rsid w:val="00F04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1093922">
      <w:bodyDiv w:val="1"/>
      <w:marLeft w:val="0"/>
      <w:marRight w:val="0"/>
      <w:marTop w:val="0"/>
      <w:marBottom w:val="0"/>
      <w:divBdr>
        <w:top w:val="none" w:sz="0" w:space="0" w:color="auto"/>
        <w:left w:val="none" w:sz="0" w:space="0" w:color="auto"/>
        <w:bottom w:val="none" w:sz="0" w:space="0" w:color="auto"/>
        <w:right w:val="none" w:sz="0" w:space="0" w:color="auto"/>
      </w:divBdr>
    </w:div>
    <w:div w:id="205722363">
      <w:bodyDiv w:val="1"/>
      <w:marLeft w:val="0"/>
      <w:marRight w:val="0"/>
      <w:marTop w:val="0"/>
      <w:marBottom w:val="0"/>
      <w:divBdr>
        <w:top w:val="none" w:sz="0" w:space="0" w:color="auto"/>
        <w:left w:val="none" w:sz="0" w:space="0" w:color="auto"/>
        <w:bottom w:val="none" w:sz="0" w:space="0" w:color="auto"/>
        <w:right w:val="none" w:sz="0" w:space="0" w:color="auto"/>
      </w:divBdr>
    </w:div>
    <w:div w:id="363094778">
      <w:bodyDiv w:val="1"/>
      <w:marLeft w:val="0"/>
      <w:marRight w:val="0"/>
      <w:marTop w:val="0"/>
      <w:marBottom w:val="0"/>
      <w:divBdr>
        <w:top w:val="none" w:sz="0" w:space="0" w:color="auto"/>
        <w:left w:val="none" w:sz="0" w:space="0" w:color="auto"/>
        <w:bottom w:val="none" w:sz="0" w:space="0" w:color="auto"/>
        <w:right w:val="none" w:sz="0" w:space="0" w:color="auto"/>
      </w:divBdr>
    </w:div>
    <w:div w:id="43864890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5563031">
      <w:bodyDiv w:val="1"/>
      <w:marLeft w:val="0"/>
      <w:marRight w:val="0"/>
      <w:marTop w:val="0"/>
      <w:marBottom w:val="0"/>
      <w:divBdr>
        <w:top w:val="none" w:sz="0" w:space="0" w:color="auto"/>
        <w:left w:val="none" w:sz="0" w:space="0" w:color="auto"/>
        <w:bottom w:val="none" w:sz="0" w:space="0" w:color="auto"/>
        <w:right w:val="none" w:sz="0" w:space="0" w:color="auto"/>
      </w:divBdr>
    </w:div>
    <w:div w:id="560484718">
      <w:bodyDiv w:val="1"/>
      <w:marLeft w:val="0"/>
      <w:marRight w:val="0"/>
      <w:marTop w:val="0"/>
      <w:marBottom w:val="0"/>
      <w:divBdr>
        <w:top w:val="none" w:sz="0" w:space="0" w:color="auto"/>
        <w:left w:val="none" w:sz="0" w:space="0" w:color="auto"/>
        <w:bottom w:val="none" w:sz="0" w:space="0" w:color="auto"/>
        <w:right w:val="none" w:sz="0" w:space="0" w:color="auto"/>
      </w:divBdr>
    </w:div>
    <w:div w:id="562253313">
      <w:bodyDiv w:val="1"/>
      <w:marLeft w:val="0"/>
      <w:marRight w:val="0"/>
      <w:marTop w:val="0"/>
      <w:marBottom w:val="0"/>
      <w:divBdr>
        <w:top w:val="none" w:sz="0" w:space="0" w:color="auto"/>
        <w:left w:val="none" w:sz="0" w:space="0" w:color="auto"/>
        <w:bottom w:val="none" w:sz="0" w:space="0" w:color="auto"/>
        <w:right w:val="none" w:sz="0" w:space="0" w:color="auto"/>
      </w:divBdr>
    </w:div>
    <w:div w:id="566037291">
      <w:bodyDiv w:val="1"/>
      <w:marLeft w:val="0"/>
      <w:marRight w:val="0"/>
      <w:marTop w:val="0"/>
      <w:marBottom w:val="0"/>
      <w:divBdr>
        <w:top w:val="none" w:sz="0" w:space="0" w:color="auto"/>
        <w:left w:val="none" w:sz="0" w:space="0" w:color="auto"/>
        <w:bottom w:val="none" w:sz="0" w:space="0" w:color="auto"/>
        <w:right w:val="none" w:sz="0" w:space="0" w:color="auto"/>
      </w:divBdr>
    </w:div>
    <w:div w:id="587154209">
      <w:bodyDiv w:val="1"/>
      <w:marLeft w:val="0"/>
      <w:marRight w:val="0"/>
      <w:marTop w:val="0"/>
      <w:marBottom w:val="0"/>
      <w:divBdr>
        <w:top w:val="none" w:sz="0" w:space="0" w:color="auto"/>
        <w:left w:val="none" w:sz="0" w:space="0" w:color="auto"/>
        <w:bottom w:val="none" w:sz="0" w:space="0" w:color="auto"/>
        <w:right w:val="none" w:sz="0" w:space="0" w:color="auto"/>
      </w:divBdr>
    </w:div>
    <w:div w:id="595864822">
      <w:bodyDiv w:val="1"/>
      <w:marLeft w:val="0"/>
      <w:marRight w:val="0"/>
      <w:marTop w:val="0"/>
      <w:marBottom w:val="0"/>
      <w:divBdr>
        <w:top w:val="none" w:sz="0" w:space="0" w:color="auto"/>
        <w:left w:val="none" w:sz="0" w:space="0" w:color="auto"/>
        <w:bottom w:val="none" w:sz="0" w:space="0" w:color="auto"/>
        <w:right w:val="none" w:sz="0" w:space="0" w:color="auto"/>
      </w:divBdr>
    </w:div>
    <w:div w:id="597979224">
      <w:bodyDiv w:val="1"/>
      <w:marLeft w:val="0"/>
      <w:marRight w:val="0"/>
      <w:marTop w:val="0"/>
      <w:marBottom w:val="0"/>
      <w:divBdr>
        <w:top w:val="none" w:sz="0" w:space="0" w:color="auto"/>
        <w:left w:val="none" w:sz="0" w:space="0" w:color="auto"/>
        <w:bottom w:val="none" w:sz="0" w:space="0" w:color="auto"/>
        <w:right w:val="none" w:sz="0" w:space="0" w:color="auto"/>
      </w:divBdr>
    </w:div>
    <w:div w:id="66756266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86651378">
      <w:bodyDiv w:val="1"/>
      <w:marLeft w:val="0"/>
      <w:marRight w:val="0"/>
      <w:marTop w:val="0"/>
      <w:marBottom w:val="0"/>
      <w:divBdr>
        <w:top w:val="none" w:sz="0" w:space="0" w:color="auto"/>
        <w:left w:val="none" w:sz="0" w:space="0" w:color="auto"/>
        <w:bottom w:val="none" w:sz="0" w:space="0" w:color="auto"/>
        <w:right w:val="none" w:sz="0" w:space="0" w:color="auto"/>
      </w:divBdr>
    </w:div>
    <w:div w:id="1039864398">
      <w:bodyDiv w:val="1"/>
      <w:marLeft w:val="0"/>
      <w:marRight w:val="0"/>
      <w:marTop w:val="0"/>
      <w:marBottom w:val="0"/>
      <w:divBdr>
        <w:top w:val="none" w:sz="0" w:space="0" w:color="auto"/>
        <w:left w:val="none" w:sz="0" w:space="0" w:color="auto"/>
        <w:bottom w:val="none" w:sz="0" w:space="0" w:color="auto"/>
        <w:right w:val="none" w:sz="0" w:space="0" w:color="auto"/>
      </w:divBdr>
    </w:div>
    <w:div w:id="1077286100">
      <w:bodyDiv w:val="1"/>
      <w:marLeft w:val="0"/>
      <w:marRight w:val="0"/>
      <w:marTop w:val="0"/>
      <w:marBottom w:val="0"/>
      <w:divBdr>
        <w:top w:val="none" w:sz="0" w:space="0" w:color="auto"/>
        <w:left w:val="none" w:sz="0" w:space="0" w:color="auto"/>
        <w:bottom w:val="none" w:sz="0" w:space="0" w:color="auto"/>
        <w:right w:val="none" w:sz="0" w:space="0" w:color="auto"/>
      </w:divBdr>
    </w:div>
    <w:div w:id="1088573819">
      <w:bodyDiv w:val="1"/>
      <w:marLeft w:val="0"/>
      <w:marRight w:val="0"/>
      <w:marTop w:val="0"/>
      <w:marBottom w:val="0"/>
      <w:divBdr>
        <w:top w:val="none" w:sz="0" w:space="0" w:color="auto"/>
        <w:left w:val="none" w:sz="0" w:space="0" w:color="auto"/>
        <w:bottom w:val="none" w:sz="0" w:space="0" w:color="auto"/>
        <w:right w:val="none" w:sz="0" w:space="0" w:color="auto"/>
      </w:divBdr>
    </w:div>
    <w:div w:id="1123620103">
      <w:bodyDiv w:val="1"/>
      <w:marLeft w:val="0"/>
      <w:marRight w:val="0"/>
      <w:marTop w:val="0"/>
      <w:marBottom w:val="0"/>
      <w:divBdr>
        <w:top w:val="none" w:sz="0" w:space="0" w:color="auto"/>
        <w:left w:val="none" w:sz="0" w:space="0" w:color="auto"/>
        <w:bottom w:val="none" w:sz="0" w:space="0" w:color="auto"/>
        <w:right w:val="none" w:sz="0" w:space="0" w:color="auto"/>
      </w:divBdr>
    </w:div>
    <w:div w:id="1126125525">
      <w:bodyDiv w:val="1"/>
      <w:marLeft w:val="0"/>
      <w:marRight w:val="0"/>
      <w:marTop w:val="0"/>
      <w:marBottom w:val="0"/>
      <w:divBdr>
        <w:top w:val="none" w:sz="0" w:space="0" w:color="auto"/>
        <w:left w:val="none" w:sz="0" w:space="0" w:color="auto"/>
        <w:bottom w:val="none" w:sz="0" w:space="0" w:color="auto"/>
        <w:right w:val="none" w:sz="0" w:space="0" w:color="auto"/>
      </w:divBdr>
    </w:div>
    <w:div w:id="1139570761">
      <w:bodyDiv w:val="1"/>
      <w:marLeft w:val="0"/>
      <w:marRight w:val="0"/>
      <w:marTop w:val="0"/>
      <w:marBottom w:val="0"/>
      <w:divBdr>
        <w:top w:val="none" w:sz="0" w:space="0" w:color="auto"/>
        <w:left w:val="none" w:sz="0" w:space="0" w:color="auto"/>
        <w:bottom w:val="none" w:sz="0" w:space="0" w:color="auto"/>
        <w:right w:val="none" w:sz="0" w:space="0" w:color="auto"/>
      </w:divBdr>
    </w:div>
    <w:div w:id="1144617483">
      <w:bodyDiv w:val="1"/>
      <w:marLeft w:val="0"/>
      <w:marRight w:val="0"/>
      <w:marTop w:val="0"/>
      <w:marBottom w:val="0"/>
      <w:divBdr>
        <w:top w:val="none" w:sz="0" w:space="0" w:color="auto"/>
        <w:left w:val="none" w:sz="0" w:space="0" w:color="auto"/>
        <w:bottom w:val="none" w:sz="0" w:space="0" w:color="auto"/>
        <w:right w:val="none" w:sz="0" w:space="0" w:color="auto"/>
      </w:divBdr>
    </w:div>
    <w:div w:id="1199853475">
      <w:bodyDiv w:val="1"/>
      <w:marLeft w:val="0"/>
      <w:marRight w:val="0"/>
      <w:marTop w:val="0"/>
      <w:marBottom w:val="0"/>
      <w:divBdr>
        <w:top w:val="none" w:sz="0" w:space="0" w:color="auto"/>
        <w:left w:val="none" w:sz="0" w:space="0" w:color="auto"/>
        <w:bottom w:val="none" w:sz="0" w:space="0" w:color="auto"/>
        <w:right w:val="none" w:sz="0" w:space="0" w:color="auto"/>
      </w:divBdr>
    </w:div>
    <w:div w:id="1301182944">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06294702">
      <w:bodyDiv w:val="1"/>
      <w:marLeft w:val="0"/>
      <w:marRight w:val="0"/>
      <w:marTop w:val="0"/>
      <w:marBottom w:val="0"/>
      <w:divBdr>
        <w:top w:val="none" w:sz="0" w:space="0" w:color="auto"/>
        <w:left w:val="none" w:sz="0" w:space="0" w:color="auto"/>
        <w:bottom w:val="none" w:sz="0" w:space="0" w:color="auto"/>
        <w:right w:val="none" w:sz="0" w:space="0" w:color="auto"/>
      </w:divBdr>
    </w:div>
    <w:div w:id="1432240560">
      <w:bodyDiv w:val="1"/>
      <w:marLeft w:val="0"/>
      <w:marRight w:val="0"/>
      <w:marTop w:val="0"/>
      <w:marBottom w:val="0"/>
      <w:divBdr>
        <w:top w:val="none" w:sz="0" w:space="0" w:color="auto"/>
        <w:left w:val="none" w:sz="0" w:space="0" w:color="auto"/>
        <w:bottom w:val="none" w:sz="0" w:space="0" w:color="auto"/>
        <w:right w:val="none" w:sz="0" w:space="0" w:color="auto"/>
      </w:divBdr>
    </w:div>
    <w:div w:id="146789305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668751459">
      <w:bodyDiv w:val="1"/>
      <w:marLeft w:val="0"/>
      <w:marRight w:val="0"/>
      <w:marTop w:val="0"/>
      <w:marBottom w:val="0"/>
      <w:divBdr>
        <w:top w:val="none" w:sz="0" w:space="0" w:color="auto"/>
        <w:left w:val="none" w:sz="0" w:space="0" w:color="auto"/>
        <w:bottom w:val="none" w:sz="0" w:space="0" w:color="auto"/>
        <w:right w:val="none" w:sz="0" w:space="0" w:color="auto"/>
      </w:divBdr>
    </w:div>
    <w:div w:id="1735159849">
      <w:bodyDiv w:val="1"/>
      <w:marLeft w:val="0"/>
      <w:marRight w:val="0"/>
      <w:marTop w:val="0"/>
      <w:marBottom w:val="0"/>
      <w:divBdr>
        <w:top w:val="none" w:sz="0" w:space="0" w:color="auto"/>
        <w:left w:val="none" w:sz="0" w:space="0" w:color="auto"/>
        <w:bottom w:val="none" w:sz="0" w:space="0" w:color="auto"/>
        <w:right w:val="none" w:sz="0" w:space="0" w:color="auto"/>
      </w:divBdr>
    </w:div>
    <w:div w:id="1766614248">
      <w:bodyDiv w:val="1"/>
      <w:marLeft w:val="0"/>
      <w:marRight w:val="0"/>
      <w:marTop w:val="0"/>
      <w:marBottom w:val="0"/>
      <w:divBdr>
        <w:top w:val="none" w:sz="0" w:space="0" w:color="auto"/>
        <w:left w:val="none" w:sz="0" w:space="0" w:color="auto"/>
        <w:bottom w:val="none" w:sz="0" w:space="0" w:color="auto"/>
        <w:right w:val="none" w:sz="0" w:space="0" w:color="auto"/>
      </w:divBdr>
    </w:div>
    <w:div w:id="1788505490">
      <w:bodyDiv w:val="1"/>
      <w:marLeft w:val="0"/>
      <w:marRight w:val="0"/>
      <w:marTop w:val="0"/>
      <w:marBottom w:val="0"/>
      <w:divBdr>
        <w:top w:val="none" w:sz="0" w:space="0" w:color="auto"/>
        <w:left w:val="none" w:sz="0" w:space="0" w:color="auto"/>
        <w:bottom w:val="none" w:sz="0" w:space="0" w:color="auto"/>
        <w:right w:val="none" w:sz="0" w:space="0" w:color="auto"/>
      </w:divBdr>
    </w:div>
    <w:div w:id="1792822710">
      <w:bodyDiv w:val="1"/>
      <w:marLeft w:val="0"/>
      <w:marRight w:val="0"/>
      <w:marTop w:val="0"/>
      <w:marBottom w:val="0"/>
      <w:divBdr>
        <w:top w:val="none" w:sz="0" w:space="0" w:color="auto"/>
        <w:left w:val="none" w:sz="0" w:space="0" w:color="auto"/>
        <w:bottom w:val="none" w:sz="0" w:space="0" w:color="auto"/>
        <w:right w:val="none" w:sz="0" w:space="0" w:color="auto"/>
      </w:divBdr>
    </w:div>
    <w:div w:id="1866673003">
      <w:bodyDiv w:val="1"/>
      <w:marLeft w:val="0"/>
      <w:marRight w:val="0"/>
      <w:marTop w:val="0"/>
      <w:marBottom w:val="0"/>
      <w:divBdr>
        <w:top w:val="none" w:sz="0" w:space="0" w:color="auto"/>
        <w:left w:val="none" w:sz="0" w:space="0" w:color="auto"/>
        <w:bottom w:val="none" w:sz="0" w:space="0" w:color="auto"/>
        <w:right w:val="none" w:sz="0" w:space="0" w:color="auto"/>
      </w:divBdr>
    </w:div>
    <w:div w:id="1871603743">
      <w:bodyDiv w:val="1"/>
      <w:marLeft w:val="0"/>
      <w:marRight w:val="0"/>
      <w:marTop w:val="0"/>
      <w:marBottom w:val="0"/>
      <w:divBdr>
        <w:top w:val="none" w:sz="0" w:space="0" w:color="auto"/>
        <w:left w:val="none" w:sz="0" w:space="0" w:color="auto"/>
        <w:bottom w:val="none" w:sz="0" w:space="0" w:color="auto"/>
        <w:right w:val="none" w:sz="0" w:space="0" w:color="auto"/>
      </w:divBdr>
    </w:div>
    <w:div w:id="1884515840">
      <w:bodyDiv w:val="1"/>
      <w:marLeft w:val="0"/>
      <w:marRight w:val="0"/>
      <w:marTop w:val="0"/>
      <w:marBottom w:val="0"/>
      <w:divBdr>
        <w:top w:val="none" w:sz="0" w:space="0" w:color="auto"/>
        <w:left w:val="none" w:sz="0" w:space="0" w:color="auto"/>
        <w:bottom w:val="none" w:sz="0" w:space="0" w:color="auto"/>
        <w:right w:val="none" w:sz="0" w:space="0" w:color="auto"/>
      </w:divBdr>
    </w:div>
    <w:div w:id="1892225927">
      <w:bodyDiv w:val="1"/>
      <w:marLeft w:val="0"/>
      <w:marRight w:val="0"/>
      <w:marTop w:val="0"/>
      <w:marBottom w:val="0"/>
      <w:divBdr>
        <w:top w:val="none" w:sz="0" w:space="0" w:color="auto"/>
        <w:left w:val="none" w:sz="0" w:space="0" w:color="auto"/>
        <w:bottom w:val="none" w:sz="0" w:space="0" w:color="auto"/>
        <w:right w:val="none" w:sz="0" w:space="0" w:color="auto"/>
      </w:divBdr>
    </w:div>
    <w:div w:id="1915699447">
      <w:bodyDiv w:val="1"/>
      <w:marLeft w:val="0"/>
      <w:marRight w:val="0"/>
      <w:marTop w:val="0"/>
      <w:marBottom w:val="0"/>
      <w:divBdr>
        <w:top w:val="none" w:sz="0" w:space="0" w:color="auto"/>
        <w:left w:val="none" w:sz="0" w:space="0" w:color="auto"/>
        <w:bottom w:val="none" w:sz="0" w:space="0" w:color="auto"/>
        <w:right w:val="none" w:sz="0" w:space="0" w:color="auto"/>
      </w:divBdr>
    </w:div>
    <w:div w:id="1934627784">
      <w:bodyDiv w:val="1"/>
      <w:marLeft w:val="0"/>
      <w:marRight w:val="0"/>
      <w:marTop w:val="0"/>
      <w:marBottom w:val="0"/>
      <w:divBdr>
        <w:top w:val="none" w:sz="0" w:space="0" w:color="auto"/>
        <w:left w:val="none" w:sz="0" w:space="0" w:color="auto"/>
        <w:bottom w:val="none" w:sz="0" w:space="0" w:color="auto"/>
        <w:right w:val="none" w:sz="0" w:space="0" w:color="auto"/>
      </w:divBdr>
    </w:div>
    <w:div w:id="1936549854">
      <w:bodyDiv w:val="1"/>
      <w:marLeft w:val="0"/>
      <w:marRight w:val="0"/>
      <w:marTop w:val="0"/>
      <w:marBottom w:val="0"/>
      <w:divBdr>
        <w:top w:val="none" w:sz="0" w:space="0" w:color="auto"/>
        <w:left w:val="none" w:sz="0" w:space="0" w:color="auto"/>
        <w:bottom w:val="none" w:sz="0" w:space="0" w:color="auto"/>
        <w:right w:val="none" w:sz="0" w:space="0" w:color="auto"/>
      </w:divBdr>
    </w:div>
    <w:div w:id="197062658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4F8E8-CEB0-488E-81C3-5D629526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4987</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Chocholoušová</dc:creator>
  <cp:lastModifiedBy>kurkin4488</cp:lastModifiedBy>
  <cp:revision>3</cp:revision>
  <cp:lastPrinted>2015-11-23T12:28:00Z</cp:lastPrinted>
  <dcterms:created xsi:type="dcterms:W3CDTF">2015-11-27T13:45:00Z</dcterms:created>
  <dcterms:modified xsi:type="dcterms:W3CDTF">2015-11-27T13:46:00Z</dcterms:modified>
</cp:coreProperties>
</file>