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27" w:rsidRDefault="005C6C27" w:rsidP="005C6C27">
      <w:pPr>
        <w:pStyle w:val="Nadpis1"/>
      </w:pPr>
      <w:bookmarkStart w:id="0" w:name="_Toc435002874"/>
      <w:bookmarkStart w:id="1" w:name="_Toc435003630"/>
      <w:bookmarkStart w:id="2" w:name="_Toc435002875"/>
      <w:bookmarkStart w:id="3" w:name="_Toc435003631"/>
      <w:bookmarkStart w:id="4" w:name="_Toc435002876"/>
      <w:bookmarkStart w:id="5" w:name="_Toc435003632"/>
      <w:bookmarkStart w:id="6" w:name="_Toc436052688"/>
      <w:r>
        <w:t>4. Potraty podle rodinného stavu a počtu předchozích dětí/potratů</w:t>
      </w:r>
      <w:bookmarkEnd w:id="6"/>
    </w:p>
    <w:p w:rsidR="005C6C27" w:rsidRDefault="005C6C27" w:rsidP="005C6C27">
      <w:pPr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Vývoj počtu potratů podle rodinného stavu ženy je významně ovlivněn měnící se strukturou populace podle rodinného stavu. Zatímco v roce 2003 žilo v Česku 1 294 810 vdaných žen ve věku 15–49 let, tak v roce 2014 to bylo již jen 1 075 666. Naopak přibylo svobodných žen z 934 003 na 1 109 311 ve stejném období a to se projevilo i ve struktuře žen při potratu podle rodinného stavu. Vdané ženy tak již nejsou </w:t>
      </w:r>
      <w:proofErr w:type="spellStart"/>
      <w:r>
        <w:rPr>
          <w:rStyle w:val="Siln"/>
          <w:b w:val="0"/>
        </w:rPr>
        <w:t>subpopulací</w:t>
      </w:r>
      <w:proofErr w:type="spellEnd"/>
      <w:r>
        <w:rPr>
          <w:rStyle w:val="Siln"/>
          <w:b w:val="0"/>
        </w:rPr>
        <w:t xml:space="preserve"> s </w:t>
      </w:r>
      <w:proofErr w:type="spellStart"/>
      <w:r>
        <w:rPr>
          <w:rStyle w:val="Siln"/>
          <w:b w:val="0"/>
        </w:rPr>
        <w:t>nejvvyšší</w:t>
      </w:r>
      <w:proofErr w:type="spellEnd"/>
      <w:r>
        <w:rPr>
          <w:rStyle w:val="Siln"/>
          <w:b w:val="0"/>
        </w:rPr>
        <w:t xml:space="preserve"> četností všech potratů nebo indukovaných potratů jako na počátku sledovaného období. V případě samovolných potratů ovšem stále zůstávají dominantní kategorií, protože samovolný potrat je obvyklejší ve vyšším věku ženy, kde je zastoupení vdaných žen vyšší. </w:t>
      </w:r>
    </w:p>
    <w:p w:rsidR="005C6C27" w:rsidRDefault="005C6C27" w:rsidP="005C6C27">
      <w:pPr>
        <w:jc w:val="both"/>
        <w:rPr>
          <w:rStyle w:val="Siln"/>
          <w:b w:val="0"/>
        </w:rPr>
      </w:pPr>
    </w:p>
    <w:p w:rsidR="005C6C27" w:rsidRDefault="005C6C27" w:rsidP="005C6C27">
      <w:pPr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Nejvýznamnější změnou ve sledovaném období byl pokles zastoupení vdaných žen u indukovaných </w:t>
      </w:r>
      <w:proofErr w:type="gramStart"/>
      <w:r>
        <w:rPr>
          <w:rStyle w:val="Siln"/>
          <w:b w:val="0"/>
        </w:rPr>
        <w:t>potratů z 49,2</w:t>
      </w:r>
      <w:proofErr w:type="gramEnd"/>
      <w:r>
        <w:rPr>
          <w:rStyle w:val="Siln"/>
          <w:b w:val="0"/>
        </w:rPr>
        <w:t> % na 34,1 %, přičemž se snížil i jejich absolutní počet (z 14 404 v roce 2003 na 7 459 v roce 2014). Poklesl i počet a podíl potratů rozvedených a ovdovělých žen. V posledním sledovaném roce tvořily rozvedené 11,1 % a ovdovělé 0,5 % žen, které podstoupily indukovaný potrat. Navzdory celkovému poklesu umělých přerušení těhotenství se zvýšil počet UPT svobodných žen z 10 852 na 11 604 mezi roky 2003 a 2014. Vliv změny struktury žen podle rodinného stavu tak byl výraznější než efekt poklesu celkové indukované potratovosti. Zároveň došlo k výraznému nárůstu zastoupení svobodných žen na uměle přerušených těhotenstvích z 37,0 % na 53,0 %.</w:t>
      </w:r>
    </w:p>
    <w:p w:rsidR="005C6C27" w:rsidRDefault="005C6C27" w:rsidP="005C6C27">
      <w:pPr>
        <w:jc w:val="both"/>
        <w:rPr>
          <w:rStyle w:val="Siln"/>
          <w:b w:val="0"/>
        </w:rPr>
      </w:pPr>
    </w:p>
    <w:p w:rsidR="005C6C27" w:rsidRDefault="005C6C27" w:rsidP="005C6C27">
      <w:pPr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V případě samovolných potratů došlo k nárůstu počtu případů u svobodných žen z 3 467 v roce 2003 na 5 879 v roce 2014 a jejich zastoupení na celkovém počtu samovolných potratů z 29,7 % na 42,4 %. Stále však byly samovolné potraty svobodných žen méně početné než samovolné potraty vdaných žen, kde nastal </w:t>
      </w:r>
      <w:proofErr w:type="gramStart"/>
      <w:r>
        <w:rPr>
          <w:rStyle w:val="Siln"/>
          <w:b w:val="0"/>
        </w:rPr>
        <w:t>pokles z 7 011</w:t>
      </w:r>
      <w:proofErr w:type="gramEnd"/>
      <w:r>
        <w:rPr>
          <w:rStyle w:val="Siln"/>
          <w:b w:val="0"/>
        </w:rPr>
        <w:t xml:space="preserve"> na 6 241 případů (tendence vývoje však nebyly po celé období stejné) a podíl vdaných žen se snížil z 60,1 % na 45,0 %. Počty samovolným potratů u rozvedených vzrostly z 1 006 v roce 2003 na 1 215 v roce 2014, přičemž podíl se pohyboval okolo 9 %.     </w:t>
      </w:r>
    </w:p>
    <w:p w:rsidR="005C6C27" w:rsidRDefault="005C6C27" w:rsidP="005C6C27">
      <w:pPr>
        <w:jc w:val="both"/>
        <w:rPr>
          <w:rStyle w:val="Siln"/>
          <w:b w:val="0"/>
        </w:rPr>
      </w:pPr>
    </w:p>
    <w:p w:rsidR="005C6C27" w:rsidRDefault="005C6C27" w:rsidP="005C6C27">
      <w:pPr>
        <w:tabs>
          <w:tab w:val="left" w:pos="990"/>
        </w:tabs>
        <w:spacing w:after="60"/>
        <w:rPr>
          <w:rStyle w:val="Siln"/>
        </w:rPr>
      </w:pPr>
      <w:r>
        <w:rPr>
          <w:rStyle w:val="Siln"/>
        </w:rPr>
        <w:t xml:space="preserve">Tab. 6 </w:t>
      </w:r>
      <w:r w:rsidRPr="00E0185B">
        <w:rPr>
          <w:rStyle w:val="Siln"/>
        </w:rPr>
        <w:t>Potraty podle druhu potratu a rodinného stavu ženy v letech 2003, 2009 a 2014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6"/>
        <w:gridCol w:w="1204"/>
        <w:gridCol w:w="1205"/>
        <w:gridCol w:w="1205"/>
        <w:gridCol w:w="1204"/>
        <w:gridCol w:w="1205"/>
        <w:gridCol w:w="1205"/>
        <w:gridCol w:w="1205"/>
      </w:tblGrid>
      <w:tr w:rsidR="005C6C27" w:rsidRPr="00E0185B" w:rsidTr="00E73EF4">
        <w:trPr>
          <w:trHeight w:val="240"/>
        </w:trPr>
        <w:tc>
          <w:tcPr>
            <w:tcW w:w="120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0185B">
              <w:rPr>
                <w:rFonts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0185B">
              <w:rPr>
                <w:rFonts w:cs="Arial"/>
                <w:b/>
                <w:bCs/>
                <w:sz w:val="16"/>
                <w:szCs w:val="16"/>
              </w:rPr>
              <w:t>Rodinný stav ženy</w:t>
            </w:r>
          </w:p>
        </w:tc>
      </w:tr>
      <w:tr w:rsidR="005C6C27" w:rsidRPr="00E0185B" w:rsidTr="00E73EF4">
        <w:trPr>
          <w:trHeight w:val="240"/>
        </w:trPr>
        <w:tc>
          <w:tcPr>
            <w:tcW w:w="12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E0185B" w:rsidRDefault="005C6C27" w:rsidP="00E73EF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svobodná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vdaná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rozvedená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ovdovělá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družka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nezjištěno</w:t>
            </w:r>
          </w:p>
        </w:tc>
      </w:tr>
      <w:tr w:rsidR="005C6C27" w:rsidRPr="00E0185B" w:rsidTr="00E73EF4">
        <w:trPr>
          <w:trHeight w:val="240"/>
        </w:trPr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42 304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14 662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22 233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4 830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510" w:type="dxa"/>
            </w:tcMar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206</w:t>
            </w:r>
          </w:p>
        </w:tc>
      </w:tr>
      <w:tr w:rsidR="005C6C27" w:rsidRPr="00E0185B" w:rsidTr="00E73EF4">
        <w:trPr>
          <w:trHeight w:val="240"/>
        </w:trPr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40 528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16 822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18 297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4 539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510" w:type="dxa"/>
            </w:tcMar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584</w:t>
            </w:r>
          </w:p>
        </w:tc>
      </w:tr>
      <w:tr w:rsidR="005C6C27" w:rsidRPr="00E0185B" w:rsidTr="00E73EF4">
        <w:trPr>
          <w:trHeight w:val="240"/>
        </w:trPr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36 956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17 999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14 214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3 766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510" w:type="dxa"/>
            </w:tcMar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688</w:t>
            </w:r>
          </w:p>
        </w:tc>
      </w:tr>
      <w:tr w:rsidR="005C6C27" w:rsidRPr="00E0185B" w:rsidTr="00E73EF4">
        <w:trPr>
          <w:trHeight w:val="240"/>
        </w:trPr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B1A21">
              <w:rPr>
                <w:rFonts w:cs="Arial"/>
                <w:sz w:val="16"/>
                <w:szCs w:val="16"/>
              </w:rPr>
              <w:t>indukované potraty</w:t>
            </w:r>
          </w:p>
        </w:tc>
      </w:tr>
      <w:tr w:rsidR="005C6C27" w:rsidRPr="00E0185B" w:rsidTr="00E73EF4">
        <w:trPr>
          <w:trHeight w:val="240"/>
        </w:trPr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29 298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10 852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40" w:type="dxa"/>
            </w:tcMar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14 404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3 668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454" w:type="dxa"/>
            </w:tcMar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88</w:t>
            </w:r>
          </w:p>
        </w:tc>
      </w:tr>
      <w:tr w:rsidR="005C6C27" w:rsidRPr="00E0185B" w:rsidTr="00E73EF4">
        <w:trPr>
          <w:trHeight w:val="240"/>
        </w:trPr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24 636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11 271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40" w:type="dxa"/>
            </w:tcMar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9 873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3 067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454" w:type="dxa"/>
            </w:tcMar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229</w:t>
            </w:r>
          </w:p>
        </w:tc>
      </w:tr>
      <w:tr w:rsidR="005C6C27" w:rsidRPr="00E0185B" w:rsidTr="00E73EF4">
        <w:trPr>
          <w:trHeight w:val="240"/>
        </w:trPr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21 893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11 604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40" w:type="dxa"/>
            </w:tcMar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7 459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2 433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454" w:type="dxa"/>
            </w:tcMar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220</w:t>
            </w:r>
          </w:p>
        </w:tc>
      </w:tr>
      <w:tr w:rsidR="005C6C27" w:rsidRPr="00E0185B" w:rsidTr="00E73EF4">
        <w:trPr>
          <w:trHeight w:val="240"/>
        </w:trPr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samovolné potraty</w:t>
            </w:r>
          </w:p>
        </w:tc>
      </w:tr>
      <w:tr w:rsidR="005C6C27" w:rsidRPr="00E0185B" w:rsidTr="00E73EF4">
        <w:trPr>
          <w:trHeight w:val="240"/>
        </w:trPr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11 660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3 467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7 011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1 006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454" w:type="dxa"/>
            </w:tcMar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101</w:t>
            </w:r>
          </w:p>
        </w:tc>
      </w:tr>
      <w:tr w:rsidR="005C6C27" w:rsidRPr="00E0185B" w:rsidTr="00E73EF4">
        <w:trPr>
          <w:trHeight w:val="240"/>
        </w:trPr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15 892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5 551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8 424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1 472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454" w:type="dxa"/>
            </w:tcMar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355</w:t>
            </w:r>
          </w:p>
        </w:tc>
      </w:tr>
      <w:tr w:rsidR="005C6C27" w:rsidRPr="00E0185B" w:rsidTr="00E73EF4">
        <w:trPr>
          <w:trHeight w:val="240"/>
        </w:trPr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13 857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5 879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6 241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1 215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454" w:type="dxa"/>
            </w:tcMar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E0185B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185B">
              <w:rPr>
                <w:rFonts w:cs="Arial"/>
                <w:sz w:val="16"/>
                <w:szCs w:val="16"/>
              </w:rPr>
              <w:t>423</w:t>
            </w:r>
          </w:p>
        </w:tc>
      </w:tr>
    </w:tbl>
    <w:p w:rsidR="005C6C27" w:rsidRPr="00FC1018" w:rsidRDefault="005C6C27" w:rsidP="005C6C27">
      <w:pPr>
        <w:tabs>
          <w:tab w:val="left" w:pos="990"/>
        </w:tabs>
        <w:spacing w:before="60" w:after="60"/>
        <w:rPr>
          <w:rStyle w:val="Siln"/>
          <w:b w:val="0"/>
          <w:i/>
          <w:sz w:val="16"/>
          <w:szCs w:val="16"/>
        </w:rPr>
      </w:pPr>
      <w:r w:rsidRPr="00FC1018">
        <w:rPr>
          <w:rStyle w:val="Siln"/>
          <w:b w:val="0"/>
          <w:i/>
          <w:sz w:val="16"/>
          <w:szCs w:val="16"/>
        </w:rPr>
        <w:t>Pozn</w:t>
      </w:r>
      <w:r>
        <w:rPr>
          <w:rStyle w:val="Siln"/>
          <w:b w:val="0"/>
          <w:i/>
          <w:sz w:val="16"/>
          <w:szCs w:val="16"/>
        </w:rPr>
        <w:t>.</w:t>
      </w:r>
      <w:r w:rsidRPr="00FC1018">
        <w:rPr>
          <w:rStyle w:val="Siln"/>
          <w:b w:val="0"/>
          <w:i/>
          <w:sz w:val="16"/>
          <w:szCs w:val="16"/>
        </w:rPr>
        <w:t>: ÚZIS používá rozšířený čís</w:t>
      </w:r>
      <w:r>
        <w:rPr>
          <w:rStyle w:val="Siln"/>
          <w:b w:val="0"/>
          <w:i/>
          <w:sz w:val="16"/>
          <w:szCs w:val="16"/>
        </w:rPr>
        <w:t>elník kategorií rodinného stavu.</w:t>
      </w:r>
    </w:p>
    <w:p w:rsidR="005C6C27" w:rsidRPr="00F0701F" w:rsidRDefault="005C6C27" w:rsidP="005C6C27">
      <w:pPr>
        <w:jc w:val="both"/>
        <w:rPr>
          <w:rStyle w:val="Siln"/>
        </w:rPr>
      </w:pPr>
    </w:p>
    <w:p w:rsidR="005C6C27" w:rsidRDefault="005C6C27" w:rsidP="005C6C27">
      <w:pPr>
        <w:jc w:val="both"/>
      </w:pPr>
      <w:r w:rsidRPr="00D263B1">
        <w:t>Vývoj celkového počtu potratů podle rodinného stavu byl výslednicí trendů u výše popsaných dvou dominantních druhů potratů. V případě svobodných a vdaných žen byly tendence vývoje obdobné jako u indukovaných potratů. Potraty svobodných žen vzrostly z 14 662 na 17</w:t>
      </w:r>
      <w:r>
        <w:t> 999 a jejich zastoupení z 34,7 % na 48,7 </w:t>
      </w:r>
      <w:r w:rsidRPr="00D263B1">
        <w:t>% mezi roky 2003 a 2014. Naopak v případě vdaných žen byl zaznamenán pokles z </w:t>
      </w:r>
      <w:r>
        <w:t>22 233 na 14 214, neboli z 52,6 % na 38,5 </w:t>
      </w:r>
      <w:r w:rsidRPr="00D263B1">
        <w:t xml:space="preserve">% v relativním vyjádření za stejné období. Odlišné tendence vývoje podle druhu potratu byly </w:t>
      </w:r>
      <w:r>
        <w:t>pozorovány</w:t>
      </w:r>
      <w:r w:rsidRPr="00D263B1">
        <w:t xml:space="preserve"> v případě rozvedených žen, nicméně vliv poklesu indukovaných potratů převážil, a tak se jejich počet </w:t>
      </w:r>
      <w:proofErr w:type="gramStart"/>
      <w:r w:rsidRPr="00D263B1">
        <w:t>snížil z 4 830</w:t>
      </w:r>
      <w:proofErr w:type="gramEnd"/>
      <w:r w:rsidRPr="00D263B1">
        <w:t xml:space="preserve"> na 3 766 v období 2003–2014. Podíl rozvedených žen na potra</w:t>
      </w:r>
      <w:r>
        <w:t>tech poklesl pouze mírně z 11,4 % na 10,2 </w:t>
      </w:r>
      <w:r w:rsidRPr="00D263B1">
        <w:t>%.</w:t>
      </w:r>
      <w:r>
        <w:t xml:space="preserve"> </w:t>
      </w:r>
    </w:p>
    <w:p w:rsidR="005C6C27" w:rsidRDefault="005C6C27" w:rsidP="005C6C27">
      <w:pPr>
        <w:jc w:val="both"/>
      </w:pPr>
    </w:p>
    <w:p w:rsidR="005C6C27" w:rsidRPr="007D1AFF" w:rsidRDefault="005C6C27" w:rsidP="005C6C27">
      <w:pPr>
        <w:jc w:val="both"/>
      </w:pPr>
      <w:r>
        <w:t xml:space="preserve">Kromě zastoupení žen určitého rodinného stavu na jednotlivých druzích potratu, lze pro popis struktury potratů podle rodinného stavu žen využít i přístup odlišný, tedy podíl potratů určitého druhu na všech potratech u žen daného rodinného stavu. Výsledky pak nejsou ovlivněny změnou v počtu žen podle rodinného stavu. Vyšší podíl indukovaných potratů byl typičtější pro svobodné, rozvedené a ovdovělé ženy. V roce 2003 se v případě všech tří rodinných stavů jednalo o hodnotu okolo 75 %, zatímco v roce 2014 už pouze o rozmezí 62–65 %. Méně časté byly UPT u vdaných žen, přičemž i zde došlo k poklesu podílu z 64,8 % na 52,5 %.    </w:t>
      </w:r>
    </w:p>
    <w:p w:rsidR="005C6C27" w:rsidRPr="00973C48" w:rsidRDefault="005C6C27" w:rsidP="005C6C27">
      <w:pPr>
        <w:jc w:val="both"/>
      </w:pPr>
    </w:p>
    <w:p w:rsidR="005C6C27" w:rsidRDefault="005C6C27" w:rsidP="005C6C27">
      <w:pPr>
        <w:rPr>
          <w:b/>
        </w:rPr>
      </w:pPr>
      <w:r>
        <w:rPr>
          <w:b/>
        </w:rPr>
        <w:t>Graf 5</w:t>
      </w:r>
      <w:r w:rsidRPr="000A3F77">
        <w:rPr>
          <w:b/>
        </w:rPr>
        <w:t xml:space="preserve"> </w:t>
      </w:r>
      <w:r w:rsidRPr="00B92363">
        <w:rPr>
          <w:b/>
        </w:rPr>
        <w:t xml:space="preserve">Podíl </w:t>
      </w:r>
      <w:r>
        <w:rPr>
          <w:b/>
        </w:rPr>
        <w:t>indukovaných potratů</w:t>
      </w:r>
      <w:r w:rsidRPr="00B92363">
        <w:rPr>
          <w:b/>
        </w:rPr>
        <w:t xml:space="preserve"> na celkovém počtu potratů podle rodinného stavu </w:t>
      </w:r>
    </w:p>
    <w:p w:rsidR="005C6C27" w:rsidRDefault="005C6C27" w:rsidP="005C6C27">
      <w:pPr>
        <w:rPr>
          <w:b/>
        </w:rPr>
      </w:pPr>
      <w:r w:rsidRPr="00B92363">
        <w:rPr>
          <w:b/>
        </w:rPr>
        <w:t>ženy v letech 2003, 2009 a 2014</w:t>
      </w:r>
    </w:p>
    <w:p w:rsidR="005C6C27" w:rsidRPr="001D40B8" w:rsidRDefault="00E56BC3" w:rsidP="005C6C27">
      <w:pPr>
        <w:spacing w:after="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227.25pt">
            <v:imagedata r:id="rId8" o:title=""/>
          </v:shape>
        </w:pict>
      </w:r>
    </w:p>
    <w:p w:rsidR="005C6C27" w:rsidRDefault="005C6C27" w:rsidP="005C6C27">
      <w:pPr>
        <w:jc w:val="both"/>
      </w:pPr>
    </w:p>
    <w:p w:rsidR="005C6C27" w:rsidRDefault="005C6C27" w:rsidP="005C6C27">
      <w:pPr>
        <w:jc w:val="both"/>
      </w:pPr>
      <w:r>
        <w:t xml:space="preserve">Umělá přerušení těhotenství jsou výrazně diferencována i podle počtu živě narozených dětí do doby potratu. Dlouhodobě nejčastěji UPT podstupují ženy s dvěma dětmi, v roce 2014 šlo o 7 169 případů (32,7 % ze všech UPT). Právě u této skupiny nicméně docházelo k nejvýraznějšímu poklesu počtu případů, protože v roce 2003 se jednalo o 10 493 indukovaných potratů, které tvořily 35,8 % všech UPT. I u ostatních </w:t>
      </w:r>
      <w:proofErr w:type="spellStart"/>
      <w:r>
        <w:t>subpopulací</w:t>
      </w:r>
      <w:proofErr w:type="spellEnd"/>
      <w:r>
        <w:t xml:space="preserve"> žen podle počtu dětí se absolutní počty indukovaných potratů snižovaly. Druhé nejčastější zastoupení měly v roce 2014 ženy bezdětné se zastoupením 28,3 %, které byly následovány ženami s jedním dítětem (25,7 %) a třemi nebo více dětmi (13,2 %). </w:t>
      </w:r>
    </w:p>
    <w:p w:rsidR="005C6C27" w:rsidRDefault="005C6C27" w:rsidP="005C6C27"/>
    <w:p w:rsidR="005C6C27" w:rsidRDefault="005C6C27" w:rsidP="005C6C27">
      <w:pPr>
        <w:jc w:val="both"/>
      </w:pPr>
      <w:r>
        <w:t xml:space="preserve">V kombinaci počtu živě narozených dětí a rodinného stavu tvořily na začátku sledovaného období nejčetnější skupinu žen, které prodělaly indukovaný potrat, vdané ženy se dvěma dětmi (26,2 % ze všech indukovaných potratů v roce 2003), avšak na konci období to byly již svobodné bezdětné ženy (24,9 % v roce 2014). Mezi vdanými ženami absolvovaly umělé přerušení těhotenství v roce 2014 nejčastěji stále ženy se dvěma dětmi (3 889), které byly následovány ženami s jedním (1 664), třemi a více dětmi (1 366) a žádným dítětem (540). Ve zkoumaném rozmezí let se snížilo zastoupení žen s jedním nebo dvěma dětmi, naopak narostlo u bezdětných a v případě žen s vyšším počtem dětí než dvě. U svobodných žen dominovaly UPT u </w:t>
      </w:r>
      <w:proofErr w:type="spellStart"/>
      <w:r>
        <w:t>subpopulace</w:t>
      </w:r>
      <w:proofErr w:type="spellEnd"/>
      <w:r>
        <w:t xml:space="preserve"> bezdětných žen po celé sledované období, byť jejich zastoupení pokleslo z 62,3 % v roce 2003 na 47,0 % v roce 2014, zatímco podíl žen, které již dříve porodily živě narozené dítě, vzrostl z 37,7 % na 53,0 %.       </w:t>
      </w:r>
    </w:p>
    <w:p w:rsidR="005C6C27" w:rsidRPr="003218AA" w:rsidRDefault="005C6C27" w:rsidP="005C6C27">
      <w:pPr>
        <w:jc w:val="both"/>
        <w:rPr>
          <w:bCs/>
        </w:rPr>
      </w:pPr>
    </w:p>
    <w:p w:rsidR="005C6C27" w:rsidRDefault="005C6C27" w:rsidP="005C6C27">
      <w:pPr>
        <w:tabs>
          <w:tab w:val="left" w:pos="990"/>
        </w:tabs>
        <w:spacing w:after="60"/>
        <w:rPr>
          <w:rStyle w:val="Siln"/>
        </w:rPr>
      </w:pPr>
    </w:p>
    <w:p w:rsidR="005C6C27" w:rsidRDefault="005C6C27" w:rsidP="005C6C27">
      <w:pPr>
        <w:tabs>
          <w:tab w:val="left" w:pos="990"/>
        </w:tabs>
        <w:spacing w:after="60"/>
        <w:rPr>
          <w:rStyle w:val="Siln"/>
        </w:rPr>
      </w:pPr>
    </w:p>
    <w:p w:rsidR="005C6C27" w:rsidRDefault="005C6C27" w:rsidP="005C6C27">
      <w:pPr>
        <w:tabs>
          <w:tab w:val="left" w:pos="990"/>
        </w:tabs>
        <w:spacing w:after="60"/>
        <w:rPr>
          <w:rStyle w:val="Siln"/>
        </w:rPr>
      </w:pPr>
    </w:p>
    <w:p w:rsidR="005C6C27" w:rsidRDefault="005C6C27" w:rsidP="005C6C27">
      <w:pPr>
        <w:tabs>
          <w:tab w:val="left" w:pos="990"/>
        </w:tabs>
        <w:spacing w:after="60"/>
        <w:rPr>
          <w:rStyle w:val="Siln"/>
        </w:rPr>
      </w:pPr>
    </w:p>
    <w:p w:rsidR="005C6C27" w:rsidRDefault="005C6C27" w:rsidP="005C6C27">
      <w:r>
        <w:rPr>
          <w:b/>
        </w:rPr>
        <w:t>Graf 6</w:t>
      </w:r>
      <w:r w:rsidRPr="000A3F77">
        <w:rPr>
          <w:b/>
        </w:rPr>
        <w:t xml:space="preserve"> </w:t>
      </w:r>
      <w:r w:rsidRPr="0093402A">
        <w:rPr>
          <w:b/>
        </w:rPr>
        <w:t>Umělá přerušení těhotenství podle rodinného stavu ženy a počtu živě narozených dětí v letech 2003, 2009 a 2014</w:t>
      </w:r>
    </w:p>
    <w:p w:rsidR="005C6C27" w:rsidRPr="00A77E52" w:rsidRDefault="00D914FC" w:rsidP="005C6C27">
      <w:r>
        <w:rPr>
          <w:noProof/>
        </w:rPr>
        <w:pict>
          <v:shape id="_x0000_s1137" type="#_x0000_t75" style="position:absolute;margin-left:.3pt;margin-top:.15pt;width:481.9pt;height:232.7pt;z-index:2">
            <v:imagedata r:id="rId9" o:title=""/>
          </v:shape>
        </w:pict>
      </w:r>
    </w:p>
    <w:p w:rsidR="005C6C27" w:rsidRPr="00A77E52" w:rsidRDefault="005C6C27" w:rsidP="005C6C27"/>
    <w:p w:rsidR="005C6C27" w:rsidRPr="00A77E52" w:rsidRDefault="005C6C27" w:rsidP="005C6C27"/>
    <w:p w:rsidR="005C6C27" w:rsidRPr="00A77E52" w:rsidRDefault="005C6C27" w:rsidP="005C6C27"/>
    <w:p w:rsidR="005C6C27" w:rsidRPr="00A77E52" w:rsidRDefault="005C6C27" w:rsidP="005C6C27"/>
    <w:p w:rsidR="005C6C27" w:rsidRPr="00A77E52" w:rsidRDefault="005C6C27" w:rsidP="005C6C27"/>
    <w:p w:rsidR="005C6C27" w:rsidRPr="00A77E52" w:rsidRDefault="005C6C27" w:rsidP="005C6C27"/>
    <w:p w:rsidR="005C6C27" w:rsidRPr="00A77E52" w:rsidRDefault="005C6C27" w:rsidP="005C6C27"/>
    <w:p w:rsidR="005C6C27" w:rsidRDefault="005C6C27" w:rsidP="005C6C27">
      <w:pPr>
        <w:tabs>
          <w:tab w:val="left" w:pos="990"/>
        </w:tabs>
        <w:spacing w:after="60"/>
        <w:rPr>
          <w:rStyle w:val="Siln"/>
        </w:rPr>
      </w:pPr>
    </w:p>
    <w:p w:rsidR="005C6C27" w:rsidRDefault="005C6C27" w:rsidP="005C6C27">
      <w:pPr>
        <w:tabs>
          <w:tab w:val="left" w:pos="990"/>
        </w:tabs>
        <w:spacing w:after="60"/>
        <w:rPr>
          <w:rStyle w:val="Siln"/>
        </w:rPr>
      </w:pPr>
    </w:p>
    <w:p w:rsidR="005C6C27" w:rsidRDefault="005C6C27" w:rsidP="005C6C27">
      <w:pPr>
        <w:tabs>
          <w:tab w:val="left" w:pos="990"/>
        </w:tabs>
        <w:spacing w:after="60"/>
        <w:rPr>
          <w:rStyle w:val="Siln"/>
        </w:rPr>
      </w:pPr>
    </w:p>
    <w:p w:rsidR="005C6C27" w:rsidRDefault="005C6C27" w:rsidP="005C6C27">
      <w:pPr>
        <w:tabs>
          <w:tab w:val="left" w:pos="990"/>
        </w:tabs>
        <w:spacing w:after="60"/>
        <w:rPr>
          <w:rStyle w:val="Siln"/>
        </w:rPr>
      </w:pPr>
    </w:p>
    <w:p w:rsidR="005C6C27" w:rsidRDefault="005C6C27" w:rsidP="005C6C27">
      <w:pPr>
        <w:tabs>
          <w:tab w:val="left" w:pos="990"/>
        </w:tabs>
        <w:spacing w:after="60"/>
        <w:rPr>
          <w:rStyle w:val="Siln"/>
        </w:rPr>
      </w:pPr>
    </w:p>
    <w:p w:rsidR="005C6C27" w:rsidRDefault="005C6C27" w:rsidP="005C6C27">
      <w:pPr>
        <w:tabs>
          <w:tab w:val="left" w:pos="990"/>
        </w:tabs>
        <w:spacing w:after="60"/>
        <w:rPr>
          <w:rStyle w:val="Siln"/>
        </w:rPr>
      </w:pPr>
    </w:p>
    <w:p w:rsidR="005C6C27" w:rsidRDefault="005C6C27" w:rsidP="005C6C27">
      <w:pPr>
        <w:tabs>
          <w:tab w:val="left" w:pos="990"/>
        </w:tabs>
        <w:spacing w:after="60"/>
        <w:rPr>
          <w:rStyle w:val="Siln"/>
        </w:rPr>
      </w:pPr>
    </w:p>
    <w:p w:rsidR="005C6C27" w:rsidRDefault="005C6C27" w:rsidP="005C6C27">
      <w:pPr>
        <w:tabs>
          <w:tab w:val="left" w:pos="990"/>
        </w:tabs>
        <w:spacing w:after="60"/>
        <w:rPr>
          <w:rStyle w:val="Siln"/>
        </w:rPr>
      </w:pPr>
    </w:p>
    <w:p w:rsidR="005C6C27" w:rsidRDefault="005C6C27" w:rsidP="005C6C27">
      <w:pPr>
        <w:jc w:val="both"/>
      </w:pPr>
      <w:r>
        <w:t>Umělé přerušení těhotenství se týká nejčastěji žen, které ho nikdy před tím neabsolvovaly. Jejich zastoupení navíc v čase roste – indukovaných potratů prvního pořadí bylo 56,5 </w:t>
      </w:r>
      <w:r w:rsidRPr="00054EE5">
        <w:t>%</w:t>
      </w:r>
      <w:r>
        <w:t xml:space="preserve"> ze všech UPT v roce 2003 a v roce 2014 již 64,4 %. Podíl žen, které již nějaké UPT prodělaly, ve sledovaném období naopak klesl. S rostoucím pořadím zákroku zastoupení na všech UPT klesá. Indukovaných potratů druhého pořadí bylo 22,8 </w:t>
      </w:r>
      <w:r w:rsidRPr="00054EE5">
        <w:t>%,</w:t>
      </w:r>
      <w:r>
        <w:t xml:space="preserve"> třetího 8,0 % a čtvrtého a vyššího 4,4 % v roce 2014. Navíc s vyšším pořadím zákroku došlo mezi roky 2003 a 2014 k výraznějšímu poklesu. Zatímco v případě prvního pořadí zákroku šlo pouze o 14,3% pokles, tak u třetího již o 45,8% a u vyšších pořadí dokonce o nadpoloviční pokles.</w:t>
      </w:r>
    </w:p>
    <w:p w:rsidR="005C6C27" w:rsidRDefault="005C6C27" w:rsidP="005C6C27">
      <w:pPr>
        <w:tabs>
          <w:tab w:val="left" w:pos="990"/>
        </w:tabs>
        <w:spacing w:after="60"/>
        <w:rPr>
          <w:rStyle w:val="Siln"/>
        </w:rPr>
      </w:pPr>
    </w:p>
    <w:p w:rsidR="005C6C27" w:rsidRDefault="005C6C27" w:rsidP="005C6C27">
      <w:pPr>
        <w:tabs>
          <w:tab w:val="left" w:pos="990"/>
        </w:tabs>
        <w:spacing w:after="60"/>
        <w:rPr>
          <w:rStyle w:val="Siln"/>
        </w:rPr>
      </w:pPr>
      <w:r>
        <w:rPr>
          <w:rStyle w:val="Siln"/>
        </w:rPr>
        <w:t xml:space="preserve">Tab. 7 </w:t>
      </w:r>
      <w:r w:rsidRPr="00A77E52">
        <w:rPr>
          <w:rStyle w:val="Siln"/>
        </w:rPr>
        <w:t>Umělá přerušení těhotenství podle pořadí zákroku v letech 2003, 2009 a 2014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5C6C27" w:rsidRPr="00DE7B58" w:rsidTr="00E73EF4">
        <w:trPr>
          <w:trHeight w:val="240"/>
        </w:trPr>
        <w:tc>
          <w:tcPr>
            <w:tcW w:w="13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E7B58">
              <w:rPr>
                <w:rFonts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E7B58">
              <w:rPr>
                <w:rFonts w:cs="Arial"/>
                <w:b/>
                <w:bCs/>
                <w:sz w:val="16"/>
                <w:szCs w:val="16"/>
              </w:rPr>
              <w:t>Pořadí zákroku</w:t>
            </w:r>
          </w:p>
        </w:tc>
      </w:tr>
      <w:tr w:rsidR="005C6C27" w:rsidRPr="00DE7B58" w:rsidTr="00E73EF4">
        <w:trPr>
          <w:trHeight w:val="240"/>
        </w:trPr>
        <w:tc>
          <w:tcPr>
            <w:tcW w:w="13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27" w:rsidRPr="00DE7B58" w:rsidRDefault="005C6C27" w:rsidP="00E73EF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E7B58">
              <w:rPr>
                <w:rFonts w:cs="Arial"/>
                <w:sz w:val="16"/>
                <w:szCs w:val="16"/>
              </w:rPr>
              <w:t>5.+</w:t>
            </w:r>
            <w:proofErr w:type="gramEnd"/>
          </w:p>
        </w:tc>
      </w:tr>
      <w:tr w:rsidR="005C6C27" w:rsidRPr="00DE7B58" w:rsidTr="00E73EF4">
        <w:trPr>
          <w:trHeight w:val="240"/>
        </w:trPr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29 298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16 560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7 455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3 237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567" w:type="dxa"/>
            </w:tcMar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1 236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810</w:t>
            </w:r>
          </w:p>
        </w:tc>
      </w:tr>
      <w:tr w:rsidR="005C6C27" w:rsidRPr="00DE7B58" w:rsidTr="00E73EF4">
        <w:trPr>
          <w:trHeight w:val="240"/>
        </w:trPr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24 636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15 351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5 775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2 139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567" w:type="dxa"/>
            </w:tcMar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804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567</w:t>
            </w:r>
          </w:p>
        </w:tc>
      </w:tr>
      <w:tr w:rsidR="005C6C27" w:rsidRPr="00DE7B58" w:rsidTr="00E73EF4">
        <w:trPr>
          <w:trHeight w:val="240"/>
        </w:trPr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21 893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14 190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4 986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1 755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567" w:type="dxa"/>
            </w:tcMar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581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381</w:t>
            </w:r>
          </w:p>
        </w:tc>
      </w:tr>
      <w:tr w:rsidR="005C6C27" w:rsidRPr="00DE7B58" w:rsidTr="00E73EF4">
        <w:trPr>
          <w:trHeight w:val="240"/>
        </w:trPr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vdané ženy</w:t>
            </w:r>
          </w:p>
        </w:tc>
      </w:tr>
      <w:tr w:rsidR="005C6C27" w:rsidRPr="00DE7B58" w:rsidTr="00E73EF4">
        <w:trPr>
          <w:trHeight w:val="240"/>
        </w:trPr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14 404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7 408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4 084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454" w:type="dxa"/>
            </w:tcMar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1 811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681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420</w:t>
            </w:r>
          </w:p>
        </w:tc>
      </w:tr>
      <w:tr w:rsidR="005C6C27" w:rsidRPr="00DE7B58" w:rsidTr="00E73EF4">
        <w:trPr>
          <w:trHeight w:val="240"/>
        </w:trPr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9 873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5 803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2 505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454" w:type="dxa"/>
            </w:tcMar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976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354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235</w:t>
            </w:r>
          </w:p>
        </w:tc>
      </w:tr>
      <w:tr w:rsidR="005C6C27" w:rsidRPr="00DE7B58" w:rsidTr="00E73EF4">
        <w:trPr>
          <w:trHeight w:val="240"/>
        </w:trPr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7 459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4 840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1 699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454" w:type="dxa"/>
            </w:tcMar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614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C27" w:rsidRPr="00DE7B58" w:rsidRDefault="005C6C27" w:rsidP="00E73EF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E7B58">
              <w:rPr>
                <w:rFonts w:cs="Arial"/>
                <w:sz w:val="16"/>
                <w:szCs w:val="16"/>
              </w:rPr>
              <w:t>111</w:t>
            </w:r>
          </w:p>
        </w:tc>
      </w:tr>
    </w:tbl>
    <w:p w:rsidR="005C6C27" w:rsidRPr="00FE657A" w:rsidRDefault="005C6C27" w:rsidP="005C6C27">
      <w:pPr>
        <w:jc w:val="both"/>
        <w:rPr>
          <w:bCs/>
        </w:rPr>
      </w:pPr>
    </w:p>
    <w:p w:rsidR="005C6C27" w:rsidRDefault="005C6C27" w:rsidP="005C6C27">
      <w:pPr>
        <w:spacing w:after="60"/>
        <w:rPr>
          <w:rStyle w:val="Siln"/>
        </w:rPr>
      </w:pPr>
      <w:r w:rsidRPr="00EE36C2">
        <w:rPr>
          <w:rStyle w:val="Siln"/>
        </w:rPr>
        <w:t>Graf 7 Umělá přerušení těhotenství podle pořadí zákroku v letech 2003, 2009 a 2014</w:t>
      </w:r>
    </w:p>
    <w:p w:rsidR="005C6C27" w:rsidRDefault="00D914FC" w:rsidP="005C6C27">
      <w:pPr>
        <w:spacing w:after="60"/>
        <w:rPr>
          <w:rStyle w:val="Siln"/>
        </w:rPr>
      </w:pPr>
      <w:r w:rsidRPr="00D914FC">
        <w:rPr>
          <w:noProof/>
        </w:rPr>
        <w:pict>
          <v:shape id="_x0000_s1130" type="#_x0000_t75" style="position:absolute;margin-left:.3pt;margin-top:-.3pt;width:425.25pt;height:163.5pt;z-index:1" stroked="t">
            <v:imagedata r:id="rId10" o:title=""/>
          </v:shape>
        </w:pict>
      </w:r>
    </w:p>
    <w:p w:rsidR="005C6C27" w:rsidRPr="00DC5DA5" w:rsidRDefault="005C6C27" w:rsidP="005C6C27"/>
    <w:p w:rsidR="005C6C27" w:rsidRPr="00DC5DA5" w:rsidRDefault="005C6C27" w:rsidP="005C6C27"/>
    <w:p w:rsidR="005C6C27" w:rsidRPr="00DC5DA5" w:rsidRDefault="005C6C27" w:rsidP="005C6C27"/>
    <w:p w:rsidR="005C6C27" w:rsidRPr="00DC5DA5" w:rsidRDefault="005C6C27" w:rsidP="005C6C27"/>
    <w:p w:rsidR="005C6C27" w:rsidRPr="00DC5DA5" w:rsidRDefault="005C6C27" w:rsidP="005C6C27"/>
    <w:p w:rsidR="005C6C27" w:rsidRPr="00DC5DA5" w:rsidRDefault="005C6C27" w:rsidP="005C6C27"/>
    <w:p w:rsidR="005C6C27" w:rsidRPr="00DC5DA5" w:rsidRDefault="005C6C27" w:rsidP="005C6C27"/>
    <w:p w:rsidR="005C6C27" w:rsidRPr="00DC5DA5" w:rsidRDefault="005C6C27" w:rsidP="005C6C27"/>
    <w:p w:rsidR="005C6C27" w:rsidRPr="00DC5DA5" w:rsidRDefault="005C6C27" w:rsidP="005C6C27"/>
    <w:p w:rsidR="005C6C27" w:rsidRPr="003218AA" w:rsidRDefault="005C6C27" w:rsidP="005C6C27">
      <w:pPr>
        <w:jc w:val="both"/>
      </w:pPr>
      <w:r>
        <w:lastRenderedPageBreak/>
        <w:t>I v případě vdaných byly nejčastější zákroky prvního pořadí a s rostoucím pořadím UPT klesalo jejich zastoupení. V posledním sledovaném roce bylo zastoupení UPT daného pořadí prakticky totožné u vdaných žen jako u všech žen bez rozlišení rodinného stavu. Na začátku zkoumaného období však vdané ženy vykazovaly častější zastoupení opakovaných zákroků, než bylo typické u všech žen.</w:t>
      </w:r>
    </w:p>
    <w:p w:rsidR="005C6C27" w:rsidRDefault="005C6C27" w:rsidP="005C6C27">
      <w:pPr>
        <w:spacing w:after="60"/>
        <w:rPr>
          <w:rStyle w:val="Siln"/>
        </w:rPr>
      </w:pPr>
    </w:p>
    <w:p w:rsidR="005C6C27" w:rsidRDefault="005C6C27" w:rsidP="005C6C27"/>
    <w:p w:rsidR="005C6C27" w:rsidRDefault="005C6C27" w:rsidP="005C6C27">
      <w:pPr>
        <w:pStyle w:val="Nadpis1"/>
      </w:pPr>
      <w:bookmarkStart w:id="7" w:name="_Toc435002877"/>
      <w:bookmarkStart w:id="8" w:name="_Toc435003633"/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>
      <w:pPr>
        <w:pStyle w:val="Nadpis1"/>
      </w:pPr>
    </w:p>
    <w:p w:rsidR="005C6C27" w:rsidRDefault="005C6C27" w:rsidP="005C6C27"/>
    <w:p w:rsidR="005C6C27" w:rsidRDefault="005C6C27" w:rsidP="005C6C27"/>
    <w:p w:rsidR="005C6C27" w:rsidRDefault="005C6C27" w:rsidP="005C6C27"/>
    <w:p w:rsidR="005C6C27" w:rsidRDefault="005C6C27" w:rsidP="005C6C27"/>
    <w:p w:rsidR="005C6C27" w:rsidRDefault="005C6C27" w:rsidP="005C6C27"/>
    <w:p w:rsidR="005C6C27" w:rsidRDefault="005C6C27" w:rsidP="005C6C27"/>
    <w:p w:rsidR="005C6C27" w:rsidRDefault="005C6C27" w:rsidP="005C6C27"/>
    <w:bookmarkEnd w:id="0"/>
    <w:bookmarkEnd w:id="1"/>
    <w:bookmarkEnd w:id="2"/>
    <w:bookmarkEnd w:id="3"/>
    <w:bookmarkEnd w:id="4"/>
    <w:bookmarkEnd w:id="5"/>
    <w:bookmarkEnd w:id="7"/>
    <w:bookmarkEnd w:id="8"/>
    <w:p w:rsidR="005C6C27" w:rsidRDefault="005C6C27" w:rsidP="005C6C27"/>
    <w:sectPr w:rsidR="005C6C27" w:rsidSect="00140FA0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01" w:rsidRDefault="009D0F01" w:rsidP="00E71A58">
      <w:r>
        <w:separator/>
      </w:r>
    </w:p>
  </w:endnote>
  <w:endnote w:type="continuationSeparator" w:id="0">
    <w:p w:rsidR="009D0F01" w:rsidRDefault="009D0F0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AC" w:rsidRDefault="00D914FC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D914F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8338AC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140FA0">
      <w:rPr>
        <w:rFonts w:ascii="Arial" w:hAnsi="Arial" w:cs="Arial"/>
        <w:noProof/>
        <w:sz w:val="16"/>
        <w:szCs w:val="16"/>
      </w:rPr>
      <w:t>14</w:t>
    </w:r>
    <w:r w:rsidRPr="005A21E0">
      <w:rPr>
        <w:rFonts w:ascii="Arial" w:hAnsi="Arial" w:cs="Arial"/>
        <w:sz w:val="16"/>
        <w:szCs w:val="16"/>
      </w:rPr>
      <w:fldChar w:fldCharType="end"/>
    </w:r>
    <w:r w:rsidR="008338AC">
      <w:rPr>
        <w:rFonts w:ascii="Arial" w:hAnsi="Arial" w:cs="Arial"/>
        <w:sz w:val="16"/>
        <w:szCs w:val="16"/>
      </w:rPr>
      <w:tab/>
      <w:t>2003 - 2014</w:t>
    </w:r>
    <w:r w:rsidR="008338AC">
      <w:tab/>
    </w:r>
    <w:r w:rsidR="008338AC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AC" w:rsidRDefault="00D914FC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D914F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8338AC">
      <w:tab/>
    </w:r>
    <w:r w:rsidR="008338AC">
      <w:tab/>
    </w:r>
    <w:r w:rsidR="008338AC" w:rsidRPr="00DC5B3B">
      <w:t xml:space="preserve">                              </w:t>
    </w:r>
  </w:p>
  <w:p w:rsidR="008338AC" w:rsidRDefault="008338A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2003 - 2014</w:t>
    </w:r>
    <w:r>
      <w:tab/>
    </w:r>
    <w:r>
      <w:tab/>
    </w:r>
    <w:r w:rsidR="00D914FC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D914FC" w:rsidRPr="00B6608F">
      <w:rPr>
        <w:rFonts w:ascii="Arial" w:hAnsi="Arial" w:cs="Arial"/>
        <w:sz w:val="16"/>
        <w:szCs w:val="16"/>
      </w:rPr>
      <w:fldChar w:fldCharType="separate"/>
    </w:r>
    <w:r w:rsidR="00140FA0">
      <w:rPr>
        <w:rFonts w:ascii="Arial" w:hAnsi="Arial" w:cs="Arial"/>
        <w:noProof/>
        <w:sz w:val="16"/>
        <w:szCs w:val="16"/>
      </w:rPr>
      <w:t>15</w:t>
    </w:r>
    <w:r w:rsidR="00D914FC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01" w:rsidRDefault="009D0F01" w:rsidP="00E71A58">
      <w:r>
        <w:separator/>
      </w:r>
    </w:p>
  </w:footnote>
  <w:footnote w:type="continuationSeparator" w:id="0">
    <w:p w:rsidR="009D0F01" w:rsidRDefault="009D0F0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AC" w:rsidRPr="00274C52" w:rsidRDefault="008338AC" w:rsidP="00274C52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potratovosti v České republice 2003 - 2014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AC" w:rsidRPr="00DC5B3B" w:rsidRDefault="008338AC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potratovosti v České republice 2003 - 2014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560"/>
    <w:rsid w:val="0000767A"/>
    <w:rsid w:val="00010702"/>
    <w:rsid w:val="00012FC8"/>
    <w:rsid w:val="00017772"/>
    <w:rsid w:val="000201C7"/>
    <w:rsid w:val="00034244"/>
    <w:rsid w:val="00036285"/>
    <w:rsid w:val="0004352A"/>
    <w:rsid w:val="0004411B"/>
    <w:rsid w:val="0004694F"/>
    <w:rsid w:val="0005216C"/>
    <w:rsid w:val="000521A2"/>
    <w:rsid w:val="00054EE5"/>
    <w:rsid w:val="00062EC5"/>
    <w:rsid w:val="00064A6E"/>
    <w:rsid w:val="00065E26"/>
    <w:rsid w:val="0007196B"/>
    <w:rsid w:val="0007321F"/>
    <w:rsid w:val="00076502"/>
    <w:rsid w:val="00077995"/>
    <w:rsid w:val="000806A9"/>
    <w:rsid w:val="00087634"/>
    <w:rsid w:val="00087715"/>
    <w:rsid w:val="0009023E"/>
    <w:rsid w:val="000A1183"/>
    <w:rsid w:val="000A2408"/>
    <w:rsid w:val="000A3F77"/>
    <w:rsid w:val="000A7662"/>
    <w:rsid w:val="000B053B"/>
    <w:rsid w:val="000C2C9A"/>
    <w:rsid w:val="000C310C"/>
    <w:rsid w:val="000C3408"/>
    <w:rsid w:val="000C43DD"/>
    <w:rsid w:val="000C5D85"/>
    <w:rsid w:val="000D21E1"/>
    <w:rsid w:val="000D68B0"/>
    <w:rsid w:val="000F7F9F"/>
    <w:rsid w:val="001019DD"/>
    <w:rsid w:val="00103C72"/>
    <w:rsid w:val="00104C56"/>
    <w:rsid w:val="00105A44"/>
    <w:rsid w:val="0010609D"/>
    <w:rsid w:val="001134D8"/>
    <w:rsid w:val="001142C0"/>
    <w:rsid w:val="00122EB1"/>
    <w:rsid w:val="00123F17"/>
    <w:rsid w:val="001405FA"/>
    <w:rsid w:val="00140CDB"/>
    <w:rsid w:val="00140FA0"/>
    <w:rsid w:val="001425C3"/>
    <w:rsid w:val="0014699C"/>
    <w:rsid w:val="00147AF4"/>
    <w:rsid w:val="00154804"/>
    <w:rsid w:val="00157A9A"/>
    <w:rsid w:val="00163793"/>
    <w:rsid w:val="00164656"/>
    <w:rsid w:val="00170A75"/>
    <w:rsid w:val="001714F2"/>
    <w:rsid w:val="00172C9E"/>
    <w:rsid w:val="001806E5"/>
    <w:rsid w:val="00184F85"/>
    <w:rsid w:val="00185010"/>
    <w:rsid w:val="00192398"/>
    <w:rsid w:val="0019266C"/>
    <w:rsid w:val="00193560"/>
    <w:rsid w:val="00194A4D"/>
    <w:rsid w:val="001A1EEC"/>
    <w:rsid w:val="001A552F"/>
    <w:rsid w:val="001A6F8E"/>
    <w:rsid w:val="001B18F3"/>
    <w:rsid w:val="001B3110"/>
    <w:rsid w:val="001B44D9"/>
    <w:rsid w:val="001C2FEE"/>
    <w:rsid w:val="001C3F3F"/>
    <w:rsid w:val="001C4C5E"/>
    <w:rsid w:val="001D2B72"/>
    <w:rsid w:val="001D40B8"/>
    <w:rsid w:val="001D434C"/>
    <w:rsid w:val="001F01BA"/>
    <w:rsid w:val="001F1896"/>
    <w:rsid w:val="001F2FE0"/>
    <w:rsid w:val="001F375B"/>
    <w:rsid w:val="001F4597"/>
    <w:rsid w:val="001F511B"/>
    <w:rsid w:val="00200781"/>
    <w:rsid w:val="002029A2"/>
    <w:rsid w:val="00204CF0"/>
    <w:rsid w:val="00206968"/>
    <w:rsid w:val="00210AA5"/>
    <w:rsid w:val="00212167"/>
    <w:rsid w:val="00212BF7"/>
    <w:rsid w:val="00215DF1"/>
    <w:rsid w:val="00217A09"/>
    <w:rsid w:val="0022082C"/>
    <w:rsid w:val="0022139E"/>
    <w:rsid w:val="002252E0"/>
    <w:rsid w:val="002255F6"/>
    <w:rsid w:val="00236443"/>
    <w:rsid w:val="002436BA"/>
    <w:rsid w:val="00244A15"/>
    <w:rsid w:val="0024799E"/>
    <w:rsid w:val="002503C2"/>
    <w:rsid w:val="00252CA7"/>
    <w:rsid w:val="00260890"/>
    <w:rsid w:val="00264437"/>
    <w:rsid w:val="00264C1E"/>
    <w:rsid w:val="00274C52"/>
    <w:rsid w:val="00296D2C"/>
    <w:rsid w:val="00297DC1"/>
    <w:rsid w:val="002A185B"/>
    <w:rsid w:val="002A783F"/>
    <w:rsid w:val="002A7DC7"/>
    <w:rsid w:val="002B0FEE"/>
    <w:rsid w:val="002B31EC"/>
    <w:rsid w:val="002B4710"/>
    <w:rsid w:val="002B506E"/>
    <w:rsid w:val="002C43BD"/>
    <w:rsid w:val="002C7008"/>
    <w:rsid w:val="002D3CD5"/>
    <w:rsid w:val="002E02A1"/>
    <w:rsid w:val="002E114F"/>
    <w:rsid w:val="002E1B28"/>
    <w:rsid w:val="002E2E25"/>
    <w:rsid w:val="002E5906"/>
    <w:rsid w:val="002F2EF8"/>
    <w:rsid w:val="002F3A5D"/>
    <w:rsid w:val="0030026E"/>
    <w:rsid w:val="00304771"/>
    <w:rsid w:val="00306C5B"/>
    <w:rsid w:val="00311FE4"/>
    <w:rsid w:val="003209D6"/>
    <w:rsid w:val="003218AA"/>
    <w:rsid w:val="003240B7"/>
    <w:rsid w:val="00326E0A"/>
    <w:rsid w:val="00332124"/>
    <w:rsid w:val="003379B0"/>
    <w:rsid w:val="00361D8F"/>
    <w:rsid w:val="003657F3"/>
    <w:rsid w:val="00371ACE"/>
    <w:rsid w:val="0037516B"/>
    <w:rsid w:val="003755D9"/>
    <w:rsid w:val="00375620"/>
    <w:rsid w:val="00375CAA"/>
    <w:rsid w:val="00376E97"/>
    <w:rsid w:val="00381095"/>
    <w:rsid w:val="00385358"/>
    <w:rsid w:val="00385D98"/>
    <w:rsid w:val="003A2B4D"/>
    <w:rsid w:val="003A478C"/>
    <w:rsid w:val="003A5525"/>
    <w:rsid w:val="003A6B38"/>
    <w:rsid w:val="003B52BF"/>
    <w:rsid w:val="003B572A"/>
    <w:rsid w:val="003B5A32"/>
    <w:rsid w:val="003B6464"/>
    <w:rsid w:val="003C18AA"/>
    <w:rsid w:val="003C3D67"/>
    <w:rsid w:val="003C6CC2"/>
    <w:rsid w:val="003D7A50"/>
    <w:rsid w:val="003E0A11"/>
    <w:rsid w:val="003E197C"/>
    <w:rsid w:val="003E5477"/>
    <w:rsid w:val="003E5CB3"/>
    <w:rsid w:val="003F313C"/>
    <w:rsid w:val="003F34E0"/>
    <w:rsid w:val="003F69F1"/>
    <w:rsid w:val="004004F4"/>
    <w:rsid w:val="0040649E"/>
    <w:rsid w:val="0040650A"/>
    <w:rsid w:val="00411D86"/>
    <w:rsid w:val="00415DA1"/>
    <w:rsid w:val="004170E6"/>
    <w:rsid w:val="004355AF"/>
    <w:rsid w:val="0043661A"/>
    <w:rsid w:val="00436FFB"/>
    <w:rsid w:val="00445A62"/>
    <w:rsid w:val="0044703E"/>
    <w:rsid w:val="00460DDC"/>
    <w:rsid w:val="004667A9"/>
    <w:rsid w:val="00467479"/>
    <w:rsid w:val="00476265"/>
    <w:rsid w:val="0048086F"/>
    <w:rsid w:val="0048139F"/>
    <w:rsid w:val="0048153A"/>
    <w:rsid w:val="0048205E"/>
    <w:rsid w:val="00483998"/>
    <w:rsid w:val="004860D8"/>
    <w:rsid w:val="004913E7"/>
    <w:rsid w:val="0049170D"/>
    <w:rsid w:val="00495423"/>
    <w:rsid w:val="004A1370"/>
    <w:rsid w:val="004A77DF"/>
    <w:rsid w:val="004B520D"/>
    <w:rsid w:val="004B55B7"/>
    <w:rsid w:val="004B5666"/>
    <w:rsid w:val="004B6341"/>
    <w:rsid w:val="004B636E"/>
    <w:rsid w:val="004B6F16"/>
    <w:rsid w:val="004C108A"/>
    <w:rsid w:val="004C1616"/>
    <w:rsid w:val="004C3867"/>
    <w:rsid w:val="004C4CD0"/>
    <w:rsid w:val="004C70DC"/>
    <w:rsid w:val="004D0211"/>
    <w:rsid w:val="004D1956"/>
    <w:rsid w:val="004F06F5"/>
    <w:rsid w:val="004F31C9"/>
    <w:rsid w:val="00502AE2"/>
    <w:rsid w:val="00506651"/>
    <w:rsid w:val="005108C0"/>
    <w:rsid w:val="00511873"/>
    <w:rsid w:val="00513B7E"/>
    <w:rsid w:val="005241A9"/>
    <w:rsid w:val="00525137"/>
    <w:rsid w:val="005251DD"/>
    <w:rsid w:val="005327C8"/>
    <w:rsid w:val="0054005D"/>
    <w:rsid w:val="00542888"/>
    <w:rsid w:val="0054533E"/>
    <w:rsid w:val="00573280"/>
    <w:rsid w:val="00576AA9"/>
    <w:rsid w:val="00580978"/>
    <w:rsid w:val="00583FFD"/>
    <w:rsid w:val="00590BA0"/>
    <w:rsid w:val="00593152"/>
    <w:rsid w:val="005A21E0"/>
    <w:rsid w:val="005A3E79"/>
    <w:rsid w:val="005B2806"/>
    <w:rsid w:val="005B4B1A"/>
    <w:rsid w:val="005C666D"/>
    <w:rsid w:val="005C6C27"/>
    <w:rsid w:val="005D03FE"/>
    <w:rsid w:val="005D2852"/>
    <w:rsid w:val="005D5802"/>
    <w:rsid w:val="005E0178"/>
    <w:rsid w:val="005E06FB"/>
    <w:rsid w:val="005F4D2C"/>
    <w:rsid w:val="005F5483"/>
    <w:rsid w:val="00604307"/>
    <w:rsid w:val="0060487F"/>
    <w:rsid w:val="00613571"/>
    <w:rsid w:val="006137B9"/>
    <w:rsid w:val="00616584"/>
    <w:rsid w:val="00616B1B"/>
    <w:rsid w:val="00624093"/>
    <w:rsid w:val="00632F05"/>
    <w:rsid w:val="006404A7"/>
    <w:rsid w:val="00642BDB"/>
    <w:rsid w:val="006451E4"/>
    <w:rsid w:val="00657681"/>
    <w:rsid w:val="00657E87"/>
    <w:rsid w:val="00660EB1"/>
    <w:rsid w:val="00662D0E"/>
    <w:rsid w:val="006674CA"/>
    <w:rsid w:val="006707D9"/>
    <w:rsid w:val="006710C9"/>
    <w:rsid w:val="00674B68"/>
    <w:rsid w:val="00675E37"/>
    <w:rsid w:val="0068212B"/>
    <w:rsid w:val="0068260E"/>
    <w:rsid w:val="006828BF"/>
    <w:rsid w:val="00690F98"/>
    <w:rsid w:val="00691D13"/>
    <w:rsid w:val="00694DAC"/>
    <w:rsid w:val="006959CA"/>
    <w:rsid w:val="00695BEF"/>
    <w:rsid w:val="00696759"/>
    <w:rsid w:val="006977F6"/>
    <w:rsid w:val="00697A13"/>
    <w:rsid w:val="00697E9B"/>
    <w:rsid w:val="006A109C"/>
    <w:rsid w:val="006A5260"/>
    <w:rsid w:val="006B215A"/>
    <w:rsid w:val="006B4091"/>
    <w:rsid w:val="006B78D8"/>
    <w:rsid w:val="006C113F"/>
    <w:rsid w:val="006C33F3"/>
    <w:rsid w:val="006D244B"/>
    <w:rsid w:val="006D61F6"/>
    <w:rsid w:val="006D69AB"/>
    <w:rsid w:val="006E0B4C"/>
    <w:rsid w:val="006E279A"/>
    <w:rsid w:val="006E313B"/>
    <w:rsid w:val="006F0045"/>
    <w:rsid w:val="006F0845"/>
    <w:rsid w:val="006F24D2"/>
    <w:rsid w:val="006F2803"/>
    <w:rsid w:val="006F54F6"/>
    <w:rsid w:val="0070505F"/>
    <w:rsid w:val="00711088"/>
    <w:rsid w:val="007211F5"/>
    <w:rsid w:val="007228C4"/>
    <w:rsid w:val="007263C9"/>
    <w:rsid w:val="007264FE"/>
    <w:rsid w:val="00730AE8"/>
    <w:rsid w:val="00733C7C"/>
    <w:rsid w:val="00734238"/>
    <w:rsid w:val="00736A5D"/>
    <w:rsid w:val="00741493"/>
    <w:rsid w:val="007428C2"/>
    <w:rsid w:val="00752180"/>
    <w:rsid w:val="00755D3A"/>
    <w:rsid w:val="007578A3"/>
    <w:rsid w:val="007601F9"/>
    <w:rsid w:val="007609C6"/>
    <w:rsid w:val="0076792E"/>
    <w:rsid w:val="0077204F"/>
    <w:rsid w:val="00774AA2"/>
    <w:rsid w:val="00776527"/>
    <w:rsid w:val="00780786"/>
    <w:rsid w:val="007828F6"/>
    <w:rsid w:val="00790F30"/>
    <w:rsid w:val="007954FC"/>
    <w:rsid w:val="007A3527"/>
    <w:rsid w:val="007A6D51"/>
    <w:rsid w:val="007B1632"/>
    <w:rsid w:val="007B47EE"/>
    <w:rsid w:val="007B5593"/>
    <w:rsid w:val="007B60D9"/>
    <w:rsid w:val="007B6F89"/>
    <w:rsid w:val="007C02DC"/>
    <w:rsid w:val="007C6571"/>
    <w:rsid w:val="007C6C64"/>
    <w:rsid w:val="007D1AFF"/>
    <w:rsid w:val="007D2A36"/>
    <w:rsid w:val="007E12CE"/>
    <w:rsid w:val="007E61C9"/>
    <w:rsid w:val="007E7E61"/>
    <w:rsid w:val="007F1A9D"/>
    <w:rsid w:val="007F4DDE"/>
    <w:rsid w:val="007F4FF7"/>
    <w:rsid w:val="0080476F"/>
    <w:rsid w:val="00807690"/>
    <w:rsid w:val="008116AA"/>
    <w:rsid w:val="008157E9"/>
    <w:rsid w:val="00815B66"/>
    <w:rsid w:val="00817388"/>
    <w:rsid w:val="0082021A"/>
    <w:rsid w:val="0082089F"/>
    <w:rsid w:val="00821FF6"/>
    <w:rsid w:val="0082216C"/>
    <w:rsid w:val="0083143E"/>
    <w:rsid w:val="00832CAF"/>
    <w:rsid w:val="008338AC"/>
    <w:rsid w:val="00833B1C"/>
    <w:rsid w:val="0083424D"/>
    <w:rsid w:val="00834F39"/>
    <w:rsid w:val="00834FAA"/>
    <w:rsid w:val="00836086"/>
    <w:rsid w:val="00837203"/>
    <w:rsid w:val="00841677"/>
    <w:rsid w:val="008437F4"/>
    <w:rsid w:val="0085297F"/>
    <w:rsid w:val="00857096"/>
    <w:rsid w:val="008615A0"/>
    <w:rsid w:val="008655FD"/>
    <w:rsid w:val="00875C6F"/>
    <w:rsid w:val="00876086"/>
    <w:rsid w:val="008B2188"/>
    <w:rsid w:val="008B23DE"/>
    <w:rsid w:val="008B35C0"/>
    <w:rsid w:val="008B6F71"/>
    <w:rsid w:val="008B7C02"/>
    <w:rsid w:val="008C0E88"/>
    <w:rsid w:val="008D2A16"/>
    <w:rsid w:val="008D6FF1"/>
    <w:rsid w:val="008D7970"/>
    <w:rsid w:val="008E31FF"/>
    <w:rsid w:val="008F688E"/>
    <w:rsid w:val="009003A8"/>
    <w:rsid w:val="00902220"/>
    <w:rsid w:val="00902EFF"/>
    <w:rsid w:val="0090382A"/>
    <w:rsid w:val="00904570"/>
    <w:rsid w:val="0090722D"/>
    <w:rsid w:val="009136AA"/>
    <w:rsid w:val="00921F02"/>
    <w:rsid w:val="00921F14"/>
    <w:rsid w:val="009258A1"/>
    <w:rsid w:val="0093402A"/>
    <w:rsid w:val="00937669"/>
    <w:rsid w:val="009416E5"/>
    <w:rsid w:val="00941875"/>
    <w:rsid w:val="0094427A"/>
    <w:rsid w:val="009451B5"/>
    <w:rsid w:val="00955BD7"/>
    <w:rsid w:val="00960E53"/>
    <w:rsid w:val="00963E92"/>
    <w:rsid w:val="00973454"/>
    <w:rsid w:val="00973C48"/>
    <w:rsid w:val="00974923"/>
    <w:rsid w:val="0097703E"/>
    <w:rsid w:val="0098477B"/>
    <w:rsid w:val="009851B0"/>
    <w:rsid w:val="00990854"/>
    <w:rsid w:val="00992537"/>
    <w:rsid w:val="00997CE4"/>
    <w:rsid w:val="009B1284"/>
    <w:rsid w:val="009B1A67"/>
    <w:rsid w:val="009B6FD3"/>
    <w:rsid w:val="009B7FBC"/>
    <w:rsid w:val="009C14AE"/>
    <w:rsid w:val="009C4A06"/>
    <w:rsid w:val="009C4EE0"/>
    <w:rsid w:val="009C6708"/>
    <w:rsid w:val="009D0F01"/>
    <w:rsid w:val="009E4971"/>
    <w:rsid w:val="009E563A"/>
    <w:rsid w:val="009E6A52"/>
    <w:rsid w:val="009F2CF7"/>
    <w:rsid w:val="00A02998"/>
    <w:rsid w:val="00A05B33"/>
    <w:rsid w:val="00A10903"/>
    <w:rsid w:val="00A10D66"/>
    <w:rsid w:val="00A21518"/>
    <w:rsid w:val="00A22E33"/>
    <w:rsid w:val="00A23E43"/>
    <w:rsid w:val="00A258A7"/>
    <w:rsid w:val="00A31AFC"/>
    <w:rsid w:val="00A33EFD"/>
    <w:rsid w:val="00A35033"/>
    <w:rsid w:val="00A37E7C"/>
    <w:rsid w:val="00A40EA0"/>
    <w:rsid w:val="00A429B8"/>
    <w:rsid w:val="00A46DE0"/>
    <w:rsid w:val="00A51A01"/>
    <w:rsid w:val="00A52F3B"/>
    <w:rsid w:val="00A53F2C"/>
    <w:rsid w:val="00A56ABF"/>
    <w:rsid w:val="00A62522"/>
    <w:rsid w:val="00A62CE1"/>
    <w:rsid w:val="00A63587"/>
    <w:rsid w:val="00A6412E"/>
    <w:rsid w:val="00A75426"/>
    <w:rsid w:val="00A75E40"/>
    <w:rsid w:val="00A77E52"/>
    <w:rsid w:val="00A81345"/>
    <w:rsid w:val="00A8357E"/>
    <w:rsid w:val="00A857C0"/>
    <w:rsid w:val="00AA4771"/>
    <w:rsid w:val="00AA559A"/>
    <w:rsid w:val="00AB0140"/>
    <w:rsid w:val="00AB11D5"/>
    <w:rsid w:val="00AB238A"/>
    <w:rsid w:val="00AB2AF1"/>
    <w:rsid w:val="00AB5B80"/>
    <w:rsid w:val="00AD2536"/>
    <w:rsid w:val="00AD306C"/>
    <w:rsid w:val="00AD427F"/>
    <w:rsid w:val="00AD6E5C"/>
    <w:rsid w:val="00AD7ADA"/>
    <w:rsid w:val="00AE11E5"/>
    <w:rsid w:val="00AE42E0"/>
    <w:rsid w:val="00AE5985"/>
    <w:rsid w:val="00AE7D31"/>
    <w:rsid w:val="00AF0804"/>
    <w:rsid w:val="00AF0A3D"/>
    <w:rsid w:val="00AF263F"/>
    <w:rsid w:val="00AF5EEF"/>
    <w:rsid w:val="00B01CAD"/>
    <w:rsid w:val="00B05D4A"/>
    <w:rsid w:val="00B107C4"/>
    <w:rsid w:val="00B1157F"/>
    <w:rsid w:val="00B15B8E"/>
    <w:rsid w:val="00B17E71"/>
    <w:rsid w:val="00B17FDE"/>
    <w:rsid w:val="00B32DDB"/>
    <w:rsid w:val="00B3421C"/>
    <w:rsid w:val="00B34658"/>
    <w:rsid w:val="00B403C2"/>
    <w:rsid w:val="00B52068"/>
    <w:rsid w:val="00B54014"/>
    <w:rsid w:val="00B540AE"/>
    <w:rsid w:val="00B643B5"/>
    <w:rsid w:val="00B6608F"/>
    <w:rsid w:val="00B7412F"/>
    <w:rsid w:val="00B7422B"/>
    <w:rsid w:val="00B76D1E"/>
    <w:rsid w:val="00B87356"/>
    <w:rsid w:val="00B8761E"/>
    <w:rsid w:val="00B92363"/>
    <w:rsid w:val="00B95940"/>
    <w:rsid w:val="00B95E7B"/>
    <w:rsid w:val="00B9631C"/>
    <w:rsid w:val="00B968A3"/>
    <w:rsid w:val="00B97BEC"/>
    <w:rsid w:val="00BA493B"/>
    <w:rsid w:val="00BA53B4"/>
    <w:rsid w:val="00BB295B"/>
    <w:rsid w:val="00BC3543"/>
    <w:rsid w:val="00BD0FD6"/>
    <w:rsid w:val="00BD366B"/>
    <w:rsid w:val="00BD5F17"/>
    <w:rsid w:val="00BD6D50"/>
    <w:rsid w:val="00BF18B9"/>
    <w:rsid w:val="00BF6753"/>
    <w:rsid w:val="00BF684B"/>
    <w:rsid w:val="00C055E5"/>
    <w:rsid w:val="00C076AD"/>
    <w:rsid w:val="00C07CB0"/>
    <w:rsid w:val="00C13B41"/>
    <w:rsid w:val="00C21F94"/>
    <w:rsid w:val="00C22152"/>
    <w:rsid w:val="00C24662"/>
    <w:rsid w:val="00C32659"/>
    <w:rsid w:val="00C35311"/>
    <w:rsid w:val="00C429E2"/>
    <w:rsid w:val="00C44F48"/>
    <w:rsid w:val="00C70D55"/>
    <w:rsid w:val="00C71A82"/>
    <w:rsid w:val="00C80F44"/>
    <w:rsid w:val="00C83086"/>
    <w:rsid w:val="00C845F2"/>
    <w:rsid w:val="00C90CF4"/>
    <w:rsid w:val="00C93389"/>
    <w:rsid w:val="00C94820"/>
    <w:rsid w:val="00C9579E"/>
    <w:rsid w:val="00C96072"/>
    <w:rsid w:val="00CA40DC"/>
    <w:rsid w:val="00CA4DFD"/>
    <w:rsid w:val="00CB1A21"/>
    <w:rsid w:val="00CB1F20"/>
    <w:rsid w:val="00CC21CF"/>
    <w:rsid w:val="00CC2959"/>
    <w:rsid w:val="00CC55BF"/>
    <w:rsid w:val="00CD36EF"/>
    <w:rsid w:val="00CE28C3"/>
    <w:rsid w:val="00CE4593"/>
    <w:rsid w:val="00CF062E"/>
    <w:rsid w:val="00CF0AB9"/>
    <w:rsid w:val="00CF3D97"/>
    <w:rsid w:val="00CF51EC"/>
    <w:rsid w:val="00CF62E2"/>
    <w:rsid w:val="00D01F7E"/>
    <w:rsid w:val="00D02E35"/>
    <w:rsid w:val="00D040DD"/>
    <w:rsid w:val="00D068A7"/>
    <w:rsid w:val="00D10D82"/>
    <w:rsid w:val="00D122EA"/>
    <w:rsid w:val="00D23F39"/>
    <w:rsid w:val="00D263B1"/>
    <w:rsid w:val="00D32AAF"/>
    <w:rsid w:val="00D43D06"/>
    <w:rsid w:val="00D43D2E"/>
    <w:rsid w:val="00D460EA"/>
    <w:rsid w:val="00D534D1"/>
    <w:rsid w:val="00D572FB"/>
    <w:rsid w:val="00D575D2"/>
    <w:rsid w:val="00D625B4"/>
    <w:rsid w:val="00D62AC6"/>
    <w:rsid w:val="00D72B1F"/>
    <w:rsid w:val="00D743DE"/>
    <w:rsid w:val="00D754E2"/>
    <w:rsid w:val="00D762A9"/>
    <w:rsid w:val="00D7711E"/>
    <w:rsid w:val="00D83D01"/>
    <w:rsid w:val="00D842C8"/>
    <w:rsid w:val="00D914FC"/>
    <w:rsid w:val="00D93EF6"/>
    <w:rsid w:val="00DB4F12"/>
    <w:rsid w:val="00DB5E26"/>
    <w:rsid w:val="00DB68CB"/>
    <w:rsid w:val="00DC069D"/>
    <w:rsid w:val="00DC5B3B"/>
    <w:rsid w:val="00DC5DA5"/>
    <w:rsid w:val="00DD0975"/>
    <w:rsid w:val="00DD3A4D"/>
    <w:rsid w:val="00DE5DFF"/>
    <w:rsid w:val="00DE7B58"/>
    <w:rsid w:val="00DF55A4"/>
    <w:rsid w:val="00DF5D00"/>
    <w:rsid w:val="00E0185B"/>
    <w:rsid w:val="00E01C0E"/>
    <w:rsid w:val="00E04694"/>
    <w:rsid w:val="00E069D1"/>
    <w:rsid w:val="00E12FE5"/>
    <w:rsid w:val="00E130B7"/>
    <w:rsid w:val="00E35452"/>
    <w:rsid w:val="00E50A6A"/>
    <w:rsid w:val="00E5164D"/>
    <w:rsid w:val="00E54A3E"/>
    <w:rsid w:val="00E56BC3"/>
    <w:rsid w:val="00E60723"/>
    <w:rsid w:val="00E66030"/>
    <w:rsid w:val="00E71A58"/>
    <w:rsid w:val="00E7533F"/>
    <w:rsid w:val="00E80415"/>
    <w:rsid w:val="00E84273"/>
    <w:rsid w:val="00E84B1E"/>
    <w:rsid w:val="00E86FC5"/>
    <w:rsid w:val="00E9330A"/>
    <w:rsid w:val="00E940A5"/>
    <w:rsid w:val="00EA0C68"/>
    <w:rsid w:val="00EA0EAA"/>
    <w:rsid w:val="00EA1E3B"/>
    <w:rsid w:val="00EA67F4"/>
    <w:rsid w:val="00EA6A1C"/>
    <w:rsid w:val="00EB0D24"/>
    <w:rsid w:val="00EB4350"/>
    <w:rsid w:val="00EC1924"/>
    <w:rsid w:val="00EC3698"/>
    <w:rsid w:val="00ED0F86"/>
    <w:rsid w:val="00ED286F"/>
    <w:rsid w:val="00ED324D"/>
    <w:rsid w:val="00EE0963"/>
    <w:rsid w:val="00EE36C2"/>
    <w:rsid w:val="00EE375F"/>
    <w:rsid w:val="00EE3E78"/>
    <w:rsid w:val="00EE67CC"/>
    <w:rsid w:val="00EE6F61"/>
    <w:rsid w:val="00EF1F5A"/>
    <w:rsid w:val="00EF4271"/>
    <w:rsid w:val="00EF4D97"/>
    <w:rsid w:val="00EF5EBF"/>
    <w:rsid w:val="00EF639D"/>
    <w:rsid w:val="00F029A3"/>
    <w:rsid w:val="00F04811"/>
    <w:rsid w:val="00F0488C"/>
    <w:rsid w:val="00F04B8A"/>
    <w:rsid w:val="00F06149"/>
    <w:rsid w:val="00F0701F"/>
    <w:rsid w:val="00F10F37"/>
    <w:rsid w:val="00F15BEF"/>
    <w:rsid w:val="00F21C5E"/>
    <w:rsid w:val="00F220F4"/>
    <w:rsid w:val="00F24FAA"/>
    <w:rsid w:val="00F30472"/>
    <w:rsid w:val="00F3364D"/>
    <w:rsid w:val="00F41787"/>
    <w:rsid w:val="00F55DA6"/>
    <w:rsid w:val="00F61146"/>
    <w:rsid w:val="00F617C2"/>
    <w:rsid w:val="00F61FFA"/>
    <w:rsid w:val="00F63DDE"/>
    <w:rsid w:val="00F63FB7"/>
    <w:rsid w:val="00F73A0C"/>
    <w:rsid w:val="00F764B8"/>
    <w:rsid w:val="00F8104D"/>
    <w:rsid w:val="00F825D6"/>
    <w:rsid w:val="00F84358"/>
    <w:rsid w:val="00F961E0"/>
    <w:rsid w:val="00F9790A"/>
    <w:rsid w:val="00FA283D"/>
    <w:rsid w:val="00FA2EF2"/>
    <w:rsid w:val="00FB34B2"/>
    <w:rsid w:val="00FB7DCB"/>
    <w:rsid w:val="00FC0E5F"/>
    <w:rsid w:val="00FC1018"/>
    <w:rsid w:val="00FC36CA"/>
    <w:rsid w:val="00FC435B"/>
    <w:rsid w:val="00FC56DE"/>
    <w:rsid w:val="00FC6923"/>
    <w:rsid w:val="00FE1C84"/>
    <w:rsid w:val="00FE2F78"/>
    <w:rsid w:val="00FE657A"/>
    <w:rsid w:val="00FF1979"/>
    <w:rsid w:val="00FF597E"/>
    <w:rsid w:val="00FF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styleId="Siln">
    <w:name w:val="Strong"/>
    <w:uiPriority w:val="22"/>
    <w:qFormat/>
    <w:rsid w:val="00A258A7"/>
    <w:rPr>
      <w:b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274C52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1C2FEE"/>
    <w:pPr>
      <w:tabs>
        <w:tab w:val="right" w:leader="dot" w:pos="9628"/>
      </w:tabs>
      <w:spacing w:afterLines="6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274C52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274C52"/>
    <w:pPr>
      <w:ind w:left="400"/>
    </w:pPr>
  </w:style>
  <w:style w:type="paragraph" w:styleId="Normlnweb">
    <w:name w:val="Normal (Web)"/>
    <w:basedOn w:val="Normln"/>
    <w:uiPriority w:val="99"/>
    <w:semiHidden/>
    <w:unhideWhenUsed/>
    <w:rsid w:val="007F1A9D"/>
    <w:rPr>
      <w:rFonts w:ascii="Times New Roman" w:hAnsi="Times New Roman"/>
      <w:sz w:val="24"/>
    </w:rPr>
  </w:style>
  <w:style w:type="character" w:styleId="Zvraznn">
    <w:name w:val="Emphasis"/>
    <w:uiPriority w:val="20"/>
    <w:qFormat/>
    <w:rsid w:val="00204CF0"/>
    <w:rPr>
      <w:i/>
      <w:iCs/>
    </w:rPr>
  </w:style>
  <w:style w:type="character" w:styleId="Odkaznakoment">
    <w:name w:val="annotation reference"/>
    <w:uiPriority w:val="99"/>
    <w:semiHidden/>
    <w:unhideWhenUsed/>
    <w:rsid w:val="004B6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36E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4B636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3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636E"/>
    <w:rPr>
      <w:rFonts w:ascii="Arial" w:eastAsia="Times New Roman" w:hAnsi="Arial"/>
      <w:b/>
      <w:bCs/>
    </w:rPr>
  </w:style>
  <w:style w:type="paragraph" w:customStyle="1" w:styleId="paragraftext">
    <w:name w:val="paragraftext"/>
    <w:basedOn w:val="Normln"/>
    <w:rsid w:val="0054533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ismeno">
    <w:name w:val="pismeno"/>
    <w:basedOn w:val="Normln"/>
    <w:rsid w:val="0054533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od">
    <w:name w:val="bod"/>
    <w:basedOn w:val="Normln"/>
    <w:rsid w:val="0054533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B8A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B8A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F04B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B8CA6-8FA1-41E6-96F0-A443608F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6467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Chocholoušová</dc:creator>
  <cp:lastModifiedBy>kurkin4488</cp:lastModifiedBy>
  <cp:revision>3</cp:revision>
  <cp:lastPrinted>2015-11-23T12:28:00Z</cp:lastPrinted>
  <dcterms:created xsi:type="dcterms:W3CDTF">2015-11-27T13:42:00Z</dcterms:created>
  <dcterms:modified xsi:type="dcterms:W3CDTF">2015-11-27T13:43:00Z</dcterms:modified>
</cp:coreProperties>
</file>