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9" w:rsidRDefault="00C355B9">
      <w:pPr>
        <w:pStyle w:val="Nadpis4"/>
        <w:jc w:val="center"/>
      </w:pPr>
      <w:r>
        <w:t xml:space="preserve">Energetické bilance ČR </w:t>
      </w:r>
    </w:p>
    <w:p w:rsidR="00C355B9" w:rsidRDefault="00C355B9">
      <w:pPr>
        <w:suppressAutoHyphens/>
        <w:jc w:val="center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(metodika Českého statistického úřadu)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sz w:val="24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Český statistický úřad publikuje energetickou bilanci v metodice, která byla používána před rokem 1993, čímž je zaručena srovnatelnost časových řad. Základní metodický rozdíl mezi metodikou ČSÚ a mezinárodní metodikou (používanou IEA/OECD</w:t>
      </w:r>
      <w:r>
        <w:rPr>
          <w:rFonts w:ascii="Arial" w:hAnsi="Arial" w:cs="Arial"/>
          <w:spacing w:val="-2"/>
          <w:lang w:val="en-US"/>
        </w:rPr>
        <w:t>, Eurostatem</w:t>
      </w:r>
      <w:r>
        <w:rPr>
          <w:rFonts w:ascii="Arial" w:hAnsi="Arial" w:cs="Arial"/>
          <w:spacing w:val="-2"/>
        </w:rPr>
        <w:t xml:space="preserve"> a OSN) je ve vykazování tepelné energie. ČSÚ vykazuje veškeré vyrobené teplo včetně tepla ze závodních výroben a palivo spotřebované na výrobu tohoto tepla v transformačním sektoru energetické bilance, zatímco mezinárodní metodika uvádí pouze teplo vyrobené ve veřejných výrobnách a teplo vyrobené v závodních výrobnách určené na prodej mimo vlastní podnik a palivo na výrobu tohoto tepla spotřebované. Teplo vyrobené v závodních výrobnách pro vlastní spotřebu v podniku v energetické bilanci mezinárodní metodika neuvádí, palivo spotřebované na výrobu tohoto tepla se zahrnuje do konečné spotřeby.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 zpracování úlohy „Energetická bilance ČR“ se využívají výsledky statistických zjišťování, které jsou zabezpečovány převážně ČSÚ, částečně pak MPO (Ministerstvo průmyslu a obchodu) a ERÚ (Energetický regulační úřad).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Základními výkazy jsou: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5-01 </w:t>
      </w:r>
      <w:r>
        <w:rPr>
          <w:rFonts w:ascii="Arial" w:hAnsi="Arial" w:cs="Arial"/>
          <w:spacing w:val="-2"/>
        </w:rPr>
        <w:tab/>
        <w:t>Roční výkaz o spotřebě paliv a energie a zásobách paliv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7-01 </w:t>
      </w:r>
      <w:r>
        <w:rPr>
          <w:rFonts w:ascii="Arial" w:hAnsi="Arial" w:cs="Arial"/>
          <w:spacing w:val="-2"/>
        </w:rPr>
        <w:tab/>
        <w:t>Roční výkaz o zdrojích a rozdělení paliv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8-01 </w:t>
      </w:r>
      <w:r>
        <w:rPr>
          <w:rFonts w:ascii="Arial" w:hAnsi="Arial" w:cs="Arial"/>
          <w:spacing w:val="-2"/>
        </w:rPr>
        <w:tab/>
        <w:t>Roční výkaz o energetických pochodech zušlechťování paliv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EP 9-01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Roční výkaz o spotřebě paliv a energie na výrobu vybraných výrobků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 10-01 </w:t>
      </w:r>
      <w:r>
        <w:rPr>
          <w:rFonts w:ascii="Arial" w:hAnsi="Arial" w:cs="Arial"/>
        </w:rPr>
        <w:tab/>
        <w:t>Roční výkaz o výrobě a rozvodu elektrické a tepelné energie</w:t>
      </w:r>
    </w:p>
    <w:p w:rsidR="00C355B9" w:rsidRDefault="00C355B9">
      <w:pPr>
        <w:pStyle w:val="Zkladntextodsazen2"/>
        <w:ind w:left="1440" w:hanging="1440"/>
      </w:pPr>
      <w:r>
        <w:t xml:space="preserve">EPR 1-12 </w:t>
      </w:r>
      <w:r>
        <w:tab/>
        <w:t>Měsíční výkaz o ropě, ropných produktech a biopalivech pro rafinérie a výrobce ropných produktů</w:t>
      </w:r>
    </w:p>
    <w:p w:rsidR="00C355B9" w:rsidRDefault="00C355B9">
      <w:pPr>
        <w:pStyle w:val="Zkladntextodsazen2"/>
        <w:ind w:left="1440" w:hanging="1440"/>
      </w:pPr>
      <w:r>
        <w:t xml:space="preserve">EPS 1-12 </w:t>
      </w:r>
      <w:r>
        <w:tab/>
        <w:t>Měsíční výkaz o ropě, ropných produktech a biopalivech pro obchodní, skladovatelské a spotřebitelské subjekty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Výstupy z výše uvedených výkazů jsou vstupy do zpracování energetické bilance. V dalším textu, který objasňuje stavbu energetické bilance a definuje vstupující ukazatele, jsou v závorkách uvedeny příslušné výkazy (případně subjekty), které jsou zdrojem těchto ukazatelů.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Energetickou bilanci můžeme rozdělit na tři základní části: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I. Prvotní energetické zdroje </w:t>
      </w: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II. Energetické procesy </w:t>
      </w: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III. Konečná spotřeba energie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I. Prvotní energetické zdroje (EP 7-01, EP 10-01, EPR 1-12, EP 5-01, MPO, ERÚ)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této části energetické bilance jsou zahrnuty: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přírodní energetické zdroje (EP 7-01, EP 10-01, EPR 1-12, MPO, ERÚ)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a vývoz paliv a energie (EP 7-01, EP 10-01, EPR 1-12, EPS 1-12, statistika ZO, MPO, ERÚ)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změna stavu zásob paliv a energie (EP 7-01, EP 5-01, EPR 1-12, EPS 1-12)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jiné zdroje (úbytky) (EP 7-01, EPR 1-12, EPS 1-12)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Přírodní zdroje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Těžba paliv na úrovni odbytové těžby (tj. po prvotní úpravě, např. uhlí po úpravě tříděním a praním) (EP 7-01, EPR 1-12)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Elektřina z vodních sil měřená na svorkách generátorů (nikoli však elektřina vyrobená v přečerpávacích vodních elektrárnách, která patří do kategorie “výroba z energetických procesů”) (EP 10-01, ERÚ)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Tepelná energie vyrobená v jaderných elektrárnách (teplárnách, výtopnách) jak pro výrobu elektřiny, </w:t>
      </w:r>
      <w:r>
        <w:rPr>
          <w:rFonts w:ascii="Arial" w:hAnsi="Arial" w:cs="Arial"/>
          <w:spacing w:val="-2"/>
        </w:rPr>
        <w:lastRenderedPageBreak/>
        <w:t>tak i pro rozvod (EP 10-01)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Teplo vznikající v exotermických chemických reakcích, které je dále využité (např. teplo vznikající při výrobě kyseliny sírové). (EP 10-01)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přírodních zdrojů se zahrnují též obnovitelné zdroje energie jako je sluneční energie, geotermální energie, energie z tepelných čerpadel, energie bioplynu a větrná energie apod. (MPO)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Dovoz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všech druhů paliv a energie i ve formě meziproduktů (např. různé polotovary ze zpracování ropy jako jsou olejové a vakuové destiláty, rafináty, filtráty, hydrogenáty apod.).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elektřiny se uvádí na základě měřených údajů, nikoli podle údajů zahraničního obchodu stejně jako v mezinárodním dotazníku o elektřině.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Údaje o dovozu nezahrnují tranzitní dodávky paliv a energie.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Údaj o dovozu zemního plynu zahrnuje dovoz do zásobníků pronajatých na území jiných států a sloužících ke spotřebě v České republice.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  <w:vertAlign w:val="superscript"/>
        </w:rPr>
      </w:pPr>
      <w:r>
        <w:rPr>
          <w:sz w:val="20"/>
        </w:rPr>
        <w:t>Vývoz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Vývoz všech druhů paliv a energie (včetně meziproduktů).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Údaje o vývozu nezahrnují tranzitní dodávky paliv a energie a ztráty spojené s tranzitem.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Vývoz elektřiny se uvádí stejně jako dovoz na základě měřených údajů.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Čerpání (+), doplnění (-) zásob </w:t>
      </w:r>
      <w:r>
        <w:rPr>
          <w:spacing w:val="-2"/>
          <w:sz w:val="20"/>
        </w:rPr>
        <w:t>(</w:t>
      </w:r>
      <w:r w:rsidR="005E1571">
        <w:rPr>
          <w:spacing w:val="-2"/>
          <w:sz w:val="20"/>
        </w:rPr>
        <w:t xml:space="preserve">EP 5-01, </w:t>
      </w:r>
      <w:r>
        <w:rPr>
          <w:spacing w:val="-2"/>
          <w:sz w:val="20"/>
        </w:rPr>
        <w:t>EP 7-01, EPR 1-12, EPS 1-12)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Čerpání ze zásob (snížení zásob) zvyšuje disponibilní zdroje a je proto označeno (+), doplnění zásob (zvýšení zásob) omezuje tyto zdroje a je proto označeno (-).</w:t>
      </w:r>
    </w:p>
    <w:p w:rsidR="00C355B9" w:rsidRDefault="00C355B9">
      <w:pPr>
        <w:suppressAutoHyphens/>
        <w:ind w:firstLine="360"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Jiné zdroje (+), jiné úbytky (-)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Jsou ostatní evidované a v jiných ukazatelích neuvedené přírůstky nebo úbytky zdrojů, např. čerpaní nebo doplnění státních hmotných rezerv, čerpání ze zásob nebo doplnění zásob polotovarů kapalných paliv apod.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Uvádí se zde také výsledek reklasifikace vyrobeného kapalného paliva buď v důsledku změny jeho specifikace nebo proto, že bylo namícháno do jiného produktu. Negativní vstup u jednoho produktu musí být kompenzován pozitivním vstupem (nebo několika vstupy) u jiného produktu nebo několika produktů a naopak. Celkový výsledek této reklasifikace v položce kapalná paliva celkem musí být nula. Taková reklasifikace může nastat také u zemního plynu v případě, že se převede určité množství ze systému zemního plynu karbonského do systému zemního plynu naftového.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Reklasifikace paliv může také nastat u tuhých paliv, především mezi skupinami černého uhlí energetického a koksovatelného. Také v položce tuhá paliva platí, že celkový výsledek reklasifikace musí být nulový.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Prvotní energetické zdroje celkem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Aritmetický součet výše uvedených ukazatelů tj. přírodní zdroje (+)dovoz (-)vývoz (+/-) změna stavu zásob (+/-) jiné zdroje.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II. Energetické procesy (EP 8-01, EP 10-01, EPR 1-12, EP 9-01)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Energetické procesy jsou produktivní činnosti, jejichž výsledkem je zvýšení nebo změna užitné hodnoty energetických látek, které jimi procházejí.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Za energetické procesy se v energetické bilanci považují jen ty procesy, ve kterých se bilancují na jedné straně vsázka do procesů a na straně druhé výroba a ztráty na vsázce. Kromě této bilance energetických procesů se dále sledují paliva a energie, které byly vynaloženy na provozování energetického procesu (provozovací spotřeba).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Jako energetické procesy jsou v energetické bilanci uváděny tyto činnosti: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Briketování hnědého uhlí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Vysokotepelná karbonizace v koksovnách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Tlakové zplyňování uhlí včetně karburace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Výroba vysokopecního plynu ve vysokých pecích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Zplyňování v průmyslových generátorových stanicích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Výroba kapalných paliv z ropy a dehtů </w:t>
      </w:r>
      <w:r>
        <w:rPr>
          <w:rFonts w:ascii="Arial" w:hAnsi="Arial" w:cs="Arial"/>
        </w:rPr>
        <w:t>(EP 8-01, EPR 1-12)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Výroba tepla</w:t>
      </w:r>
      <w:r>
        <w:rPr>
          <w:rFonts w:ascii="Arial" w:hAnsi="Arial" w:cs="Arial"/>
        </w:rPr>
        <w:t xml:space="preserve"> (EP 10-01)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Výroba elektřiny (</w:t>
      </w:r>
      <w:r>
        <w:rPr>
          <w:rFonts w:ascii="Arial" w:hAnsi="Arial" w:cs="Arial"/>
        </w:rPr>
        <w:t>EP 10-01)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Druhotné energetické zdroje </w:t>
      </w:r>
      <w:r>
        <w:rPr>
          <w:spacing w:val="-2"/>
        </w:rPr>
        <w:t>(</w:t>
      </w:r>
      <w:r>
        <w:rPr>
          <w:sz w:val="20"/>
        </w:rPr>
        <w:t>EP10-01</w:t>
      </w:r>
      <w:r>
        <w:t>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</w:t>
      </w:r>
    </w:p>
    <w:p w:rsidR="00C355B9" w:rsidRDefault="00C355B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Je to množství energie, které bylo po použití v určitém energetickém nebo technologickém procesu znovu využito ve formě paliv nebo tepla, buď v tomtéž procesu, nebo pro jiné energetické účely.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Vsázka, spotřeba při zušlechťování paliv (EP 8-01)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Vsázka, spotřeba na výrobu tepla </w:t>
      </w:r>
      <w:r>
        <w:rPr>
          <w:spacing w:val="-2"/>
        </w:rPr>
        <w:t>(</w:t>
      </w:r>
      <w:r>
        <w:rPr>
          <w:sz w:val="20"/>
        </w:rPr>
        <w:t>EP 10-01</w:t>
      </w:r>
      <w:r>
        <w:t>)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Vsázka, spotřeba na výrobu elektřiny </w:t>
      </w:r>
      <w:r>
        <w:rPr>
          <w:spacing w:val="-2"/>
        </w:rPr>
        <w:t>(</w:t>
      </w:r>
      <w:r>
        <w:rPr>
          <w:sz w:val="20"/>
        </w:rPr>
        <w:t>EP 10-01</w:t>
      </w:r>
      <w:r>
        <w:t>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Paliva a energie, která jsou v energetických procesech zpracována za účelem změny jejich užitných vlastností, např. hnědé uhlí na výrobu briket a energoplynu, uhlí vhodné pro koksování na výrobu koksu a koksárenského plynu, ropa na výrobu kapalných paliv, paliva na výrobu tepla a elektřiny v parních elektrárnách a elektřina použitá na přečerpání v přečerpávacích vodních elektrárnách, teplo vyrobené v jaderných elektrárnách použité na výrobu elektrické energie a tepla pro rozvod.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Provozovací spotřeba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Provozovací spotřeba energetických procesů (spotřeba sloužící přímo k udržení a zajištění provozu příslušného energetického procesu).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Spotřeba paliv a energie při těžbě a zpracování paliv (EP 9-01)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18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při těžbě paliv (včetně důlní dopravy) </w:t>
      </w:r>
    </w:p>
    <w:p w:rsidR="00C355B9" w:rsidRDefault="00C355B9">
      <w:pPr>
        <w:numPr>
          <w:ilvl w:val="0"/>
          <w:numId w:val="18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při prvotní úpravě paliv (třídění, praní aj.),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Ztráty (v rozvodech paliv a energie a ztráty paliv znehodnocením a zničením)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Rozdíl mezi vstupem paliv a energie do dálkových dopravních systémů (ropovodů, plynovodů, teplovodů a rozvodů elektřiny) a výstupem z nich. Nejsou zde zahrnuty ztráty ve vnitropodnikových rozvodech, které jsou součástí spotřeby.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položky se zahrnují také zdůvodněné ztráty znehodnocením a zničením, například ztráty vysokopecního, případně i jiných plynů z nedostatku odbytu.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III. Konečná spotřeba (EP 5-01, EP 7-01, MPO)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Je to spotřeba zjišťovaná před vstupem do spotřebičů, ve kterých se využije pro finální užitný efekt, nikoli pro výrobu jiné energie (s výjimkou druhotných energetických zdrojů).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Konečná spotřeba se v energetické bilanci člení podle odvětví: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zemědělství a lesnictví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průmyslu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ve stavebnictví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 dopravě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ostatních odvětvích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domácnostech (EP 7-01, MPO)</w:t>
      </w:r>
    </w:p>
    <w:p w:rsidR="00C355B9" w:rsidRDefault="00C355B9">
      <w:pPr>
        <w:pStyle w:val="Nadpis2"/>
        <w:rPr>
          <w:rFonts w:ascii="Arial" w:hAnsi="Arial" w:cs="Arial"/>
        </w:rPr>
      </w:pPr>
    </w:p>
    <w:p w:rsidR="00C355B9" w:rsidRDefault="00C355B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Konečná spotřeba celkem</w:t>
      </w:r>
    </w:p>
    <w:p w:rsidR="00C355B9" w:rsidRDefault="00C355B9">
      <w:pPr>
        <w:suppressAutoHyphens/>
        <w:jc w:val="both"/>
        <w:rPr>
          <w:rFonts w:ascii="Arial" w:hAnsi="Arial" w:cs="Arial"/>
          <w:b/>
          <w:bCs/>
          <w:spacing w:val="-2"/>
        </w:rPr>
      </w:pPr>
    </w:p>
    <w:p w:rsidR="00C355B9" w:rsidRDefault="00C355B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Prvotní energetické zdroje celkem (+) druhotné energetické zdroje (-) vsázka do energetických procesů celkem (+) výroba z energetických procesů (-) provozovací spotřeba (-) ztráty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Energetická bilance v mezinárodní metodice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Publikace obsahuje proti dřívějším publikacím navíc tabulky s energetickou bilancí v mezinárodní metodice. K tomu byl použit volně přístupný soubor na webové stránce IEA v MS Excel. Jako vstup byla použita data z ročních sjednocených dotazníků IEA/OECD, Eurostatu a OSN: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Coal Annual Questionnaire 201</w:t>
      </w:r>
      <w:r w:rsidR="0069200E">
        <w:rPr>
          <w:rFonts w:ascii="Arial" w:hAnsi="Arial" w:cs="Arial"/>
          <w:spacing w:val="-2"/>
          <w:lang w:val="en-US"/>
        </w:rPr>
        <w:t>3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Oil Annual Questionnaire 201</w:t>
      </w:r>
      <w:r w:rsidR="0069200E">
        <w:rPr>
          <w:rFonts w:ascii="Arial" w:hAnsi="Arial" w:cs="Arial"/>
          <w:spacing w:val="-2"/>
          <w:lang w:val="en-US"/>
        </w:rPr>
        <w:t>3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Natural Gas Questionnaire 201</w:t>
      </w:r>
      <w:r w:rsidR="0069200E">
        <w:rPr>
          <w:rFonts w:ascii="Arial" w:hAnsi="Arial" w:cs="Arial"/>
          <w:spacing w:val="-2"/>
          <w:lang w:val="en-US"/>
        </w:rPr>
        <w:t>3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Electricity and Heat Annual Questionnaire 201</w:t>
      </w:r>
      <w:r w:rsidR="0069200E">
        <w:rPr>
          <w:rFonts w:ascii="Arial" w:hAnsi="Arial" w:cs="Arial"/>
          <w:spacing w:val="-2"/>
          <w:lang w:val="en-US"/>
        </w:rPr>
        <w:t>3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Renewables Annual Questionnaire 201</w:t>
      </w:r>
      <w:r w:rsidR="0069200E">
        <w:rPr>
          <w:rFonts w:ascii="Arial" w:hAnsi="Arial" w:cs="Arial"/>
          <w:spacing w:val="-2"/>
          <w:lang w:val="en-US"/>
        </w:rPr>
        <w:t>3</w:t>
      </w:r>
      <w:bookmarkStart w:id="0" w:name="_GoBack"/>
      <w:bookmarkEnd w:id="0"/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 sestavení dotazníků se používají data z výkazů ČSÚ, data MPO a ERÚ za jednotlivé druhy paliv, elektřinu a teplo. Data jsou přepočítána do metodiky IEA. Údaje o uhlí, ropě a ropných výrobcích jsou vyjádřeny v tisících tunách, u plynů v TJ, u zemního plynu ve spalném teple, u uhelných plynů ve výhřevnosti. K přepočtu fyzických jednotek na energetické jsou používány průměrné hodnoty výhřevností </w:t>
      </w:r>
      <w:r>
        <w:rPr>
          <w:rFonts w:ascii="Arial" w:hAnsi="Arial" w:cs="Arial"/>
          <w:spacing w:val="-2"/>
          <w:lang w:val="en-US"/>
        </w:rPr>
        <w:t>(Conversion Factors)</w:t>
      </w:r>
      <w:r>
        <w:rPr>
          <w:rFonts w:ascii="Arial" w:hAnsi="Arial" w:cs="Arial"/>
          <w:spacing w:val="-2"/>
        </w:rPr>
        <w:t xml:space="preserve"> pro těžbu, výrobu, dovoz, vývoz, výrobu koksu, vysokopecní proces, veřejné výrobce elektřiny a  tepa, odvětví průmyslu a ostatní odvětví. Tyto hodnoty jsou zadávány přímo, a proto jim musí být věnována velká pozornost, protože na jejich přesnosti je závislá kvalita energetické bilance vyjádřená bilančním rozdílem.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Jako základní jednotku energetické bilance používá IEA ktoe, tedy tisíc tun ropného ekvivalentu (1 ktoe = 41 868 GJ).  Na rozdíl od bilance ČSÚ je bilance v mezinárodní metodice členěna odlišně, mezi uhlí zařazuje i uhelné plyny a uhelné dehty, mezi plyny pak pouze zemní plyn, obnovitelné energetické zdroje jsou členěny podrobněji. </w:t>
      </w:r>
    </w:p>
    <w:sectPr w:rsidR="00C355B9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418" w:right="1418" w:bottom="1418" w:left="1418" w:header="567" w:footer="56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AA" w:rsidRDefault="002E03AA">
      <w:pPr>
        <w:spacing w:line="20" w:lineRule="exact"/>
      </w:pPr>
    </w:p>
  </w:endnote>
  <w:endnote w:type="continuationSeparator" w:id="0">
    <w:p w:rsidR="002E03AA" w:rsidRDefault="002E03AA">
      <w:r>
        <w:t xml:space="preserve"> </w:t>
      </w:r>
    </w:p>
  </w:endnote>
  <w:endnote w:type="continuationNotice" w:id="1">
    <w:p w:rsidR="002E03AA" w:rsidRDefault="002E03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B9" w:rsidRDefault="00C355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5B9" w:rsidRDefault="00C355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B9" w:rsidRDefault="00C355B9">
    <w:pPr>
      <w:pStyle w:val="Zpat"/>
      <w:framePr w:wrap="around" w:vAnchor="text" w:hAnchor="margin" w:xAlign="center" w:y="1"/>
      <w:rPr>
        <w:rStyle w:val="slostrnky"/>
        <w:rFonts w:ascii="Arial" w:hAnsi="Arial" w:cs="Arial"/>
        <w:b/>
        <w:bCs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69200E">
      <w:rPr>
        <w:rStyle w:val="slostrnky"/>
        <w:rFonts w:ascii="Arial" w:hAnsi="Arial" w:cs="Arial"/>
        <w:noProof/>
        <w:sz w:val="18"/>
        <w:szCs w:val="18"/>
      </w:rPr>
      <w:t>4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C355B9" w:rsidRDefault="00C355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AA" w:rsidRDefault="002E03AA">
      <w:r>
        <w:separator/>
      </w:r>
    </w:p>
  </w:footnote>
  <w:footnote w:type="continuationSeparator" w:id="0">
    <w:p w:rsidR="002E03AA" w:rsidRDefault="002E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B9" w:rsidRDefault="002E03AA">
    <w:pPr>
      <w:pStyle w:val="Textvysvtlivek"/>
      <w:rPr>
        <w:noProof/>
        <w:sz w:val="10"/>
        <w:szCs w:val="10"/>
      </w:rPr>
    </w:pPr>
    <w:r>
      <w:rPr>
        <w:noProof/>
      </w:rPr>
      <w:pict>
        <v:rect id="_x0000_s2050" style="position:absolute;margin-left:1in;margin-top:0;width:451.3pt;height:10pt;z-index:1;mso-position-horizontal-relative:page" o:allowincell="f" filled="f" stroked="f" strokeweight="0">
          <v:textbox inset="0,0,0,0">
            <w:txbxContent>
              <w:p w:rsidR="00C355B9" w:rsidRDefault="00C355B9">
                <w:pPr>
                  <w:rPr>
                    <w:szCs w:val="20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58A6D4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F1262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37B88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F270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47200AC"/>
    <w:multiLevelType w:val="hybridMultilevel"/>
    <w:tmpl w:val="D79E8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6A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76E7C0D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0B4395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346A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1CD95A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EB83E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5357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31033AD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885106C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C733F10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E730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F73610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21774FB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3DC6D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59A72C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ED00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609A2D24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46C44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75DE09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17"/>
  </w:num>
  <w:num w:numId="8">
    <w:abstractNumId w:val="10"/>
  </w:num>
  <w:num w:numId="9">
    <w:abstractNumId w:val="2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21"/>
  </w:num>
  <w:num w:numId="18">
    <w:abstractNumId w:val="23"/>
  </w:num>
  <w:num w:numId="19">
    <w:abstractNumId w:val="5"/>
  </w:num>
  <w:num w:numId="20">
    <w:abstractNumId w:val="18"/>
  </w:num>
  <w:num w:numId="21">
    <w:abstractNumId w:val="19"/>
  </w:num>
  <w:num w:numId="22">
    <w:abstractNumId w:val="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E66"/>
    <w:rsid w:val="001F655A"/>
    <w:rsid w:val="002E03AA"/>
    <w:rsid w:val="005E1571"/>
    <w:rsid w:val="0069200E"/>
    <w:rsid w:val="00C355B9"/>
    <w:rsid w:val="00C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Courier" w:hAnsi="Courier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bCs/>
      <w:spacing w:val="-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rFonts w:ascii="Arial" w:hAnsi="Arial" w:cs="Arial"/>
      <w:b/>
      <w:bCs/>
      <w:spacing w:val="-2"/>
      <w:sz w:val="32"/>
    </w:rPr>
  </w:style>
  <w:style w:type="paragraph" w:styleId="Nadpis4">
    <w:name w:val="heading 4"/>
    <w:basedOn w:val="Normln"/>
    <w:next w:val="Normln"/>
    <w:qFormat/>
    <w:pPr>
      <w:keepNext/>
      <w:suppressAutoHyphens/>
      <w:jc w:val="both"/>
      <w:outlineLvl w:val="3"/>
    </w:pPr>
    <w:rPr>
      <w:rFonts w:ascii="Arial" w:hAnsi="Arial" w:cs="Arial"/>
      <w:b/>
      <w:bCs/>
      <w:spacing w:val="-2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customStyle="1" w:styleId="Odkaznavysvtlivku">
    <w:name w:val="Odkaz na vysvětlivku"/>
    <w:rPr>
      <w:vertAlign w:val="superscript"/>
    </w:rPr>
  </w:style>
  <w:style w:type="paragraph" w:styleId="Textpoznpodarou">
    <w:name w:val="footnote text"/>
    <w:basedOn w:val="Normln"/>
    <w:semiHidden/>
  </w:style>
  <w:style w:type="character" w:customStyle="1" w:styleId="Odkaznapoznpodarou">
    <w:name w:val="Odkaz na pozn. pod čarou"/>
    <w:rPr>
      <w:vertAlign w:val="superscript"/>
    </w:rPr>
  </w:style>
  <w:style w:type="character" w:customStyle="1" w:styleId="Bibliogrphy">
    <w:name w:val="Bibliogrphy"/>
    <w:basedOn w:val="Standardnpsmoodstavce"/>
  </w:style>
  <w:style w:type="character" w:customStyle="1" w:styleId="TechInit">
    <w:name w:val="Tech Init"/>
    <w:rPr>
      <w:rFonts w:ascii="Courier" w:hAnsi="Courier"/>
      <w:sz w:val="24"/>
      <w:szCs w:val="24"/>
      <w:lang w:val="en-US"/>
    </w:rPr>
  </w:style>
  <w:style w:type="character" w:customStyle="1" w:styleId="Technical1">
    <w:name w:val="Technical 1"/>
    <w:rPr>
      <w:rFonts w:ascii="Courier" w:hAnsi="Courier"/>
      <w:sz w:val="24"/>
      <w:szCs w:val="24"/>
      <w:lang w:val="en-US"/>
    </w:rPr>
  </w:style>
  <w:style w:type="character" w:customStyle="1" w:styleId="Technical2">
    <w:name w:val="Technical 2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Standardnpsmoodstavce"/>
  </w:style>
  <w:style w:type="character" w:customStyle="1" w:styleId="Technical5">
    <w:name w:val="Technical 5"/>
    <w:basedOn w:val="Standardnpsmoodstavce"/>
  </w:style>
  <w:style w:type="character" w:customStyle="1" w:styleId="Technical6">
    <w:name w:val="Technical 6"/>
    <w:basedOn w:val="Standardnpsmoodstavce"/>
  </w:style>
  <w:style w:type="character" w:customStyle="1" w:styleId="Technical7">
    <w:name w:val="Technical 7"/>
    <w:basedOn w:val="Standardnpsmoodstavce"/>
  </w:style>
  <w:style w:type="character" w:customStyle="1" w:styleId="Technical8">
    <w:name w:val="Technical 8"/>
    <w:basedOn w:val="Standardnpsmoodstavce"/>
  </w:style>
  <w:style w:type="character" w:customStyle="1" w:styleId="DocInit">
    <w:name w:val="Doc Init"/>
    <w:basedOn w:val="Standardnpsmoodstavc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character" w:customStyle="1" w:styleId="Document2">
    <w:name w:val="Document 2"/>
    <w:rPr>
      <w:rFonts w:ascii="Courier" w:hAnsi="Courier"/>
      <w:sz w:val="24"/>
      <w:szCs w:val="24"/>
      <w:lang w:val="en-US"/>
    </w:rPr>
  </w:style>
  <w:style w:type="character" w:customStyle="1" w:styleId="Document3">
    <w:name w:val="Document 3"/>
    <w:rPr>
      <w:rFonts w:ascii="Courier" w:hAnsi="Courier"/>
      <w:sz w:val="24"/>
      <w:szCs w:val="24"/>
      <w:lang w:val="en-US"/>
    </w:rPr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5">
    <w:name w:val="Document 5"/>
    <w:basedOn w:val="Standardnpsmoodstavce"/>
  </w:style>
  <w:style w:type="character" w:customStyle="1" w:styleId="Document6">
    <w:name w:val="Document 6"/>
    <w:basedOn w:val="Standardnpsmoodstavce"/>
  </w:style>
  <w:style w:type="character" w:customStyle="1" w:styleId="Document7">
    <w:name w:val="Document 7"/>
    <w:basedOn w:val="Standardnpsmoodstavce"/>
  </w:style>
  <w:style w:type="character" w:customStyle="1" w:styleId="Document8">
    <w:name w:val="Document 8"/>
    <w:basedOn w:val="Standardnpsmoodstavce"/>
  </w:style>
  <w:style w:type="character" w:customStyle="1" w:styleId="RightPar1">
    <w:name w:val="Right Par 1"/>
    <w:basedOn w:val="Standardnpsmoodstavce"/>
  </w:style>
  <w:style w:type="character" w:customStyle="1" w:styleId="RightPar2">
    <w:name w:val="Right Par 2"/>
    <w:basedOn w:val="Standardnpsmoodstavce"/>
  </w:style>
  <w:style w:type="character" w:customStyle="1" w:styleId="RightPar3">
    <w:name w:val="Right Par 3"/>
    <w:basedOn w:val="Standardnpsmoodstavce"/>
  </w:style>
  <w:style w:type="character" w:customStyle="1" w:styleId="RightPar4">
    <w:name w:val="Right Par 4"/>
    <w:basedOn w:val="Standardnpsmoodstavce"/>
  </w:style>
  <w:style w:type="character" w:customStyle="1" w:styleId="RightPar5">
    <w:name w:val="Right Par 5"/>
    <w:basedOn w:val="Standardnpsmoodstavce"/>
  </w:style>
  <w:style w:type="character" w:customStyle="1" w:styleId="RightPar6">
    <w:name w:val="Right Par 6"/>
    <w:basedOn w:val="Standardnpsmoodstavce"/>
  </w:style>
  <w:style w:type="character" w:customStyle="1" w:styleId="RightPar7">
    <w:name w:val="Right Par 7"/>
    <w:basedOn w:val="Standardnpsmoodstavce"/>
  </w:style>
  <w:style w:type="character" w:customStyle="1" w:styleId="RightPar8">
    <w:name w:val="Right Par 8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Nadpisobsahu">
    <w:name w:val="TOC Heading"/>
    <w:basedOn w:val="Normln"/>
    <w:qFormat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uppressAutoHyphens/>
      <w:jc w:val="both"/>
    </w:pPr>
    <w:rPr>
      <w:spacing w:val="-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widowControl/>
      <w:autoSpaceDE/>
      <w:autoSpaceDN/>
      <w:ind w:left="283" w:hanging="283"/>
    </w:pPr>
    <w:rPr>
      <w:rFonts w:ascii="Times New Roman" w:hAnsi="Times New Roman"/>
      <w:szCs w:val="20"/>
    </w:rPr>
  </w:style>
  <w:style w:type="paragraph" w:styleId="Seznam2">
    <w:name w:val="List 2"/>
    <w:basedOn w:val="Normln"/>
    <w:semiHidden/>
    <w:pPr>
      <w:widowControl/>
      <w:autoSpaceDE/>
      <w:autoSpaceDN/>
      <w:ind w:left="566" w:hanging="283"/>
    </w:pPr>
    <w:rPr>
      <w:rFonts w:ascii="Times New Roman" w:hAnsi="Times New Roman"/>
      <w:szCs w:val="20"/>
    </w:rPr>
  </w:style>
  <w:style w:type="paragraph" w:styleId="Seznamsodrkami">
    <w:name w:val="List Bullet"/>
    <w:basedOn w:val="Normln"/>
    <w:autoRedefine/>
    <w:semiHidden/>
    <w:pPr>
      <w:widowControl/>
      <w:numPr>
        <w:numId w:val="22"/>
      </w:numPr>
      <w:autoSpaceDE/>
      <w:autoSpaceDN/>
    </w:pPr>
    <w:rPr>
      <w:rFonts w:ascii="Times New Roman" w:hAnsi="Times New Roman"/>
      <w:szCs w:val="20"/>
    </w:rPr>
  </w:style>
  <w:style w:type="paragraph" w:styleId="Seznamsodrkami2">
    <w:name w:val="List Bullet 2"/>
    <w:basedOn w:val="Normln"/>
    <w:autoRedefine/>
    <w:semiHidden/>
    <w:pPr>
      <w:widowControl/>
      <w:numPr>
        <w:numId w:val="23"/>
      </w:numPr>
      <w:autoSpaceDE/>
      <w:autoSpaceDN/>
    </w:pPr>
    <w:rPr>
      <w:rFonts w:ascii="Times New Roman" w:hAnsi="Times New Roman"/>
      <w:szCs w:val="20"/>
    </w:rPr>
  </w:style>
  <w:style w:type="paragraph" w:styleId="Nzev">
    <w:name w:val="Title"/>
    <w:basedOn w:val="Normln"/>
    <w:qFormat/>
    <w:pPr>
      <w:widowControl/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odtitul">
    <w:name w:val="Subtitle"/>
    <w:basedOn w:val="Normln"/>
    <w:qFormat/>
    <w:pPr>
      <w:widowControl/>
      <w:autoSpaceDE/>
      <w:autoSpaceDN/>
      <w:spacing w:after="60"/>
      <w:jc w:val="center"/>
      <w:outlineLvl w:val="1"/>
    </w:pPr>
    <w:rPr>
      <w:rFonts w:ascii="Arial" w:hAnsi="Arial"/>
      <w:sz w:val="24"/>
      <w:szCs w:val="20"/>
    </w:rPr>
  </w:style>
  <w:style w:type="paragraph" w:styleId="Zkladntext2">
    <w:name w:val="Body Text 2"/>
    <w:basedOn w:val="Normln"/>
    <w:semiHidden/>
    <w:pPr>
      <w:widowControl/>
      <w:autoSpaceDE/>
      <w:autoSpaceDN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4"/>
      <w:lang w:val="en-US"/>
    </w:rPr>
  </w:style>
  <w:style w:type="paragraph" w:styleId="Zkladntextodsazen2">
    <w:name w:val="Body Text Indent 2"/>
    <w:basedOn w:val="Normln"/>
    <w:semiHidden/>
    <w:pPr>
      <w:suppressAutoHyphens/>
      <w:ind w:left="720" w:hanging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nápl ukazatel energetické bilance R</vt:lpstr>
    </vt:vector>
  </TitlesOfParts>
  <Company>CSU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nápl ukazatel energetické bilance R</dc:title>
  <dc:creator>koudelka</dc:creator>
  <cp:lastModifiedBy>koudelka</cp:lastModifiedBy>
  <cp:revision>3</cp:revision>
  <cp:lastPrinted>2011-03-17T08:28:00Z</cp:lastPrinted>
  <dcterms:created xsi:type="dcterms:W3CDTF">2014-03-24T14:49:00Z</dcterms:created>
  <dcterms:modified xsi:type="dcterms:W3CDTF">2015-03-24T09:00:00Z</dcterms:modified>
</cp:coreProperties>
</file>