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CF" w:rsidRPr="00ED5A3A" w:rsidRDefault="003C3DCF">
      <w:pPr>
        <w:rPr>
          <w:rFonts w:ascii="Arial" w:hAnsi="Arial"/>
          <w:strike/>
          <w:sz w:val="20"/>
          <w:lang w:val="en-US"/>
        </w:rPr>
      </w:pPr>
    </w:p>
    <w:p w:rsidR="003C3DCF" w:rsidRDefault="003C3DCF">
      <w:pPr>
        <w:pStyle w:val="PlainText"/>
        <w:jc w:val="center"/>
        <w:rPr>
          <w:rFonts w:ascii="Arial" w:hAnsi="Arial"/>
          <w:b/>
          <w:sz w:val="48"/>
        </w:rPr>
      </w:pPr>
      <w:proofErr w:type="gramStart"/>
      <w:r>
        <w:rPr>
          <w:rFonts w:ascii="Arial" w:hAnsi="Arial"/>
          <w:b/>
          <w:sz w:val="48"/>
        </w:rPr>
        <w:t>ÚVODNÍ  POZNÁMKA</w:t>
      </w:r>
      <w:proofErr w:type="gramEnd"/>
    </w:p>
    <w:p w:rsidR="003C3DCF" w:rsidRDefault="003C3DCF">
      <w:pPr>
        <w:pStyle w:val="PlainText"/>
        <w:rPr>
          <w:rFonts w:ascii="Arial" w:hAnsi="Arial"/>
        </w:rPr>
      </w:pPr>
    </w:p>
    <w:p w:rsidR="003C3DCF" w:rsidRDefault="003C3DCF">
      <w:pPr>
        <w:pStyle w:val="PlainText"/>
        <w:rPr>
          <w:rFonts w:ascii="Arial" w:hAnsi="Arial"/>
        </w:rPr>
      </w:pPr>
    </w:p>
    <w:p w:rsidR="003C3DCF" w:rsidRDefault="003C3DCF">
      <w:pPr>
        <w:pStyle w:val="PlainText"/>
        <w:rPr>
          <w:rFonts w:ascii="Arial" w:hAnsi="Arial"/>
        </w:rPr>
      </w:pPr>
    </w:p>
    <w:p w:rsidR="003C3DCF" w:rsidRDefault="003C3DCF">
      <w:pPr>
        <w:pStyle w:val="Plain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Česká republika se stala od prosince 1995 řádným členem OECD, s povinností zpracovávat měsíční dotazník o ropě a ropných produktech (společný pro OECD/IEA, EU/  EUROSTAT, OSN/EHK). Tento dotazník byl transformován pro použití v ČR do dvou výkazů.</w:t>
      </w:r>
    </w:p>
    <w:p w:rsidR="003C3DCF" w:rsidRDefault="003C3DCF">
      <w:pPr>
        <w:pStyle w:val="Plain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Prvým je  EP V 1-12 "Měsíční výkaz o ropě, ropných produktech a </w:t>
      </w:r>
      <w:proofErr w:type="spellStart"/>
      <w:r>
        <w:rPr>
          <w:rFonts w:ascii="Arial" w:hAnsi="Arial"/>
          <w:sz w:val="24"/>
        </w:rPr>
        <w:t>biopalivech</w:t>
      </w:r>
      <w:proofErr w:type="spellEnd"/>
      <w:r>
        <w:rPr>
          <w:rFonts w:ascii="Arial" w:hAnsi="Arial"/>
          <w:sz w:val="24"/>
        </w:rPr>
        <w:t xml:space="preserve"> pro rafinérie a výrobce ropných produktů" s plným počtem zjišťovaných položek.</w:t>
      </w:r>
    </w:p>
    <w:p w:rsidR="003C3DCF" w:rsidRDefault="003C3DCF">
      <w:pPr>
        <w:pStyle w:val="Plain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Druhým je EP S 1 - 12 "Měsíční výkaz o ropě, ropných produktech a </w:t>
      </w:r>
      <w:proofErr w:type="spellStart"/>
      <w:r>
        <w:rPr>
          <w:rFonts w:ascii="Arial" w:hAnsi="Arial"/>
          <w:sz w:val="24"/>
        </w:rPr>
        <w:t>biopalivech</w:t>
      </w:r>
      <w:proofErr w:type="spellEnd"/>
      <w:r>
        <w:rPr>
          <w:rFonts w:ascii="Arial" w:hAnsi="Arial"/>
          <w:sz w:val="24"/>
        </w:rPr>
        <w:t xml:space="preserve"> pro obchodní, </w:t>
      </w:r>
      <w:proofErr w:type="spellStart"/>
      <w:r>
        <w:rPr>
          <w:rFonts w:ascii="Arial" w:hAnsi="Arial"/>
          <w:sz w:val="24"/>
        </w:rPr>
        <w:t>skladovatelské</w:t>
      </w:r>
      <w:proofErr w:type="spellEnd"/>
      <w:r>
        <w:rPr>
          <w:rFonts w:ascii="Arial" w:hAnsi="Arial"/>
          <w:sz w:val="24"/>
        </w:rPr>
        <w:t xml:space="preserve"> a spotřebitelské subjekty", obsahující pouze oddíly o dovozech/vývozech, o stavu zásob, nákupu/prodeji a spotřebě ropných produktů. </w:t>
      </w:r>
    </w:p>
    <w:p w:rsidR="003C3DCF" w:rsidRDefault="003C3DCF">
      <w:pPr>
        <w:pStyle w:val="PlainText"/>
        <w:jc w:val="both"/>
        <w:rPr>
          <w:rFonts w:ascii="Arial" w:hAnsi="Arial"/>
          <w:sz w:val="24"/>
        </w:rPr>
      </w:pPr>
    </w:p>
    <w:p w:rsidR="003C3DCF" w:rsidRDefault="003C3DCF">
      <w:pPr>
        <w:pStyle w:val="Plain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Výsledky šetření získané z těchto výkazů se využívají přímo pro zpracování měsíčního dotazníku OECD/IEA, EU/EUROSTAT, OSN/EHK "ROPA A ZEMNÍ PLYN", který je ČR povinna od ledna 1997 zpracovávat. Z tohoto důvodu jsou náplně jednotlivých položek koncipovány podle požadavků a metodiky zmíněných mezinárodních institucí. </w:t>
      </w:r>
    </w:p>
    <w:p w:rsidR="003C3DCF" w:rsidRDefault="003C3DCF">
      <w:pPr>
        <w:pStyle w:val="PlainText"/>
        <w:jc w:val="both"/>
        <w:rPr>
          <w:rFonts w:ascii="Arial" w:hAnsi="Arial"/>
          <w:sz w:val="24"/>
        </w:rPr>
      </w:pPr>
    </w:p>
    <w:p w:rsidR="003C3DCF" w:rsidRDefault="003C3DCF">
      <w:pPr>
        <w:pStyle w:val="Plain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Uspořádání údajů uvedených v publikaci je založeno na bilančním principu zdrojové části rafinérského komplexu (primární zpracování ropy) - rafinérský vstup, hrubý rafinérský výstup a hrubé dodávky základních rafinérských produktů v ČR. V tabulce č. 1 je uvedena skladba položek „Rafinérský vstup" a v tabulce č. 2 je uvedena skladba položek „Dodávky celkem" základních rafinérských produktů v ČR. Data v této tabulce navazují na údaje v tabulce č. 1 přes součet v řádku „Výroba (rafinérský výstup)". V tabulkách č. 3, 4 a 5 je uvedena podrobnější skladba důležitých položek bilance - dovoz, vývoz a změna stavu zásob.</w:t>
      </w:r>
    </w:p>
    <w:p w:rsidR="003C3DCF" w:rsidRDefault="003C3DCF">
      <w:pPr>
        <w:pStyle w:val="PlainText"/>
        <w:jc w:val="both"/>
        <w:rPr>
          <w:rFonts w:ascii="Arial" w:hAnsi="Arial"/>
          <w:sz w:val="24"/>
        </w:rPr>
      </w:pPr>
    </w:p>
    <w:p w:rsidR="003C3DCF" w:rsidRDefault="003C3DCF">
      <w:pPr>
        <w:pStyle w:val="PlainText"/>
        <w:jc w:val="both"/>
        <w:rPr>
          <w:rFonts w:ascii="Arial" w:hAnsi="Arial"/>
          <w:sz w:val="24"/>
        </w:rPr>
      </w:pPr>
    </w:p>
    <w:p w:rsidR="003C3DCF" w:rsidRDefault="003C3DCF">
      <w:pPr>
        <w:pStyle w:val="Plain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Hlavním účelem této publikace je umožnit zainteresovaným uživatelům rychlou měsíční orientaci na trhu ropných produktů v ČR. Publikace je určena nejen úzce profesně zaměřeným pracovníkům, ale i pro širší odbornou veřejnost z oblasti výroby a obchodu s ropou a ropnými produkty v České republice a také i pro odborná analytická pracoviště různých organizací. </w:t>
      </w:r>
    </w:p>
    <w:p w:rsidR="003C3DCF" w:rsidRDefault="003C3DCF">
      <w:pPr>
        <w:pStyle w:val="PlainText"/>
        <w:jc w:val="both"/>
        <w:rPr>
          <w:rFonts w:ascii="Arial" w:hAnsi="Arial"/>
          <w:sz w:val="24"/>
        </w:rPr>
      </w:pPr>
    </w:p>
    <w:p w:rsidR="003C3DCF" w:rsidRDefault="003C3DCF">
      <w:pPr>
        <w:pStyle w:val="Plain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Z textu výše uvedených odstavců vyplývá, že uváděné </w:t>
      </w:r>
      <w:r>
        <w:rPr>
          <w:rFonts w:ascii="Arial" w:hAnsi="Arial"/>
          <w:b/>
          <w:sz w:val="24"/>
        </w:rPr>
        <w:t>statistické údaje jsou plně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harmonizovány s mezinárodními standardy v oblasti energetické statistiky ropných kapalných paliv.</w:t>
      </w:r>
    </w:p>
    <w:p w:rsidR="003C3DCF" w:rsidRDefault="003C3DCF">
      <w:pPr>
        <w:pStyle w:val="PlainText"/>
        <w:jc w:val="both"/>
        <w:rPr>
          <w:rFonts w:ascii="Arial" w:hAnsi="Arial"/>
        </w:rPr>
      </w:pPr>
    </w:p>
    <w:p w:rsidR="003C3DCF" w:rsidRDefault="003C3DCF" w:rsidP="00FB6E6A">
      <w:pPr>
        <w:pStyle w:val="Plain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V publikaci jsou všechny údaje uváděny v kumulované podobě a nejsou zveřejňovány individuální údaje vykazujících subjektů.</w:t>
      </w:r>
    </w:p>
    <w:p w:rsidR="00F8471A" w:rsidRPr="009B7564" w:rsidRDefault="00F8471A" w:rsidP="00F8471A">
      <w:pPr>
        <w:pStyle w:val="PlainText"/>
        <w:jc w:val="both"/>
        <w:rPr>
          <w:rFonts w:ascii="Arial" w:hAnsi="Arial"/>
          <w:b/>
          <w:sz w:val="24"/>
          <w:lang w:val="en-US"/>
        </w:rPr>
      </w:pPr>
      <w:r>
        <w:rPr>
          <w:rFonts w:ascii="Arial" w:hAnsi="Arial"/>
          <w:sz w:val="24"/>
        </w:rPr>
        <w:t xml:space="preserve">     </w:t>
      </w:r>
      <w:proofErr w:type="spellStart"/>
      <w:r w:rsidRPr="009B7564">
        <w:rPr>
          <w:rFonts w:ascii="Arial" w:hAnsi="Arial"/>
          <w:b/>
          <w:sz w:val="24"/>
          <w:lang w:val="en-US"/>
        </w:rPr>
        <w:t>Počínaje</w:t>
      </w:r>
      <w:proofErr w:type="spellEnd"/>
      <w:r w:rsidRPr="009B7564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9B7564">
        <w:rPr>
          <w:rFonts w:ascii="Arial" w:hAnsi="Arial"/>
          <w:b/>
          <w:sz w:val="24"/>
          <w:lang w:val="en-US"/>
        </w:rPr>
        <w:t>publikací</w:t>
      </w:r>
      <w:proofErr w:type="spellEnd"/>
      <w:r w:rsidRPr="009B7564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9B7564">
        <w:rPr>
          <w:rFonts w:ascii="Arial" w:hAnsi="Arial"/>
          <w:b/>
          <w:sz w:val="24"/>
          <w:lang w:val="en-US"/>
        </w:rPr>
        <w:t>za</w:t>
      </w:r>
      <w:proofErr w:type="spellEnd"/>
      <w:r w:rsidRPr="009B7564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9B7564">
        <w:rPr>
          <w:rFonts w:ascii="Arial" w:hAnsi="Arial"/>
          <w:b/>
          <w:sz w:val="24"/>
          <w:lang w:val="en-US"/>
        </w:rPr>
        <w:t>měsíc</w:t>
      </w:r>
      <w:proofErr w:type="spellEnd"/>
      <w:r w:rsidRPr="009B7564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9B7564">
        <w:rPr>
          <w:rFonts w:ascii="Arial" w:hAnsi="Arial"/>
          <w:b/>
          <w:sz w:val="24"/>
          <w:lang w:val="en-US"/>
        </w:rPr>
        <w:t>červen</w:t>
      </w:r>
      <w:proofErr w:type="spellEnd"/>
      <w:r w:rsidRPr="009B7564">
        <w:rPr>
          <w:rFonts w:ascii="Arial" w:hAnsi="Arial"/>
          <w:b/>
          <w:sz w:val="24"/>
          <w:lang w:val="en-US"/>
        </w:rPr>
        <w:t xml:space="preserve"> 2013 </w:t>
      </w:r>
      <w:proofErr w:type="spellStart"/>
      <w:r w:rsidRPr="009B7564">
        <w:rPr>
          <w:rFonts w:ascii="Arial" w:hAnsi="Arial"/>
          <w:b/>
          <w:sz w:val="24"/>
          <w:lang w:val="en-US"/>
        </w:rPr>
        <w:t>byla</w:t>
      </w:r>
      <w:proofErr w:type="spellEnd"/>
      <w:r w:rsidRPr="009B7564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9B7564">
        <w:rPr>
          <w:rFonts w:ascii="Arial" w:hAnsi="Arial"/>
          <w:b/>
          <w:sz w:val="24"/>
          <w:lang w:val="en-US"/>
        </w:rPr>
        <w:t>provedena</w:t>
      </w:r>
      <w:proofErr w:type="spellEnd"/>
      <w:r w:rsidRPr="009B7564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9B7564">
        <w:rPr>
          <w:rFonts w:ascii="Arial" w:hAnsi="Arial"/>
          <w:b/>
          <w:sz w:val="24"/>
          <w:lang w:val="en-US"/>
        </w:rPr>
        <w:t>změna</w:t>
      </w:r>
      <w:proofErr w:type="spellEnd"/>
      <w:r w:rsidRPr="009B7564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9B7564">
        <w:rPr>
          <w:rFonts w:ascii="Arial" w:hAnsi="Arial"/>
          <w:b/>
          <w:sz w:val="24"/>
          <w:lang w:val="en-US"/>
        </w:rPr>
        <w:t>řazení</w:t>
      </w:r>
      <w:proofErr w:type="spellEnd"/>
      <w:r w:rsidRPr="009B7564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9B7564">
        <w:rPr>
          <w:rFonts w:ascii="Arial" w:hAnsi="Arial"/>
          <w:b/>
          <w:sz w:val="24"/>
          <w:lang w:val="en-US"/>
        </w:rPr>
        <w:t>výstupních</w:t>
      </w:r>
      <w:proofErr w:type="spellEnd"/>
      <w:r w:rsidRPr="009B7564">
        <w:rPr>
          <w:rFonts w:ascii="Arial" w:hAnsi="Arial"/>
          <w:b/>
          <w:sz w:val="24"/>
          <w:lang w:val="en-US"/>
        </w:rPr>
        <w:t xml:space="preserve"> </w:t>
      </w:r>
      <w:proofErr w:type="spellStart"/>
      <w:r w:rsidRPr="009B7564">
        <w:rPr>
          <w:rFonts w:ascii="Arial" w:hAnsi="Arial"/>
          <w:b/>
          <w:sz w:val="24"/>
          <w:lang w:val="en-US"/>
        </w:rPr>
        <w:t>tabulek</w:t>
      </w:r>
      <w:proofErr w:type="spellEnd"/>
      <w:r w:rsidRPr="009B7564">
        <w:rPr>
          <w:rFonts w:ascii="Arial" w:hAnsi="Arial"/>
          <w:b/>
          <w:sz w:val="24"/>
          <w:lang w:val="en-US"/>
        </w:rPr>
        <w:t>.</w:t>
      </w:r>
    </w:p>
    <w:p w:rsidR="00F8471A" w:rsidRPr="00FB6E6A" w:rsidRDefault="00F8471A" w:rsidP="00FB6E6A">
      <w:pPr>
        <w:pStyle w:val="PlainText"/>
        <w:jc w:val="both"/>
        <w:rPr>
          <w:rFonts w:ascii="Arial" w:hAnsi="Arial"/>
          <w:sz w:val="24"/>
        </w:rPr>
      </w:pPr>
    </w:p>
    <w:sectPr w:rsidR="00F8471A" w:rsidRPr="00FB6E6A">
      <w:pgSz w:w="11906" w:h="16838"/>
      <w:pgMar w:top="2552" w:right="1152" w:bottom="1418" w:left="115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/>
  <w:rsids>
    <w:rsidRoot w:val="002F5BE4"/>
    <w:rsid w:val="00044E98"/>
    <w:rsid w:val="00270E16"/>
    <w:rsid w:val="002A2085"/>
    <w:rsid w:val="002F5BE4"/>
    <w:rsid w:val="003C3DCF"/>
    <w:rsid w:val="00485271"/>
    <w:rsid w:val="004E0F09"/>
    <w:rsid w:val="006470A0"/>
    <w:rsid w:val="00725554"/>
    <w:rsid w:val="00781421"/>
    <w:rsid w:val="007E6F43"/>
    <w:rsid w:val="009B7564"/>
    <w:rsid w:val="009E6D82"/>
    <w:rsid w:val="00B064EC"/>
    <w:rsid w:val="00B11E88"/>
    <w:rsid w:val="00BB0507"/>
    <w:rsid w:val="00C34502"/>
    <w:rsid w:val="00C90397"/>
    <w:rsid w:val="00D73CC1"/>
    <w:rsid w:val="00E94EBF"/>
    <w:rsid w:val="00ED5A3A"/>
    <w:rsid w:val="00EE12A6"/>
    <w:rsid w:val="00EF707F"/>
    <w:rsid w:val="00F8471A"/>
    <w:rsid w:val="00FB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lainText">
    <w:name w:val="Plain Text"/>
    <w:basedOn w:val="Normln"/>
    <w:rPr>
      <w:rFonts w:ascii="Courier New" w:hAnsi="Courier New"/>
      <w:sz w:val="20"/>
    </w:rPr>
  </w:style>
  <w:style w:type="character" w:customStyle="1" w:styleId="Hyperlink">
    <w:name w:val="Hyperlink"/>
    <w:basedOn w:val="Standardnpsmoodstavce"/>
    <w:rPr>
      <w:color w:val="0000FF"/>
      <w:u w:val="single"/>
    </w:rPr>
  </w:style>
  <w:style w:type="character" w:customStyle="1" w:styleId="Hyperlink0">
    <w:name w:val="Hyperlink"/>
    <w:basedOn w:val="Standardnpsmoodstavce"/>
    <w:rPr>
      <w:color w:val="0000FF"/>
      <w:u w:val="single"/>
    </w:rPr>
  </w:style>
  <w:style w:type="character" w:customStyle="1" w:styleId="FollowedHyperlink">
    <w:name w:val="FollowedHyperlink"/>
    <w:basedOn w:val="Standardnpsmoodstavce"/>
    <w:rPr>
      <w:color w:val="800080"/>
      <w:u w:val="single"/>
    </w:rPr>
  </w:style>
  <w:style w:type="paragraph" w:customStyle="1" w:styleId="PlainText0">
    <w:name w:val="Plain Text"/>
    <w:basedOn w:val="Normln"/>
    <w:rPr>
      <w:rFonts w:ascii="Arial" w:hAnsi="Arial"/>
    </w:rPr>
  </w:style>
  <w:style w:type="paragraph" w:customStyle="1" w:styleId="PlainText1">
    <w:name w:val="Plain Text"/>
    <w:basedOn w:val="Normln"/>
    <w:rPr>
      <w:rFonts w:ascii="Arial" w:hAnsi="Arial"/>
    </w:rPr>
  </w:style>
  <w:style w:type="paragraph" w:customStyle="1" w:styleId="PlainText2">
    <w:name w:val="Plain Text"/>
    <w:basedOn w:val="Normln"/>
    <w:rPr>
      <w:rFonts w:ascii="Arial" w:hAnsi="Arial"/>
    </w:rPr>
  </w:style>
  <w:style w:type="paragraph" w:customStyle="1" w:styleId="Prosttext1">
    <w:name w:val="Prostý text1"/>
    <w:basedOn w:val="Normln"/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B657B-C006-40E4-A1C7-63B62640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Kód publikace : 9-8105-02</vt:lpstr>
    </vt:vector>
  </TitlesOfParts>
  <Company>ČSÚ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 publikace : 9-8105-02</dc:title>
  <dc:creator>System Service</dc:creator>
  <cp:lastModifiedBy>Krejčí</cp:lastModifiedBy>
  <cp:revision>2</cp:revision>
  <cp:lastPrinted>2009-10-29T16:00:00Z</cp:lastPrinted>
  <dcterms:created xsi:type="dcterms:W3CDTF">2014-04-06T20:25:00Z</dcterms:created>
  <dcterms:modified xsi:type="dcterms:W3CDTF">2014-04-06T20:25:00Z</dcterms:modified>
</cp:coreProperties>
</file>