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23" w:rsidRDefault="00CE6D23" w:rsidP="00CE6D23">
      <w:pPr>
        <w:pStyle w:val="Nadpis2"/>
        <w:spacing w:after="240"/>
        <w:jc w:val="center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t>Metodické vysvětlivky</w:t>
      </w:r>
    </w:p>
    <w:p w:rsidR="00CE6D23" w:rsidRDefault="00CE6D23" w:rsidP="00CE6D23">
      <w:pPr>
        <w:rPr>
          <w:rFonts w:ascii="Arial" w:hAnsi="Arial" w:cs="Arial"/>
          <w:sz w:val="20"/>
          <w:szCs w:val="20"/>
        </w:rPr>
      </w:pPr>
    </w:p>
    <w:p w:rsidR="00CE6D23" w:rsidRDefault="00CE6D23" w:rsidP="00CE6D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mysliveckém hospodaření podává informaci Roční výkaz o honitbách, stavu a lovu zvěře (za období 1.4. daného roku – 31.3. roku následujícího). Publikována jsou data za celou Českou republiku, jsou zde zahrnuta data ze statistického zjišťování Ministerstva zemědělství (Roční výkaz o honitbách, stavu a lovu zvěře </w:t>
      </w:r>
      <w:r>
        <w:rPr>
          <w:rFonts w:ascii="Arial" w:hAnsi="Arial" w:cs="Arial"/>
          <w:i/>
          <w:iCs/>
          <w:sz w:val="20"/>
        </w:rPr>
        <w:t>Mysl (</w:t>
      </w:r>
      <w:proofErr w:type="spellStart"/>
      <w:r>
        <w:rPr>
          <w:rFonts w:ascii="Arial" w:hAnsi="Arial" w:cs="Arial"/>
          <w:i/>
          <w:iCs/>
          <w:sz w:val="20"/>
        </w:rPr>
        <w:t>MZe</w:t>
      </w:r>
      <w:proofErr w:type="spellEnd"/>
      <w:r>
        <w:rPr>
          <w:rFonts w:ascii="Arial" w:hAnsi="Arial" w:cs="Arial"/>
          <w:i/>
          <w:iCs/>
          <w:sz w:val="20"/>
        </w:rPr>
        <w:t>) 1-01</w:t>
      </w:r>
      <w:r>
        <w:rPr>
          <w:rFonts w:ascii="Arial" w:hAnsi="Arial" w:cs="Arial"/>
          <w:sz w:val="20"/>
        </w:rPr>
        <w:t>) a z datových zdrojů Ministerstva životního prostředí.</w:t>
      </w:r>
    </w:p>
    <w:p w:rsidR="00CE6D23" w:rsidRDefault="00CE6D23" w:rsidP="00CE6D23">
      <w:pPr>
        <w:jc w:val="both"/>
        <w:rPr>
          <w:rFonts w:ascii="Arial" w:hAnsi="Arial" w:cs="Arial"/>
          <w:sz w:val="20"/>
        </w:rPr>
      </w:pPr>
    </w:p>
    <w:p w:rsidR="00F107C0" w:rsidRPr="00CE6D23" w:rsidRDefault="00CE6D23" w:rsidP="00CE6D23">
      <w:pPr>
        <w:jc w:val="both"/>
      </w:pPr>
      <w:r>
        <w:rPr>
          <w:rFonts w:ascii="Arial" w:hAnsi="Arial" w:cs="Arial"/>
          <w:sz w:val="20"/>
        </w:rPr>
        <w:t xml:space="preserve">Výkaz se člení na čtyři základní části.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</w:t>
      </w:r>
      <w:proofErr w:type="spellStart"/>
      <w:r>
        <w:rPr>
          <w:rFonts w:ascii="Arial" w:hAnsi="Arial" w:cs="Arial"/>
          <w:sz w:val="20"/>
        </w:rPr>
        <w:t>zazvěřování</w:t>
      </w:r>
      <w:proofErr w:type="spellEnd"/>
      <w:r>
        <w:rPr>
          <w:rFonts w:ascii="Arial" w:hAnsi="Arial" w:cs="Arial"/>
          <w:sz w:val="20"/>
        </w:rPr>
        <w:t xml:space="preserve"> a jarním kmenovém stavu zvěře. Poslední oddíl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>
        <w:rPr>
          <w:rFonts w:ascii="Arial" w:hAnsi="Arial" w:cs="Arial"/>
          <w:sz w:val="20"/>
        </w:rPr>
        <w:t xml:space="preserve"> navazuje na předcházející část. Jsou zde zahrnuty i chráněné druhy živočichů.</w:t>
      </w:r>
    </w:p>
    <w:sectPr w:rsidR="00F107C0" w:rsidRPr="00CE6D23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7C0"/>
    <w:rsid w:val="00A02028"/>
    <w:rsid w:val="00C50F44"/>
    <w:rsid w:val="00CE6D23"/>
    <w:rsid w:val="00F107C0"/>
    <w:rsid w:val="00F23F6B"/>
    <w:rsid w:val="00F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 w:cs="Arial"/>
      <w:sz w:val="20"/>
    </w:rPr>
  </w:style>
  <w:style w:type="character" w:customStyle="1" w:styleId="Nadpis2Char">
    <w:name w:val="Nadpis 2 Char"/>
    <w:link w:val="Nadpis2"/>
    <w:rsid w:val="00CE6D2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2</cp:revision>
  <cp:lastPrinted>2007-05-10T12:34:00Z</cp:lastPrinted>
  <dcterms:created xsi:type="dcterms:W3CDTF">2015-05-19T10:37:00Z</dcterms:created>
  <dcterms:modified xsi:type="dcterms:W3CDTF">2015-05-19T10:37:00Z</dcterms:modified>
</cp:coreProperties>
</file>