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91" w:rsidRDefault="009F6591"/>
    <w:p w:rsidR="00E171D4" w:rsidRDefault="00E171D4"/>
    <w:p w:rsidR="00E171D4" w:rsidRDefault="00E171D4" w:rsidP="00E171D4">
      <w:pPr>
        <w:jc w:val="both"/>
        <w:rPr>
          <w:rFonts w:ascii="Arial" w:hAnsi="Arial" w:cs="Arial"/>
          <w:sz w:val="20"/>
          <w:szCs w:val="20"/>
        </w:rPr>
      </w:pPr>
    </w:p>
    <w:p w:rsidR="00E171D4" w:rsidRDefault="00E171D4" w:rsidP="00E171D4">
      <w:pPr>
        <w:jc w:val="both"/>
        <w:rPr>
          <w:rFonts w:ascii="Arial" w:hAnsi="Arial" w:cs="Arial"/>
          <w:sz w:val="20"/>
          <w:szCs w:val="20"/>
        </w:rPr>
      </w:pPr>
    </w:p>
    <w:p w:rsidR="00E171D4" w:rsidRDefault="00E171D4" w:rsidP="00E171D4">
      <w:pPr>
        <w:jc w:val="both"/>
        <w:rPr>
          <w:rFonts w:ascii="Arial" w:hAnsi="Arial" w:cs="Arial"/>
          <w:sz w:val="20"/>
          <w:szCs w:val="20"/>
        </w:rPr>
      </w:pPr>
    </w:p>
    <w:p w:rsidR="00E171D4" w:rsidRPr="00E171D4" w:rsidRDefault="00E171D4" w:rsidP="00E171D4">
      <w:pPr>
        <w:jc w:val="both"/>
        <w:rPr>
          <w:rFonts w:ascii="Arial" w:hAnsi="Arial" w:cs="Arial"/>
          <w:b/>
        </w:rPr>
      </w:pPr>
      <w:r w:rsidRPr="00E171D4">
        <w:rPr>
          <w:rFonts w:ascii="Arial" w:hAnsi="Arial" w:cs="Arial"/>
          <w:b/>
        </w:rPr>
        <w:t>Komentář</w:t>
      </w:r>
    </w:p>
    <w:p w:rsidR="00E171D4" w:rsidRDefault="00E171D4" w:rsidP="00E171D4">
      <w:pPr>
        <w:jc w:val="both"/>
        <w:rPr>
          <w:rFonts w:ascii="Arial" w:hAnsi="Arial" w:cs="Arial"/>
          <w:sz w:val="20"/>
          <w:szCs w:val="20"/>
        </w:rPr>
      </w:pPr>
    </w:p>
    <w:p w:rsidR="00E171D4" w:rsidRDefault="00E171D4" w:rsidP="00E171D4">
      <w:pPr>
        <w:jc w:val="both"/>
        <w:rPr>
          <w:rFonts w:ascii="Arial" w:hAnsi="Arial" w:cs="Arial"/>
          <w:sz w:val="20"/>
          <w:szCs w:val="20"/>
        </w:rPr>
      </w:pPr>
    </w:p>
    <w:p w:rsidR="00E171D4" w:rsidRPr="006D4452" w:rsidRDefault="00E171D4" w:rsidP="00E171D4">
      <w:pPr>
        <w:jc w:val="both"/>
        <w:rPr>
          <w:rFonts w:ascii="Arial" w:hAnsi="Arial" w:cs="Arial"/>
          <w:sz w:val="20"/>
          <w:szCs w:val="20"/>
        </w:rPr>
      </w:pPr>
      <w:r w:rsidRPr="006D4452">
        <w:rPr>
          <w:rFonts w:ascii="Arial" w:hAnsi="Arial" w:cs="Arial"/>
          <w:sz w:val="20"/>
          <w:szCs w:val="20"/>
        </w:rPr>
        <w:t>Produkce zemědělského odvětví v základních běžných cenách dosáhla dle předběžných výsledků roku 2014 hodnoty 136 574,7 mil. Kč. Rekordní výsledek byl zapříčiněn meziročním růstem všech jejích položek, které ve sledovaném roce činily: rostlinná produkce 79 543,8 mil. Kč, živočišná produkce 51 568,9 mil. Kč, produkce zemědělských služeb 2 832,2 mil. Kč a neoddělitelné nezemědělské vedlejší činnosti 2 629,8 mil. Kč.</w:t>
      </w:r>
    </w:p>
    <w:p w:rsidR="00E171D4" w:rsidRPr="006D4452" w:rsidRDefault="00E171D4" w:rsidP="00E171D4">
      <w:pPr>
        <w:jc w:val="both"/>
        <w:rPr>
          <w:rFonts w:ascii="Arial" w:hAnsi="Arial" w:cs="Arial"/>
          <w:sz w:val="20"/>
          <w:szCs w:val="20"/>
        </w:rPr>
      </w:pPr>
    </w:p>
    <w:p w:rsidR="00E171D4" w:rsidRPr="006D4452" w:rsidRDefault="00E171D4" w:rsidP="00E171D4">
      <w:pPr>
        <w:jc w:val="both"/>
        <w:rPr>
          <w:rFonts w:ascii="Arial" w:hAnsi="Arial" w:cs="Arial"/>
          <w:sz w:val="20"/>
          <w:szCs w:val="20"/>
        </w:rPr>
      </w:pPr>
      <w:r w:rsidRPr="006D4452">
        <w:rPr>
          <w:rFonts w:ascii="Arial" w:hAnsi="Arial" w:cs="Arial"/>
          <w:sz w:val="20"/>
          <w:szCs w:val="20"/>
        </w:rPr>
        <w:t>Rostlinná produkce se i přes pokles cen meziročně zvýšila o 4,7 %, a to díky neočekávaně vysoké úrodě hlavních komodit. Sklizeň obilovin v porovnání s předcházejícím rokem vzrostla o 16,9 %, technických plodin o 15,3 %, krmných plodin o 18,6 %, brambor o 30,0 %. V produkci se úrodný rok projevil nárůstem hodnoty u obilovin o 4,0 %, technických plodin o 4,1 %, krmných plodin o 9,4 % a brambor o 6,3 %.</w:t>
      </w:r>
    </w:p>
    <w:p w:rsidR="00E171D4" w:rsidRPr="006D4452" w:rsidRDefault="00E171D4" w:rsidP="00E171D4">
      <w:pPr>
        <w:jc w:val="both"/>
        <w:rPr>
          <w:rFonts w:ascii="Arial" w:hAnsi="Arial" w:cs="Arial"/>
          <w:sz w:val="20"/>
          <w:szCs w:val="20"/>
        </w:rPr>
      </w:pPr>
    </w:p>
    <w:p w:rsidR="00E171D4" w:rsidRPr="006D4452" w:rsidRDefault="00E171D4" w:rsidP="00E171D4">
      <w:pPr>
        <w:jc w:val="both"/>
        <w:rPr>
          <w:rFonts w:ascii="Arial" w:hAnsi="Arial" w:cs="Arial"/>
          <w:sz w:val="20"/>
          <w:szCs w:val="20"/>
        </w:rPr>
      </w:pPr>
      <w:r w:rsidRPr="006D4452">
        <w:rPr>
          <w:rFonts w:ascii="Arial" w:hAnsi="Arial" w:cs="Arial"/>
          <w:sz w:val="20"/>
          <w:szCs w:val="20"/>
        </w:rPr>
        <w:t>Živočišná výroba vzrostla proti roku 2013 dokonce o 10,0 %. Propad cen všech kategorií zvířat byl vykompenzován vyšší výrobou, takže jejich celková produkce narostla o 1,5 %. Ještě lepších výsledků bylo dosaženo u živočišných výrobků (mléka a vajec), u kterých se zvýšila nejen výroba, ale i průměrná cena. Růst produkce mléka činil 18,7 %, což v peněžním vyjádření představovalo 4 181,8 mil. Kč.</w:t>
      </w:r>
    </w:p>
    <w:p w:rsidR="00E171D4" w:rsidRPr="006D4452" w:rsidRDefault="00E171D4" w:rsidP="00E171D4">
      <w:pPr>
        <w:jc w:val="both"/>
        <w:rPr>
          <w:rFonts w:ascii="Arial" w:hAnsi="Arial" w:cs="Arial"/>
          <w:sz w:val="20"/>
          <w:szCs w:val="20"/>
        </w:rPr>
      </w:pPr>
    </w:p>
    <w:p w:rsidR="00E171D4" w:rsidRPr="006D4452" w:rsidRDefault="00E171D4" w:rsidP="00E171D4">
      <w:pPr>
        <w:jc w:val="both"/>
        <w:rPr>
          <w:rFonts w:ascii="Arial" w:hAnsi="Arial" w:cs="Arial"/>
          <w:sz w:val="20"/>
          <w:szCs w:val="20"/>
        </w:rPr>
      </w:pPr>
      <w:r w:rsidRPr="006D4452">
        <w:rPr>
          <w:rFonts w:ascii="Arial" w:hAnsi="Arial" w:cs="Arial"/>
          <w:sz w:val="20"/>
          <w:szCs w:val="20"/>
        </w:rPr>
        <w:t xml:space="preserve">Na druhé straně stoupala také hodnota </w:t>
      </w:r>
      <w:proofErr w:type="spellStart"/>
      <w:r w:rsidRPr="006D4452">
        <w:rPr>
          <w:rFonts w:ascii="Arial" w:hAnsi="Arial" w:cs="Arial"/>
          <w:sz w:val="20"/>
          <w:szCs w:val="20"/>
        </w:rPr>
        <w:t>mezispotřeby</w:t>
      </w:r>
      <w:proofErr w:type="spellEnd"/>
      <w:r w:rsidRPr="006D4452">
        <w:rPr>
          <w:rFonts w:ascii="Arial" w:hAnsi="Arial" w:cs="Arial"/>
          <w:sz w:val="20"/>
          <w:szCs w:val="20"/>
        </w:rPr>
        <w:t xml:space="preserve"> (4,4 %), spotřeby fixního kapitálu (3,0 %), náhrad zaměstnancům (2,4 %) či předepsaného pachtovného a ostatního nájemného z nemovitostí (10,0 %).  Proti předchozímu roku došlo ke zvýšení ostatních dotací na výrobu o 12,3 %.</w:t>
      </w:r>
    </w:p>
    <w:p w:rsidR="00E171D4" w:rsidRPr="006D4452" w:rsidRDefault="00E171D4" w:rsidP="00E171D4">
      <w:pPr>
        <w:jc w:val="both"/>
        <w:rPr>
          <w:rFonts w:ascii="Arial" w:hAnsi="Arial" w:cs="Arial"/>
          <w:sz w:val="20"/>
          <w:szCs w:val="20"/>
        </w:rPr>
      </w:pPr>
    </w:p>
    <w:p w:rsidR="00E171D4" w:rsidRPr="006D4452" w:rsidRDefault="00E171D4" w:rsidP="00E171D4">
      <w:pPr>
        <w:jc w:val="both"/>
        <w:rPr>
          <w:rFonts w:ascii="Arial" w:hAnsi="Arial" w:cs="Arial"/>
          <w:sz w:val="20"/>
          <w:szCs w:val="20"/>
        </w:rPr>
      </w:pPr>
      <w:r w:rsidRPr="006D4452">
        <w:rPr>
          <w:rFonts w:ascii="Arial" w:hAnsi="Arial" w:cs="Arial"/>
          <w:sz w:val="20"/>
          <w:szCs w:val="20"/>
        </w:rPr>
        <w:t>V produkci zemědělského odvětví v základních běžných cenách v roce 2014 převažuje podíl rostlinné produkce (58,2 %) nad produkcí živočišnou (37,8 %). Na rostlinné produkci byly největší měrou zastoupeny obiloviny (42,6 %) a technické plodiny (27,0 %), v produkci živočišné převládala produkce mléka (51,5 %) a chov jatečných prasat (18,7 %).</w:t>
      </w:r>
    </w:p>
    <w:p w:rsidR="00E171D4" w:rsidRPr="006D4452" w:rsidRDefault="00E171D4" w:rsidP="00E171D4">
      <w:pPr>
        <w:jc w:val="both"/>
        <w:rPr>
          <w:rFonts w:ascii="Arial" w:hAnsi="Arial" w:cs="Arial"/>
          <w:sz w:val="20"/>
          <w:szCs w:val="20"/>
        </w:rPr>
      </w:pPr>
    </w:p>
    <w:p w:rsidR="00E171D4" w:rsidRPr="006D4452" w:rsidRDefault="00E171D4" w:rsidP="00E171D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D4452">
        <w:rPr>
          <w:rFonts w:ascii="Arial" w:hAnsi="Arial" w:cs="Arial"/>
          <w:sz w:val="20"/>
          <w:szCs w:val="20"/>
        </w:rPr>
        <w:t>Mezispotřebu</w:t>
      </w:r>
      <w:proofErr w:type="spellEnd"/>
      <w:r w:rsidRPr="006D4452">
        <w:rPr>
          <w:rFonts w:ascii="Arial" w:hAnsi="Arial" w:cs="Arial"/>
          <w:sz w:val="20"/>
          <w:szCs w:val="20"/>
        </w:rPr>
        <w:t xml:space="preserve"> z největší části tvořila krmiva (34,5 %) a spotřeba energií a maziv (17,1 %). Její podíl na produkci zemědělského odvětví představoval 69,4 %.</w:t>
      </w:r>
    </w:p>
    <w:p w:rsidR="00E171D4" w:rsidRPr="006D4452" w:rsidRDefault="00E171D4" w:rsidP="00E171D4">
      <w:pPr>
        <w:jc w:val="both"/>
        <w:rPr>
          <w:rFonts w:ascii="Arial" w:hAnsi="Arial" w:cs="Arial"/>
          <w:sz w:val="20"/>
          <w:szCs w:val="20"/>
        </w:rPr>
      </w:pPr>
    </w:p>
    <w:p w:rsidR="00E171D4" w:rsidRPr="006D4452" w:rsidRDefault="00E171D4" w:rsidP="00E171D4">
      <w:pPr>
        <w:jc w:val="both"/>
        <w:rPr>
          <w:rFonts w:ascii="Arial" w:hAnsi="Arial" w:cs="Arial"/>
          <w:sz w:val="20"/>
          <w:szCs w:val="20"/>
        </w:rPr>
      </w:pPr>
      <w:r w:rsidRPr="006D4452">
        <w:rPr>
          <w:rFonts w:ascii="Arial" w:hAnsi="Arial" w:cs="Arial"/>
          <w:sz w:val="20"/>
          <w:szCs w:val="20"/>
        </w:rPr>
        <w:t>Ve stálých cenách roku 2000 dosáhla zemědělská produkce v roce 2014 hodnoty 113 055,3 mil. Kč, přičemž proti předešlému roku vzrostla o 9,1 %. V rostlinné produkci došlo v porovnání s minulým rokem k navýšení o 14,0 % na celkových 64 806,5 mil. Kč. Hodnota produkce živočišné meziročně vzrostla o 3,3 % na částku 44 794,1 mil. Kč. Hodnota produkce ve stálých cenách je přímo ovlivněna objemem výroby.</w:t>
      </w:r>
    </w:p>
    <w:p w:rsidR="00E171D4" w:rsidRDefault="00E171D4"/>
    <w:sectPr w:rsidR="00E171D4" w:rsidSect="009F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171D4"/>
    <w:rsid w:val="009F6591"/>
    <w:rsid w:val="00E1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gregorova2239</dc:creator>
  <cp:lastModifiedBy>gregorova2239</cp:lastModifiedBy>
  <cp:revision>1</cp:revision>
  <dcterms:created xsi:type="dcterms:W3CDTF">2015-02-27T08:00:00Z</dcterms:created>
  <dcterms:modified xsi:type="dcterms:W3CDTF">2015-02-27T08:33:00Z</dcterms:modified>
</cp:coreProperties>
</file>