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C5E" w:rsidRDefault="00B67D12">
      <w:pPr>
        <w:pStyle w:val="Default"/>
        <w:jc w:val="center"/>
        <w:outlineLvl w:val="0"/>
        <w:rPr>
          <w:rFonts w:ascii="Arial" w:hAnsi="Arial" w:cs="Arial"/>
          <w:b/>
          <w:bCs/>
          <w:sz w:val="20"/>
          <w:szCs w:val="20"/>
        </w:rPr>
      </w:pPr>
      <w:r>
        <w:rPr>
          <w:rFonts w:ascii="Arial" w:hAnsi="Arial" w:cs="Arial"/>
          <w:b/>
          <w:bCs/>
          <w:sz w:val="20"/>
          <w:szCs w:val="20"/>
        </w:rPr>
        <w:t xml:space="preserve"> </w:t>
      </w:r>
      <w:r w:rsidR="00825C5E">
        <w:rPr>
          <w:rFonts w:ascii="Arial" w:hAnsi="Arial" w:cs="Arial"/>
          <w:b/>
          <w:bCs/>
          <w:sz w:val="20"/>
          <w:szCs w:val="20"/>
        </w:rPr>
        <w:t xml:space="preserve">Metodické poznámky </w:t>
      </w:r>
    </w:p>
    <w:p w:rsidR="00825C5E" w:rsidRDefault="00825C5E">
      <w:pPr>
        <w:pStyle w:val="Default"/>
        <w:jc w:val="center"/>
        <w:outlineLvl w:val="0"/>
        <w:rPr>
          <w:rFonts w:ascii="Arial" w:hAnsi="Arial" w:cs="Arial"/>
          <w:sz w:val="20"/>
          <w:szCs w:val="20"/>
        </w:rPr>
      </w:pPr>
    </w:p>
    <w:p w:rsidR="00825C5E" w:rsidRDefault="00825C5E">
      <w:pPr>
        <w:pStyle w:val="Default"/>
        <w:jc w:val="both"/>
        <w:rPr>
          <w:rFonts w:ascii="Arial" w:hAnsi="Arial" w:cs="Arial"/>
          <w:sz w:val="20"/>
          <w:szCs w:val="20"/>
        </w:rPr>
      </w:pPr>
    </w:p>
    <w:p w:rsidR="00825C5E" w:rsidRPr="00F2729C" w:rsidRDefault="00967231">
      <w:pPr>
        <w:pStyle w:val="Default"/>
        <w:jc w:val="both"/>
        <w:rPr>
          <w:rFonts w:ascii="Arial" w:hAnsi="Arial" w:cs="Arial"/>
          <w:sz w:val="20"/>
          <w:szCs w:val="20"/>
        </w:rPr>
      </w:pPr>
      <w:r w:rsidRPr="00F2729C">
        <w:rPr>
          <w:rFonts w:ascii="Arial" w:hAnsi="Arial" w:cs="Arial"/>
          <w:sz w:val="20"/>
          <w:szCs w:val="20"/>
        </w:rPr>
        <w:t xml:space="preserve">Pokud není uveden zdroj, </w:t>
      </w:r>
      <w:r w:rsidR="00825C5E" w:rsidRPr="00F2729C">
        <w:rPr>
          <w:rFonts w:ascii="Arial" w:hAnsi="Arial" w:cs="Arial"/>
          <w:sz w:val="20"/>
          <w:szCs w:val="20"/>
        </w:rPr>
        <w:t xml:space="preserve">jsou </w:t>
      </w:r>
      <w:r w:rsidRPr="00F2729C">
        <w:rPr>
          <w:rFonts w:ascii="Arial" w:hAnsi="Arial" w:cs="Arial"/>
          <w:sz w:val="20"/>
          <w:szCs w:val="20"/>
        </w:rPr>
        <w:t xml:space="preserve">v publikaci </w:t>
      </w:r>
      <w:r w:rsidR="00825C5E" w:rsidRPr="00F2729C">
        <w:rPr>
          <w:rFonts w:ascii="Arial" w:hAnsi="Arial" w:cs="Arial"/>
          <w:sz w:val="20"/>
          <w:szCs w:val="20"/>
        </w:rPr>
        <w:t>uveřejněna data, pocházející ze statistických šetření ČSÚ. Vět</w:t>
      </w:r>
      <w:r w:rsidR="00665719" w:rsidRPr="00F2729C">
        <w:rPr>
          <w:rFonts w:ascii="Arial" w:hAnsi="Arial" w:cs="Arial"/>
          <w:sz w:val="20"/>
          <w:szCs w:val="20"/>
        </w:rPr>
        <w:t>šina dat je vztažena k roku 2012</w:t>
      </w:r>
      <w:r w:rsidR="00825C5E" w:rsidRPr="00F2729C">
        <w:rPr>
          <w:rFonts w:ascii="Arial" w:hAnsi="Arial" w:cs="Arial"/>
          <w:sz w:val="20"/>
          <w:szCs w:val="20"/>
        </w:rPr>
        <w:t xml:space="preserve">. </w:t>
      </w:r>
    </w:p>
    <w:p w:rsidR="00825C5E" w:rsidRPr="00F2729C" w:rsidRDefault="00825C5E">
      <w:pPr>
        <w:pStyle w:val="Default"/>
        <w:jc w:val="both"/>
        <w:rPr>
          <w:rFonts w:ascii="Arial" w:hAnsi="Arial" w:cs="Arial"/>
          <w:sz w:val="20"/>
          <w:szCs w:val="20"/>
        </w:rPr>
      </w:pPr>
    </w:p>
    <w:p w:rsidR="00825C5E" w:rsidRPr="00F2729C" w:rsidRDefault="00825C5E">
      <w:pPr>
        <w:pStyle w:val="Default"/>
        <w:jc w:val="both"/>
        <w:rPr>
          <w:rFonts w:ascii="Arial" w:hAnsi="Arial" w:cs="Arial"/>
          <w:sz w:val="20"/>
          <w:szCs w:val="20"/>
        </w:rPr>
      </w:pPr>
      <w:r w:rsidRPr="00F2729C">
        <w:rPr>
          <w:rFonts w:ascii="Arial" w:hAnsi="Arial" w:cs="Arial"/>
          <w:sz w:val="20"/>
          <w:szCs w:val="20"/>
        </w:rPr>
        <w:t>Od 1. 1. 2000 platí správní rozdělení České republiky na 14 vyšších územně samosprávných celků (ústavní zákon č. 347/1997 Sb.), (I. fáze reformy územní veřejné správy). V roce 2002 proběhla II. fáze této reformy, jejímž cílem bylo ukončení činnosti okresních úřadů k 31. 12. 2002. Významná část jejich kompetencí byla přenesena na 205 obcí s rozšířenou působností, které zahájily svou činnost od 1. 1. 2003. Tyto obce definuje zákon č. 314/2002 Sb. o stanovení obcí s pověřeným obecním úřadem a stanovení obcí s rozšířenou působností. Správní obvody obcí s rozšířenou působností (</w:t>
      </w:r>
      <w:r w:rsidRPr="00F2729C">
        <w:rPr>
          <w:rFonts w:ascii="Arial" w:hAnsi="Arial" w:cs="Arial"/>
          <w:b/>
          <w:bCs/>
          <w:sz w:val="20"/>
          <w:szCs w:val="20"/>
        </w:rPr>
        <w:t>ORP</w:t>
      </w:r>
      <w:r w:rsidRPr="00F2729C">
        <w:rPr>
          <w:rFonts w:ascii="Arial" w:hAnsi="Arial" w:cs="Arial"/>
          <w:sz w:val="20"/>
          <w:szCs w:val="20"/>
        </w:rPr>
        <w:t xml:space="preserve">) stanovilo Ministerstvo vnitra ČR vyhláškou č. 388/2002 Sb.. </w:t>
      </w:r>
    </w:p>
    <w:p w:rsidR="002D68C2" w:rsidRPr="00F2729C" w:rsidRDefault="002D68C2">
      <w:pPr>
        <w:pStyle w:val="Default"/>
        <w:jc w:val="both"/>
        <w:rPr>
          <w:rFonts w:ascii="Arial" w:hAnsi="Arial" w:cs="Arial"/>
          <w:sz w:val="20"/>
          <w:szCs w:val="20"/>
        </w:rPr>
      </w:pPr>
    </w:p>
    <w:p w:rsidR="00825C5E" w:rsidRPr="00F2729C" w:rsidRDefault="00825C5E">
      <w:pPr>
        <w:pStyle w:val="Default"/>
        <w:jc w:val="both"/>
        <w:rPr>
          <w:rFonts w:ascii="Arial" w:hAnsi="Arial" w:cs="Arial"/>
          <w:sz w:val="20"/>
          <w:szCs w:val="20"/>
        </w:rPr>
      </w:pPr>
      <w:r w:rsidRPr="00F2729C">
        <w:rPr>
          <w:rFonts w:ascii="Arial" w:hAnsi="Arial" w:cs="Arial"/>
          <w:sz w:val="20"/>
          <w:szCs w:val="20"/>
        </w:rPr>
        <w:t>K 1. 1. 2005 došlo k územní změně</w:t>
      </w:r>
      <w:r w:rsidRPr="00F2729C">
        <w:rPr>
          <w:rFonts w:ascii="Arial" w:hAnsi="Arial" w:cs="Arial"/>
          <w:b/>
          <w:bCs/>
          <w:sz w:val="20"/>
          <w:szCs w:val="20"/>
        </w:rPr>
        <w:t xml:space="preserve">, </w:t>
      </w:r>
      <w:r w:rsidRPr="00F2729C">
        <w:rPr>
          <w:rFonts w:ascii="Arial" w:hAnsi="Arial" w:cs="Arial"/>
          <w:sz w:val="20"/>
          <w:szCs w:val="20"/>
        </w:rPr>
        <w:t xml:space="preserve">vyplývající ze zákona č. 387/2004 Sb., o změnách hranic krajů. Jedná se o přesun 28 obcí mezi kraji a okresy. Obec Senorady z okresu Třebíč do okresu Brno-venkov. Obce Borač, Borovník, Černvír, Dolní Loučky, Doubravník, Drahonín, Horní Loučky, Kaly, Katov, Křižínkov, Kuřimská Nová Ves, Kuřimské Jestřabí, Lubné, Nedvědice, Níhov, Olší, Pernštejnské Jestřabí, Rojetín, Řikonín, Skryje, Tišnovská Nová Ves, Újezd u Tišnova, Vratislávka a Žďárec z okresu Žďár nad Sázavou do okresu Brno-venkov, tzn. změna hranic krajů Jihomoravského a Vysočina. Obce Huzová, Moravský Beroun a Norberčany z okresu Bruntál do okresu Olomouc, tzn. změna hranic krajů Olomouckého a Moravskoslezského. </w:t>
      </w:r>
    </w:p>
    <w:p w:rsidR="002D68C2" w:rsidRPr="00F2729C" w:rsidRDefault="002D68C2">
      <w:pPr>
        <w:pStyle w:val="Default"/>
        <w:jc w:val="both"/>
        <w:rPr>
          <w:rFonts w:ascii="Arial" w:hAnsi="Arial" w:cs="Arial"/>
          <w:sz w:val="20"/>
          <w:szCs w:val="20"/>
        </w:rPr>
      </w:pPr>
    </w:p>
    <w:p w:rsidR="00825C5E" w:rsidRPr="00F2729C" w:rsidRDefault="00825C5E">
      <w:pPr>
        <w:pStyle w:val="Default"/>
        <w:jc w:val="both"/>
        <w:rPr>
          <w:rFonts w:ascii="Arial" w:hAnsi="Arial" w:cs="Arial"/>
          <w:sz w:val="20"/>
          <w:szCs w:val="20"/>
        </w:rPr>
      </w:pPr>
      <w:r w:rsidRPr="00F2729C">
        <w:rPr>
          <w:rFonts w:ascii="Arial" w:hAnsi="Arial" w:cs="Arial"/>
          <w:sz w:val="20"/>
          <w:szCs w:val="20"/>
        </w:rPr>
        <w:t>K 1. 1. 2007 došlo k územní změně hranic okresů (</w:t>
      </w:r>
      <w:r w:rsidRPr="00F2729C">
        <w:rPr>
          <w:rFonts w:ascii="Arial" w:hAnsi="Arial" w:cs="Arial"/>
          <w:sz w:val="20"/>
        </w:rPr>
        <w:t xml:space="preserve">na základě vyhlášky č. 513 ze dne 3. listopadu 2006, kterou se mění vyhláška č. 564/2002 Sb., o stanovení území okresů České republiky a území obvodů hlavního města Prahy, ve znění pozdějších předpisů). Úpravou je realizována další etapa sjednocování hranic okresů a hranic ORP. </w:t>
      </w:r>
      <w:r w:rsidRPr="00F2729C">
        <w:rPr>
          <w:rFonts w:ascii="Arial" w:hAnsi="Arial" w:cs="Arial"/>
          <w:sz w:val="20"/>
          <w:szCs w:val="20"/>
        </w:rPr>
        <w:t xml:space="preserve">Jedná se o přesun 119 obcí mezi okresy, hranice </w:t>
      </w:r>
      <w:proofErr w:type="gramStart"/>
      <w:r w:rsidRPr="00F2729C">
        <w:rPr>
          <w:rFonts w:ascii="Arial" w:hAnsi="Arial" w:cs="Arial"/>
          <w:sz w:val="20"/>
          <w:szCs w:val="20"/>
        </w:rPr>
        <w:t>krajů  touto</w:t>
      </w:r>
      <w:proofErr w:type="gramEnd"/>
      <w:r w:rsidRPr="00F2729C">
        <w:rPr>
          <w:rFonts w:ascii="Arial" w:hAnsi="Arial" w:cs="Arial"/>
          <w:sz w:val="20"/>
          <w:szCs w:val="20"/>
        </w:rPr>
        <w:t xml:space="preserve"> úpravou pozměněny nebyly.</w:t>
      </w:r>
    </w:p>
    <w:p w:rsidR="00825C5E" w:rsidRPr="00F2729C" w:rsidRDefault="00825C5E">
      <w:pPr>
        <w:pStyle w:val="Default"/>
        <w:jc w:val="both"/>
        <w:rPr>
          <w:rFonts w:ascii="Arial" w:hAnsi="Arial" w:cs="Arial"/>
          <w:b/>
          <w:bCs/>
          <w:sz w:val="20"/>
        </w:rPr>
      </w:pPr>
    </w:p>
    <w:p w:rsidR="00825C5E" w:rsidRPr="00F2729C" w:rsidRDefault="00825C5E">
      <w:pPr>
        <w:pStyle w:val="Default"/>
        <w:jc w:val="both"/>
        <w:rPr>
          <w:rFonts w:ascii="Arial" w:hAnsi="Arial" w:cs="Arial"/>
          <w:b/>
          <w:bCs/>
          <w:color w:val="FF0000"/>
          <w:sz w:val="20"/>
          <w:szCs w:val="20"/>
        </w:rPr>
      </w:pPr>
    </w:p>
    <w:p w:rsidR="00825C5E" w:rsidRPr="00F2729C" w:rsidRDefault="00825C5E">
      <w:pPr>
        <w:pStyle w:val="Default"/>
        <w:jc w:val="both"/>
        <w:outlineLvl w:val="0"/>
        <w:rPr>
          <w:rFonts w:ascii="Arial" w:hAnsi="Arial" w:cs="Arial"/>
          <w:sz w:val="20"/>
          <w:szCs w:val="20"/>
        </w:rPr>
      </w:pPr>
      <w:r w:rsidRPr="00F2729C">
        <w:rPr>
          <w:rFonts w:ascii="Arial" w:hAnsi="Arial" w:cs="Arial"/>
          <w:b/>
          <w:bCs/>
          <w:sz w:val="20"/>
          <w:szCs w:val="20"/>
        </w:rPr>
        <w:t xml:space="preserve">Zdroje dat: </w:t>
      </w:r>
    </w:p>
    <w:p w:rsidR="00825C5E" w:rsidRPr="00F2729C" w:rsidRDefault="00825C5E">
      <w:pPr>
        <w:pStyle w:val="Default"/>
        <w:rPr>
          <w:rFonts w:ascii="Arial" w:hAnsi="Arial" w:cs="Arial"/>
          <w:sz w:val="20"/>
          <w:szCs w:val="20"/>
        </w:rPr>
      </w:pPr>
    </w:p>
    <w:p w:rsidR="00825C5E" w:rsidRPr="00F2729C" w:rsidRDefault="00825C5E">
      <w:pPr>
        <w:pStyle w:val="Default"/>
        <w:ind w:left="360" w:hanging="360"/>
        <w:rPr>
          <w:rFonts w:ascii="Arial" w:hAnsi="Arial" w:cs="Arial"/>
          <w:sz w:val="20"/>
          <w:szCs w:val="20"/>
        </w:rPr>
      </w:pPr>
      <w:r w:rsidRPr="00F2729C">
        <w:rPr>
          <w:rFonts w:ascii="Arial" w:hAnsi="Arial" w:cs="Arial"/>
          <w:sz w:val="20"/>
          <w:szCs w:val="20"/>
        </w:rPr>
        <w:t xml:space="preserve">• </w:t>
      </w:r>
      <w:r w:rsidRPr="00F2729C">
        <w:rPr>
          <w:rFonts w:ascii="Arial" w:hAnsi="Arial" w:cs="Arial"/>
          <w:b/>
          <w:bCs/>
          <w:sz w:val="20"/>
          <w:szCs w:val="20"/>
        </w:rPr>
        <w:t xml:space="preserve">rozloha a druhy pozemků </w:t>
      </w:r>
      <w:r w:rsidR="00173DF8" w:rsidRPr="00F2729C">
        <w:rPr>
          <w:rFonts w:ascii="Arial" w:hAnsi="Arial" w:cs="Arial"/>
          <w:sz w:val="20"/>
          <w:szCs w:val="20"/>
        </w:rPr>
        <w:t>-</w:t>
      </w:r>
      <w:r w:rsidRPr="00F2729C">
        <w:rPr>
          <w:rFonts w:ascii="Arial" w:hAnsi="Arial" w:cs="Arial"/>
          <w:sz w:val="20"/>
          <w:szCs w:val="20"/>
        </w:rPr>
        <w:t xml:space="preserve"> </w:t>
      </w:r>
      <w:r w:rsidR="00FA5531" w:rsidRPr="00F2729C">
        <w:rPr>
          <w:rFonts w:ascii="Arial" w:hAnsi="Arial" w:cs="Arial"/>
          <w:sz w:val="20"/>
          <w:szCs w:val="20"/>
        </w:rPr>
        <w:t xml:space="preserve">Statistická ročenka půdního fondu </w:t>
      </w:r>
      <w:r w:rsidR="00102EA3" w:rsidRPr="00F2729C">
        <w:rPr>
          <w:rFonts w:ascii="Arial" w:hAnsi="Arial" w:cs="Arial"/>
          <w:sz w:val="20"/>
          <w:szCs w:val="20"/>
        </w:rPr>
        <w:t>ČR</w:t>
      </w:r>
      <w:r w:rsidR="00FA5531" w:rsidRPr="00F2729C">
        <w:rPr>
          <w:rFonts w:ascii="Arial" w:hAnsi="Arial" w:cs="Arial"/>
          <w:sz w:val="20"/>
          <w:szCs w:val="20"/>
        </w:rPr>
        <w:t xml:space="preserve"> (ČÚZK)</w:t>
      </w:r>
      <w:r w:rsidRPr="00F2729C">
        <w:rPr>
          <w:rFonts w:ascii="Arial" w:hAnsi="Arial" w:cs="Arial"/>
          <w:sz w:val="20"/>
          <w:szCs w:val="20"/>
        </w:rPr>
        <w:t xml:space="preserve"> </w:t>
      </w:r>
    </w:p>
    <w:p w:rsidR="00825C5E" w:rsidRPr="00F2729C" w:rsidRDefault="00825C5E">
      <w:pPr>
        <w:pStyle w:val="Default"/>
        <w:rPr>
          <w:rFonts w:ascii="Arial" w:hAnsi="Arial" w:cs="Arial"/>
          <w:sz w:val="20"/>
          <w:szCs w:val="20"/>
        </w:rPr>
      </w:pPr>
    </w:p>
    <w:p w:rsidR="00825C5E" w:rsidRPr="00F2729C" w:rsidRDefault="00825C5E">
      <w:pPr>
        <w:pStyle w:val="Default"/>
        <w:rPr>
          <w:rFonts w:ascii="Arial" w:hAnsi="Arial" w:cs="Arial"/>
          <w:sz w:val="20"/>
          <w:szCs w:val="20"/>
        </w:rPr>
      </w:pPr>
      <w:r w:rsidRPr="00F2729C">
        <w:rPr>
          <w:rFonts w:ascii="Arial" w:hAnsi="Arial" w:cs="Arial"/>
          <w:sz w:val="20"/>
          <w:szCs w:val="20"/>
        </w:rPr>
        <w:t xml:space="preserve">• </w:t>
      </w:r>
      <w:r w:rsidRPr="00F2729C">
        <w:rPr>
          <w:rFonts w:ascii="Arial" w:hAnsi="Arial" w:cs="Arial"/>
          <w:b/>
          <w:bCs/>
          <w:sz w:val="20"/>
          <w:szCs w:val="20"/>
        </w:rPr>
        <w:t xml:space="preserve">zdravotnictví </w:t>
      </w:r>
      <w:r w:rsidRPr="00F2729C">
        <w:rPr>
          <w:rFonts w:ascii="Arial" w:hAnsi="Arial" w:cs="Arial"/>
          <w:sz w:val="20"/>
          <w:szCs w:val="20"/>
        </w:rPr>
        <w:t>-</w:t>
      </w:r>
      <w:r w:rsidRPr="00F2729C">
        <w:rPr>
          <w:rFonts w:ascii="Arial" w:hAnsi="Arial" w:cs="Arial"/>
          <w:b/>
          <w:bCs/>
          <w:sz w:val="20"/>
          <w:szCs w:val="20"/>
        </w:rPr>
        <w:t xml:space="preserve"> </w:t>
      </w:r>
      <w:r w:rsidRPr="00F2729C">
        <w:rPr>
          <w:rFonts w:ascii="Arial" w:hAnsi="Arial" w:cs="Arial"/>
          <w:sz w:val="20"/>
          <w:szCs w:val="20"/>
        </w:rPr>
        <w:t>Ústav zdravotn</w:t>
      </w:r>
      <w:r w:rsidR="00903132" w:rsidRPr="00F2729C">
        <w:rPr>
          <w:rFonts w:ascii="Arial" w:hAnsi="Arial" w:cs="Arial"/>
          <w:sz w:val="20"/>
          <w:szCs w:val="20"/>
        </w:rPr>
        <w:t xml:space="preserve">ických informací a statistiky </w:t>
      </w:r>
      <w:r w:rsidR="00102EA3" w:rsidRPr="00F2729C">
        <w:rPr>
          <w:rFonts w:ascii="Arial" w:hAnsi="Arial" w:cs="Arial"/>
          <w:sz w:val="20"/>
          <w:szCs w:val="20"/>
        </w:rPr>
        <w:t>ČR</w:t>
      </w:r>
    </w:p>
    <w:p w:rsidR="00825C5E" w:rsidRPr="00F2729C" w:rsidRDefault="00825C5E">
      <w:pPr>
        <w:pStyle w:val="Default"/>
        <w:ind w:left="360" w:hanging="360"/>
        <w:rPr>
          <w:rFonts w:ascii="Arial" w:hAnsi="Arial" w:cs="Arial"/>
          <w:sz w:val="20"/>
          <w:szCs w:val="20"/>
        </w:rPr>
      </w:pPr>
    </w:p>
    <w:p w:rsidR="00825C5E" w:rsidRPr="00F2729C" w:rsidRDefault="00825C5E">
      <w:pPr>
        <w:pStyle w:val="Default"/>
        <w:ind w:left="360" w:hanging="360"/>
        <w:rPr>
          <w:rFonts w:ascii="Arial" w:hAnsi="Arial" w:cs="Arial"/>
          <w:sz w:val="20"/>
          <w:szCs w:val="20"/>
        </w:rPr>
      </w:pPr>
      <w:r w:rsidRPr="00F2729C">
        <w:rPr>
          <w:rFonts w:ascii="Arial" w:hAnsi="Arial" w:cs="Arial"/>
          <w:sz w:val="20"/>
          <w:szCs w:val="20"/>
        </w:rPr>
        <w:t xml:space="preserve">• </w:t>
      </w:r>
      <w:r w:rsidRPr="00F2729C">
        <w:rPr>
          <w:rFonts w:ascii="Arial" w:hAnsi="Arial" w:cs="Arial"/>
          <w:b/>
          <w:bCs/>
          <w:sz w:val="20"/>
          <w:szCs w:val="20"/>
        </w:rPr>
        <w:t xml:space="preserve">školství </w:t>
      </w:r>
      <w:r w:rsidR="00173DF8" w:rsidRPr="00F2729C">
        <w:rPr>
          <w:rFonts w:ascii="Arial" w:hAnsi="Arial" w:cs="Arial"/>
          <w:sz w:val="20"/>
          <w:szCs w:val="20"/>
        </w:rPr>
        <w:t>-</w:t>
      </w:r>
      <w:r w:rsidRPr="00F2729C">
        <w:rPr>
          <w:rFonts w:ascii="Arial" w:hAnsi="Arial" w:cs="Arial"/>
          <w:b/>
          <w:bCs/>
          <w:sz w:val="20"/>
          <w:szCs w:val="20"/>
        </w:rPr>
        <w:t xml:space="preserve"> </w:t>
      </w:r>
      <w:r w:rsidR="0089028A" w:rsidRPr="00F2729C">
        <w:rPr>
          <w:rFonts w:ascii="Arial" w:hAnsi="Arial" w:cs="Arial"/>
          <w:bCs/>
          <w:sz w:val="20"/>
          <w:szCs w:val="20"/>
        </w:rPr>
        <w:t xml:space="preserve">Statistická ročenka </w:t>
      </w:r>
      <w:proofErr w:type="gramStart"/>
      <w:r w:rsidR="0089028A" w:rsidRPr="00F2729C">
        <w:rPr>
          <w:rFonts w:ascii="Arial" w:hAnsi="Arial" w:cs="Arial"/>
          <w:bCs/>
          <w:sz w:val="20"/>
          <w:szCs w:val="20"/>
        </w:rPr>
        <w:t>školství  (MŠMT</w:t>
      </w:r>
      <w:proofErr w:type="gramEnd"/>
      <w:r w:rsidR="0089028A" w:rsidRPr="00F2729C">
        <w:rPr>
          <w:rFonts w:ascii="Arial" w:hAnsi="Arial" w:cs="Arial"/>
          <w:bCs/>
          <w:sz w:val="20"/>
          <w:szCs w:val="20"/>
        </w:rPr>
        <w:t>)</w:t>
      </w:r>
    </w:p>
    <w:p w:rsidR="00825C5E" w:rsidRPr="00F2729C" w:rsidRDefault="00825C5E">
      <w:pPr>
        <w:pStyle w:val="Default"/>
        <w:ind w:left="360" w:hanging="360"/>
        <w:rPr>
          <w:rFonts w:ascii="Arial" w:hAnsi="Arial" w:cs="Arial"/>
          <w:sz w:val="20"/>
          <w:szCs w:val="20"/>
        </w:rPr>
      </w:pPr>
    </w:p>
    <w:p w:rsidR="00825C5E" w:rsidRPr="00F2729C" w:rsidRDefault="00825C5E">
      <w:pPr>
        <w:pStyle w:val="Default"/>
        <w:rPr>
          <w:rFonts w:ascii="Arial" w:hAnsi="Arial" w:cs="Arial"/>
          <w:sz w:val="20"/>
          <w:szCs w:val="20"/>
        </w:rPr>
      </w:pPr>
      <w:r w:rsidRPr="00F2729C">
        <w:rPr>
          <w:rFonts w:ascii="Arial" w:hAnsi="Arial" w:cs="Arial"/>
          <w:sz w:val="20"/>
          <w:szCs w:val="20"/>
        </w:rPr>
        <w:t xml:space="preserve">• </w:t>
      </w:r>
      <w:r w:rsidRPr="00F2729C">
        <w:rPr>
          <w:rFonts w:ascii="Arial" w:hAnsi="Arial" w:cs="Arial"/>
          <w:b/>
          <w:bCs/>
          <w:sz w:val="20"/>
          <w:szCs w:val="20"/>
        </w:rPr>
        <w:t xml:space="preserve">zaměstnanost </w:t>
      </w:r>
      <w:r w:rsidR="00173DF8" w:rsidRPr="00F2729C">
        <w:rPr>
          <w:rFonts w:ascii="Arial" w:hAnsi="Arial" w:cs="Arial"/>
          <w:sz w:val="20"/>
          <w:szCs w:val="20"/>
        </w:rPr>
        <w:t>-</w:t>
      </w:r>
      <w:r w:rsidR="001E3F71" w:rsidRPr="00F2729C">
        <w:rPr>
          <w:rFonts w:ascii="Arial" w:hAnsi="Arial" w:cs="Arial"/>
          <w:sz w:val="20"/>
          <w:szCs w:val="20"/>
        </w:rPr>
        <w:t xml:space="preserve"> Č</w:t>
      </w:r>
      <w:r w:rsidR="002D68C2" w:rsidRPr="00F2729C">
        <w:rPr>
          <w:rFonts w:ascii="Arial" w:hAnsi="Arial" w:cs="Arial"/>
          <w:sz w:val="20"/>
          <w:szCs w:val="20"/>
        </w:rPr>
        <w:t>SÚ</w:t>
      </w:r>
      <w:r w:rsidR="00173DF8" w:rsidRPr="00F2729C">
        <w:rPr>
          <w:rFonts w:ascii="Arial" w:hAnsi="Arial" w:cs="Arial"/>
          <w:sz w:val="20"/>
          <w:szCs w:val="20"/>
        </w:rPr>
        <w:t xml:space="preserve"> </w:t>
      </w:r>
      <w:r w:rsidR="001E3F71" w:rsidRPr="00F2729C">
        <w:rPr>
          <w:rFonts w:ascii="Arial" w:hAnsi="Arial" w:cs="Arial"/>
          <w:sz w:val="20"/>
          <w:szCs w:val="20"/>
        </w:rPr>
        <w:t>-</w:t>
      </w:r>
      <w:r w:rsidR="002D68C2" w:rsidRPr="00F2729C">
        <w:rPr>
          <w:rFonts w:ascii="Arial" w:hAnsi="Arial" w:cs="Arial"/>
          <w:sz w:val="20"/>
          <w:szCs w:val="20"/>
        </w:rPr>
        <w:t xml:space="preserve"> </w:t>
      </w:r>
      <w:r w:rsidR="001E3F71" w:rsidRPr="00F2729C">
        <w:rPr>
          <w:rFonts w:ascii="Arial" w:hAnsi="Arial" w:cs="Arial"/>
          <w:sz w:val="20"/>
          <w:szCs w:val="20"/>
        </w:rPr>
        <w:t>v</w:t>
      </w:r>
      <w:r w:rsidRPr="00F2729C">
        <w:rPr>
          <w:rFonts w:ascii="Arial" w:hAnsi="Arial" w:cs="Arial"/>
          <w:sz w:val="20"/>
          <w:szCs w:val="20"/>
        </w:rPr>
        <w:t xml:space="preserve">ýběrové šetření </w:t>
      </w:r>
      <w:r w:rsidRPr="00F2729C">
        <w:rPr>
          <w:rFonts w:ascii="Arial" w:hAnsi="Arial" w:cs="Arial"/>
          <w:bCs/>
          <w:sz w:val="20"/>
          <w:szCs w:val="20"/>
        </w:rPr>
        <w:t>pracovních sil (VŠPS)</w:t>
      </w:r>
    </w:p>
    <w:p w:rsidR="00825C5E" w:rsidRPr="00F2729C" w:rsidRDefault="00825C5E">
      <w:pPr>
        <w:pStyle w:val="Default"/>
        <w:ind w:left="360" w:hanging="360"/>
        <w:rPr>
          <w:rFonts w:ascii="Arial" w:hAnsi="Arial" w:cs="Arial"/>
          <w:sz w:val="20"/>
          <w:szCs w:val="20"/>
        </w:rPr>
      </w:pPr>
    </w:p>
    <w:p w:rsidR="00825C5E" w:rsidRPr="00F2729C" w:rsidRDefault="00825C5E">
      <w:pPr>
        <w:pStyle w:val="Default"/>
        <w:rPr>
          <w:rFonts w:ascii="Arial" w:hAnsi="Arial" w:cs="Arial"/>
          <w:sz w:val="20"/>
          <w:szCs w:val="20"/>
        </w:rPr>
      </w:pPr>
      <w:r w:rsidRPr="00F2729C">
        <w:rPr>
          <w:rFonts w:ascii="Arial" w:hAnsi="Arial" w:cs="Arial"/>
          <w:sz w:val="20"/>
          <w:szCs w:val="20"/>
        </w:rPr>
        <w:t xml:space="preserve">• </w:t>
      </w:r>
      <w:r w:rsidRPr="00F2729C">
        <w:rPr>
          <w:rFonts w:ascii="Arial" w:hAnsi="Arial" w:cs="Arial"/>
          <w:b/>
          <w:bCs/>
          <w:sz w:val="20"/>
          <w:szCs w:val="20"/>
        </w:rPr>
        <w:t xml:space="preserve">nezaměstnanost </w:t>
      </w:r>
      <w:r w:rsidRPr="00F2729C">
        <w:rPr>
          <w:rFonts w:ascii="Arial" w:hAnsi="Arial" w:cs="Arial"/>
          <w:sz w:val="20"/>
          <w:szCs w:val="20"/>
        </w:rPr>
        <w:t>- Ministerstvo práce a sociálních věcí ČR</w:t>
      </w:r>
      <w:r w:rsidR="00173DF8" w:rsidRPr="00F2729C">
        <w:rPr>
          <w:rFonts w:ascii="Arial" w:hAnsi="Arial" w:cs="Arial"/>
          <w:sz w:val="20"/>
          <w:szCs w:val="20"/>
        </w:rPr>
        <w:t>,</w:t>
      </w:r>
      <w:r w:rsidRPr="00F2729C">
        <w:rPr>
          <w:rFonts w:ascii="Arial" w:hAnsi="Arial" w:cs="Arial"/>
          <w:sz w:val="20"/>
          <w:szCs w:val="20"/>
        </w:rPr>
        <w:t xml:space="preserve"> VŠPS</w:t>
      </w:r>
    </w:p>
    <w:p w:rsidR="00825C5E" w:rsidRPr="00F2729C" w:rsidRDefault="00825C5E">
      <w:pPr>
        <w:pStyle w:val="Default"/>
        <w:rPr>
          <w:rFonts w:ascii="Arial" w:hAnsi="Arial" w:cs="Arial"/>
          <w:sz w:val="20"/>
          <w:szCs w:val="20"/>
        </w:rPr>
      </w:pPr>
    </w:p>
    <w:p w:rsidR="00825C5E" w:rsidRPr="00F2729C" w:rsidRDefault="00825C5E">
      <w:pPr>
        <w:pStyle w:val="Default"/>
        <w:rPr>
          <w:rFonts w:ascii="Arial" w:hAnsi="Arial" w:cs="Arial"/>
          <w:sz w:val="20"/>
          <w:szCs w:val="20"/>
        </w:rPr>
      </w:pPr>
      <w:r w:rsidRPr="00F2729C">
        <w:rPr>
          <w:rFonts w:ascii="Arial" w:hAnsi="Arial" w:cs="Arial"/>
          <w:sz w:val="20"/>
          <w:szCs w:val="20"/>
        </w:rPr>
        <w:t xml:space="preserve"> • </w:t>
      </w:r>
      <w:r w:rsidR="00C42557" w:rsidRPr="00F2729C">
        <w:rPr>
          <w:rFonts w:ascii="Arial" w:hAnsi="Arial" w:cs="Arial"/>
          <w:b/>
          <w:bCs/>
          <w:sz w:val="20"/>
          <w:szCs w:val="20"/>
        </w:rPr>
        <w:t xml:space="preserve">důchodové </w:t>
      </w:r>
      <w:r w:rsidRPr="00F2729C">
        <w:rPr>
          <w:rFonts w:ascii="Arial" w:hAnsi="Arial" w:cs="Arial"/>
          <w:b/>
          <w:bCs/>
          <w:sz w:val="20"/>
          <w:szCs w:val="20"/>
        </w:rPr>
        <w:t xml:space="preserve">zabezpečení </w:t>
      </w:r>
      <w:r w:rsidRPr="00F2729C">
        <w:rPr>
          <w:rFonts w:ascii="Arial" w:hAnsi="Arial" w:cs="Arial"/>
          <w:sz w:val="20"/>
          <w:szCs w:val="20"/>
        </w:rPr>
        <w:t xml:space="preserve">- Česká správa </w:t>
      </w:r>
      <w:proofErr w:type="gramStart"/>
      <w:r w:rsidR="00C42557" w:rsidRPr="00F2729C">
        <w:rPr>
          <w:rFonts w:ascii="Arial" w:hAnsi="Arial" w:cs="Arial"/>
          <w:sz w:val="20"/>
          <w:szCs w:val="20"/>
        </w:rPr>
        <w:t>sociálního</w:t>
      </w:r>
      <w:r w:rsidR="00680B5C" w:rsidRPr="00F2729C">
        <w:rPr>
          <w:rFonts w:ascii="Arial" w:hAnsi="Arial" w:cs="Arial"/>
          <w:sz w:val="20"/>
          <w:szCs w:val="20"/>
        </w:rPr>
        <w:t xml:space="preserve"> </w:t>
      </w:r>
      <w:r w:rsidRPr="00F2729C">
        <w:rPr>
          <w:rFonts w:ascii="Arial" w:hAnsi="Arial" w:cs="Arial"/>
          <w:sz w:val="20"/>
          <w:szCs w:val="20"/>
        </w:rPr>
        <w:t xml:space="preserve"> zabezpečení</w:t>
      </w:r>
      <w:proofErr w:type="gramEnd"/>
      <w:r w:rsidRPr="00F2729C">
        <w:rPr>
          <w:rFonts w:ascii="Arial" w:hAnsi="Arial" w:cs="Arial"/>
          <w:sz w:val="20"/>
          <w:szCs w:val="20"/>
        </w:rPr>
        <w:t xml:space="preserve"> </w:t>
      </w:r>
    </w:p>
    <w:p w:rsidR="00825C5E" w:rsidRPr="00F2729C" w:rsidRDefault="00825C5E">
      <w:pPr>
        <w:pStyle w:val="Default"/>
        <w:ind w:left="360" w:hanging="360"/>
        <w:rPr>
          <w:rFonts w:ascii="Arial" w:hAnsi="Arial" w:cs="Arial"/>
          <w:sz w:val="20"/>
          <w:szCs w:val="20"/>
        </w:rPr>
      </w:pPr>
    </w:p>
    <w:p w:rsidR="00825C5E" w:rsidRPr="00F2729C" w:rsidRDefault="00825C5E">
      <w:pPr>
        <w:pStyle w:val="Default"/>
        <w:ind w:left="360" w:hanging="360"/>
        <w:rPr>
          <w:rFonts w:ascii="Arial" w:hAnsi="Arial" w:cs="Arial"/>
          <w:sz w:val="20"/>
          <w:szCs w:val="20"/>
        </w:rPr>
      </w:pPr>
      <w:r w:rsidRPr="00F2729C">
        <w:rPr>
          <w:rFonts w:ascii="Arial" w:hAnsi="Arial" w:cs="Arial"/>
          <w:sz w:val="20"/>
          <w:szCs w:val="20"/>
        </w:rPr>
        <w:t xml:space="preserve">• </w:t>
      </w:r>
      <w:r w:rsidRPr="00F2729C">
        <w:rPr>
          <w:rFonts w:ascii="Arial" w:hAnsi="Arial" w:cs="Arial"/>
          <w:b/>
          <w:bCs/>
          <w:sz w:val="20"/>
          <w:szCs w:val="20"/>
        </w:rPr>
        <w:t xml:space="preserve">zařízení sociálních služeb </w:t>
      </w:r>
      <w:r w:rsidRPr="00F2729C">
        <w:rPr>
          <w:rFonts w:ascii="Arial" w:hAnsi="Arial" w:cs="Arial"/>
          <w:sz w:val="20"/>
          <w:szCs w:val="20"/>
        </w:rPr>
        <w:t>- Ministerstvo práce a sociálních věcí ČR</w:t>
      </w:r>
    </w:p>
    <w:p w:rsidR="00825C5E" w:rsidRPr="00F2729C" w:rsidRDefault="00825C5E">
      <w:pPr>
        <w:pStyle w:val="Default"/>
        <w:ind w:left="360" w:hanging="360"/>
        <w:rPr>
          <w:rFonts w:ascii="Arial" w:hAnsi="Arial" w:cs="Arial"/>
          <w:sz w:val="20"/>
          <w:szCs w:val="20"/>
        </w:rPr>
      </w:pPr>
    </w:p>
    <w:p w:rsidR="00825C5E" w:rsidRPr="00F2729C" w:rsidRDefault="00825C5E">
      <w:pPr>
        <w:pStyle w:val="Default"/>
        <w:ind w:left="360" w:hanging="360"/>
        <w:rPr>
          <w:rFonts w:ascii="Arial" w:hAnsi="Arial" w:cs="Arial"/>
          <w:sz w:val="20"/>
          <w:szCs w:val="20"/>
        </w:rPr>
      </w:pPr>
      <w:r w:rsidRPr="00F2729C">
        <w:rPr>
          <w:rFonts w:ascii="Arial" w:hAnsi="Arial" w:cs="Arial"/>
          <w:sz w:val="20"/>
          <w:szCs w:val="20"/>
        </w:rPr>
        <w:t xml:space="preserve">• </w:t>
      </w:r>
      <w:r w:rsidRPr="00F2729C">
        <w:rPr>
          <w:rFonts w:ascii="Arial" w:hAnsi="Arial" w:cs="Arial"/>
          <w:b/>
          <w:bCs/>
          <w:sz w:val="20"/>
          <w:szCs w:val="20"/>
        </w:rPr>
        <w:t xml:space="preserve">počty vozidel </w:t>
      </w:r>
      <w:r w:rsidRPr="00F2729C">
        <w:rPr>
          <w:rFonts w:ascii="Arial" w:hAnsi="Arial" w:cs="Arial"/>
          <w:sz w:val="20"/>
          <w:szCs w:val="20"/>
        </w:rPr>
        <w:t>- Centrální registr vozidel</w:t>
      </w:r>
    </w:p>
    <w:p w:rsidR="00825C5E" w:rsidRPr="00F2729C" w:rsidRDefault="00825C5E">
      <w:pPr>
        <w:pStyle w:val="Default"/>
        <w:ind w:left="360" w:hanging="360"/>
        <w:rPr>
          <w:rFonts w:ascii="Arial" w:hAnsi="Arial" w:cs="Arial"/>
          <w:sz w:val="20"/>
          <w:szCs w:val="20"/>
        </w:rPr>
      </w:pPr>
    </w:p>
    <w:p w:rsidR="00825C5E" w:rsidRPr="00F2729C" w:rsidRDefault="00825C5E">
      <w:pPr>
        <w:pStyle w:val="Default"/>
        <w:rPr>
          <w:rFonts w:ascii="Arial" w:hAnsi="Arial" w:cs="Arial"/>
          <w:sz w:val="20"/>
          <w:szCs w:val="20"/>
        </w:rPr>
      </w:pPr>
      <w:r w:rsidRPr="00F2729C">
        <w:rPr>
          <w:rFonts w:ascii="Arial" w:hAnsi="Arial" w:cs="Arial"/>
          <w:sz w:val="20"/>
          <w:szCs w:val="20"/>
        </w:rPr>
        <w:t xml:space="preserve">• </w:t>
      </w:r>
      <w:r w:rsidRPr="00F2729C">
        <w:rPr>
          <w:rFonts w:ascii="Arial" w:hAnsi="Arial" w:cs="Arial"/>
          <w:b/>
          <w:bCs/>
          <w:sz w:val="20"/>
          <w:szCs w:val="20"/>
        </w:rPr>
        <w:t xml:space="preserve">délka silniční sítě </w:t>
      </w:r>
      <w:r w:rsidR="00972055" w:rsidRPr="00F2729C">
        <w:rPr>
          <w:rFonts w:ascii="Arial" w:hAnsi="Arial" w:cs="Arial"/>
          <w:sz w:val="20"/>
          <w:szCs w:val="20"/>
        </w:rPr>
        <w:t>- Silniční databanka</w:t>
      </w:r>
      <w:r w:rsidRPr="00F2729C">
        <w:rPr>
          <w:rFonts w:ascii="Arial" w:hAnsi="Arial" w:cs="Arial"/>
          <w:sz w:val="20"/>
          <w:szCs w:val="20"/>
        </w:rPr>
        <w:t xml:space="preserve"> </w:t>
      </w:r>
      <w:r w:rsidR="00972055" w:rsidRPr="00F2729C">
        <w:rPr>
          <w:rFonts w:ascii="Arial" w:hAnsi="Arial" w:cs="Arial"/>
          <w:sz w:val="20"/>
          <w:szCs w:val="20"/>
        </w:rPr>
        <w:t>(</w:t>
      </w:r>
      <w:r w:rsidRPr="00F2729C">
        <w:rPr>
          <w:rFonts w:ascii="Arial" w:hAnsi="Arial" w:cs="Arial"/>
          <w:sz w:val="20"/>
          <w:szCs w:val="20"/>
        </w:rPr>
        <w:t>Ř</w:t>
      </w:r>
      <w:r w:rsidR="00972055" w:rsidRPr="00F2729C">
        <w:rPr>
          <w:rFonts w:ascii="Arial" w:hAnsi="Arial" w:cs="Arial"/>
          <w:sz w:val="20"/>
          <w:szCs w:val="20"/>
        </w:rPr>
        <w:t xml:space="preserve">SD </w:t>
      </w:r>
      <w:r w:rsidRPr="00F2729C">
        <w:rPr>
          <w:rFonts w:ascii="Arial" w:hAnsi="Arial" w:cs="Arial"/>
          <w:sz w:val="20"/>
          <w:szCs w:val="20"/>
        </w:rPr>
        <w:t>ČR</w:t>
      </w:r>
      <w:r w:rsidR="00972055" w:rsidRPr="00F2729C">
        <w:rPr>
          <w:rFonts w:ascii="Arial" w:hAnsi="Arial" w:cs="Arial"/>
          <w:sz w:val="20"/>
          <w:szCs w:val="20"/>
        </w:rPr>
        <w:t>)</w:t>
      </w:r>
    </w:p>
    <w:p w:rsidR="00825C5E" w:rsidRPr="00F2729C" w:rsidRDefault="00825C5E">
      <w:pPr>
        <w:pStyle w:val="Default"/>
        <w:ind w:left="360" w:hanging="360"/>
        <w:rPr>
          <w:rFonts w:ascii="Arial" w:hAnsi="Arial" w:cs="Arial"/>
          <w:sz w:val="20"/>
          <w:szCs w:val="20"/>
        </w:rPr>
      </w:pPr>
    </w:p>
    <w:p w:rsidR="00825C5E" w:rsidRPr="00F2729C" w:rsidRDefault="00825C5E">
      <w:pPr>
        <w:pStyle w:val="Default"/>
        <w:rPr>
          <w:rFonts w:ascii="Arial" w:hAnsi="Arial" w:cs="Arial"/>
          <w:sz w:val="20"/>
          <w:szCs w:val="20"/>
        </w:rPr>
      </w:pPr>
      <w:r w:rsidRPr="00F2729C">
        <w:rPr>
          <w:rFonts w:ascii="Arial" w:hAnsi="Arial" w:cs="Arial"/>
          <w:sz w:val="20"/>
          <w:szCs w:val="20"/>
        </w:rPr>
        <w:t xml:space="preserve">• </w:t>
      </w:r>
      <w:r w:rsidRPr="00F2729C">
        <w:rPr>
          <w:rFonts w:ascii="Arial" w:hAnsi="Arial" w:cs="Arial"/>
          <w:b/>
          <w:bCs/>
          <w:sz w:val="20"/>
          <w:szCs w:val="20"/>
        </w:rPr>
        <w:t xml:space="preserve">kriminalita, dopravní nehody </w:t>
      </w:r>
      <w:r w:rsidRPr="00F2729C">
        <w:rPr>
          <w:rFonts w:ascii="Arial" w:hAnsi="Arial" w:cs="Arial"/>
          <w:sz w:val="20"/>
          <w:szCs w:val="20"/>
        </w:rPr>
        <w:t xml:space="preserve">- Policejní prezidium ČR </w:t>
      </w:r>
    </w:p>
    <w:p w:rsidR="00825C5E" w:rsidRPr="00F2729C" w:rsidRDefault="00825C5E">
      <w:pPr>
        <w:pStyle w:val="Default"/>
        <w:ind w:left="360" w:hanging="360"/>
        <w:rPr>
          <w:rFonts w:ascii="Arial" w:hAnsi="Arial" w:cs="Arial"/>
          <w:sz w:val="20"/>
          <w:szCs w:val="20"/>
        </w:rPr>
      </w:pPr>
    </w:p>
    <w:p w:rsidR="00825C5E" w:rsidRPr="00F2729C" w:rsidRDefault="00825C5E">
      <w:pPr>
        <w:pStyle w:val="Default"/>
        <w:ind w:left="360" w:hanging="360"/>
        <w:rPr>
          <w:rFonts w:ascii="Arial" w:hAnsi="Arial" w:cs="Arial"/>
          <w:sz w:val="20"/>
          <w:szCs w:val="20"/>
        </w:rPr>
      </w:pPr>
      <w:r w:rsidRPr="00F2729C">
        <w:rPr>
          <w:rFonts w:ascii="Arial" w:hAnsi="Arial" w:cs="Arial"/>
          <w:sz w:val="20"/>
          <w:szCs w:val="20"/>
        </w:rPr>
        <w:t xml:space="preserve">• </w:t>
      </w:r>
      <w:r w:rsidRPr="00F2729C">
        <w:rPr>
          <w:rFonts w:ascii="Arial" w:hAnsi="Arial" w:cs="Arial"/>
          <w:b/>
          <w:bCs/>
          <w:sz w:val="20"/>
          <w:szCs w:val="20"/>
        </w:rPr>
        <w:t xml:space="preserve">emise </w:t>
      </w:r>
      <w:r w:rsidRPr="00F2729C">
        <w:rPr>
          <w:rFonts w:ascii="Arial" w:hAnsi="Arial" w:cs="Arial"/>
          <w:sz w:val="20"/>
          <w:szCs w:val="20"/>
        </w:rPr>
        <w:t xml:space="preserve">- Český hydrometeorologický ústav </w:t>
      </w:r>
    </w:p>
    <w:p w:rsidR="00825C5E" w:rsidRPr="00F2729C" w:rsidRDefault="00825C5E">
      <w:pPr>
        <w:pStyle w:val="Default"/>
        <w:ind w:left="360" w:hanging="360"/>
        <w:rPr>
          <w:rFonts w:ascii="Arial" w:hAnsi="Arial" w:cs="Arial"/>
          <w:sz w:val="20"/>
          <w:szCs w:val="20"/>
        </w:rPr>
      </w:pPr>
    </w:p>
    <w:p w:rsidR="00825C5E" w:rsidRPr="00F2729C" w:rsidRDefault="00825C5E">
      <w:pPr>
        <w:pStyle w:val="Default"/>
        <w:ind w:left="360" w:hanging="360"/>
        <w:rPr>
          <w:rFonts w:ascii="Arial" w:hAnsi="Arial" w:cs="Arial"/>
          <w:sz w:val="20"/>
          <w:szCs w:val="20"/>
        </w:rPr>
      </w:pPr>
      <w:r w:rsidRPr="00F2729C">
        <w:rPr>
          <w:rFonts w:ascii="Arial" w:hAnsi="Arial" w:cs="Arial"/>
          <w:sz w:val="20"/>
          <w:szCs w:val="20"/>
        </w:rPr>
        <w:t xml:space="preserve">• </w:t>
      </w:r>
      <w:r w:rsidRPr="00F2729C">
        <w:rPr>
          <w:rFonts w:ascii="Arial" w:hAnsi="Arial" w:cs="Arial"/>
          <w:b/>
          <w:bCs/>
          <w:sz w:val="20"/>
          <w:szCs w:val="20"/>
        </w:rPr>
        <w:t xml:space="preserve">požáry </w:t>
      </w:r>
      <w:r w:rsidRPr="00F2729C">
        <w:rPr>
          <w:rFonts w:ascii="Arial" w:hAnsi="Arial" w:cs="Arial"/>
          <w:sz w:val="20"/>
          <w:szCs w:val="20"/>
        </w:rPr>
        <w:t xml:space="preserve">- GŘ Hasičského záchranného sboru ČR </w:t>
      </w:r>
    </w:p>
    <w:p w:rsidR="00825C5E" w:rsidRPr="00F2729C" w:rsidRDefault="00825C5E">
      <w:pPr>
        <w:pStyle w:val="Default"/>
        <w:rPr>
          <w:rFonts w:ascii="Arial" w:hAnsi="Arial" w:cs="Arial"/>
          <w:sz w:val="20"/>
          <w:szCs w:val="20"/>
        </w:rPr>
      </w:pPr>
    </w:p>
    <w:p w:rsidR="00825C5E" w:rsidRPr="00F2729C" w:rsidRDefault="00825C5E">
      <w:pPr>
        <w:pStyle w:val="Default"/>
        <w:outlineLvl w:val="0"/>
        <w:rPr>
          <w:rFonts w:ascii="Arial" w:hAnsi="Arial" w:cs="Arial"/>
          <w:sz w:val="20"/>
          <w:szCs w:val="20"/>
        </w:rPr>
      </w:pPr>
      <w:r w:rsidRPr="00F2729C">
        <w:rPr>
          <w:rFonts w:ascii="Arial" w:hAnsi="Arial" w:cs="Arial"/>
          <w:sz w:val="20"/>
          <w:szCs w:val="20"/>
        </w:rPr>
        <w:t xml:space="preserve">• </w:t>
      </w:r>
      <w:r w:rsidRPr="00F2729C">
        <w:rPr>
          <w:rFonts w:ascii="Arial" w:hAnsi="Arial" w:cs="Arial"/>
          <w:b/>
          <w:bCs/>
          <w:sz w:val="20"/>
          <w:szCs w:val="20"/>
        </w:rPr>
        <w:t xml:space="preserve">stavebnictví </w:t>
      </w:r>
      <w:r w:rsidRPr="00F2729C">
        <w:rPr>
          <w:rFonts w:ascii="Arial" w:hAnsi="Arial" w:cs="Arial"/>
          <w:sz w:val="20"/>
          <w:szCs w:val="20"/>
        </w:rPr>
        <w:t xml:space="preserve">- </w:t>
      </w:r>
      <w:r w:rsidRPr="00F2729C">
        <w:rPr>
          <w:rFonts w:ascii="Arial" w:hAnsi="Arial" w:cs="Arial"/>
          <w:sz w:val="20"/>
        </w:rPr>
        <w:t>Stavební práce podle dodavatelských smluv v tuzemsku podle místa stavby -</w:t>
      </w:r>
    </w:p>
    <w:p w:rsidR="00825C5E" w:rsidRPr="00F2729C" w:rsidRDefault="00825C5E">
      <w:pPr>
        <w:pStyle w:val="Default"/>
        <w:outlineLvl w:val="0"/>
        <w:rPr>
          <w:rFonts w:ascii="Arial" w:hAnsi="Arial" w:cs="Arial"/>
          <w:sz w:val="20"/>
          <w:szCs w:val="20"/>
        </w:rPr>
      </w:pPr>
      <w:r w:rsidRPr="00F2729C">
        <w:rPr>
          <w:rFonts w:ascii="Arial" w:hAnsi="Arial" w:cs="Arial"/>
          <w:sz w:val="20"/>
          <w:szCs w:val="20"/>
        </w:rPr>
        <w:t xml:space="preserve">       do roku 2009 Ministerstvo průmyslu a obchodu ČR, od roku 2010 zjišťuje ČSÚ</w:t>
      </w:r>
    </w:p>
    <w:p w:rsidR="00825C5E" w:rsidRPr="00F2729C" w:rsidRDefault="00825C5E">
      <w:pPr>
        <w:pStyle w:val="Default"/>
        <w:outlineLvl w:val="0"/>
        <w:rPr>
          <w:rFonts w:ascii="Arial" w:hAnsi="Arial" w:cs="Arial"/>
          <w:b/>
          <w:bCs/>
          <w:sz w:val="20"/>
          <w:szCs w:val="20"/>
        </w:rPr>
      </w:pPr>
    </w:p>
    <w:p w:rsidR="00967231" w:rsidRPr="00F2729C" w:rsidRDefault="00967231">
      <w:pPr>
        <w:pStyle w:val="Default"/>
        <w:outlineLvl w:val="0"/>
        <w:rPr>
          <w:rFonts w:ascii="Arial" w:hAnsi="Arial" w:cs="Arial"/>
          <w:b/>
          <w:bCs/>
          <w:sz w:val="20"/>
          <w:szCs w:val="20"/>
        </w:rPr>
      </w:pPr>
    </w:p>
    <w:p w:rsidR="00825C5E" w:rsidRPr="00F2729C" w:rsidRDefault="00825C5E">
      <w:pPr>
        <w:pStyle w:val="Default"/>
        <w:outlineLvl w:val="0"/>
        <w:rPr>
          <w:rFonts w:ascii="Arial" w:hAnsi="Arial" w:cs="Arial"/>
          <w:b/>
          <w:bCs/>
          <w:sz w:val="20"/>
          <w:szCs w:val="20"/>
        </w:rPr>
      </w:pPr>
      <w:r w:rsidRPr="00F2729C">
        <w:rPr>
          <w:rFonts w:ascii="Arial" w:hAnsi="Arial" w:cs="Arial"/>
          <w:b/>
          <w:bCs/>
          <w:sz w:val="20"/>
          <w:szCs w:val="20"/>
        </w:rPr>
        <w:lastRenderedPageBreak/>
        <w:t xml:space="preserve">Vysvětlivky k údajům v publikaci: </w:t>
      </w:r>
    </w:p>
    <w:p w:rsidR="00FC03D0" w:rsidRPr="00F2729C" w:rsidRDefault="00FC03D0">
      <w:pPr>
        <w:pStyle w:val="Default"/>
        <w:outlineLvl w:val="0"/>
        <w:rPr>
          <w:rFonts w:ascii="Arial" w:hAnsi="Arial" w:cs="Arial"/>
          <w:b/>
          <w:bCs/>
          <w:sz w:val="20"/>
          <w:szCs w:val="20"/>
        </w:rPr>
      </w:pPr>
    </w:p>
    <w:p w:rsidR="00FC03D0" w:rsidRPr="00F2729C" w:rsidRDefault="00FC03D0">
      <w:pPr>
        <w:pStyle w:val="Default"/>
        <w:outlineLvl w:val="0"/>
        <w:rPr>
          <w:rFonts w:ascii="Arial" w:hAnsi="Arial" w:cs="Arial"/>
          <w:bCs/>
          <w:sz w:val="20"/>
          <w:szCs w:val="20"/>
        </w:rPr>
      </w:pPr>
      <w:r w:rsidRPr="00F2729C">
        <w:rPr>
          <w:rFonts w:ascii="Arial" w:hAnsi="Arial" w:cs="Arial"/>
          <w:b/>
          <w:bCs/>
          <w:sz w:val="20"/>
          <w:szCs w:val="20"/>
        </w:rPr>
        <w:t xml:space="preserve">Obyvatelstvo </w:t>
      </w:r>
      <w:r w:rsidRPr="00F2729C">
        <w:rPr>
          <w:rFonts w:ascii="Arial" w:hAnsi="Arial" w:cs="Arial"/>
          <w:bCs/>
          <w:sz w:val="20"/>
          <w:szCs w:val="20"/>
        </w:rPr>
        <w:t>– základní údaje o počtu a složení obyvatelstva jsou získávány ze sčítání lidí, domů a bytů (SLDB 2001 a 2011), na něž navazují každoroční statistické bilance dat o narozeních, sňatcích, rozvodech, úmrtí a stěhování. V roce 2011 jsou počty</w:t>
      </w:r>
      <w:r w:rsidR="00A91E70" w:rsidRPr="00F2729C">
        <w:rPr>
          <w:rFonts w:ascii="Arial" w:hAnsi="Arial" w:cs="Arial"/>
          <w:bCs/>
          <w:sz w:val="20"/>
          <w:szCs w:val="20"/>
        </w:rPr>
        <w:t xml:space="preserve"> </w:t>
      </w:r>
      <w:r w:rsidRPr="00F2729C">
        <w:rPr>
          <w:rFonts w:ascii="Arial" w:hAnsi="Arial" w:cs="Arial"/>
          <w:bCs/>
          <w:sz w:val="20"/>
          <w:szCs w:val="20"/>
        </w:rPr>
        <w:t>obyvatel navázány na předběžné výsledky SLDB 2011</w:t>
      </w:r>
      <w:r w:rsidR="00840684" w:rsidRPr="00F2729C">
        <w:rPr>
          <w:rFonts w:ascii="Arial" w:hAnsi="Arial" w:cs="Arial"/>
          <w:bCs/>
          <w:sz w:val="20"/>
          <w:szCs w:val="20"/>
        </w:rPr>
        <w:t>(podle místa trvalého pobytu)</w:t>
      </w:r>
      <w:r w:rsidRPr="00F2729C">
        <w:rPr>
          <w:rFonts w:ascii="Arial" w:hAnsi="Arial" w:cs="Arial"/>
          <w:bCs/>
          <w:sz w:val="20"/>
          <w:szCs w:val="20"/>
        </w:rPr>
        <w:t xml:space="preserve"> -  počty obyvatel jsou předběžné.</w:t>
      </w:r>
    </w:p>
    <w:p w:rsidR="00825C5E" w:rsidRPr="00F2729C" w:rsidRDefault="00825C5E">
      <w:pPr>
        <w:pStyle w:val="Zkladntextodsazen2"/>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489"/>
          <w:tab w:val="clear" w:pos="11328"/>
          <w:tab w:val="clear" w:pos="12036"/>
          <w:tab w:val="clear" w:pos="12744"/>
        </w:tabs>
        <w:suppressAutoHyphens w:val="0"/>
        <w:ind w:left="0" w:firstLine="0"/>
        <w:rPr>
          <w:rFonts w:cs="Arial"/>
        </w:rPr>
      </w:pPr>
      <w:r w:rsidRPr="00F2729C">
        <w:rPr>
          <w:rFonts w:cs="Arial"/>
          <w:b/>
          <w:bCs/>
        </w:rPr>
        <w:t xml:space="preserve">Emise </w:t>
      </w:r>
      <w:r w:rsidRPr="00F2729C">
        <w:rPr>
          <w:rFonts w:cs="Arial"/>
        </w:rPr>
        <w:t>-</w:t>
      </w:r>
      <w:r w:rsidRPr="00F2729C">
        <w:rPr>
          <w:rFonts w:cs="Arial"/>
          <w:b/>
          <w:bCs/>
        </w:rPr>
        <w:t xml:space="preserve"> </w:t>
      </w:r>
      <w:r w:rsidRPr="00F2729C">
        <w:rPr>
          <w:rFonts w:cs="Arial"/>
        </w:rPr>
        <w:t>v průběhu roku 2006 byly dokončeny přepočty emisí z vytápění domácností pro údaje za období let 2000–2006. Úpravy metodiky se projevily celkovým poklesem potřeby tepla a tím i paliv a množstvím emisí o cca 15–20 %, u technických znečišťujících látek dokonce o cca 40 %.</w:t>
      </w:r>
    </w:p>
    <w:p w:rsidR="00825C5E" w:rsidRPr="00F2729C" w:rsidRDefault="00825C5E">
      <w:pPr>
        <w:pStyle w:val="Default"/>
        <w:outlineLvl w:val="0"/>
        <w:rPr>
          <w:rFonts w:ascii="Arial" w:hAnsi="Arial" w:cs="Arial"/>
          <w:b/>
          <w:bCs/>
          <w:sz w:val="20"/>
          <w:szCs w:val="20"/>
        </w:rPr>
      </w:pPr>
      <w:r w:rsidRPr="00F2729C">
        <w:rPr>
          <w:rFonts w:ascii="Arial" w:hAnsi="Arial" w:cs="Arial"/>
          <w:sz w:val="20"/>
        </w:rPr>
        <w:t xml:space="preserve">Množství uvedených znečišťujících látek vypouštěné do ovzduší je vykazováno v Registru emisí a zdrojů znečišťování ovzduší (REZZO), který je v závislosti na druhu zdrojů a jejich tepelných výkonech členěn </w:t>
      </w:r>
      <w:proofErr w:type="gramStart"/>
      <w:r w:rsidRPr="00F2729C">
        <w:rPr>
          <w:rFonts w:ascii="Arial" w:hAnsi="Arial" w:cs="Arial"/>
          <w:sz w:val="20"/>
        </w:rPr>
        <w:t>na</w:t>
      </w:r>
      <w:proofErr w:type="gramEnd"/>
      <w:r w:rsidRPr="00F2729C">
        <w:rPr>
          <w:rFonts w:ascii="Arial" w:hAnsi="Arial" w:cs="Arial"/>
          <w:sz w:val="20"/>
        </w:rPr>
        <w:t>:</w:t>
      </w:r>
    </w:p>
    <w:p w:rsidR="00825C5E" w:rsidRPr="00F2729C" w:rsidRDefault="00825C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170" w:hanging="170"/>
        <w:rPr>
          <w:rFonts w:cs="Arial"/>
        </w:rPr>
      </w:pPr>
      <w:r w:rsidRPr="00F2729C">
        <w:rPr>
          <w:rFonts w:cs="Arial"/>
        </w:rPr>
        <w:t>– </w:t>
      </w:r>
      <w:r w:rsidRPr="00F2729C">
        <w:rPr>
          <w:rFonts w:cs="Arial"/>
          <w:b/>
          <w:bCs/>
        </w:rPr>
        <w:t>REZZO 1</w:t>
      </w:r>
      <w:r w:rsidRPr="00F2729C">
        <w:rPr>
          <w:rFonts w:cs="Arial"/>
        </w:rPr>
        <w:t xml:space="preserve"> – zahrnuje technologické objekty obsahující stacionární zařízení ke spalování paliv o tepelném výkonu vyšším než 5 MW a zařízení zvlášť závažných technologických procesů. Zařízení uvedené skupiny jsou označována jako „velké zdroje znečišťování“;</w:t>
      </w:r>
    </w:p>
    <w:p w:rsidR="00825C5E" w:rsidRPr="00F2729C" w:rsidRDefault="00825C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170" w:hanging="170"/>
        <w:rPr>
          <w:rFonts w:cs="Arial"/>
        </w:rPr>
      </w:pPr>
      <w:r w:rsidRPr="00F2729C">
        <w:rPr>
          <w:rFonts w:cs="Arial"/>
        </w:rPr>
        <w:t>– </w:t>
      </w:r>
      <w:r w:rsidRPr="00F2729C">
        <w:rPr>
          <w:rFonts w:cs="Arial"/>
          <w:b/>
          <w:bCs/>
        </w:rPr>
        <w:t>REZZO 2</w:t>
      </w:r>
      <w:r w:rsidRPr="00F2729C">
        <w:rPr>
          <w:rFonts w:cs="Arial"/>
        </w:rPr>
        <w:t xml:space="preserve"> – zahrnuje technologické objekty obsahující stacionární zařízení ke spalování paliv o tepelném výkonu od 0,2 do 5 MW, zařízení závažných technologických procesů, jakož i uhelné lomy a obdobné plochy s možností hoření, zapaření nebo úletu znečišťujících látek. Uvedená skupina je označována jako „střední zdroje znečišťování“;</w:t>
      </w:r>
    </w:p>
    <w:p w:rsidR="00825C5E" w:rsidRPr="00F2729C" w:rsidRDefault="00825C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170" w:hanging="170"/>
        <w:rPr>
          <w:rFonts w:cs="Arial"/>
        </w:rPr>
      </w:pPr>
      <w:r w:rsidRPr="00F2729C">
        <w:rPr>
          <w:rFonts w:cs="Arial"/>
        </w:rPr>
        <w:t>– </w:t>
      </w:r>
      <w:r w:rsidRPr="00F2729C">
        <w:rPr>
          <w:rFonts w:cs="Arial"/>
          <w:b/>
          <w:bCs/>
        </w:rPr>
        <w:t>REZZO 3</w:t>
      </w:r>
      <w:r w:rsidRPr="00F2729C">
        <w:rPr>
          <w:rFonts w:cs="Arial"/>
        </w:rPr>
        <w:t xml:space="preserve"> – zahrnuje technologické objekty obsahující stacionární zařízení ke spalování paliv o tepelném výkonu nižším než 0,2 MW, zařízení technologických procesů nespadajících do kategorie velkých a středních zdrojů znečišťování, plochy, na kterých jsou prováděny práce, které mohou způsobovat znečišťování ovzduší, skládky paliv, surovin, produktů a odpadů a zachycených exhalátů a jiné stavby, zařízení a činnosti výrazně znečišťující ovzduší. Uvedená skupina je označována jako „malé zdroje znečišťování“. Používaná metodika pro výpočet emisí z vytápění domácností umožňuje odhad množství emisí až na jednotlivé obce, popř. městské části. Emise těkavých organických látek (VOC) z  plošného použití rozpouštědel, emise NH</w:t>
      </w:r>
      <w:r w:rsidRPr="00F2729C">
        <w:rPr>
          <w:rFonts w:cs="Arial"/>
          <w:b/>
          <w:bCs/>
          <w:vertAlign w:val="subscript"/>
        </w:rPr>
        <w:t>3</w:t>
      </w:r>
      <w:r w:rsidRPr="00F2729C">
        <w:rPr>
          <w:rFonts w:cs="Arial"/>
        </w:rPr>
        <w:t xml:space="preserve"> z nesledovaných chovů hospodářských zvířat a z nakládání s chlévskou mrvou, emise tuhých znečišťujících látek (TZL) z chovů hospodářských zvířat - zejména stájových, emise TZL  ze stavebních činností a emise </w:t>
      </w:r>
      <w:bookmarkStart w:id="0" w:name="OLE_LINK1"/>
      <w:r w:rsidRPr="00F2729C">
        <w:rPr>
          <w:rFonts w:cs="Arial"/>
        </w:rPr>
        <w:t>NH</w:t>
      </w:r>
      <w:r w:rsidRPr="00F2729C">
        <w:rPr>
          <w:rFonts w:cs="Arial"/>
          <w:b/>
          <w:bCs/>
          <w:vertAlign w:val="subscript"/>
        </w:rPr>
        <w:t xml:space="preserve">3 </w:t>
      </w:r>
      <w:r w:rsidRPr="00F2729C">
        <w:rPr>
          <w:rFonts w:cs="Arial"/>
        </w:rPr>
        <w:t>z použití minerálních hnojiv</w:t>
      </w:r>
      <w:bookmarkEnd w:id="0"/>
      <w:r w:rsidRPr="00F2729C">
        <w:rPr>
          <w:rFonts w:cs="Arial"/>
        </w:rPr>
        <w:t xml:space="preserve"> jsou s využitím statistických údajů rozpočteny do úrovně krajů.</w:t>
      </w:r>
    </w:p>
    <w:p w:rsidR="00825C5E" w:rsidRPr="00F2729C" w:rsidRDefault="00825C5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170" w:hanging="170"/>
        <w:rPr>
          <w:rFonts w:cs="Arial"/>
        </w:rPr>
      </w:pPr>
      <w:r w:rsidRPr="00F2729C">
        <w:rPr>
          <w:rFonts w:cs="Arial"/>
        </w:rPr>
        <w:t xml:space="preserve">   Emise VOC z použití organických rozpouštědel a nátěrových hmot a emise NH</w:t>
      </w:r>
      <w:r w:rsidRPr="00F2729C">
        <w:rPr>
          <w:rFonts w:cs="Arial"/>
          <w:b/>
          <w:bCs/>
          <w:vertAlign w:val="subscript"/>
        </w:rPr>
        <w:t>3</w:t>
      </w:r>
      <w:r w:rsidRPr="00F2729C">
        <w:rPr>
          <w:rFonts w:cs="Arial"/>
          <w:vertAlign w:val="subscript"/>
        </w:rPr>
        <w:t xml:space="preserve"> </w:t>
      </w:r>
      <w:r w:rsidRPr="00F2729C">
        <w:rPr>
          <w:rFonts w:cs="Arial"/>
        </w:rPr>
        <w:t>z chovů hospodářských zvířat, neohlašované do REZZO 1 a 2, jsou dopočítávány jako součást REZZO 3 od roku 2000, emise TZL z chovů hospodářských zvířat od roku 2007, emise TZL ze stavebních činností a emise NH</w:t>
      </w:r>
      <w:r w:rsidRPr="00F2729C">
        <w:rPr>
          <w:rFonts w:cs="Arial"/>
          <w:b/>
          <w:bCs/>
          <w:vertAlign w:val="subscript"/>
        </w:rPr>
        <w:t xml:space="preserve">3 </w:t>
      </w:r>
      <w:r w:rsidRPr="00F2729C">
        <w:rPr>
          <w:rFonts w:cs="Arial"/>
        </w:rPr>
        <w:t>z použití minerálních hnojiv od roku 2009.</w:t>
      </w:r>
    </w:p>
    <w:p w:rsidR="00825C5E" w:rsidRPr="00F2729C" w:rsidRDefault="00825C5E">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170" w:hanging="170"/>
        <w:rPr>
          <w:rFonts w:cs="Arial"/>
          <w:b/>
          <w:bCs/>
        </w:rPr>
      </w:pPr>
      <w:r w:rsidRPr="00F2729C">
        <w:rPr>
          <w:rFonts w:cs="Arial"/>
        </w:rPr>
        <w:t xml:space="preserve">– </w:t>
      </w:r>
      <w:r w:rsidRPr="00F2729C">
        <w:rPr>
          <w:rFonts w:cs="Arial"/>
          <w:b/>
          <w:bCs/>
        </w:rPr>
        <w:t>REZZO 4</w:t>
      </w:r>
      <w:r w:rsidRPr="00F2729C">
        <w:rPr>
          <w:rFonts w:cs="Arial"/>
        </w:rPr>
        <w:t xml:space="preserve"> – zahrnuje pohyblivá zařízení se spalovacími nebo jinými motory, která znečišťují ovzduší, zejména silniční motorová vozidla, železniční kolejová vozidla, plavidla a letadla. Uvedená skupina je označována jako „mobilní zdroje znečišťování“. Od roku 1995 jsou do bilance zahrnuty emise tuhých látek a oxidu siřičitého z dopravy.</w:t>
      </w:r>
    </w:p>
    <w:p w:rsidR="00825C5E" w:rsidRPr="00F2729C" w:rsidRDefault="00825C5E">
      <w:pPr>
        <w:pStyle w:val="Default"/>
        <w:outlineLvl w:val="0"/>
        <w:rPr>
          <w:rFonts w:ascii="Arial" w:hAnsi="Arial" w:cs="Arial"/>
          <w:sz w:val="20"/>
          <w:szCs w:val="20"/>
        </w:rPr>
      </w:pPr>
    </w:p>
    <w:p w:rsidR="00825C5E" w:rsidRPr="00F2729C" w:rsidRDefault="00825C5E">
      <w:pPr>
        <w:pStyle w:val="Default"/>
        <w:rPr>
          <w:rFonts w:ascii="Arial" w:hAnsi="Arial" w:cs="Arial"/>
          <w:sz w:val="20"/>
          <w:szCs w:val="20"/>
        </w:rPr>
      </w:pPr>
      <w:r w:rsidRPr="00F2729C">
        <w:rPr>
          <w:rFonts w:ascii="Arial" w:hAnsi="Arial" w:cs="Arial"/>
          <w:b/>
          <w:bCs/>
          <w:sz w:val="20"/>
          <w:szCs w:val="20"/>
        </w:rPr>
        <w:t xml:space="preserve">Kojenecká </w:t>
      </w:r>
      <w:proofErr w:type="gramStart"/>
      <w:r w:rsidRPr="00F2729C">
        <w:rPr>
          <w:rFonts w:ascii="Arial" w:hAnsi="Arial" w:cs="Arial"/>
          <w:b/>
          <w:bCs/>
          <w:sz w:val="20"/>
          <w:szCs w:val="20"/>
        </w:rPr>
        <w:t>úmrtnost</w:t>
      </w:r>
      <w:r w:rsidR="00385AF5" w:rsidRPr="00F2729C">
        <w:rPr>
          <w:rFonts w:ascii="Arial" w:hAnsi="Arial" w:cs="Arial"/>
          <w:b/>
          <w:bCs/>
          <w:sz w:val="20"/>
          <w:szCs w:val="20"/>
        </w:rPr>
        <w:t xml:space="preserve"> </w:t>
      </w:r>
      <w:r w:rsidRPr="00F2729C">
        <w:rPr>
          <w:rFonts w:ascii="Arial" w:hAnsi="Arial" w:cs="Arial"/>
          <w:b/>
          <w:bCs/>
          <w:sz w:val="20"/>
          <w:szCs w:val="20"/>
        </w:rPr>
        <w:t xml:space="preserve"> </w:t>
      </w:r>
      <w:r w:rsidRPr="00F2729C">
        <w:rPr>
          <w:rFonts w:ascii="Arial" w:hAnsi="Arial" w:cs="Arial"/>
          <w:sz w:val="20"/>
          <w:szCs w:val="20"/>
        </w:rPr>
        <w:t>je</w:t>
      </w:r>
      <w:proofErr w:type="gramEnd"/>
      <w:r w:rsidRPr="00F2729C">
        <w:rPr>
          <w:rFonts w:ascii="Arial" w:hAnsi="Arial" w:cs="Arial"/>
          <w:sz w:val="20"/>
          <w:szCs w:val="20"/>
        </w:rPr>
        <w:t xml:space="preserve"> počet dětí zemřelých do 1 roku na 1 000 živě narozených. </w:t>
      </w:r>
    </w:p>
    <w:p w:rsidR="00825C5E" w:rsidRPr="00F2729C" w:rsidRDefault="00825C5E">
      <w:pPr>
        <w:pStyle w:val="Default"/>
        <w:rPr>
          <w:rFonts w:ascii="Arial" w:hAnsi="Arial" w:cs="Arial"/>
          <w:sz w:val="20"/>
          <w:szCs w:val="20"/>
        </w:rPr>
      </w:pPr>
    </w:p>
    <w:p w:rsidR="00825C5E" w:rsidRPr="00F2729C" w:rsidRDefault="00825C5E">
      <w:pPr>
        <w:pStyle w:val="Default"/>
        <w:outlineLvl w:val="0"/>
        <w:rPr>
          <w:rFonts w:ascii="Arial" w:hAnsi="Arial" w:cs="Arial"/>
          <w:sz w:val="20"/>
          <w:szCs w:val="20"/>
        </w:rPr>
      </w:pPr>
      <w:r w:rsidRPr="00F2729C">
        <w:rPr>
          <w:rFonts w:ascii="Arial" w:hAnsi="Arial" w:cs="Arial"/>
          <w:b/>
          <w:bCs/>
          <w:sz w:val="20"/>
          <w:szCs w:val="20"/>
        </w:rPr>
        <w:t xml:space="preserve">Novorozenecká úmrtnost </w:t>
      </w:r>
      <w:r w:rsidRPr="00F2729C">
        <w:rPr>
          <w:rFonts w:ascii="Arial" w:hAnsi="Arial" w:cs="Arial"/>
          <w:sz w:val="20"/>
          <w:szCs w:val="20"/>
        </w:rPr>
        <w:t xml:space="preserve">je počet dětí zemřelých do 28 dnů na 1 000 živě narozených. </w:t>
      </w:r>
    </w:p>
    <w:p w:rsidR="00825C5E" w:rsidRPr="00F2729C" w:rsidRDefault="00825C5E">
      <w:pPr>
        <w:pStyle w:val="Default"/>
        <w:outlineLvl w:val="0"/>
        <w:rPr>
          <w:rFonts w:ascii="Arial" w:hAnsi="Arial" w:cs="Arial"/>
          <w:sz w:val="20"/>
          <w:szCs w:val="20"/>
        </w:rPr>
      </w:pPr>
    </w:p>
    <w:p w:rsidR="00825C5E" w:rsidRPr="00F2729C" w:rsidRDefault="00825C5E">
      <w:pPr>
        <w:pStyle w:val="Default"/>
        <w:rPr>
          <w:rFonts w:ascii="Arial" w:hAnsi="Arial" w:cs="Arial"/>
          <w:sz w:val="20"/>
          <w:szCs w:val="20"/>
        </w:rPr>
      </w:pPr>
      <w:r w:rsidRPr="00F2729C">
        <w:rPr>
          <w:rFonts w:ascii="Arial" w:hAnsi="Arial" w:cs="Arial"/>
          <w:b/>
          <w:bCs/>
          <w:sz w:val="20"/>
          <w:szCs w:val="20"/>
        </w:rPr>
        <w:t xml:space="preserve">Úhrn </w:t>
      </w:r>
      <w:proofErr w:type="gramStart"/>
      <w:r w:rsidRPr="00F2729C">
        <w:rPr>
          <w:rFonts w:ascii="Arial" w:hAnsi="Arial" w:cs="Arial"/>
          <w:b/>
          <w:bCs/>
          <w:sz w:val="20"/>
          <w:szCs w:val="20"/>
        </w:rPr>
        <w:t>těhotenství</w:t>
      </w:r>
      <w:r w:rsidR="00146531" w:rsidRPr="00F2729C">
        <w:rPr>
          <w:rFonts w:ascii="Arial" w:hAnsi="Arial" w:cs="Arial"/>
          <w:b/>
          <w:bCs/>
          <w:sz w:val="20"/>
          <w:szCs w:val="20"/>
        </w:rPr>
        <w:t xml:space="preserve"> </w:t>
      </w:r>
      <w:r w:rsidRPr="00F2729C">
        <w:rPr>
          <w:rFonts w:ascii="Arial" w:hAnsi="Arial" w:cs="Arial"/>
          <w:b/>
          <w:bCs/>
          <w:sz w:val="20"/>
          <w:szCs w:val="20"/>
        </w:rPr>
        <w:t xml:space="preserve"> </w:t>
      </w:r>
      <w:r w:rsidRPr="00F2729C">
        <w:rPr>
          <w:rFonts w:ascii="Arial" w:hAnsi="Arial" w:cs="Arial"/>
          <w:sz w:val="20"/>
          <w:szCs w:val="20"/>
        </w:rPr>
        <w:t>je</w:t>
      </w:r>
      <w:proofErr w:type="gramEnd"/>
      <w:r w:rsidRPr="00F2729C">
        <w:rPr>
          <w:rFonts w:ascii="Arial" w:hAnsi="Arial" w:cs="Arial"/>
          <w:sz w:val="20"/>
          <w:szCs w:val="20"/>
        </w:rPr>
        <w:t xml:space="preserve"> součet počtu živě a mrtvě narozených dětí a potratů.</w:t>
      </w:r>
    </w:p>
    <w:p w:rsidR="00825C5E" w:rsidRPr="00F2729C" w:rsidRDefault="00825C5E">
      <w:pPr>
        <w:pStyle w:val="Default"/>
        <w:rPr>
          <w:rFonts w:ascii="Arial" w:hAnsi="Arial" w:cs="Arial"/>
          <w:sz w:val="20"/>
          <w:szCs w:val="20"/>
        </w:rPr>
      </w:pPr>
    </w:p>
    <w:p w:rsidR="00825C5E" w:rsidRPr="00F2729C" w:rsidRDefault="00825C5E">
      <w:pPr>
        <w:pStyle w:val="Default"/>
        <w:rPr>
          <w:rFonts w:ascii="Arial" w:hAnsi="Arial" w:cs="Arial"/>
          <w:sz w:val="20"/>
          <w:szCs w:val="20"/>
        </w:rPr>
      </w:pPr>
      <w:r w:rsidRPr="00F2729C">
        <w:rPr>
          <w:rFonts w:ascii="Arial" w:hAnsi="Arial" w:cs="Arial"/>
          <w:b/>
          <w:bCs/>
          <w:sz w:val="20"/>
          <w:szCs w:val="20"/>
        </w:rPr>
        <w:t xml:space="preserve">Invalidní </w:t>
      </w:r>
      <w:proofErr w:type="gramStart"/>
      <w:r w:rsidRPr="00F2729C">
        <w:rPr>
          <w:rFonts w:ascii="Arial" w:hAnsi="Arial" w:cs="Arial"/>
          <w:b/>
          <w:bCs/>
          <w:sz w:val="20"/>
          <w:szCs w:val="20"/>
        </w:rPr>
        <w:t>důchod</w:t>
      </w:r>
      <w:r w:rsidR="003D637D" w:rsidRPr="00F2729C">
        <w:rPr>
          <w:rFonts w:ascii="Arial" w:hAnsi="Arial" w:cs="Arial"/>
          <w:b/>
          <w:bCs/>
          <w:sz w:val="20"/>
          <w:szCs w:val="20"/>
        </w:rPr>
        <w:t xml:space="preserve"> </w:t>
      </w:r>
      <w:r w:rsidRPr="00F2729C">
        <w:rPr>
          <w:rFonts w:ascii="Arial" w:hAnsi="Arial" w:cs="Arial"/>
          <w:b/>
          <w:bCs/>
          <w:sz w:val="20"/>
          <w:szCs w:val="20"/>
        </w:rPr>
        <w:t xml:space="preserve"> </w:t>
      </w:r>
      <w:r w:rsidRPr="00F2729C">
        <w:rPr>
          <w:rFonts w:ascii="Arial" w:hAnsi="Arial" w:cs="Arial"/>
          <w:bCs/>
          <w:sz w:val="20"/>
          <w:szCs w:val="20"/>
        </w:rPr>
        <w:t>z důvodů</w:t>
      </w:r>
      <w:proofErr w:type="gramEnd"/>
      <w:r w:rsidRPr="00F2729C">
        <w:rPr>
          <w:rFonts w:ascii="Arial" w:hAnsi="Arial" w:cs="Arial"/>
          <w:bCs/>
          <w:sz w:val="20"/>
          <w:szCs w:val="20"/>
        </w:rPr>
        <w:t xml:space="preserve"> dlouhodobě nepříznivého stavu</w:t>
      </w:r>
      <w:r w:rsidR="003D637D" w:rsidRPr="00F2729C">
        <w:rPr>
          <w:rFonts w:ascii="Arial" w:hAnsi="Arial" w:cs="Arial"/>
          <w:bCs/>
          <w:sz w:val="20"/>
          <w:szCs w:val="20"/>
        </w:rPr>
        <w:t xml:space="preserve"> -</w:t>
      </w:r>
      <w:r w:rsidRPr="00F2729C">
        <w:rPr>
          <w:rFonts w:ascii="Arial" w:hAnsi="Arial" w:cs="Arial"/>
          <w:bCs/>
          <w:sz w:val="20"/>
          <w:szCs w:val="20"/>
        </w:rPr>
        <w:t xml:space="preserve"> od roku 2010 </w:t>
      </w:r>
      <w:r w:rsidR="003D637D" w:rsidRPr="00F2729C">
        <w:rPr>
          <w:rFonts w:ascii="Arial" w:hAnsi="Arial" w:cs="Arial"/>
          <w:bCs/>
          <w:sz w:val="20"/>
          <w:szCs w:val="20"/>
        </w:rPr>
        <w:t xml:space="preserve">je </w:t>
      </w:r>
      <w:r w:rsidRPr="00F2729C">
        <w:rPr>
          <w:rFonts w:ascii="Arial" w:hAnsi="Arial" w:cs="Arial"/>
          <w:bCs/>
          <w:sz w:val="20"/>
          <w:szCs w:val="20"/>
        </w:rPr>
        <w:t xml:space="preserve">hodnocen do 1. - 3. stupně podle míry poklesu pracovní schopnosti </w:t>
      </w:r>
      <w:proofErr w:type="gramStart"/>
      <w:r w:rsidRPr="00F2729C">
        <w:rPr>
          <w:rFonts w:ascii="Arial" w:hAnsi="Arial" w:cs="Arial"/>
          <w:bCs/>
          <w:sz w:val="20"/>
          <w:szCs w:val="20"/>
        </w:rPr>
        <w:t>pojištěnce  (invalid</w:t>
      </w:r>
      <w:r w:rsidRPr="00F2729C">
        <w:rPr>
          <w:rFonts w:ascii="Arial" w:hAnsi="Arial" w:cs="Arial"/>
          <w:sz w:val="20"/>
          <w:szCs w:val="20"/>
        </w:rPr>
        <w:t>ita</w:t>
      </w:r>
      <w:proofErr w:type="gramEnd"/>
      <w:r w:rsidRPr="00F2729C">
        <w:rPr>
          <w:rFonts w:ascii="Arial" w:hAnsi="Arial" w:cs="Arial"/>
          <w:sz w:val="20"/>
          <w:szCs w:val="20"/>
        </w:rPr>
        <w:t xml:space="preserve"> 1. stupně - pokles o 35-49%, invalidita 2. stupně - pokles o 50-69%, invalidita 3. stupně - pokles nejméně o 70%).</w:t>
      </w:r>
    </w:p>
    <w:p w:rsidR="00146531" w:rsidRPr="00F2729C" w:rsidRDefault="00146531">
      <w:pPr>
        <w:pStyle w:val="Default"/>
        <w:rPr>
          <w:rFonts w:ascii="Arial" w:hAnsi="Arial" w:cs="Arial"/>
          <w:sz w:val="20"/>
          <w:szCs w:val="20"/>
        </w:rPr>
      </w:pPr>
    </w:p>
    <w:p w:rsidR="00146531" w:rsidRPr="00F2729C" w:rsidRDefault="00146531" w:rsidP="00146531">
      <w:pPr>
        <w:pStyle w:val="Default"/>
        <w:jc w:val="both"/>
        <w:rPr>
          <w:rFonts w:ascii="Arial" w:hAnsi="Arial" w:cs="Arial"/>
          <w:sz w:val="20"/>
          <w:szCs w:val="20"/>
        </w:rPr>
      </w:pPr>
      <w:r w:rsidRPr="00F2729C">
        <w:rPr>
          <w:rFonts w:ascii="Arial" w:hAnsi="Arial" w:cs="Arial"/>
          <w:b/>
          <w:sz w:val="20"/>
          <w:szCs w:val="20"/>
        </w:rPr>
        <w:t>Starobní důchod</w:t>
      </w:r>
      <w:r w:rsidRPr="00F2729C">
        <w:rPr>
          <w:rFonts w:ascii="Arial" w:hAnsi="Arial" w:cs="Arial"/>
          <w:b/>
          <w:sz w:val="20"/>
          <w:szCs w:val="20"/>
        </w:rPr>
        <w:t xml:space="preserve"> </w:t>
      </w:r>
      <w:r w:rsidRPr="00F2729C">
        <w:rPr>
          <w:rFonts w:ascii="Arial" w:hAnsi="Arial" w:cs="Arial"/>
          <w:sz w:val="20"/>
          <w:szCs w:val="20"/>
        </w:rPr>
        <w:t>- od roku od roku 2011 se ke starobnímu důchodu počítá i důchod starobní poměrný.</w:t>
      </w:r>
    </w:p>
    <w:p w:rsidR="00825C5E" w:rsidRPr="00F2729C" w:rsidRDefault="00825C5E">
      <w:pPr>
        <w:pStyle w:val="Default"/>
        <w:rPr>
          <w:rFonts w:ascii="Arial" w:hAnsi="Arial" w:cs="Arial"/>
          <w:sz w:val="20"/>
          <w:szCs w:val="20"/>
        </w:rPr>
      </w:pPr>
    </w:p>
    <w:p w:rsidR="00825C5E" w:rsidRPr="00F2729C" w:rsidRDefault="00825C5E">
      <w:pPr>
        <w:rPr>
          <w:rFonts w:cs="Arial"/>
          <w:color w:val="000000"/>
          <w:szCs w:val="20"/>
        </w:rPr>
      </w:pPr>
      <w:r w:rsidRPr="00F2729C">
        <w:rPr>
          <w:rFonts w:cs="Arial"/>
          <w:b/>
          <w:bCs/>
          <w:color w:val="000000"/>
          <w:szCs w:val="20"/>
        </w:rPr>
        <w:t xml:space="preserve">Lékaři a střední zdravotnický personál </w:t>
      </w:r>
      <w:r w:rsidRPr="00F2729C">
        <w:rPr>
          <w:rFonts w:cs="Arial"/>
          <w:color w:val="000000"/>
          <w:szCs w:val="20"/>
        </w:rPr>
        <w:t>-</w:t>
      </w:r>
      <w:r w:rsidRPr="00F2729C">
        <w:rPr>
          <w:rFonts w:cs="Arial"/>
          <w:b/>
          <w:bCs/>
          <w:color w:val="FF0000"/>
          <w:szCs w:val="20"/>
        </w:rPr>
        <w:t xml:space="preserve"> </w:t>
      </w:r>
      <w:r w:rsidRPr="00F2729C">
        <w:rPr>
          <w:rFonts w:cs="Arial"/>
          <w:color w:val="000000"/>
          <w:szCs w:val="20"/>
        </w:rPr>
        <w:t>od roku 2007 jsou mezi lékaře a střední zdravotnický personál započteni i smluvní pracovníci. Dříve sledovaná kategorie Střední zdravotnický personál byla od roku 2004 nahrazena kategorií Zdravotničtí pracovníci nelékaři s odbornou způsobilostí bez odborného dohledu.</w:t>
      </w:r>
    </w:p>
    <w:p w:rsidR="00825C5E" w:rsidRPr="00F2729C" w:rsidRDefault="00825C5E">
      <w:pPr>
        <w:rPr>
          <w:rFonts w:cs="Arial"/>
          <w:color w:val="000000"/>
          <w:szCs w:val="20"/>
        </w:rPr>
      </w:pPr>
    </w:p>
    <w:p w:rsidR="00825C5E" w:rsidRPr="00F2729C" w:rsidRDefault="00825C5E">
      <w:pPr>
        <w:pStyle w:val="Nadpis5"/>
        <w:rPr>
          <w:b w:val="0"/>
          <w:bCs w:val="0"/>
        </w:rPr>
      </w:pPr>
      <w:r w:rsidRPr="00F2729C">
        <w:t xml:space="preserve">Vzdělávání ve středních školách </w:t>
      </w:r>
      <w:r w:rsidRPr="00F2729C">
        <w:rPr>
          <w:b w:val="0"/>
        </w:rPr>
        <w:t>-</w:t>
      </w:r>
      <w:r w:rsidRPr="00F2729C">
        <w:t xml:space="preserve">  </w:t>
      </w:r>
      <w:r w:rsidRPr="00F2729C">
        <w:rPr>
          <w:b w:val="0"/>
          <w:bCs w:val="0"/>
        </w:rPr>
        <w:t>jsou započteny školy MV a MO</w:t>
      </w:r>
      <w:r w:rsidRPr="00F2729C">
        <w:t xml:space="preserve">. </w:t>
      </w:r>
      <w:r w:rsidRPr="00F2729C">
        <w:rPr>
          <w:b w:val="0"/>
          <w:bCs w:val="0"/>
        </w:rPr>
        <w:t>Od roku 2008/2009 jsou údaje za střední odborné školy, střední odborná učiliště a odborná učiliště sledovány pouze v rámci společné kategorie škol vyučujících obory odborného vzdělání SŠ.</w:t>
      </w:r>
    </w:p>
    <w:p w:rsidR="00825C5E" w:rsidRPr="00F2729C" w:rsidRDefault="00825C5E">
      <w:pPr>
        <w:pStyle w:val="Default"/>
        <w:rPr>
          <w:rFonts w:ascii="Arial" w:hAnsi="Arial" w:cs="Arial"/>
          <w:sz w:val="20"/>
          <w:szCs w:val="20"/>
        </w:rPr>
      </w:pPr>
    </w:p>
    <w:p w:rsidR="002D54A0" w:rsidRPr="00F2729C" w:rsidRDefault="00825C5E">
      <w:pPr>
        <w:rPr>
          <w:rFonts w:cs="Arial"/>
          <w:b/>
          <w:bCs/>
          <w:szCs w:val="20"/>
        </w:rPr>
      </w:pPr>
      <w:r w:rsidRPr="00F2729C">
        <w:rPr>
          <w:rFonts w:cs="Arial"/>
          <w:b/>
          <w:bCs/>
          <w:szCs w:val="20"/>
        </w:rPr>
        <w:t xml:space="preserve">Míra registrované nezaměstnanosti </w:t>
      </w:r>
    </w:p>
    <w:p w:rsidR="00825C5E" w:rsidRPr="00F2729C" w:rsidRDefault="00825C5E">
      <w:r w:rsidRPr="00F2729C">
        <w:rPr>
          <w:rFonts w:cs="Arial"/>
          <w:szCs w:val="20"/>
        </w:rPr>
        <w:t>-</w:t>
      </w:r>
      <w:r w:rsidRPr="00F2729C">
        <w:rPr>
          <w:rFonts w:cs="Arial"/>
          <w:b/>
          <w:bCs/>
          <w:szCs w:val="20"/>
        </w:rPr>
        <w:t xml:space="preserve"> </w:t>
      </w:r>
      <w:r w:rsidRPr="00F2729C">
        <w:rPr>
          <w:rFonts w:cs="Arial"/>
          <w:szCs w:val="20"/>
        </w:rPr>
        <w:t>podle metodiky platné do 30. 6. 2004 je podíl vyjádřený v procentech, kde v čitateli je počet neumístěných uchazečů o zaměstnání</w:t>
      </w:r>
      <w:r w:rsidR="002D54A0" w:rsidRPr="00F2729C">
        <w:rPr>
          <w:rFonts w:cs="Arial"/>
          <w:szCs w:val="20"/>
        </w:rPr>
        <w:t xml:space="preserve"> (z evidence Úřadů práce</w:t>
      </w:r>
      <w:r w:rsidR="00491676" w:rsidRPr="00F2729C">
        <w:rPr>
          <w:rFonts w:cs="Arial"/>
          <w:szCs w:val="20"/>
        </w:rPr>
        <w:t xml:space="preserve"> podle bydliště uchazeče</w:t>
      </w:r>
      <w:r w:rsidR="002D54A0" w:rsidRPr="00F2729C">
        <w:rPr>
          <w:rFonts w:cs="Arial"/>
          <w:szCs w:val="20"/>
        </w:rPr>
        <w:t>)</w:t>
      </w:r>
      <w:r w:rsidRPr="00F2729C">
        <w:rPr>
          <w:rFonts w:cs="Arial"/>
          <w:szCs w:val="20"/>
        </w:rPr>
        <w:t xml:space="preserve"> a ve jmenovateli disponibilní pracovní síla (tj. zaměstnaní </w:t>
      </w:r>
      <w:r w:rsidR="00AC6CAB" w:rsidRPr="00F2729C">
        <w:rPr>
          <w:rFonts w:cs="Arial"/>
          <w:szCs w:val="20"/>
        </w:rPr>
        <w:t xml:space="preserve">v NH </w:t>
      </w:r>
      <w:r w:rsidRPr="00F2729C">
        <w:rPr>
          <w:rFonts w:cs="Arial"/>
          <w:szCs w:val="20"/>
        </w:rPr>
        <w:t>z VŠPS + neumístění uchazeči</w:t>
      </w:r>
      <w:r w:rsidR="002D54A0" w:rsidRPr="00F2729C">
        <w:rPr>
          <w:rFonts w:cs="Arial"/>
          <w:szCs w:val="20"/>
        </w:rPr>
        <w:t xml:space="preserve"> z evidence ÚP</w:t>
      </w:r>
      <w:r w:rsidRPr="00F2729C">
        <w:rPr>
          <w:rFonts w:cs="Arial"/>
          <w:szCs w:val="20"/>
        </w:rPr>
        <w:t>)</w:t>
      </w:r>
      <w:r w:rsidRPr="00F2729C">
        <w:t>.</w:t>
      </w:r>
    </w:p>
    <w:p w:rsidR="00AC6CAB" w:rsidRPr="00F2729C" w:rsidRDefault="00AC6CAB"/>
    <w:p w:rsidR="00825C5E" w:rsidRPr="00F2729C" w:rsidRDefault="00825C5E" w:rsidP="00491676">
      <w:pPr>
        <w:autoSpaceDE w:val="0"/>
        <w:autoSpaceDN w:val="0"/>
        <w:adjustRightInd w:val="0"/>
        <w:rPr>
          <w:rFonts w:cs="Arial"/>
          <w:szCs w:val="20"/>
        </w:rPr>
      </w:pPr>
      <w:r w:rsidRPr="00F2729C">
        <w:rPr>
          <w:rFonts w:cs="Arial"/>
          <w:szCs w:val="20"/>
        </w:rPr>
        <w:t>- podle metodiky platné od 1. 7. 2004, je podíl vyjádřený v procentech, kde v čitateli je počet dosažitelných neumístěných uchazečů o zaměstnání</w:t>
      </w:r>
      <w:r w:rsidR="002D54A0" w:rsidRPr="00F2729C">
        <w:rPr>
          <w:rFonts w:cs="Arial"/>
          <w:szCs w:val="20"/>
        </w:rPr>
        <w:t xml:space="preserve"> (z evidence ÚP)</w:t>
      </w:r>
      <w:r w:rsidRPr="00F2729C">
        <w:rPr>
          <w:rFonts w:cs="Arial"/>
          <w:szCs w:val="20"/>
        </w:rPr>
        <w:t xml:space="preserve"> a ve jmenovateli součet</w:t>
      </w:r>
      <w:r w:rsidR="00C65C6B" w:rsidRPr="00F2729C">
        <w:rPr>
          <w:rFonts w:cs="Arial"/>
          <w:szCs w:val="20"/>
        </w:rPr>
        <w:t xml:space="preserve"> </w:t>
      </w:r>
      <w:r w:rsidRPr="00F2729C">
        <w:rPr>
          <w:rFonts w:cs="Arial"/>
          <w:szCs w:val="20"/>
        </w:rPr>
        <w:t>zaměstnaných</w:t>
      </w:r>
      <w:r w:rsidR="00AC6CAB" w:rsidRPr="00F2729C">
        <w:rPr>
          <w:rFonts w:cs="Arial"/>
          <w:szCs w:val="20"/>
        </w:rPr>
        <w:t xml:space="preserve"> v NH</w:t>
      </w:r>
      <w:r w:rsidR="00491676" w:rsidRPr="00F2729C">
        <w:rPr>
          <w:rFonts w:cs="Arial"/>
          <w:szCs w:val="20"/>
        </w:rPr>
        <w:t xml:space="preserve"> z VŠPS, pracujících cizinců ze třetích zemí s platným povolením k zaměstnávání, </w:t>
      </w:r>
      <w:r w:rsidR="00C65C6B" w:rsidRPr="00F2729C">
        <w:rPr>
          <w:rFonts w:cs="Arial"/>
          <w:szCs w:val="20"/>
        </w:rPr>
        <w:t xml:space="preserve">zaměstnaných </w:t>
      </w:r>
      <w:r w:rsidR="00491676" w:rsidRPr="00F2729C">
        <w:rPr>
          <w:rFonts w:cs="Arial"/>
          <w:szCs w:val="20"/>
        </w:rPr>
        <w:t>občanů EU</w:t>
      </w:r>
      <w:r w:rsidRPr="00F2729C">
        <w:rPr>
          <w:rFonts w:cs="Arial"/>
          <w:szCs w:val="20"/>
        </w:rPr>
        <w:t xml:space="preserve"> </w:t>
      </w:r>
      <w:r w:rsidR="002D54A0" w:rsidRPr="00F2729C">
        <w:rPr>
          <w:rFonts w:cs="Arial"/>
          <w:szCs w:val="20"/>
        </w:rPr>
        <w:t xml:space="preserve">registrovaných na </w:t>
      </w:r>
      <w:proofErr w:type="gramStart"/>
      <w:r w:rsidR="002D54A0" w:rsidRPr="00F2729C">
        <w:rPr>
          <w:rFonts w:cs="Arial"/>
          <w:szCs w:val="20"/>
        </w:rPr>
        <w:t>ÚP</w:t>
      </w:r>
      <w:proofErr w:type="gramEnd"/>
      <w:r w:rsidR="00F2020E" w:rsidRPr="00F2729C">
        <w:rPr>
          <w:rFonts w:cs="Arial"/>
          <w:szCs w:val="20"/>
        </w:rPr>
        <w:t>,</w:t>
      </w:r>
      <w:r w:rsidR="002D54A0" w:rsidRPr="00F2729C">
        <w:rPr>
          <w:rFonts w:cs="Arial"/>
          <w:szCs w:val="20"/>
        </w:rPr>
        <w:t xml:space="preserve"> cizinců s platným </w:t>
      </w:r>
      <w:r w:rsidR="00BF074F" w:rsidRPr="00F2729C">
        <w:rPr>
          <w:rFonts w:cs="Arial"/>
          <w:szCs w:val="20"/>
        </w:rPr>
        <w:t>živnostenským oprávněním</w:t>
      </w:r>
      <w:r w:rsidRPr="00F2729C">
        <w:rPr>
          <w:rFonts w:cs="Arial"/>
          <w:szCs w:val="20"/>
        </w:rPr>
        <w:t xml:space="preserve"> a dosažitelných neumístěných uchazečů</w:t>
      </w:r>
      <w:r w:rsidR="002D54A0" w:rsidRPr="00F2729C">
        <w:rPr>
          <w:rFonts w:cs="Arial"/>
          <w:szCs w:val="20"/>
        </w:rPr>
        <w:t xml:space="preserve"> z evidence ÚP</w:t>
      </w:r>
      <w:r w:rsidR="00491676" w:rsidRPr="00F2729C">
        <w:rPr>
          <w:rFonts w:cs="Arial"/>
          <w:szCs w:val="20"/>
        </w:rPr>
        <w:t xml:space="preserve"> (občanů ČR a občanů EU(EHP))</w:t>
      </w:r>
      <w:r w:rsidRPr="00F2729C">
        <w:rPr>
          <w:rFonts w:cs="Arial"/>
          <w:szCs w:val="20"/>
        </w:rPr>
        <w:t xml:space="preserve">. </w:t>
      </w:r>
    </w:p>
    <w:p w:rsidR="00BF074F" w:rsidRPr="00F2729C" w:rsidRDefault="00BF074F" w:rsidP="00491676">
      <w:pPr>
        <w:autoSpaceDE w:val="0"/>
        <w:autoSpaceDN w:val="0"/>
        <w:adjustRightInd w:val="0"/>
        <w:rPr>
          <w:rFonts w:cs="Arial"/>
          <w:szCs w:val="20"/>
        </w:rPr>
      </w:pPr>
    </w:p>
    <w:p w:rsidR="00BF074F" w:rsidRPr="00F2729C" w:rsidRDefault="00BF074F" w:rsidP="00BF074F">
      <w:pPr>
        <w:autoSpaceDE w:val="0"/>
        <w:autoSpaceDN w:val="0"/>
        <w:adjustRightInd w:val="0"/>
        <w:rPr>
          <w:rFonts w:cs="Arial"/>
          <w:color w:val="000000"/>
          <w:szCs w:val="20"/>
        </w:rPr>
      </w:pPr>
      <w:r w:rsidRPr="00F2729C">
        <w:rPr>
          <w:rFonts w:cs="Arial"/>
          <w:color w:val="000000"/>
          <w:szCs w:val="20"/>
        </w:rPr>
        <w:t xml:space="preserve">Za </w:t>
      </w:r>
      <w:r w:rsidRPr="00F2729C">
        <w:rPr>
          <w:rFonts w:cs="Arial"/>
          <w:bCs/>
          <w:color w:val="000000"/>
          <w:szCs w:val="20"/>
        </w:rPr>
        <w:t>dosažitelné</w:t>
      </w:r>
      <w:r w:rsidRPr="00F2729C">
        <w:rPr>
          <w:rFonts w:cs="Arial"/>
          <w:b/>
          <w:bCs/>
          <w:color w:val="000000"/>
          <w:szCs w:val="20"/>
        </w:rPr>
        <w:t xml:space="preserve"> </w:t>
      </w:r>
      <w:r w:rsidRPr="00F2729C">
        <w:rPr>
          <w:rFonts w:cs="Arial"/>
          <w:color w:val="000000"/>
          <w:szCs w:val="20"/>
        </w:rPr>
        <w:t xml:space="preserve">se nepovažují uchazeči o zaměstnání ve vazbě, </w:t>
      </w:r>
      <w:r w:rsidRPr="00F2729C">
        <w:rPr>
          <w:rFonts w:cs="Arial"/>
          <w:color w:val="000000"/>
          <w:szCs w:val="20"/>
        </w:rPr>
        <w:t xml:space="preserve">ve výkonu trestu, na </w:t>
      </w:r>
      <w:r w:rsidRPr="00F2729C">
        <w:rPr>
          <w:rFonts w:cs="Arial"/>
          <w:color w:val="000000"/>
          <w:szCs w:val="20"/>
        </w:rPr>
        <w:t xml:space="preserve">základní, náhradní nebo civilní vojenské službě, uchazeči, kteří </w:t>
      </w:r>
      <w:r w:rsidRPr="00F2729C">
        <w:rPr>
          <w:rFonts w:cs="Arial"/>
          <w:color w:val="000000"/>
          <w:szCs w:val="20"/>
        </w:rPr>
        <w:t xml:space="preserve">jsou zařazení na rekvalifikační </w:t>
      </w:r>
      <w:r w:rsidRPr="00F2729C">
        <w:rPr>
          <w:rFonts w:cs="Arial"/>
          <w:color w:val="000000"/>
          <w:szCs w:val="20"/>
        </w:rPr>
        <w:t xml:space="preserve">kurzy, uchazeči, kteří pobírají </w:t>
      </w:r>
      <w:proofErr w:type="spellStart"/>
      <w:r w:rsidRPr="00F2729C">
        <w:rPr>
          <w:rFonts w:cs="Arial"/>
          <w:color w:val="000000"/>
          <w:szCs w:val="20"/>
        </w:rPr>
        <w:t>pěněžitou</w:t>
      </w:r>
      <w:proofErr w:type="spellEnd"/>
      <w:r w:rsidRPr="00F2729C">
        <w:rPr>
          <w:rFonts w:cs="Arial"/>
          <w:color w:val="000000"/>
          <w:szCs w:val="20"/>
        </w:rPr>
        <w:t xml:space="preserve"> pomoc v mateřství a uchazeči v pracovní neschopnosti</w:t>
      </w:r>
      <w:r w:rsidRPr="00F2729C">
        <w:rPr>
          <w:rFonts w:cs="Arial"/>
          <w:color w:val="000000"/>
          <w:szCs w:val="20"/>
        </w:rPr>
        <w:t>.</w:t>
      </w:r>
    </w:p>
    <w:p w:rsidR="00BF074F" w:rsidRPr="00F2729C" w:rsidRDefault="00BF074F" w:rsidP="00491676">
      <w:pPr>
        <w:autoSpaceDE w:val="0"/>
        <w:autoSpaceDN w:val="0"/>
        <w:adjustRightInd w:val="0"/>
        <w:rPr>
          <w:rFonts w:ascii="TimesNewRomanPSMT" w:hAnsi="TimesNewRomanPSMT" w:cs="TimesNewRomanPSMT"/>
          <w:color w:val="000000"/>
          <w:sz w:val="24"/>
        </w:rPr>
      </w:pPr>
    </w:p>
    <w:p w:rsidR="00825C5E" w:rsidRPr="00F2729C" w:rsidRDefault="00825C5E">
      <w:pPr>
        <w:pStyle w:val="Default"/>
        <w:jc w:val="both"/>
        <w:rPr>
          <w:rFonts w:ascii="Arial" w:hAnsi="Arial" w:cs="Arial"/>
          <w:sz w:val="20"/>
          <w:szCs w:val="20"/>
        </w:rPr>
      </w:pPr>
      <w:r w:rsidRPr="00F2729C">
        <w:rPr>
          <w:rFonts w:ascii="Arial" w:hAnsi="Arial" w:cs="Arial"/>
          <w:b/>
          <w:sz w:val="20"/>
          <w:szCs w:val="20"/>
        </w:rPr>
        <w:t xml:space="preserve">Výběrové šetření pracovních sil </w:t>
      </w:r>
      <w:r w:rsidRPr="00F2729C">
        <w:rPr>
          <w:rFonts w:cs="Arial"/>
          <w:szCs w:val="20"/>
        </w:rPr>
        <w:t xml:space="preserve">- </w:t>
      </w:r>
      <w:r w:rsidRPr="00F2729C">
        <w:rPr>
          <w:rFonts w:ascii="Arial" w:hAnsi="Arial" w:cs="Arial"/>
          <w:sz w:val="20"/>
          <w:szCs w:val="20"/>
        </w:rPr>
        <w:t>v roce 2010 došlo ve statistice struktury zaměstnanosti podle odvětví k přechodu od klasifikace OKEČ ke klasifikaci CZ-NACE; na tuto klasifikaci byly zpětně přepočteny i údaje z </w:t>
      </w:r>
      <w:proofErr w:type="spellStart"/>
      <w:r w:rsidRPr="00F2729C">
        <w:rPr>
          <w:rFonts w:ascii="Arial" w:hAnsi="Arial" w:cs="Arial"/>
          <w:sz w:val="20"/>
          <w:szCs w:val="20"/>
        </w:rPr>
        <w:t>předcházejích</w:t>
      </w:r>
      <w:proofErr w:type="spellEnd"/>
      <w:r w:rsidRPr="00F2729C">
        <w:rPr>
          <w:rFonts w:ascii="Arial" w:hAnsi="Arial" w:cs="Arial"/>
          <w:sz w:val="20"/>
          <w:szCs w:val="20"/>
        </w:rPr>
        <w:t xml:space="preserve"> let.</w:t>
      </w:r>
    </w:p>
    <w:p w:rsidR="00825C5E" w:rsidRPr="00F2729C" w:rsidRDefault="00825C5E">
      <w:pPr>
        <w:pStyle w:val="Default"/>
        <w:jc w:val="both"/>
        <w:rPr>
          <w:rFonts w:ascii="Arial" w:hAnsi="Arial" w:cs="Arial"/>
          <w:b/>
          <w:bCs/>
          <w:sz w:val="20"/>
          <w:szCs w:val="20"/>
        </w:rPr>
      </w:pPr>
    </w:p>
    <w:p w:rsidR="00825C5E" w:rsidRPr="00F2729C" w:rsidRDefault="00825C5E">
      <w:pPr>
        <w:pStyle w:val="Default"/>
        <w:jc w:val="both"/>
        <w:rPr>
          <w:rFonts w:ascii="Arial" w:hAnsi="Arial" w:cs="Arial"/>
          <w:sz w:val="20"/>
          <w:szCs w:val="20"/>
        </w:rPr>
      </w:pPr>
      <w:r w:rsidRPr="00F2729C">
        <w:rPr>
          <w:rFonts w:ascii="Arial" w:hAnsi="Arial" w:cs="Arial"/>
          <w:b/>
          <w:bCs/>
          <w:sz w:val="20"/>
          <w:szCs w:val="20"/>
        </w:rPr>
        <w:t xml:space="preserve">Hrubá přidaná hodnota - HPH </w:t>
      </w:r>
      <w:r w:rsidRPr="00F2729C">
        <w:rPr>
          <w:rFonts w:ascii="Arial" w:hAnsi="Arial" w:cs="Arial"/>
          <w:sz w:val="20"/>
          <w:szCs w:val="20"/>
        </w:rPr>
        <w:t>představuje nově vytvořenou hodnotu, kterou získávají institucionální jednotky z používání svých výrobních kapacit. Je stanovena jako rozdíl mezi celkovou produkcí, oceněnou v základních cenách a mezi spotřebou, oceněnou v kupních cenách. Počítá se za odvětví nebo za institucionální sektory / sub-sektory. V roce 2010 došlo ve statistice struktury HPH podle odvětví k přechodu od klasifikace OKEČ ke klasifikaci CZ-NACE; na tuto klasifikaci byly zpětně přepočteny i údaje z předcházejích let.</w:t>
      </w:r>
    </w:p>
    <w:p w:rsidR="00825C5E" w:rsidRPr="00F2729C" w:rsidRDefault="00825C5E">
      <w:pPr>
        <w:pStyle w:val="Rbntext"/>
        <w:rPr>
          <w:sz w:val="18"/>
        </w:rPr>
      </w:pPr>
      <w:r w:rsidRPr="00F2729C">
        <w:rPr>
          <w:rFonts w:cs="Arial"/>
          <w:b/>
          <w:bCs/>
        </w:rPr>
        <w:t>Hrubý domácí produkt - HDP</w:t>
      </w:r>
      <w:r w:rsidRPr="00F2729C">
        <w:rPr>
          <w:rFonts w:cs="Arial"/>
        </w:rPr>
        <w:t xml:space="preserve"> </w:t>
      </w:r>
      <w:r w:rsidRPr="00F2729C">
        <w:t>představuje souhrn přidaných hodnot jednotlivých institucionálních sektorů nebo jednotlivých odvětví v činnostech považovaných dle ESA 95 za produktivní (tj. včetně služeb tržní i netržní povahy) a čistých daní na produkty (je tedy vyjádřen v kupních cenách). Z hlediska užití</w:t>
      </w:r>
      <w:r w:rsidRPr="00F2729C">
        <w:rPr>
          <w:b/>
          <w:bCs/>
        </w:rPr>
        <w:t xml:space="preserve"> </w:t>
      </w:r>
      <w:r w:rsidRPr="00F2729C">
        <w:t>je HDP roven souhrnu konečné spotřeby (domácností, vlády a neziskových organizací sloužících domácnostem), tvorby hrubého kapitálu (fixního kapitálu a salda zásob a čistého pořízení cenností) a salda zahraničního obchodu</w:t>
      </w:r>
      <w:r w:rsidRPr="00F2729C">
        <w:rPr>
          <w:sz w:val="18"/>
        </w:rPr>
        <w:t>.</w:t>
      </w:r>
      <w:r w:rsidR="003D46D7" w:rsidRPr="00F2729C">
        <w:rPr>
          <w:sz w:val="18"/>
        </w:rPr>
        <w:t xml:space="preserve"> </w:t>
      </w:r>
      <w:r w:rsidR="003D46D7" w:rsidRPr="00F2729C">
        <w:t xml:space="preserve">Regionální HDP a od něj odvozené indikátory jsou </w:t>
      </w:r>
      <w:r w:rsidR="003D46D7" w:rsidRPr="00F2729C">
        <w:rPr>
          <w:bCs/>
        </w:rPr>
        <w:t>každoročně revidovány v souladu s revizemi dat na celostátní úrovni (defi</w:t>
      </w:r>
      <w:r w:rsidR="00301EB0" w:rsidRPr="00F2729C">
        <w:rPr>
          <w:bCs/>
        </w:rPr>
        <w:t>nitivní odhady jsou do roku 2010, za rok 2011</w:t>
      </w:r>
      <w:r w:rsidR="003D46D7" w:rsidRPr="00F2729C">
        <w:rPr>
          <w:bCs/>
        </w:rPr>
        <w:t xml:space="preserve"> jsou odh</w:t>
      </w:r>
      <w:r w:rsidR="00301EB0" w:rsidRPr="00F2729C">
        <w:rPr>
          <w:bCs/>
        </w:rPr>
        <w:t xml:space="preserve">ady </w:t>
      </w:r>
      <w:proofErr w:type="spellStart"/>
      <w:r w:rsidR="00301EB0" w:rsidRPr="00F2729C">
        <w:rPr>
          <w:bCs/>
        </w:rPr>
        <w:t>semidefinitivní</w:t>
      </w:r>
      <w:proofErr w:type="spellEnd"/>
      <w:r w:rsidR="00301EB0" w:rsidRPr="00F2729C">
        <w:rPr>
          <w:bCs/>
        </w:rPr>
        <w:t>, za rok 2012</w:t>
      </w:r>
      <w:r w:rsidR="003D46D7" w:rsidRPr="00F2729C">
        <w:rPr>
          <w:bCs/>
        </w:rPr>
        <w:t xml:space="preserve"> předběžné).</w:t>
      </w:r>
    </w:p>
    <w:p w:rsidR="003D46D7" w:rsidRPr="00F2729C" w:rsidRDefault="00825C5E" w:rsidP="003D46D7">
      <w:pPr>
        <w:pStyle w:val="Rbntext"/>
        <w:rPr>
          <w:rFonts w:cs="Arial"/>
        </w:rPr>
      </w:pPr>
      <w:r w:rsidRPr="00F2729C">
        <w:rPr>
          <w:rFonts w:cs="Arial"/>
          <w:b/>
          <w:bCs/>
        </w:rPr>
        <w:t>Tvorba hrubého fixního kapitálu - THFK</w:t>
      </w:r>
      <w:r w:rsidRPr="00F2729C">
        <w:rPr>
          <w:rFonts w:cs="Arial"/>
        </w:rPr>
        <w:t xml:space="preserve"> obsahuje hodnotu pořízení hmotného i nehmotného investičního majetku koupeného, bezúplatně převzatého nebo vyrobeného ve vlastní režii, sníženou o hodnotu jeho prodeje a bezúplatného předání. Patří sem i pořízení formou finančního leasingu. Cílem pořízení je vždy využívat tento investiční majetek při produktivní činnosti, včetně bydlení v obydlí jeho vlastníka. Nespadají sem fixní aktiva s hodnotou nižší než 20 tis. Kč ani předměty dlouhodobé spotřeby pořízené domácnostmi pro uspokojování konečné spotřeby ani čisté pořízení cenností. Dále se nezahrnují předměty pro vojenské účely (tanky apod.) a výdaje na výzkum a vývoj apod.</w:t>
      </w:r>
      <w:r w:rsidR="003D46D7" w:rsidRPr="00F2729C">
        <w:rPr>
          <w:rFonts w:cs="Arial"/>
        </w:rPr>
        <w:t xml:space="preserve"> Regionalizace tvorby hrubého fixního kapitálu je provedena pomocí objemu investic podle místa realizace investice. </w:t>
      </w:r>
    </w:p>
    <w:p w:rsidR="00825C5E" w:rsidRPr="00F2729C" w:rsidRDefault="00825C5E">
      <w:pPr>
        <w:pStyle w:val="Rbntext"/>
        <w:rPr>
          <w:rFonts w:cs="Arial"/>
        </w:rPr>
      </w:pPr>
      <w:r w:rsidRPr="00F2729C">
        <w:rPr>
          <w:rFonts w:cs="Arial"/>
          <w:b/>
          <w:bCs/>
        </w:rPr>
        <w:t>Čistý disponibilní důchod domácností - ČDDD</w:t>
      </w:r>
      <w:r w:rsidRPr="00F2729C">
        <w:rPr>
          <w:rFonts w:cs="Arial"/>
        </w:rPr>
        <w:t xml:space="preserve"> představuje částku, kterou mohou domácnosti věnovat na konečnou spotřebu, na úspory ve formě finančních aktiv a na akumulaci hmotných a nehmotných aktiv. Disponibilní důchod je výsledkem tvorby a rozdělení důchodů a je bilanční položkou účtu druhotného rozdělení důchodů. </w:t>
      </w:r>
    </w:p>
    <w:p w:rsidR="00825C5E" w:rsidRPr="00F2729C" w:rsidRDefault="00825C5E">
      <w:pPr>
        <w:pStyle w:val="Default"/>
        <w:jc w:val="both"/>
        <w:rPr>
          <w:rFonts w:ascii="Arial" w:hAnsi="Arial" w:cs="Arial"/>
          <w:color w:val="auto"/>
          <w:sz w:val="20"/>
          <w:szCs w:val="20"/>
        </w:rPr>
      </w:pPr>
    </w:p>
    <w:p w:rsidR="00825C5E" w:rsidRPr="00F2729C" w:rsidRDefault="00825C5E">
      <w:pPr>
        <w:pStyle w:val="Default"/>
        <w:jc w:val="both"/>
        <w:rPr>
          <w:rFonts w:ascii="Arial" w:hAnsi="Arial" w:cs="Arial"/>
          <w:sz w:val="20"/>
        </w:rPr>
      </w:pPr>
      <w:r w:rsidRPr="00F2729C">
        <w:rPr>
          <w:rFonts w:ascii="Arial" w:hAnsi="Arial" w:cs="Arial"/>
          <w:sz w:val="20"/>
        </w:rPr>
        <w:t xml:space="preserve">Pro potřeby mezinárodního srovnání jsou vybrané ukazatele přepočteny do </w:t>
      </w:r>
      <w:r w:rsidRPr="00F2729C">
        <w:rPr>
          <w:rFonts w:ascii="Arial" w:hAnsi="Arial" w:cs="Arial"/>
          <w:b/>
          <w:bCs/>
          <w:sz w:val="20"/>
        </w:rPr>
        <w:t xml:space="preserve">měnové jednotky Euro </w:t>
      </w:r>
      <w:r w:rsidRPr="00F2729C">
        <w:rPr>
          <w:rFonts w:ascii="Arial" w:hAnsi="Arial" w:cs="Arial"/>
          <w:sz w:val="20"/>
        </w:rPr>
        <w:t xml:space="preserve">a </w:t>
      </w:r>
      <w:r w:rsidRPr="00F2729C">
        <w:rPr>
          <w:rFonts w:ascii="Arial" w:hAnsi="Arial" w:cs="Arial"/>
          <w:b/>
          <w:bCs/>
          <w:sz w:val="20"/>
        </w:rPr>
        <w:t>standardu kupní síly PPS</w:t>
      </w:r>
      <w:r w:rsidRPr="00F2729C">
        <w:rPr>
          <w:rFonts w:ascii="Arial" w:hAnsi="Arial" w:cs="Arial"/>
          <w:sz w:val="20"/>
        </w:rPr>
        <w:t xml:space="preserve"> dle koeficientů vydávaných Evropským statistickým úřadem.</w:t>
      </w:r>
    </w:p>
    <w:p w:rsidR="00825C5E" w:rsidRPr="00F2729C" w:rsidRDefault="00825C5E">
      <w:pPr>
        <w:pStyle w:val="Default"/>
        <w:jc w:val="both"/>
        <w:rPr>
          <w:rFonts w:ascii="Arial" w:hAnsi="Arial" w:cs="Arial"/>
          <w:sz w:val="20"/>
        </w:rPr>
      </w:pPr>
    </w:p>
    <w:p w:rsidR="00825C5E" w:rsidRPr="00F2729C" w:rsidRDefault="00825C5E">
      <w:pPr>
        <w:pStyle w:val="Default"/>
        <w:jc w:val="both"/>
        <w:rPr>
          <w:rFonts w:ascii="Arial" w:hAnsi="Arial" w:cs="Arial"/>
          <w:sz w:val="20"/>
          <w:szCs w:val="20"/>
        </w:rPr>
      </w:pPr>
      <w:r w:rsidRPr="00F2729C">
        <w:rPr>
          <w:rFonts w:ascii="Arial" w:hAnsi="Arial" w:cs="Arial"/>
          <w:sz w:val="20"/>
        </w:rPr>
        <w:t>Makroekonomické ukazatele jsou zjišťovány pracovištní metodou, tzn., že ukazatele za podniky jsou alokovány do regionů podle skutečného místa působení jednotky. Hrubá přidaná hodnota za multi-</w:t>
      </w:r>
      <w:r w:rsidRPr="00F2729C">
        <w:rPr>
          <w:rFonts w:ascii="Arial" w:hAnsi="Arial" w:cs="Arial"/>
          <w:sz w:val="20"/>
        </w:rPr>
        <w:lastRenderedPageBreak/>
        <w:t>regionální organizace je alokována na základě mezd vyplácených v jednotlivých krajích. Ukazatele účtů domácností se vztahují k místu bydliště domácností.</w:t>
      </w:r>
    </w:p>
    <w:p w:rsidR="00825C5E" w:rsidRPr="00F2729C" w:rsidRDefault="00825C5E">
      <w:pPr>
        <w:pStyle w:val="Default"/>
        <w:jc w:val="both"/>
        <w:rPr>
          <w:rFonts w:ascii="Arial" w:hAnsi="Arial" w:cs="Arial"/>
          <w:sz w:val="20"/>
          <w:szCs w:val="20"/>
        </w:rPr>
      </w:pPr>
    </w:p>
    <w:p w:rsidR="00825C5E" w:rsidRPr="00F2729C" w:rsidRDefault="00825C5E">
      <w:pPr>
        <w:pStyle w:val="Default"/>
        <w:jc w:val="both"/>
        <w:rPr>
          <w:rFonts w:ascii="Arial" w:hAnsi="Arial" w:cs="Arial"/>
          <w:sz w:val="20"/>
        </w:rPr>
      </w:pPr>
      <w:r w:rsidRPr="00F2729C">
        <w:rPr>
          <w:rFonts w:ascii="Arial" w:hAnsi="Arial" w:cs="Arial"/>
          <w:b/>
          <w:bCs/>
          <w:sz w:val="20"/>
          <w:szCs w:val="20"/>
        </w:rPr>
        <w:t>Stavební podniky</w:t>
      </w:r>
      <w:r w:rsidRPr="00F2729C">
        <w:rPr>
          <w:rFonts w:ascii="Arial" w:hAnsi="Arial" w:cs="Arial"/>
          <w:sz w:val="20"/>
          <w:szCs w:val="20"/>
        </w:rPr>
        <w:t xml:space="preserve"> – od roku 2009 jsou statisticky sledovány pouze podniky s 50 a více zaměstnanci (průměrný počet podniků, průměrný evidenční počet zaměstnanců, průměrná hrubá měsíční mzda)</w:t>
      </w:r>
    </w:p>
    <w:p w:rsidR="00825C5E" w:rsidRPr="00F2729C" w:rsidRDefault="00825C5E">
      <w:pPr>
        <w:pStyle w:val="Default"/>
        <w:jc w:val="both"/>
        <w:rPr>
          <w:rFonts w:ascii="Arial" w:hAnsi="Arial" w:cs="Arial"/>
          <w:b/>
          <w:bCs/>
          <w:sz w:val="20"/>
        </w:rPr>
      </w:pPr>
    </w:p>
    <w:p w:rsidR="00825C5E" w:rsidRPr="00F2729C" w:rsidRDefault="00825C5E">
      <w:pPr>
        <w:pStyle w:val="Default"/>
        <w:jc w:val="both"/>
        <w:rPr>
          <w:rFonts w:ascii="Arial" w:hAnsi="Arial" w:cs="Arial"/>
          <w:sz w:val="20"/>
        </w:rPr>
      </w:pPr>
      <w:r w:rsidRPr="00F2729C">
        <w:rPr>
          <w:rFonts w:ascii="Arial" w:hAnsi="Arial" w:cs="Arial"/>
          <w:b/>
          <w:bCs/>
          <w:sz w:val="20"/>
        </w:rPr>
        <w:t>Stavební práce „S“ (podle dodavatelských smluv)</w:t>
      </w:r>
      <w:r w:rsidRPr="00F2729C">
        <w:rPr>
          <w:rFonts w:ascii="Arial" w:hAnsi="Arial" w:cs="Arial"/>
          <w:sz w:val="20"/>
        </w:rPr>
        <w:t xml:space="preserve"> vyjadřují celkovou hodnotu vlastních výkonů ze stavební činnosti vykazující jednotky (včetně zabudovaných materiálů) provedenou na základě smlouvy o dodávce pro konečného uživatele (stavebníka) včetně hodnoty eventuálních poddodávek stavebních prací přijatých od jiných dodavatelských organizací pro splnění dané smlouvy o dodávce pro konečného uživatele. (</w:t>
      </w:r>
      <w:r w:rsidRPr="00F2729C">
        <w:rPr>
          <w:rFonts w:ascii="Arial" w:hAnsi="Arial" w:cs="Arial"/>
          <w:bCs/>
          <w:sz w:val="20"/>
        </w:rPr>
        <w:t>Nepatří sem</w:t>
      </w:r>
      <w:r w:rsidRPr="00F2729C">
        <w:rPr>
          <w:rFonts w:ascii="Arial" w:hAnsi="Arial" w:cs="Arial"/>
          <w:b/>
          <w:bCs/>
          <w:sz w:val="20"/>
        </w:rPr>
        <w:t xml:space="preserve"> </w:t>
      </w:r>
      <w:r w:rsidRPr="00F2729C">
        <w:rPr>
          <w:rFonts w:ascii="Arial" w:hAnsi="Arial" w:cs="Arial"/>
          <w:sz w:val="20"/>
        </w:rPr>
        <w:t>poddodávky stavebních prací vykazující jednotky pro jiné dodavatele ani dodávky stavebních prací realizované mezi závodovými jednotkami vykazující jednotky).</w:t>
      </w:r>
    </w:p>
    <w:p w:rsidR="00825C5E" w:rsidRPr="00F2729C" w:rsidRDefault="00825C5E">
      <w:pPr>
        <w:pStyle w:val="Default"/>
        <w:jc w:val="both"/>
        <w:rPr>
          <w:rFonts w:ascii="Arial" w:hAnsi="Arial" w:cs="Arial"/>
          <w:b/>
          <w:bCs/>
          <w:sz w:val="20"/>
        </w:rPr>
      </w:pPr>
    </w:p>
    <w:p w:rsidR="00825C5E" w:rsidRPr="00F2729C" w:rsidRDefault="00825C5E">
      <w:pPr>
        <w:pStyle w:val="Default"/>
        <w:jc w:val="both"/>
        <w:rPr>
          <w:rFonts w:ascii="Arial" w:hAnsi="Arial" w:cs="Arial"/>
          <w:sz w:val="20"/>
        </w:rPr>
      </w:pPr>
      <w:r w:rsidRPr="00F2729C">
        <w:rPr>
          <w:rFonts w:ascii="Arial" w:hAnsi="Arial" w:cs="Arial"/>
          <w:b/>
          <w:bCs/>
          <w:sz w:val="20"/>
        </w:rPr>
        <w:t>Orientační hodnota staveb</w:t>
      </w:r>
      <w:r w:rsidRPr="00F2729C">
        <w:rPr>
          <w:rFonts w:ascii="Arial" w:hAnsi="Arial" w:cs="Arial"/>
          <w:sz w:val="20"/>
        </w:rPr>
        <w:t xml:space="preserve"> zahrnuje celkové náklady včetně technologie (v běžných cenách) vynaložené na přípravu, realizaci a uvedení stavby do provozu.</w:t>
      </w:r>
    </w:p>
    <w:p w:rsidR="00825C5E" w:rsidRPr="00F2729C" w:rsidRDefault="00825C5E">
      <w:pPr>
        <w:rPr>
          <w:rFonts w:cs="Arial"/>
          <w:szCs w:val="20"/>
        </w:rPr>
      </w:pPr>
    </w:p>
    <w:p w:rsidR="00825C5E" w:rsidRPr="00F2729C" w:rsidRDefault="00825C5E">
      <w:pPr>
        <w:rPr>
          <w:rFonts w:cs="Arial"/>
          <w:color w:val="000000"/>
          <w:szCs w:val="20"/>
        </w:rPr>
      </w:pPr>
      <w:r w:rsidRPr="00F2729C">
        <w:rPr>
          <w:rFonts w:cs="Arial"/>
          <w:b/>
          <w:bCs/>
          <w:color w:val="000000"/>
          <w:szCs w:val="20"/>
        </w:rPr>
        <w:t xml:space="preserve">Počet vydaných stavebních povolení </w:t>
      </w:r>
      <w:r w:rsidRPr="00F2729C">
        <w:rPr>
          <w:rFonts w:cs="Arial"/>
          <w:color w:val="000000"/>
          <w:szCs w:val="20"/>
        </w:rPr>
        <w:t>- od roku 2007 se jedná o podaná stavební ohlášení a vydaná stavební povolení.</w:t>
      </w:r>
    </w:p>
    <w:p w:rsidR="00AC2C7E" w:rsidRPr="00F2729C" w:rsidRDefault="00AC2C7E">
      <w:pPr>
        <w:rPr>
          <w:rFonts w:cs="Arial"/>
          <w:color w:val="000000"/>
          <w:szCs w:val="20"/>
        </w:rPr>
      </w:pPr>
    </w:p>
    <w:p w:rsidR="00825C5E" w:rsidRPr="00F2729C" w:rsidRDefault="00825C5E">
      <w:pPr>
        <w:rPr>
          <w:rFonts w:cs="Arial"/>
          <w:color w:val="000000"/>
          <w:szCs w:val="20"/>
        </w:rPr>
      </w:pPr>
      <w:r w:rsidRPr="00F2729C">
        <w:rPr>
          <w:rFonts w:cs="Arial"/>
          <w:b/>
          <w:bCs/>
          <w:color w:val="000000"/>
          <w:szCs w:val="20"/>
        </w:rPr>
        <w:t>Dopravní nehody</w:t>
      </w:r>
      <w:r w:rsidRPr="00F2729C">
        <w:rPr>
          <w:rFonts w:cs="Arial"/>
          <w:color w:val="000000"/>
          <w:szCs w:val="20"/>
        </w:rPr>
        <w:t xml:space="preserve"> v silničním provozu jsou uvedeny všechny, které byly policii nahlášeny, přičemž od roku 2009 došlo ke změně pravidel pro hlášení nehod Policii ČR.</w:t>
      </w:r>
    </w:p>
    <w:p w:rsidR="00825C5E" w:rsidRPr="00F2729C" w:rsidRDefault="00825C5E">
      <w:pPr>
        <w:rPr>
          <w:rFonts w:cs="Arial"/>
          <w:b/>
          <w:bCs/>
          <w:color w:val="000000"/>
          <w:szCs w:val="20"/>
        </w:rPr>
      </w:pPr>
    </w:p>
    <w:p w:rsidR="00BA08C2" w:rsidRPr="00F2729C" w:rsidRDefault="00BA08C2" w:rsidP="00BA08C2">
      <w:pPr>
        <w:autoSpaceDE w:val="0"/>
        <w:autoSpaceDN w:val="0"/>
        <w:adjustRightInd w:val="0"/>
        <w:jc w:val="left"/>
        <w:rPr>
          <w:rFonts w:cs="Arial"/>
          <w:bCs/>
          <w:szCs w:val="20"/>
        </w:rPr>
      </w:pPr>
      <w:r w:rsidRPr="00F2729C">
        <w:rPr>
          <w:rFonts w:cs="Arial"/>
          <w:b/>
          <w:bCs/>
          <w:szCs w:val="20"/>
        </w:rPr>
        <w:t>Provozovaná motorová a přípojná vozidla</w:t>
      </w:r>
      <w:r w:rsidR="00156ACC" w:rsidRPr="00F2729C">
        <w:rPr>
          <w:rFonts w:cs="Arial"/>
          <w:bCs/>
          <w:szCs w:val="20"/>
        </w:rPr>
        <w:t xml:space="preserve"> </w:t>
      </w:r>
      <w:r w:rsidRPr="00F2729C">
        <w:rPr>
          <w:rFonts w:cs="Arial"/>
          <w:bCs/>
          <w:szCs w:val="20"/>
        </w:rPr>
        <w:t>- z důvodu přechodu na nový systé</w:t>
      </w:r>
      <w:r w:rsidRPr="00F2729C">
        <w:rPr>
          <w:rFonts w:cs="Arial"/>
          <w:bCs/>
          <w:szCs w:val="20"/>
        </w:rPr>
        <w:t xml:space="preserve">m evidence vozidel v Centrálním </w:t>
      </w:r>
      <w:r w:rsidRPr="00F2729C">
        <w:rPr>
          <w:rFonts w:cs="Arial"/>
          <w:bCs/>
          <w:szCs w:val="20"/>
        </w:rPr>
        <w:t xml:space="preserve">registru vozidel (CRV) </w:t>
      </w:r>
      <w:r w:rsidR="00156ACC" w:rsidRPr="00F2729C">
        <w:rPr>
          <w:rFonts w:cs="Arial"/>
          <w:bCs/>
          <w:szCs w:val="20"/>
        </w:rPr>
        <w:t xml:space="preserve">k 1.7.2013 </w:t>
      </w:r>
      <w:r w:rsidR="00156ACC" w:rsidRPr="00F2729C">
        <w:rPr>
          <w:rFonts w:cs="Arial"/>
          <w:bCs/>
          <w:szCs w:val="20"/>
        </w:rPr>
        <w:t xml:space="preserve">- </w:t>
      </w:r>
      <w:r w:rsidRPr="00F2729C">
        <w:rPr>
          <w:rFonts w:cs="Arial"/>
          <w:bCs/>
          <w:szCs w:val="20"/>
        </w:rPr>
        <w:t>v souladu s legislativou EU</w:t>
      </w:r>
      <w:r w:rsidR="00156ACC" w:rsidRPr="00F2729C">
        <w:rPr>
          <w:rFonts w:cs="Arial"/>
          <w:bCs/>
          <w:szCs w:val="20"/>
        </w:rPr>
        <w:t xml:space="preserve">, </w:t>
      </w:r>
      <w:r w:rsidRPr="00F2729C">
        <w:rPr>
          <w:rFonts w:cs="Arial"/>
          <w:bCs/>
          <w:szCs w:val="20"/>
        </w:rPr>
        <w:t xml:space="preserve"> nejsou údaje k </w:t>
      </w:r>
      <w:proofErr w:type="gramStart"/>
      <w:r w:rsidRPr="00F2729C">
        <w:rPr>
          <w:rFonts w:cs="Arial"/>
          <w:bCs/>
          <w:szCs w:val="20"/>
        </w:rPr>
        <w:t>31.12.</w:t>
      </w:r>
      <w:r w:rsidRPr="00F2729C">
        <w:rPr>
          <w:rFonts w:cs="Arial"/>
          <w:bCs/>
          <w:szCs w:val="20"/>
        </w:rPr>
        <w:t xml:space="preserve"> </w:t>
      </w:r>
      <w:r w:rsidRPr="00F2729C">
        <w:rPr>
          <w:rFonts w:cs="Arial"/>
          <w:bCs/>
          <w:szCs w:val="20"/>
        </w:rPr>
        <w:t>2012</w:t>
      </w:r>
      <w:proofErr w:type="gramEnd"/>
      <w:r w:rsidRPr="00F2729C">
        <w:rPr>
          <w:rFonts w:cs="Arial"/>
          <w:bCs/>
          <w:szCs w:val="20"/>
        </w:rPr>
        <w:t xml:space="preserve"> k</w:t>
      </w:r>
      <w:r w:rsidRPr="00F2729C">
        <w:rPr>
          <w:rFonts w:cs="Arial"/>
          <w:bCs/>
          <w:szCs w:val="20"/>
        </w:rPr>
        <w:t> </w:t>
      </w:r>
      <w:r w:rsidRPr="00F2729C">
        <w:rPr>
          <w:rFonts w:cs="Arial"/>
          <w:bCs/>
          <w:szCs w:val="20"/>
        </w:rPr>
        <w:t>dispozici</w:t>
      </w:r>
      <w:r w:rsidRPr="00F2729C">
        <w:rPr>
          <w:rFonts w:cs="Arial"/>
          <w:bCs/>
          <w:szCs w:val="20"/>
        </w:rPr>
        <w:t>.</w:t>
      </w:r>
    </w:p>
    <w:p w:rsidR="00825C5E" w:rsidRPr="00F2729C" w:rsidRDefault="00825C5E">
      <w:pPr>
        <w:pStyle w:val="Nadpis4"/>
        <w:rPr>
          <w:rFonts w:ascii="Arial" w:hAnsi="Arial" w:cs="Arial"/>
          <w:b w:val="0"/>
          <w:bCs w:val="0"/>
          <w:color w:val="000000"/>
        </w:rPr>
      </w:pPr>
    </w:p>
    <w:p w:rsidR="00825C5E" w:rsidRPr="00F2729C" w:rsidRDefault="00825C5E"/>
    <w:p w:rsidR="00825C5E" w:rsidRPr="00F2729C" w:rsidRDefault="00825C5E">
      <w:r w:rsidRPr="00F2729C">
        <w:t>POUŽITÉ ZNAČKY V TABULKÁCH PUBLIKACE</w:t>
      </w:r>
    </w:p>
    <w:p w:rsidR="00825C5E" w:rsidRPr="00F2729C" w:rsidRDefault="00825C5E">
      <w:pPr>
        <w:pStyle w:val="Zpat"/>
        <w:tabs>
          <w:tab w:val="clear" w:pos="4536"/>
          <w:tab w:val="clear" w:pos="9072"/>
        </w:tabs>
      </w:pPr>
    </w:p>
    <w:p w:rsidR="00825C5E" w:rsidRPr="00F2729C" w:rsidRDefault="00825C5E">
      <w:r w:rsidRPr="00F2729C">
        <w:t>-</w:t>
      </w:r>
      <w:r w:rsidRPr="00F2729C">
        <w:tab/>
        <w:t>ležatá čárka na místě čísla značí, že se jev nevyskytoval</w:t>
      </w:r>
    </w:p>
    <w:p w:rsidR="00825C5E" w:rsidRPr="00F2729C" w:rsidRDefault="00825C5E">
      <w:pPr>
        <w:spacing w:before="120"/>
      </w:pPr>
      <w:r w:rsidRPr="00F2729C">
        <w:t>.</w:t>
      </w:r>
      <w:r w:rsidRPr="00F2729C">
        <w:tab/>
        <w:t>tečka na místě čísla značí, že údaj není k dispozici nebo je nespolehlivý</w:t>
      </w:r>
    </w:p>
    <w:p w:rsidR="00825C5E" w:rsidRPr="00F2729C" w:rsidRDefault="00825C5E">
      <w:pPr>
        <w:spacing w:before="120"/>
      </w:pPr>
      <w:r w:rsidRPr="00F2729C">
        <w:t>x</w:t>
      </w:r>
      <w:r w:rsidRPr="00F2729C">
        <w:tab/>
        <w:t>ležatý křížek na místě čísla značí, že zápis není možný z logických důvodů</w:t>
      </w:r>
    </w:p>
    <w:p w:rsidR="00A045AC" w:rsidRPr="00A94D25" w:rsidRDefault="00825C5E" w:rsidP="0058277A">
      <w:pPr>
        <w:spacing w:before="120"/>
      </w:pPr>
      <w:r w:rsidRPr="00F2729C">
        <w:t>0</w:t>
      </w:r>
      <w:r w:rsidRPr="00F2729C">
        <w:tab/>
        <w:t>nula se používá pro označení číselných údajů menších než polovina zvolené měřicí jednotky</w:t>
      </w:r>
      <w:r>
        <w:t xml:space="preserve"> </w:t>
      </w:r>
      <w:bookmarkStart w:id="1" w:name="_GoBack"/>
      <w:bookmarkEnd w:id="1"/>
    </w:p>
    <w:sectPr w:rsidR="00A045AC" w:rsidRPr="00A94D25" w:rsidSect="00220F78">
      <w:footerReference w:type="even" r:id="rId8"/>
      <w:footerReference w:type="default" r:id="rId9"/>
      <w:pgSz w:w="11906" w:h="16838"/>
      <w:pgMar w:top="1418" w:right="1418" w:bottom="1418" w:left="1418"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784" w:rsidRDefault="00597784">
      <w:r>
        <w:separator/>
      </w:r>
    </w:p>
  </w:endnote>
  <w:endnote w:type="continuationSeparator" w:id="0">
    <w:p w:rsidR="00597784" w:rsidRDefault="00597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C2" w:rsidRDefault="00D51B91">
    <w:pPr>
      <w:pStyle w:val="Zpat"/>
      <w:framePr w:wrap="around" w:vAnchor="text" w:hAnchor="margin" w:xAlign="center" w:y="1"/>
      <w:rPr>
        <w:rStyle w:val="slostrnky"/>
      </w:rPr>
    </w:pPr>
    <w:r>
      <w:rPr>
        <w:rStyle w:val="slostrnky"/>
      </w:rPr>
      <w:fldChar w:fldCharType="begin"/>
    </w:r>
    <w:r w:rsidR="002D68C2">
      <w:rPr>
        <w:rStyle w:val="slostrnky"/>
      </w:rPr>
      <w:instrText xml:space="preserve">PAGE  </w:instrText>
    </w:r>
    <w:r>
      <w:rPr>
        <w:rStyle w:val="slostrnky"/>
      </w:rPr>
      <w:fldChar w:fldCharType="end"/>
    </w:r>
  </w:p>
  <w:p w:rsidR="002D68C2" w:rsidRDefault="002D68C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8C2" w:rsidRDefault="002D68C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784" w:rsidRDefault="00597784">
      <w:r>
        <w:separator/>
      </w:r>
    </w:p>
  </w:footnote>
  <w:footnote w:type="continuationSeparator" w:id="0">
    <w:p w:rsidR="00597784" w:rsidRDefault="005977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2A955E31"/>
    <w:multiLevelType w:val="hybridMultilevel"/>
    <w:tmpl w:val="B0B48F6C"/>
    <w:lvl w:ilvl="0" w:tplc="2D4C24D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3BBC6539"/>
    <w:multiLevelType w:val="hybridMultilevel"/>
    <w:tmpl w:val="C952EEA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16B40"/>
    <w:rsid w:val="00056AEA"/>
    <w:rsid w:val="000776C4"/>
    <w:rsid w:val="000870A9"/>
    <w:rsid w:val="000A445F"/>
    <w:rsid w:val="000B29DC"/>
    <w:rsid w:val="000F0BCF"/>
    <w:rsid w:val="00102EA3"/>
    <w:rsid w:val="00124E03"/>
    <w:rsid w:val="001273EB"/>
    <w:rsid w:val="00146531"/>
    <w:rsid w:val="00156ACC"/>
    <w:rsid w:val="00161AF8"/>
    <w:rsid w:val="00173DF8"/>
    <w:rsid w:val="001831FC"/>
    <w:rsid w:val="001E3F71"/>
    <w:rsid w:val="00207EE7"/>
    <w:rsid w:val="002119B0"/>
    <w:rsid w:val="00220F78"/>
    <w:rsid w:val="00227EE9"/>
    <w:rsid w:val="00251511"/>
    <w:rsid w:val="00260A30"/>
    <w:rsid w:val="00275682"/>
    <w:rsid w:val="002A18C5"/>
    <w:rsid w:val="002D54A0"/>
    <w:rsid w:val="002D68C2"/>
    <w:rsid w:val="002F361A"/>
    <w:rsid w:val="00301EB0"/>
    <w:rsid w:val="003134D6"/>
    <w:rsid w:val="00356A96"/>
    <w:rsid w:val="00380298"/>
    <w:rsid w:val="00385AF5"/>
    <w:rsid w:val="003D46D7"/>
    <w:rsid w:val="003D637D"/>
    <w:rsid w:val="003E23C3"/>
    <w:rsid w:val="0044449B"/>
    <w:rsid w:val="0047073F"/>
    <w:rsid w:val="00491676"/>
    <w:rsid w:val="00510BEB"/>
    <w:rsid w:val="005429CC"/>
    <w:rsid w:val="00553429"/>
    <w:rsid w:val="0058277A"/>
    <w:rsid w:val="00597784"/>
    <w:rsid w:val="00597ED0"/>
    <w:rsid w:val="005B02AC"/>
    <w:rsid w:val="005D25C7"/>
    <w:rsid w:val="005E32B7"/>
    <w:rsid w:val="0060339D"/>
    <w:rsid w:val="0060775D"/>
    <w:rsid w:val="006153D1"/>
    <w:rsid w:val="00635FF1"/>
    <w:rsid w:val="006516B1"/>
    <w:rsid w:val="00665719"/>
    <w:rsid w:val="006774C7"/>
    <w:rsid w:val="00680B5C"/>
    <w:rsid w:val="007125EB"/>
    <w:rsid w:val="00756F2E"/>
    <w:rsid w:val="00781C08"/>
    <w:rsid w:val="0078328A"/>
    <w:rsid w:val="0079737D"/>
    <w:rsid w:val="008157B9"/>
    <w:rsid w:val="00825C5E"/>
    <w:rsid w:val="00840684"/>
    <w:rsid w:val="0089028A"/>
    <w:rsid w:val="0089519D"/>
    <w:rsid w:val="008B2893"/>
    <w:rsid w:val="008B4B80"/>
    <w:rsid w:val="008C2337"/>
    <w:rsid w:val="008E74F3"/>
    <w:rsid w:val="008F372A"/>
    <w:rsid w:val="00903132"/>
    <w:rsid w:val="00934C5A"/>
    <w:rsid w:val="00963718"/>
    <w:rsid w:val="00967231"/>
    <w:rsid w:val="00972055"/>
    <w:rsid w:val="00A045AC"/>
    <w:rsid w:val="00A51344"/>
    <w:rsid w:val="00A653C7"/>
    <w:rsid w:val="00A91E70"/>
    <w:rsid w:val="00A94D25"/>
    <w:rsid w:val="00A9531B"/>
    <w:rsid w:val="00AA4799"/>
    <w:rsid w:val="00AC29EE"/>
    <w:rsid w:val="00AC2C7E"/>
    <w:rsid w:val="00AC431B"/>
    <w:rsid w:val="00AC6CAB"/>
    <w:rsid w:val="00AE05D7"/>
    <w:rsid w:val="00AF155B"/>
    <w:rsid w:val="00B13A34"/>
    <w:rsid w:val="00B16B40"/>
    <w:rsid w:val="00B4200B"/>
    <w:rsid w:val="00B50FE0"/>
    <w:rsid w:val="00B55DEA"/>
    <w:rsid w:val="00B67D12"/>
    <w:rsid w:val="00B83D05"/>
    <w:rsid w:val="00BA08C2"/>
    <w:rsid w:val="00BC0966"/>
    <w:rsid w:val="00BC17A7"/>
    <w:rsid w:val="00BE1C54"/>
    <w:rsid w:val="00BF074F"/>
    <w:rsid w:val="00C42557"/>
    <w:rsid w:val="00C44483"/>
    <w:rsid w:val="00C550EE"/>
    <w:rsid w:val="00C55B0F"/>
    <w:rsid w:val="00C65C6B"/>
    <w:rsid w:val="00CA5448"/>
    <w:rsid w:val="00CC58E9"/>
    <w:rsid w:val="00CD0351"/>
    <w:rsid w:val="00CE49A1"/>
    <w:rsid w:val="00D51A55"/>
    <w:rsid w:val="00D51B91"/>
    <w:rsid w:val="00D57E7E"/>
    <w:rsid w:val="00D95104"/>
    <w:rsid w:val="00E0772B"/>
    <w:rsid w:val="00E104C5"/>
    <w:rsid w:val="00E74D2A"/>
    <w:rsid w:val="00EA2CE5"/>
    <w:rsid w:val="00EA3AB6"/>
    <w:rsid w:val="00EB72C8"/>
    <w:rsid w:val="00F0168E"/>
    <w:rsid w:val="00F2020E"/>
    <w:rsid w:val="00F2729C"/>
    <w:rsid w:val="00FA5531"/>
    <w:rsid w:val="00FB47C0"/>
    <w:rsid w:val="00FC03D0"/>
    <w:rsid w:val="00FE0667"/>
    <w:rsid w:val="00FE2DED"/>
    <w:rsid w:val="00FE604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0F78"/>
    <w:pPr>
      <w:jc w:val="both"/>
    </w:pPr>
    <w:rPr>
      <w:rFonts w:ascii="Arial" w:hAnsi="Arial"/>
      <w:szCs w:val="24"/>
    </w:rPr>
  </w:style>
  <w:style w:type="paragraph" w:styleId="Nadpis1">
    <w:name w:val="heading 1"/>
    <w:basedOn w:val="Normln"/>
    <w:next w:val="Normln"/>
    <w:qFormat/>
    <w:rsid w:val="00220F78"/>
    <w:pPr>
      <w:keepNext/>
      <w:spacing w:before="240" w:after="240"/>
      <w:outlineLvl w:val="0"/>
    </w:pPr>
    <w:rPr>
      <w:rFonts w:cs="Arial"/>
      <w:b/>
      <w:bCs/>
      <w:kern w:val="32"/>
      <w:sz w:val="24"/>
      <w:szCs w:val="32"/>
    </w:rPr>
  </w:style>
  <w:style w:type="paragraph" w:styleId="Nadpis2">
    <w:name w:val="heading 2"/>
    <w:basedOn w:val="Normln"/>
    <w:next w:val="Normln"/>
    <w:qFormat/>
    <w:rsid w:val="00220F78"/>
    <w:pPr>
      <w:keepNext/>
      <w:spacing w:before="240" w:after="240"/>
      <w:outlineLvl w:val="1"/>
    </w:pPr>
    <w:rPr>
      <w:rFonts w:cs="Arial"/>
      <w:b/>
      <w:bCs/>
      <w:iCs/>
      <w:szCs w:val="28"/>
    </w:rPr>
  </w:style>
  <w:style w:type="paragraph" w:styleId="Nadpis3">
    <w:name w:val="heading 3"/>
    <w:basedOn w:val="Normln"/>
    <w:next w:val="Normln"/>
    <w:qFormat/>
    <w:rsid w:val="00220F78"/>
    <w:pPr>
      <w:keepNext/>
      <w:spacing w:before="240" w:after="60"/>
      <w:outlineLvl w:val="2"/>
    </w:pPr>
    <w:rPr>
      <w:rFonts w:cs="Arial"/>
      <w:b/>
      <w:bCs/>
      <w:szCs w:val="26"/>
    </w:rPr>
  </w:style>
  <w:style w:type="paragraph" w:styleId="Nadpis4">
    <w:name w:val="heading 4"/>
    <w:basedOn w:val="Normln"/>
    <w:next w:val="Normln"/>
    <w:qFormat/>
    <w:rsid w:val="00220F78"/>
    <w:pPr>
      <w:keepNext/>
      <w:outlineLvl w:val="3"/>
    </w:pPr>
    <w:rPr>
      <w:rFonts w:ascii="Times New Roman" w:hAnsi="Times New Roman"/>
      <w:b/>
      <w:bCs/>
      <w:color w:val="FF0000"/>
      <w:szCs w:val="20"/>
    </w:rPr>
  </w:style>
  <w:style w:type="paragraph" w:styleId="Nadpis5">
    <w:name w:val="heading 5"/>
    <w:basedOn w:val="Normln"/>
    <w:next w:val="Normln"/>
    <w:qFormat/>
    <w:rsid w:val="00220F78"/>
    <w:pPr>
      <w:keepNext/>
      <w:outlineLvl w:val="4"/>
    </w:pPr>
    <w:rPr>
      <w:rFonts w:cs="Arial"/>
      <w:b/>
      <w:bCs/>
      <w:color w:val="00000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220F78"/>
    <w:pPr>
      <w:spacing w:before="240" w:after="240"/>
      <w:jc w:val="center"/>
      <w:outlineLvl w:val="0"/>
    </w:pPr>
    <w:rPr>
      <w:rFonts w:cs="Arial"/>
      <w:b/>
      <w:bCs/>
      <w:kern w:val="28"/>
      <w:sz w:val="28"/>
      <w:szCs w:val="32"/>
    </w:rPr>
  </w:style>
  <w:style w:type="paragraph" w:customStyle="1" w:styleId="normalnsodrkami">
    <w:name w:val="normalní s odrážkami"/>
    <w:basedOn w:val="Normln"/>
    <w:rsid w:val="00220F78"/>
    <w:pPr>
      <w:numPr>
        <w:numId w:val="3"/>
      </w:numPr>
    </w:pPr>
  </w:style>
  <w:style w:type="paragraph" w:styleId="Zpat">
    <w:name w:val="footer"/>
    <w:basedOn w:val="Normln"/>
    <w:semiHidden/>
    <w:rsid w:val="00220F78"/>
    <w:pPr>
      <w:tabs>
        <w:tab w:val="center" w:pos="4536"/>
        <w:tab w:val="right" w:pos="9072"/>
      </w:tabs>
    </w:pPr>
  </w:style>
  <w:style w:type="character" w:styleId="slostrnky">
    <w:name w:val="page number"/>
    <w:basedOn w:val="Standardnpsmoodstavce"/>
    <w:semiHidden/>
    <w:rsid w:val="00220F78"/>
  </w:style>
  <w:style w:type="paragraph" w:customStyle="1" w:styleId="Default">
    <w:name w:val="Default"/>
    <w:rsid w:val="00220F78"/>
    <w:pPr>
      <w:autoSpaceDE w:val="0"/>
      <w:autoSpaceDN w:val="0"/>
      <w:adjustRightInd w:val="0"/>
    </w:pPr>
    <w:rPr>
      <w:color w:val="000000"/>
      <w:sz w:val="24"/>
      <w:szCs w:val="24"/>
    </w:rPr>
  </w:style>
  <w:style w:type="paragraph" w:styleId="Zkladntextodsazen">
    <w:name w:val="Body Text Indent"/>
    <w:basedOn w:val="Normln"/>
    <w:semiHidden/>
    <w:rsid w:val="00220F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284" w:hanging="284"/>
    </w:pPr>
  </w:style>
  <w:style w:type="paragraph" w:styleId="Zkladntextodsazen2">
    <w:name w:val="Body Text Indent 2"/>
    <w:basedOn w:val="Normln"/>
    <w:semiHidden/>
    <w:rsid w:val="00220F7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936" w:firstLine="709"/>
    </w:pPr>
  </w:style>
  <w:style w:type="paragraph" w:customStyle="1" w:styleId="Rnadpis">
    <w:name w:val="R nadpis"/>
    <w:basedOn w:val="Rbntext"/>
    <w:next w:val="Rbntext"/>
    <w:rsid w:val="00220F78"/>
    <w:pPr>
      <w:spacing w:before="0"/>
      <w:jc w:val="center"/>
    </w:pPr>
    <w:rPr>
      <w:b/>
      <w:caps/>
      <w:sz w:val="24"/>
    </w:rPr>
  </w:style>
  <w:style w:type="paragraph" w:customStyle="1" w:styleId="Rbntext">
    <w:name w:val="R běžný text"/>
    <w:rsid w:val="00220F78"/>
    <w:pPr>
      <w:spacing w:before="120"/>
      <w:jc w:val="both"/>
    </w:pPr>
    <w:rPr>
      <w:rFonts w:ascii="Arial" w:hAnsi="Arial"/>
    </w:rPr>
  </w:style>
  <w:style w:type="paragraph" w:styleId="Zkladntext">
    <w:name w:val="Body Text"/>
    <w:basedOn w:val="Normln"/>
    <w:semiHidden/>
    <w:rsid w:val="00220F78"/>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pPr>
    <w:rPr>
      <w:rFonts w:cs="Arial"/>
      <w:b/>
      <w:bCs/>
    </w:rPr>
  </w:style>
  <w:style w:type="paragraph" w:styleId="Normlnweb">
    <w:name w:val="Normal (Web)"/>
    <w:basedOn w:val="Normln"/>
    <w:uiPriority w:val="99"/>
    <w:semiHidden/>
    <w:unhideWhenUsed/>
    <w:rsid w:val="003D46D7"/>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683459">
      <w:bodyDiv w:val="1"/>
      <w:marLeft w:val="0"/>
      <w:marRight w:val="0"/>
      <w:marTop w:val="0"/>
      <w:marBottom w:val="0"/>
      <w:divBdr>
        <w:top w:val="none" w:sz="0" w:space="0" w:color="auto"/>
        <w:left w:val="none" w:sz="0" w:space="0" w:color="auto"/>
        <w:bottom w:val="none" w:sz="0" w:space="0" w:color="auto"/>
        <w:right w:val="none" w:sz="0" w:space="0" w:color="auto"/>
      </w:divBdr>
    </w:div>
    <w:div w:id="1261916582">
      <w:bodyDiv w:val="1"/>
      <w:marLeft w:val="0"/>
      <w:marRight w:val="0"/>
      <w:marTop w:val="0"/>
      <w:marBottom w:val="0"/>
      <w:divBdr>
        <w:top w:val="none" w:sz="0" w:space="0" w:color="auto"/>
        <w:left w:val="none" w:sz="0" w:space="0" w:color="auto"/>
        <w:bottom w:val="none" w:sz="0" w:space="0" w:color="auto"/>
        <w:right w:val="none" w:sz="0" w:space="0" w:color="auto"/>
      </w:divBdr>
    </w:div>
    <w:div w:id="1702902826">
      <w:bodyDiv w:val="1"/>
      <w:marLeft w:val="0"/>
      <w:marRight w:val="0"/>
      <w:marTop w:val="0"/>
      <w:marBottom w:val="0"/>
      <w:divBdr>
        <w:top w:val="none" w:sz="0" w:space="0" w:color="auto"/>
        <w:left w:val="none" w:sz="0" w:space="0" w:color="auto"/>
        <w:bottom w:val="none" w:sz="0" w:space="0" w:color="auto"/>
        <w:right w:val="none" w:sz="0" w:space="0" w:color="auto"/>
      </w:divBdr>
    </w:div>
    <w:div w:id="2058820318">
      <w:bodyDiv w:val="1"/>
      <w:marLeft w:val="0"/>
      <w:marRight w:val="0"/>
      <w:marTop w:val="0"/>
      <w:marBottom w:val="0"/>
      <w:divBdr>
        <w:top w:val="none" w:sz="0" w:space="0" w:color="auto"/>
        <w:left w:val="none" w:sz="0" w:space="0" w:color="auto"/>
        <w:bottom w:val="none" w:sz="0" w:space="0" w:color="auto"/>
        <w:right w:val="none" w:sz="0" w:space="0" w:color="auto"/>
      </w:divBdr>
    </w:div>
    <w:div w:id="208923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1906</Words>
  <Characters>11247</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Metodické poznámky</vt:lpstr>
    </vt:vector>
  </TitlesOfParts>
  <Company>CSU</Company>
  <LinksUpToDate>false</LinksUpToDate>
  <CharactersWithSpaces>13127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Metodické poznámky</dc:title>
  <dc:creator>Dohnal1452</dc:creator>
  <cp:lastModifiedBy>operator</cp:lastModifiedBy>
  <cp:revision>3</cp:revision>
  <cp:lastPrinted>2013-02-14T13:49:00Z</cp:lastPrinted>
  <dcterms:created xsi:type="dcterms:W3CDTF">2014-02-17T16:59:00Z</dcterms:created>
  <dcterms:modified xsi:type="dcterms:W3CDTF">2014-02-17T16:59:00Z</dcterms:modified>
</cp:coreProperties>
</file>