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6F" w:rsidRDefault="00CB206F" w:rsidP="00C54EC5">
      <w:pPr>
        <w:pStyle w:val="Nadpis3"/>
        <w:ind w:left="708" w:right="-449"/>
        <w:rPr>
          <w:rFonts w:ascii="Times New Roman" w:hAnsi="Times New Roman"/>
          <w:b w:val="0"/>
          <w:smallCaps w:val="0"/>
          <w:sz w:val="20"/>
        </w:rPr>
      </w:pPr>
    </w:p>
    <w:p w:rsidR="00C54EC5" w:rsidRPr="00C54EC5" w:rsidRDefault="00C54EC5" w:rsidP="00C54EC5"/>
    <w:p w:rsidR="00DD5DD3" w:rsidRDefault="00DD5DD3" w:rsidP="00CB206F">
      <w:pPr>
        <w:pStyle w:val="Nadpis3"/>
        <w:ind w:left="708"/>
        <w:rPr>
          <w:rFonts w:cs="Arial"/>
          <w:szCs w:val="24"/>
        </w:rPr>
      </w:pPr>
    </w:p>
    <w:p w:rsidR="00CB206F" w:rsidRPr="006B5116" w:rsidRDefault="00CB206F" w:rsidP="00CB206F">
      <w:pPr>
        <w:pStyle w:val="Nadpis3"/>
        <w:ind w:left="708"/>
        <w:rPr>
          <w:rFonts w:cs="Arial"/>
          <w:sz w:val="20"/>
        </w:rPr>
      </w:pPr>
      <w:r w:rsidRPr="006B5116">
        <w:rPr>
          <w:rFonts w:cs="Arial"/>
          <w:sz w:val="20"/>
        </w:rPr>
        <w:t>PRACOVNÍ NESCHOPNOST PRO NEMOC A ÚRAZ V </w:t>
      </w:r>
      <w:r w:rsidRPr="006B5116">
        <w:rPr>
          <w:rFonts w:cs="Arial"/>
          <w:sz w:val="20"/>
          <w:lang w:val="cs-CZ"/>
        </w:rPr>
        <w:t>ROCE ZA 1. POLOLETÍ 2014</w:t>
      </w:r>
    </w:p>
    <w:p w:rsidR="00CB206F" w:rsidRDefault="00CB206F" w:rsidP="00CB206F">
      <w:pPr>
        <w:ind w:firstLine="708"/>
        <w:jc w:val="both"/>
        <w:rPr>
          <w:rFonts w:ascii="Arial" w:hAnsi="Arial" w:cs="Arial"/>
        </w:rPr>
      </w:pPr>
    </w:p>
    <w:p w:rsidR="00CB206F" w:rsidRPr="00196A4D" w:rsidRDefault="00CB206F" w:rsidP="00CB206F">
      <w:pPr>
        <w:ind w:firstLine="708"/>
        <w:jc w:val="both"/>
        <w:rPr>
          <w:rFonts w:ascii="Arial" w:hAnsi="Arial" w:cs="Arial"/>
        </w:rPr>
      </w:pPr>
    </w:p>
    <w:p w:rsidR="00CB206F" w:rsidRDefault="00CB206F" w:rsidP="00CB206F">
      <w:pPr>
        <w:jc w:val="both"/>
        <w:rPr>
          <w:rFonts w:ascii="Arial" w:hAnsi="Arial" w:cs="Arial"/>
        </w:rPr>
      </w:pPr>
    </w:p>
    <w:p w:rsidR="0031527F" w:rsidRDefault="0031527F" w:rsidP="00CB206F">
      <w:pPr>
        <w:jc w:val="both"/>
        <w:rPr>
          <w:rFonts w:ascii="Arial" w:hAnsi="Arial" w:cs="Arial"/>
        </w:rPr>
      </w:pPr>
    </w:p>
    <w:p w:rsidR="00CB206F" w:rsidRDefault="00CB206F" w:rsidP="00CB206F">
      <w:pPr>
        <w:jc w:val="both"/>
        <w:rPr>
          <w:rFonts w:ascii="Arial" w:hAnsi="Arial" w:cs="Arial"/>
        </w:rPr>
      </w:pPr>
      <w:r w:rsidRPr="00196A4D">
        <w:rPr>
          <w:rFonts w:ascii="Arial" w:hAnsi="Arial" w:cs="Arial"/>
        </w:rPr>
        <w:t xml:space="preserve">Do vývoje dočasné pracovní neschopnosti pro nemoc a úraz v České republice v 1. pololetí 2014 se výrazně promítly právní úpravy nemocenského pojištění platné od 1. 1. </w:t>
      </w:r>
      <w:smartTag w:uri="urn:schemas-microsoft-com:office:smarttags" w:element="metricconverter">
        <w:smartTagPr>
          <w:attr w:name="ProductID" w:val="2011 a"/>
        </w:smartTagPr>
        <w:r w:rsidRPr="00196A4D">
          <w:rPr>
            <w:rFonts w:ascii="Arial" w:hAnsi="Arial" w:cs="Arial"/>
          </w:rPr>
          <w:t>2011 a</w:t>
        </w:r>
      </w:smartTag>
      <w:r w:rsidRPr="00196A4D">
        <w:rPr>
          <w:rFonts w:ascii="Arial" w:hAnsi="Arial" w:cs="Arial"/>
        </w:rPr>
        <w:t xml:space="preserve"> od 1. 1. 2012, </w:t>
      </w:r>
      <w:r>
        <w:rPr>
          <w:rFonts w:ascii="Arial" w:hAnsi="Arial" w:cs="Arial"/>
        </w:rPr>
        <w:t xml:space="preserve">platné i v roce 2013. </w:t>
      </w:r>
      <w:r w:rsidRPr="00196A4D">
        <w:rPr>
          <w:rFonts w:ascii="Arial" w:hAnsi="Arial" w:cs="Arial"/>
        </w:rPr>
        <w:t>Nejvíce vývoj dočasné pracovní neschopnosti pro nemoc a úraz ovlivnily úpravy ve stanovení výše dávek nemocenského pojištění.</w:t>
      </w:r>
      <w:r>
        <w:rPr>
          <w:rFonts w:ascii="Arial" w:hAnsi="Arial" w:cs="Arial"/>
        </w:rPr>
        <w:t xml:space="preserve">  </w:t>
      </w:r>
    </w:p>
    <w:p w:rsidR="00CB206F" w:rsidRPr="00A84427" w:rsidRDefault="00CB206F" w:rsidP="00CB206F">
      <w:pPr>
        <w:pStyle w:val="Normlnweb"/>
        <w:jc w:val="both"/>
        <w:rPr>
          <w:rFonts w:ascii="Arial" w:hAnsi="Arial" w:cs="Arial"/>
          <w:sz w:val="20"/>
          <w:szCs w:val="20"/>
        </w:rPr>
      </w:pPr>
      <w:r w:rsidRPr="00A84427">
        <w:rPr>
          <w:rFonts w:ascii="Arial" w:hAnsi="Arial" w:cs="Arial"/>
          <w:sz w:val="20"/>
          <w:szCs w:val="20"/>
        </w:rPr>
        <w:t xml:space="preserve">Od 1. ledna 2009 je nemocenské pojištění upraveno </w:t>
      </w:r>
      <w:r w:rsidRPr="00A84427">
        <w:rPr>
          <w:rFonts w:ascii="Arial" w:hAnsi="Arial" w:cs="Arial"/>
          <w:b/>
          <w:sz w:val="20"/>
          <w:szCs w:val="20"/>
        </w:rPr>
        <w:t xml:space="preserve">zákonem č. 187/2006 Sb., o nemocenském pojištění, ve znění pozdějších předpisů. </w:t>
      </w:r>
      <w:r w:rsidRPr="00A84427">
        <w:rPr>
          <w:rFonts w:ascii="Arial" w:hAnsi="Arial" w:cs="Arial"/>
          <w:sz w:val="20"/>
          <w:szCs w:val="20"/>
        </w:rPr>
        <w:t>Jde o komplexní úpravu nemocenského pojištění, která zahrnuje jak okruh osob účastných nemocenského pojištění (tj. zaměstnanců, příslušníků ozbrojených sil a bezpečnostních sborů i osob samostatně výdělečně činných), jejich nároky z tohoto pojištění a stanovení výše poskytovaných dávek, posuzování zdravotního stavu pro účely nemocenského pojištění, tak organizační uspořádání nemocenského pojištění, jakož i řízení v tomto pojištění.</w:t>
      </w:r>
      <w:r>
        <w:rPr>
          <w:rFonts w:ascii="Arial" w:hAnsi="Arial" w:cs="Arial"/>
          <w:sz w:val="20"/>
          <w:szCs w:val="20"/>
        </w:rPr>
        <w:t xml:space="preserve"> </w:t>
      </w:r>
      <w:r w:rsidRPr="00A84427">
        <w:rPr>
          <w:rFonts w:ascii="Arial" w:hAnsi="Arial" w:cs="Arial"/>
          <w:b/>
          <w:sz w:val="20"/>
          <w:szCs w:val="20"/>
        </w:rPr>
        <w:t>Pojistné na nemocenské pojištění je upraveno zákonem č. 589/1992 Sb.,</w:t>
      </w:r>
      <w:r w:rsidRPr="00A84427">
        <w:rPr>
          <w:rFonts w:ascii="Arial" w:hAnsi="Arial" w:cs="Arial"/>
          <w:sz w:val="20"/>
          <w:szCs w:val="20"/>
        </w:rPr>
        <w:t xml:space="preserve"> o pojistném na sociální zabezpečení a příspěvku na státní politiku zaměstnanosti, ve znění pozdějších předpisů.</w:t>
      </w:r>
    </w:p>
    <w:p w:rsidR="00CB206F" w:rsidRPr="00830B90" w:rsidRDefault="00CB206F" w:rsidP="00CB206F">
      <w:pPr>
        <w:jc w:val="both"/>
        <w:rPr>
          <w:rFonts w:ascii="Arial" w:hAnsi="Arial" w:cs="Arial"/>
        </w:rPr>
      </w:pPr>
      <w:r w:rsidRPr="00830B90">
        <w:rPr>
          <w:rFonts w:ascii="Arial" w:hAnsi="Arial" w:cs="Arial"/>
        </w:rPr>
        <w:t>Od 1. 1. 2014 končí dočasné opatření v oblasti nemocenského pojištění, kdy v letech 2011 – 2013 poskytoval zaměstnavatel po dobu prvních 21 dní dočasné pracovní neschopnosti náhradu mzdy a OSSZ vyplácely nemocenské až od 22. kalendářního dne trvání dočasné pracovní neschopnosti. Zaměstnanci, který bude uznán dočasně pracovně neschopným v době od 1. 1. 2014, budou zaměstnavatelé vyplácet náhradu mzdy za období prvních 14 dnů trvání pracovní neschopnosti a od 15. kalendářního dne nemocenské bude vyplácet OSSZ. Zvyšují se redukční hranice pro výpočet denního vyměřovacího základu pro určení výše dávek nemocenského pojištění.</w:t>
      </w:r>
    </w:p>
    <w:p w:rsidR="00CB206F" w:rsidRPr="00B866BA" w:rsidRDefault="00CB206F" w:rsidP="00CB206F">
      <w:pPr>
        <w:jc w:val="both"/>
        <w:rPr>
          <w:rFonts w:ascii="Arial" w:hAnsi="Arial" w:cs="Arial"/>
        </w:rPr>
      </w:pPr>
    </w:p>
    <w:p w:rsidR="00CB206F" w:rsidRDefault="00CB206F" w:rsidP="00CB206F">
      <w:pPr>
        <w:jc w:val="both"/>
        <w:rPr>
          <w:rFonts w:ascii="Arial" w:hAnsi="Arial" w:cs="Arial"/>
          <w:b/>
        </w:rPr>
      </w:pPr>
      <w:r w:rsidRPr="000054C4">
        <w:rPr>
          <w:rFonts w:ascii="Arial" w:hAnsi="Arial" w:cs="Arial"/>
          <w:b/>
        </w:rPr>
        <w:t xml:space="preserve">Uvádíme základní ukazatele statistiky dočasné pracovní neschopnosti pro nemoc a úraz v ČR za </w:t>
      </w:r>
      <w:r>
        <w:rPr>
          <w:rFonts w:ascii="Arial" w:hAnsi="Arial" w:cs="Arial"/>
          <w:b/>
        </w:rPr>
        <w:t xml:space="preserve">1. pololetí  </w:t>
      </w:r>
      <w:r w:rsidRPr="000054C4">
        <w:rPr>
          <w:rFonts w:ascii="Arial" w:hAnsi="Arial" w:cs="Arial"/>
          <w:b/>
        </w:rPr>
        <w:t>201</w:t>
      </w:r>
      <w:r>
        <w:rPr>
          <w:rFonts w:ascii="Arial" w:hAnsi="Arial" w:cs="Arial"/>
          <w:b/>
        </w:rPr>
        <w:t>4</w:t>
      </w:r>
      <w:r w:rsidRPr="000054C4">
        <w:rPr>
          <w:rFonts w:ascii="Arial" w:hAnsi="Arial" w:cs="Arial"/>
          <w:b/>
        </w:rPr>
        <w:t xml:space="preserve"> zpracované z dat administrativního zdroje Informačního systému ČSSZ</w:t>
      </w:r>
      <w:r w:rsidRPr="00365645">
        <w:rPr>
          <w:rFonts w:ascii="Arial" w:hAnsi="Arial" w:cs="Arial"/>
          <w:b/>
        </w:rPr>
        <w:t>:</w:t>
      </w:r>
    </w:p>
    <w:p w:rsidR="00CB206F" w:rsidRPr="006A15AA" w:rsidRDefault="00CB206F" w:rsidP="00CB206F">
      <w:pPr>
        <w:ind w:firstLine="708"/>
        <w:jc w:val="both"/>
        <w:rPr>
          <w:rFonts w:ascii="Arial" w:hAnsi="Arial" w:cs="Arial"/>
          <w:b/>
        </w:rPr>
      </w:pPr>
    </w:p>
    <w:p w:rsidR="00CB206F" w:rsidRDefault="00CB206F" w:rsidP="00CB206F">
      <w:pPr>
        <w:jc w:val="both"/>
        <w:rPr>
          <w:rFonts w:ascii="Arial" w:hAnsi="Arial" w:cs="Arial"/>
        </w:rPr>
      </w:pPr>
      <w:r w:rsidRPr="006A15AA">
        <w:rPr>
          <w:rFonts w:ascii="Arial" w:hAnsi="Arial" w:cs="Arial"/>
          <w:b/>
        </w:rPr>
        <w:t xml:space="preserve">Průměrný počet </w:t>
      </w:r>
      <w:proofErr w:type="spellStart"/>
      <w:r w:rsidRPr="006A15AA">
        <w:rPr>
          <w:rFonts w:ascii="Arial" w:hAnsi="Arial" w:cs="Arial"/>
          <w:b/>
        </w:rPr>
        <w:t>nemocensky</w:t>
      </w:r>
      <w:proofErr w:type="spellEnd"/>
      <w:r w:rsidRPr="006A15AA">
        <w:rPr>
          <w:rFonts w:ascii="Arial" w:hAnsi="Arial" w:cs="Arial"/>
          <w:b/>
        </w:rPr>
        <w:t xml:space="preserve"> pojištěných</w:t>
      </w:r>
      <w:r>
        <w:rPr>
          <w:rFonts w:ascii="Arial" w:hAnsi="Arial" w:cs="Arial"/>
        </w:rPr>
        <w:t xml:space="preserve"> v 1. pololetí 2014 činil </w:t>
      </w:r>
      <w:r w:rsidRPr="00095218">
        <w:rPr>
          <w:rFonts w:ascii="Arial" w:hAnsi="Arial" w:cs="Arial"/>
        </w:rPr>
        <w:t>4 413,5</w:t>
      </w:r>
      <w:r>
        <w:rPr>
          <w:rFonts w:ascii="Arial" w:hAnsi="Arial" w:cs="Arial"/>
        </w:rPr>
        <w:t xml:space="preserve"> tis. osob, což je o 1,9 tis. osob méně než v 1. pololetí 2013 ( 4 415,4 tis. osob)</w:t>
      </w:r>
    </w:p>
    <w:p w:rsidR="00CB206F" w:rsidRDefault="00CB206F" w:rsidP="00CB206F">
      <w:pPr>
        <w:ind w:firstLine="708"/>
        <w:jc w:val="both"/>
        <w:rPr>
          <w:rFonts w:ascii="Arial" w:hAnsi="Arial" w:cs="Arial"/>
        </w:rPr>
      </w:pPr>
    </w:p>
    <w:p w:rsidR="00CB206F" w:rsidRDefault="00CB206F" w:rsidP="00CB206F">
      <w:pPr>
        <w:jc w:val="both"/>
        <w:rPr>
          <w:rFonts w:ascii="Arial" w:hAnsi="Arial" w:cs="Arial"/>
        </w:rPr>
      </w:pPr>
      <w:r w:rsidRPr="006F0750">
        <w:rPr>
          <w:rFonts w:ascii="Arial" w:hAnsi="Arial" w:cs="Arial"/>
          <w:b/>
        </w:rPr>
        <w:t xml:space="preserve">Počet nově hlášených případů pracovní neschopnosti </w:t>
      </w:r>
      <w:r>
        <w:rPr>
          <w:rFonts w:ascii="Arial" w:hAnsi="Arial" w:cs="Arial"/>
          <w:b/>
        </w:rPr>
        <w:t xml:space="preserve">celkem </w:t>
      </w:r>
      <w:r w:rsidRPr="006F0750">
        <w:rPr>
          <w:rFonts w:ascii="Arial" w:hAnsi="Arial" w:cs="Arial"/>
        </w:rPr>
        <w:t>se meziročně</w:t>
      </w:r>
      <w:r>
        <w:rPr>
          <w:rFonts w:ascii="Arial" w:hAnsi="Arial" w:cs="Arial"/>
        </w:rPr>
        <w:t xml:space="preserve"> snížil</w:t>
      </w:r>
      <w:r>
        <w:rPr>
          <w:rFonts w:ascii="Arial" w:hAnsi="Arial" w:cs="Arial"/>
          <w:b/>
        </w:rPr>
        <w:t xml:space="preserve"> </w:t>
      </w:r>
      <w:r w:rsidRPr="001678C7">
        <w:rPr>
          <w:rFonts w:ascii="Arial" w:hAnsi="Arial" w:cs="Arial"/>
        </w:rPr>
        <w:t>754,6</w:t>
      </w:r>
      <w:r>
        <w:rPr>
          <w:rFonts w:ascii="Arial" w:hAnsi="Arial" w:cs="Arial"/>
          <w:b/>
        </w:rPr>
        <w:t xml:space="preserve"> </w:t>
      </w:r>
      <w:r>
        <w:rPr>
          <w:rFonts w:ascii="Arial" w:hAnsi="Arial" w:cs="Arial"/>
        </w:rPr>
        <w:t>tis. případů v 1. pololetí 2013 na 664,1 tis. případů v 1. pololetí 2014. V tomto počtu bylo zahrnuto 579,3 tis. případů pracovní neschopnosti pro nemoc, 22,2</w:t>
      </w:r>
      <w:r w:rsidRPr="00D518EA">
        <w:rPr>
          <w:rFonts w:ascii="Arial" w:hAnsi="Arial" w:cs="Arial"/>
        </w:rPr>
        <w:t xml:space="preserve"> </w:t>
      </w:r>
      <w:r>
        <w:rPr>
          <w:rFonts w:ascii="Arial" w:hAnsi="Arial" w:cs="Arial"/>
        </w:rPr>
        <w:t xml:space="preserve">tis. </w:t>
      </w:r>
      <w:r w:rsidRPr="00D518EA">
        <w:rPr>
          <w:rFonts w:ascii="Arial" w:hAnsi="Arial" w:cs="Arial"/>
        </w:rPr>
        <w:t>případů pro pracovní úraz</w:t>
      </w:r>
      <w:r>
        <w:rPr>
          <w:rFonts w:ascii="Arial" w:hAnsi="Arial" w:cs="Arial"/>
        </w:rPr>
        <w:t xml:space="preserve"> a 62,6 tis. případů ostatních úrazů.</w:t>
      </w:r>
    </w:p>
    <w:p w:rsidR="00CB206F" w:rsidRDefault="00CB206F" w:rsidP="00CB206F">
      <w:pPr>
        <w:ind w:firstLine="708"/>
        <w:jc w:val="both"/>
        <w:rPr>
          <w:rFonts w:ascii="Arial" w:hAnsi="Arial" w:cs="Arial"/>
        </w:rPr>
      </w:pPr>
    </w:p>
    <w:p w:rsidR="00CB206F" w:rsidRDefault="00CB206F" w:rsidP="00CB206F">
      <w:pPr>
        <w:autoSpaceDE w:val="0"/>
        <w:autoSpaceDN w:val="0"/>
        <w:adjustRightInd w:val="0"/>
        <w:jc w:val="both"/>
        <w:rPr>
          <w:rFonts w:ascii="Arial" w:hAnsi="Arial" w:cs="Arial"/>
        </w:rPr>
      </w:pPr>
      <w:r w:rsidRPr="003D2D94">
        <w:rPr>
          <w:rFonts w:ascii="Arial" w:hAnsi="Arial" w:cs="Arial"/>
          <w:b/>
        </w:rPr>
        <w:t xml:space="preserve">Počet nově hlášených případů pracovní neschopnosti na 100 pojištěnců </w:t>
      </w:r>
      <w:r w:rsidRPr="00B20BF6">
        <w:rPr>
          <w:rFonts w:ascii="Arial" w:hAnsi="Arial" w:cs="Arial"/>
        </w:rPr>
        <w:t xml:space="preserve">meziročně </w:t>
      </w:r>
      <w:r>
        <w:rPr>
          <w:rFonts w:ascii="Arial" w:hAnsi="Arial" w:cs="Arial"/>
        </w:rPr>
        <w:t xml:space="preserve">poklesl z 17,09 případů v 1. pololetí 2013 na 15,05 případů v 1. pololetí 2014. </w:t>
      </w:r>
      <w:r w:rsidRPr="004B3901">
        <w:rPr>
          <w:rFonts w:ascii="Arial" w:hAnsi="Arial" w:cs="Arial"/>
        </w:rPr>
        <w:t>Nejvíce případů pracovní neschopnosti na 100 pojištěnců</w:t>
      </w:r>
      <w:r>
        <w:rPr>
          <w:rFonts w:ascii="Arial" w:hAnsi="Arial" w:cs="Arial"/>
        </w:rPr>
        <w:t xml:space="preserve"> </w:t>
      </w:r>
      <w:r w:rsidRPr="004B3901">
        <w:rPr>
          <w:rFonts w:ascii="Arial" w:hAnsi="Arial" w:cs="Arial"/>
        </w:rPr>
        <w:t>v</w:t>
      </w:r>
      <w:r w:rsidR="005A3987">
        <w:rPr>
          <w:rFonts w:ascii="Arial" w:hAnsi="Arial" w:cs="Arial"/>
        </w:rPr>
        <w:t> </w:t>
      </w:r>
      <w:r>
        <w:rPr>
          <w:rFonts w:ascii="Arial" w:hAnsi="Arial" w:cs="Arial"/>
        </w:rPr>
        <w:t>1</w:t>
      </w:r>
      <w:r w:rsidR="005A3987">
        <w:rPr>
          <w:rFonts w:ascii="Arial" w:hAnsi="Arial" w:cs="Arial"/>
        </w:rPr>
        <w:t>.</w:t>
      </w:r>
      <w:r>
        <w:rPr>
          <w:rFonts w:ascii="Arial" w:hAnsi="Arial" w:cs="Arial"/>
        </w:rPr>
        <w:t xml:space="preserve"> polovině 2014 bylo hlášeno </w:t>
      </w:r>
      <w:r w:rsidRPr="004B3901">
        <w:rPr>
          <w:rFonts w:ascii="Arial" w:hAnsi="Arial" w:cs="Arial"/>
        </w:rPr>
        <w:t>v</w:t>
      </w:r>
      <w:r>
        <w:rPr>
          <w:rFonts w:ascii="Arial" w:hAnsi="Arial" w:cs="Arial"/>
        </w:rPr>
        <w:t xml:space="preserve"> Plzeňském kraji </w:t>
      </w:r>
      <w:r w:rsidRPr="004B3901">
        <w:rPr>
          <w:rFonts w:ascii="Arial" w:hAnsi="Arial" w:cs="Arial"/>
        </w:rPr>
        <w:t>(</w:t>
      </w:r>
      <w:r>
        <w:rPr>
          <w:rFonts w:ascii="Arial" w:hAnsi="Arial" w:cs="Arial"/>
        </w:rPr>
        <w:t>18,20</w:t>
      </w:r>
      <w:r w:rsidRPr="004B3901">
        <w:rPr>
          <w:rFonts w:ascii="Arial" w:hAnsi="Arial" w:cs="Arial"/>
        </w:rPr>
        <w:t>), dále v</w:t>
      </w:r>
      <w:r>
        <w:rPr>
          <w:rFonts w:ascii="Arial" w:hAnsi="Arial" w:cs="Arial"/>
        </w:rPr>
        <w:t xml:space="preserve"> Libereckém kraji (17,67), Karlovarském kraji (17,65), Jihočeském kraji </w:t>
      </w:r>
      <w:r w:rsidRPr="004B3901">
        <w:rPr>
          <w:rFonts w:ascii="Arial" w:hAnsi="Arial" w:cs="Arial"/>
        </w:rPr>
        <w:t>(</w:t>
      </w:r>
      <w:r>
        <w:rPr>
          <w:rFonts w:ascii="Arial" w:hAnsi="Arial" w:cs="Arial"/>
        </w:rPr>
        <w:t>17,10) a Středočeském kraji (16,08). N</w:t>
      </w:r>
      <w:r w:rsidRPr="004B3901">
        <w:rPr>
          <w:rFonts w:ascii="Arial" w:hAnsi="Arial" w:cs="Arial"/>
        </w:rPr>
        <w:t xml:space="preserve">ejméně pak v Hlavním městě </w:t>
      </w:r>
      <w:r>
        <w:rPr>
          <w:rFonts w:ascii="Arial" w:hAnsi="Arial" w:cs="Arial"/>
        </w:rPr>
        <w:t>Praha</w:t>
      </w:r>
      <w:r w:rsidRPr="004B3901">
        <w:rPr>
          <w:rFonts w:ascii="Arial" w:hAnsi="Arial" w:cs="Arial"/>
        </w:rPr>
        <w:t xml:space="preserve"> (</w:t>
      </w:r>
      <w:r>
        <w:rPr>
          <w:rFonts w:ascii="Arial" w:hAnsi="Arial" w:cs="Arial"/>
        </w:rPr>
        <w:t>13,00</w:t>
      </w:r>
      <w:r w:rsidRPr="004B3901">
        <w:rPr>
          <w:rFonts w:ascii="Arial" w:hAnsi="Arial" w:cs="Arial"/>
        </w:rPr>
        <w:t>)</w:t>
      </w:r>
      <w:r>
        <w:rPr>
          <w:rFonts w:ascii="Arial" w:hAnsi="Arial" w:cs="Arial"/>
        </w:rPr>
        <w:t xml:space="preserve"> a Olomouckém kraji (13,54).</w:t>
      </w:r>
      <w:r w:rsidRPr="00854587">
        <w:rPr>
          <w:rFonts w:ascii="Arial" w:hAnsi="Arial" w:cs="Arial"/>
        </w:rPr>
        <w:t xml:space="preserve"> </w:t>
      </w:r>
      <w:r>
        <w:rPr>
          <w:rFonts w:ascii="Arial" w:hAnsi="Arial" w:cs="Arial"/>
        </w:rPr>
        <w:t>Diferenciace intenzity pracovní neschopnosti podle územního členění je značně ovlivněna strukturou zaměstnanosti, charakterem převažující ekonomické činnosti a mírou nezaměstnanosti v daném regionu.</w:t>
      </w:r>
    </w:p>
    <w:p w:rsidR="00CB206F" w:rsidRDefault="00CB206F" w:rsidP="00CB206F">
      <w:pPr>
        <w:autoSpaceDE w:val="0"/>
        <w:autoSpaceDN w:val="0"/>
        <w:adjustRightInd w:val="0"/>
        <w:jc w:val="both"/>
        <w:rPr>
          <w:rFonts w:ascii="Arial" w:hAnsi="Arial" w:cs="Arial"/>
          <w:b/>
        </w:rPr>
      </w:pPr>
    </w:p>
    <w:p w:rsidR="00CB206F" w:rsidRDefault="00CB206F" w:rsidP="00CB206F">
      <w:pPr>
        <w:jc w:val="both"/>
        <w:rPr>
          <w:rFonts w:ascii="Arial" w:hAnsi="Arial" w:cs="Arial"/>
        </w:rPr>
      </w:pPr>
      <w:r w:rsidRPr="009B0EE9">
        <w:rPr>
          <w:rFonts w:ascii="Arial" w:hAnsi="Arial" w:cs="Arial"/>
          <w:b/>
        </w:rPr>
        <w:t xml:space="preserve">Průměrná délka trvání 1 případu pracovní neschopnosti </w:t>
      </w:r>
      <w:r>
        <w:rPr>
          <w:rFonts w:ascii="Arial" w:hAnsi="Arial" w:cs="Arial"/>
        </w:rPr>
        <w:t xml:space="preserve">se meziročně zvýšila </w:t>
      </w:r>
      <w:r w:rsidRPr="009D28CA">
        <w:rPr>
          <w:rFonts w:ascii="Arial" w:hAnsi="Arial" w:cs="Arial"/>
        </w:rPr>
        <w:t>ze</w:t>
      </w:r>
      <w:r>
        <w:rPr>
          <w:rFonts w:ascii="Arial" w:hAnsi="Arial" w:cs="Arial"/>
        </w:rPr>
        <w:t xml:space="preserve"> 42,24 dní v 1. pololetí 2013 na 45,94 dní v 1. pololetí 2014. </w:t>
      </w:r>
      <w:r w:rsidRPr="003A149A">
        <w:rPr>
          <w:rFonts w:ascii="Arial" w:hAnsi="Arial" w:cs="Arial"/>
        </w:rPr>
        <w:t>Průměrná doba trvání jednoho případu dočasné pracovní neschopnosti</w:t>
      </w:r>
      <w:r>
        <w:rPr>
          <w:rFonts w:ascii="Arial" w:hAnsi="Arial" w:cs="Arial"/>
        </w:rPr>
        <w:t xml:space="preserve"> se zvýšila o 3,7 dne. Nejdelší průměrná doba trvání jednoho případu dočasné pracovní neschopnosti v</w:t>
      </w:r>
      <w:r w:rsidR="009A4742">
        <w:rPr>
          <w:rFonts w:ascii="Arial" w:hAnsi="Arial" w:cs="Arial"/>
        </w:rPr>
        <w:t> </w:t>
      </w:r>
      <w:r>
        <w:rPr>
          <w:rFonts w:ascii="Arial" w:hAnsi="Arial" w:cs="Arial"/>
        </w:rPr>
        <w:t>1</w:t>
      </w:r>
      <w:r w:rsidR="009A4742">
        <w:rPr>
          <w:rFonts w:ascii="Arial" w:hAnsi="Arial" w:cs="Arial"/>
        </w:rPr>
        <w:t>.</w:t>
      </w:r>
      <w:r>
        <w:rPr>
          <w:rFonts w:ascii="Arial" w:hAnsi="Arial" w:cs="Arial"/>
        </w:rPr>
        <w:t xml:space="preserve"> pololetí 2014 byla zaznamenána ve Zlínském kraji (56,36 dne), </w:t>
      </w:r>
      <w:r w:rsidRPr="009D28CA">
        <w:rPr>
          <w:rFonts w:ascii="Arial" w:hAnsi="Arial" w:cs="Arial"/>
        </w:rPr>
        <w:t>nejkratší zůstává v Praze</w:t>
      </w:r>
      <w:r>
        <w:rPr>
          <w:rFonts w:ascii="Arial" w:hAnsi="Arial" w:cs="Arial"/>
        </w:rPr>
        <w:t xml:space="preserve"> </w:t>
      </w:r>
      <w:r w:rsidRPr="009D28CA">
        <w:rPr>
          <w:rFonts w:ascii="Arial" w:hAnsi="Arial" w:cs="Arial"/>
        </w:rPr>
        <w:t>(</w:t>
      </w:r>
      <w:r>
        <w:rPr>
          <w:rFonts w:ascii="Arial" w:hAnsi="Arial" w:cs="Arial"/>
        </w:rPr>
        <w:t>40,29 dne).</w:t>
      </w:r>
    </w:p>
    <w:p w:rsidR="00CB206F" w:rsidRDefault="00CB206F" w:rsidP="00CB206F">
      <w:pPr>
        <w:jc w:val="both"/>
        <w:rPr>
          <w:rFonts w:ascii="Arial" w:hAnsi="Arial" w:cs="Arial"/>
        </w:rPr>
      </w:pPr>
    </w:p>
    <w:p w:rsidR="00CB206F" w:rsidRDefault="00CB206F" w:rsidP="00CB206F">
      <w:pPr>
        <w:jc w:val="both"/>
        <w:rPr>
          <w:rFonts w:ascii="Arial" w:hAnsi="Arial" w:cs="Arial"/>
        </w:rPr>
      </w:pPr>
      <w:r w:rsidRPr="00AE5BCF">
        <w:rPr>
          <w:rFonts w:ascii="Arial" w:hAnsi="Arial" w:cs="Arial"/>
          <w:b/>
        </w:rPr>
        <w:t>Průměrné procento pracovní neschopnosti</w:t>
      </w:r>
      <w:r>
        <w:rPr>
          <w:rFonts w:ascii="Arial" w:hAnsi="Arial" w:cs="Arial"/>
          <w:b/>
        </w:rPr>
        <w:t xml:space="preserve"> </w:t>
      </w:r>
      <w:r w:rsidRPr="00AE5BCF">
        <w:rPr>
          <w:rFonts w:ascii="Arial" w:hAnsi="Arial" w:cs="Arial"/>
        </w:rPr>
        <w:t xml:space="preserve">se meziročně </w:t>
      </w:r>
      <w:r>
        <w:rPr>
          <w:rFonts w:ascii="Arial" w:hAnsi="Arial" w:cs="Arial"/>
        </w:rPr>
        <w:t xml:space="preserve">snížilo </w:t>
      </w:r>
      <w:r w:rsidRPr="00093946">
        <w:rPr>
          <w:rFonts w:ascii="Arial" w:hAnsi="Arial" w:cs="Arial"/>
        </w:rPr>
        <w:t>z </w:t>
      </w:r>
      <w:r w:rsidRPr="009D28CA">
        <w:rPr>
          <w:rFonts w:ascii="Arial" w:hAnsi="Arial" w:cs="Arial"/>
        </w:rPr>
        <w:t>3,</w:t>
      </w:r>
      <w:r>
        <w:rPr>
          <w:rFonts w:ascii="Arial" w:hAnsi="Arial" w:cs="Arial"/>
        </w:rPr>
        <w:t>99 v 1. pololetí</w:t>
      </w:r>
      <w:r w:rsidRPr="00093946">
        <w:rPr>
          <w:rFonts w:ascii="Arial" w:hAnsi="Arial" w:cs="Arial"/>
        </w:rPr>
        <w:t xml:space="preserve"> </w:t>
      </w:r>
      <w:r>
        <w:rPr>
          <w:rFonts w:ascii="Arial" w:hAnsi="Arial" w:cs="Arial"/>
        </w:rPr>
        <w:t xml:space="preserve">2013 </w:t>
      </w:r>
      <w:r w:rsidRPr="00093946">
        <w:rPr>
          <w:rFonts w:ascii="Arial" w:hAnsi="Arial" w:cs="Arial"/>
        </w:rPr>
        <w:t>na</w:t>
      </w:r>
      <w:r>
        <w:rPr>
          <w:rFonts w:ascii="Arial" w:hAnsi="Arial" w:cs="Arial"/>
        </w:rPr>
        <w:t xml:space="preserve"> 3,82 v 1. pololetí 2014. </w:t>
      </w:r>
      <w:r w:rsidRPr="00B866BA">
        <w:rPr>
          <w:rFonts w:ascii="Arial" w:hAnsi="Arial" w:cs="Arial"/>
          <w:b/>
        </w:rPr>
        <w:t>Průměrné procento pracovní neschopnosti udává, kolik z</w:t>
      </w:r>
      <w:r>
        <w:rPr>
          <w:rFonts w:ascii="Arial" w:hAnsi="Arial" w:cs="Arial"/>
          <w:b/>
        </w:rPr>
        <w:t>e</w:t>
      </w:r>
      <w:r w:rsidRPr="00B866BA">
        <w:rPr>
          <w:rFonts w:ascii="Arial" w:hAnsi="Arial" w:cs="Arial"/>
          <w:b/>
        </w:rPr>
        <w:t xml:space="preserve"> 100 pojištěnců je průměrně každý den v pracovní neschopnosti pro nemoc či úraz</w:t>
      </w:r>
      <w:r>
        <w:rPr>
          <w:rFonts w:ascii="Arial" w:hAnsi="Arial" w:cs="Arial"/>
          <w:b/>
        </w:rPr>
        <w:t xml:space="preserve">. </w:t>
      </w:r>
      <w:r w:rsidR="006F1B9B">
        <w:rPr>
          <w:rFonts w:ascii="Arial" w:hAnsi="Arial" w:cs="Arial"/>
        </w:rPr>
        <w:t>Z</w:t>
      </w:r>
      <w:r w:rsidRPr="00093946">
        <w:rPr>
          <w:rFonts w:ascii="Arial" w:hAnsi="Arial" w:cs="Arial"/>
        </w:rPr>
        <w:t>ohledňuje</w:t>
      </w:r>
      <w:r>
        <w:rPr>
          <w:rFonts w:ascii="Arial" w:hAnsi="Arial" w:cs="Arial"/>
        </w:rPr>
        <w:t>,</w:t>
      </w:r>
      <w:r w:rsidRPr="00093946">
        <w:rPr>
          <w:rFonts w:ascii="Arial" w:hAnsi="Arial" w:cs="Arial"/>
        </w:rPr>
        <w:t xml:space="preserve"> jak celkový počet případů pracovní neschopnosti (jak často lidé do pracovní</w:t>
      </w:r>
      <w:r>
        <w:rPr>
          <w:rFonts w:ascii="Arial" w:hAnsi="Arial" w:cs="Arial"/>
        </w:rPr>
        <w:t xml:space="preserve"> </w:t>
      </w:r>
      <w:r w:rsidRPr="00093946">
        <w:rPr>
          <w:rFonts w:ascii="Arial" w:hAnsi="Arial" w:cs="Arial"/>
        </w:rPr>
        <w:t xml:space="preserve">neschopnosti nastupují), tak i průměrné trvání jednoho případu </w:t>
      </w:r>
      <w:r>
        <w:rPr>
          <w:rFonts w:ascii="Arial" w:hAnsi="Arial" w:cs="Arial"/>
        </w:rPr>
        <w:t xml:space="preserve">pracovní neschopnosti </w:t>
      </w:r>
      <w:r w:rsidRPr="00093946">
        <w:rPr>
          <w:rFonts w:ascii="Arial" w:hAnsi="Arial" w:cs="Arial"/>
        </w:rPr>
        <w:t xml:space="preserve">(jak dlouho v pracovní neschopnosti zůstávají). </w:t>
      </w:r>
    </w:p>
    <w:p w:rsidR="00CB206F" w:rsidRDefault="00CB206F" w:rsidP="00CB206F">
      <w:pPr>
        <w:jc w:val="both"/>
        <w:rPr>
          <w:rFonts w:ascii="Arial" w:hAnsi="Arial" w:cs="Arial"/>
        </w:rPr>
      </w:pPr>
      <w:r>
        <w:rPr>
          <w:rFonts w:ascii="Arial" w:hAnsi="Arial" w:cs="Arial"/>
        </w:rPr>
        <w:t xml:space="preserve"> </w:t>
      </w:r>
    </w:p>
    <w:p w:rsidR="00CB206F" w:rsidRDefault="00CB206F" w:rsidP="00CB206F">
      <w:pPr>
        <w:jc w:val="both"/>
        <w:rPr>
          <w:rFonts w:ascii="Arial" w:hAnsi="Arial" w:cs="Arial"/>
        </w:rPr>
      </w:pPr>
      <w:r>
        <w:rPr>
          <w:rFonts w:ascii="Arial" w:hAnsi="Arial" w:cs="Arial"/>
        </w:rPr>
        <w:t>V 1. pololetí 2014 v České republice v důsledku pracovní neschopnosti pro nemoc a úraz denně chybělo na svých pracovištích 168,58 tis. pojištěnců, což ve srovnání se stejným obdobím v loňském roce (176,10 tis. pojištěnců)  bylo o 7,52 tis. pojištěnců méně.</w:t>
      </w:r>
    </w:p>
    <w:p w:rsidR="00CB206F" w:rsidRPr="005552AD" w:rsidRDefault="00CB206F" w:rsidP="00CB206F">
      <w:pPr>
        <w:rPr>
          <w:rFonts w:ascii="Arial" w:hAnsi="Arial" w:cs="Arial"/>
        </w:rPr>
      </w:pPr>
      <w:r>
        <w:br w:type="page"/>
      </w:r>
    </w:p>
    <w:tbl>
      <w:tblPr>
        <w:tblW w:w="10940" w:type="dxa"/>
        <w:tblInd w:w="55" w:type="dxa"/>
        <w:tblCellMar>
          <w:left w:w="70" w:type="dxa"/>
          <w:right w:w="70" w:type="dxa"/>
        </w:tblCellMar>
        <w:tblLook w:val="04A0"/>
      </w:tblPr>
      <w:tblGrid>
        <w:gridCol w:w="2320"/>
        <w:gridCol w:w="1180"/>
        <w:gridCol w:w="1260"/>
        <w:gridCol w:w="1240"/>
        <w:gridCol w:w="1300"/>
        <w:gridCol w:w="1220"/>
        <w:gridCol w:w="1240"/>
        <w:gridCol w:w="1180"/>
      </w:tblGrid>
      <w:tr w:rsidR="005552AD" w:rsidRPr="005552AD" w:rsidTr="005552AD">
        <w:trPr>
          <w:trHeight w:val="645"/>
        </w:trPr>
        <w:tc>
          <w:tcPr>
            <w:tcW w:w="10940" w:type="dxa"/>
            <w:gridSpan w:val="8"/>
            <w:tcBorders>
              <w:top w:val="nil"/>
              <w:left w:val="nil"/>
              <w:bottom w:val="single" w:sz="8" w:space="0" w:color="auto"/>
              <w:right w:val="nil"/>
            </w:tcBorders>
            <w:shd w:val="clear" w:color="auto" w:fill="auto"/>
            <w:vAlign w:val="bottom"/>
            <w:hideMark/>
          </w:tcPr>
          <w:p w:rsidR="005552AD" w:rsidRPr="005552AD" w:rsidRDefault="005552AD" w:rsidP="005552AD">
            <w:pPr>
              <w:rPr>
                <w:rFonts w:ascii="Arial" w:hAnsi="Arial" w:cs="Arial"/>
                <w:b/>
                <w:bCs/>
                <w:color w:val="000000"/>
              </w:rPr>
            </w:pPr>
            <w:r w:rsidRPr="005552AD">
              <w:rPr>
                <w:rFonts w:ascii="Arial" w:hAnsi="Arial" w:cs="Arial"/>
                <w:b/>
                <w:bCs/>
                <w:color w:val="000000"/>
              </w:rPr>
              <w:t xml:space="preserve">Tabulka 1: </w:t>
            </w:r>
            <w:r w:rsidRPr="005552AD">
              <w:rPr>
                <w:rFonts w:ascii="Arial" w:hAnsi="Arial" w:cs="Arial"/>
                <w:b/>
                <w:bCs/>
                <w:color w:val="000000"/>
              </w:rPr>
              <w:br/>
              <w:t>Základní ukazatele dočasné pracovní neschopnosti pro nemoc a úraz za 1. pol</w:t>
            </w:r>
            <w:r w:rsidR="00B06E2E">
              <w:rPr>
                <w:rFonts w:ascii="Arial" w:hAnsi="Arial" w:cs="Arial"/>
                <w:b/>
                <w:bCs/>
                <w:color w:val="000000"/>
              </w:rPr>
              <w:t>oletí</w:t>
            </w:r>
            <w:r w:rsidRPr="005552AD">
              <w:rPr>
                <w:rFonts w:ascii="Arial" w:hAnsi="Arial" w:cs="Arial"/>
                <w:b/>
                <w:bCs/>
                <w:color w:val="000000"/>
              </w:rPr>
              <w:t xml:space="preserve"> 2014 podle krajů v ČR</w:t>
            </w:r>
          </w:p>
        </w:tc>
      </w:tr>
      <w:tr w:rsidR="005552AD" w:rsidRPr="005552AD" w:rsidTr="005552AD">
        <w:trPr>
          <w:trHeight w:val="159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5552AD" w:rsidRPr="005552AD" w:rsidRDefault="005552AD" w:rsidP="005552AD">
            <w:pPr>
              <w:jc w:val="center"/>
              <w:rPr>
                <w:rFonts w:ascii="Arial" w:hAnsi="Arial" w:cs="Arial"/>
                <w:b/>
                <w:bCs/>
                <w:color w:val="000000"/>
                <w:sz w:val="16"/>
                <w:szCs w:val="16"/>
              </w:rPr>
            </w:pPr>
            <w:r w:rsidRPr="005552AD">
              <w:rPr>
                <w:rFonts w:ascii="Arial" w:hAnsi="Arial" w:cs="Arial"/>
                <w:b/>
                <w:bCs/>
                <w:color w:val="000000"/>
                <w:sz w:val="16"/>
                <w:szCs w:val="16"/>
              </w:rPr>
              <w:t xml:space="preserve">Kraj </w:t>
            </w:r>
          </w:p>
        </w:tc>
        <w:tc>
          <w:tcPr>
            <w:tcW w:w="1180" w:type="dxa"/>
            <w:tcBorders>
              <w:top w:val="nil"/>
              <w:left w:val="nil"/>
              <w:bottom w:val="single" w:sz="8" w:space="0" w:color="auto"/>
              <w:right w:val="single" w:sz="8" w:space="0" w:color="auto"/>
            </w:tcBorders>
            <w:shd w:val="clear" w:color="auto" w:fill="auto"/>
            <w:vAlign w:val="center"/>
            <w:hideMark/>
          </w:tcPr>
          <w:p w:rsidR="005552AD" w:rsidRPr="005552AD" w:rsidRDefault="005552AD" w:rsidP="005552AD">
            <w:pPr>
              <w:jc w:val="center"/>
              <w:rPr>
                <w:rFonts w:ascii="Arial" w:hAnsi="Arial" w:cs="Arial"/>
                <w:b/>
                <w:bCs/>
                <w:color w:val="000000"/>
                <w:sz w:val="16"/>
                <w:szCs w:val="16"/>
              </w:rPr>
            </w:pPr>
            <w:r w:rsidRPr="005552AD">
              <w:rPr>
                <w:rFonts w:ascii="Arial" w:hAnsi="Arial" w:cs="Arial"/>
                <w:b/>
                <w:bCs/>
                <w:color w:val="000000"/>
                <w:sz w:val="16"/>
                <w:szCs w:val="16"/>
              </w:rPr>
              <w:t xml:space="preserve">Průměrný počet </w:t>
            </w:r>
            <w:proofErr w:type="spellStart"/>
            <w:r w:rsidRPr="005552AD">
              <w:rPr>
                <w:rFonts w:ascii="Arial" w:hAnsi="Arial" w:cs="Arial"/>
                <w:b/>
                <w:bCs/>
                <w:color w:val="000000"/>
                <w:sz w:val="16"/>
                <w:szCs w:val="16"/>
              </w:rPr>
              <w:t>nemocensky</w:t>
            </w:r>
            <w:proofErr w:type="spellEnd"/>
            <w:r w:rsidRPr="005552AD">
              <w:rPr>
                <w:rFonts w:ascii="Arial" w:hAnsi="Arial" w:cs="Arial"/>
                <w:b/>
                <w:bCs/>
                <w:color w:val="000000"/>
                <w:sz w:val="16"/>
                <w:szCs w:val="16"/>
              </w:rPr>
              <w:t xml:space="preserve"> pojištěných </w:t>
            </w:r>
          </w:p>
        </w:tc>
        <w:tc>
          <w:tcPr>
            <w:tcW w:w="1260" w:type="dxa"/>
            <w:tcBorders>
              <w:top w:val="nil"/>
              <w:left w:val="nil"/>
              <w:bottom w:val="single" w:sz="8" w:space="0" w:color="auto"/>
              <w:right w:val="single" w:sz="8" w:space="0" w:color="auto"/>
            </w:tcBorders>
            <w:shd w:val="clear" w:color="auto" w:fill="auto"/>
            <w:vAlign w:val="center"/>
            <w:hideMark/>
          </w:tcPr>
          <w:p w:rsidR="005552AD" w:rsidRPr="005552AD" w:rsidRDefault="005552AD" w:rsidP="005552AD">
            <w:pPr>
              <w:jc w:val="center"/>
              <w:rPr>
                <w:rFonts w:ascii="Arial" w:hAnsi="Arial" w:cs="Arial"/>
                <w:b/>
                <w:bCs/>
                <w:color w:val="000000"/>
                <w:sz w:val="16"/>
                <w:szCs w:val="16"/>
              </w:rPr>
            </w:pPr>
            <w:r w:rsidRPr="005552AD">
              <w:rPr>
                <w:rFonts w:ascii="Arial" w:hAnsi="Arial" w:cs="Arial"/>
                <w:b/>
                <w:bCs/>
                <w:color w:val="000000"/>
                <w:sz w:val="16"/>
                <w:szCs w:val="16"/>
              </w:rPr>
              <w:t xml:space="preserve">Počet nově hlášených případů pracovní neschopnosti </w:t>
            </w:r>
          </w:p>
        </w:tc>
        <w:tc>
          <w:tcPr>
            <w:tcW w:w="1240" w:type="dxa"/>
            <w:tcBorders>
              <w:top w:val="nil"/>
              <w:left w:val="nil"/>
              <w:bottom w:val="single" w:sz="8" w:space="0" w:color="auto"/>
              <w:right w:val="single" w:sz="8" w:space="0" w:color="auto"/>
            </w:tcBorders>
            <w:shd w:val="clear" w:color="auto" w:fill="auto"/>
            <w:vAlign w:val="center"/>
            <w:hideMark/>
          </w:tcPr>
          <w:p w:rsidR="005552AD" w:rsidRPr="005552AD" w:rsidRDefault="005552AD" w:rsidP="005552AD">
            <w:pPr>
              <w:jc w:val="center"/>
              <w:rPr>
                <w:rFonts w:ascii="Arial" w:hAnsi="Arial" w:cs="Arial"/>
                <w:b/>
                <w:bCs/>
                <w:color w:val="000000"/>
                <w:sz w:val="16"/>
                <w:szCs w:val="16"/>
              </w:rPr>
            </w:pPr>
            <w:r w:rsidRPr="005552AD">
              <w:rPr>
                <w:rFonts w:ascii="Arial" w:hAnsi="Arial" w:cs="Arial"/>
                <w:b/>
                <w:bCs/>
                <w:color w:val="000000"/>
                <w:sz w:val="16"/>
                <w:szCs w:val="16"/>
              </w:rPr>
              <w:t xml:space="preserve">Počet kalendářních dnů pracovní neschopnosti </w:t>
            </w:r>
          </w:p>
        </w:tc>
        <w:tc>
          <w:tcPr>
            <w:tcW w:w="1300" w:type="dxa"/>
            <w:tcBorders>
              <w:top w:val="nil"/>
              <w:left w:val="nil"/>
              <w:bottom w:val="single" w:sz="8" w:space="0" w:color="auto"/>
              <w:right w:val="single" w:sz="8" w:space="0" w:color="auto"/>
            </w:tcBorders>
            <w:shd w:val="clear" w:color="auto" w:fill="auto"/>
            <w:vAlign w:val="center"/>
            <w:hideMark/>
          </w:tcPr>
          <w:p w:rsidR="005552AD" w:rsidRPr="005552AD" w:rsidRDefault="005552AD" w:rsidP="005552AD">
            <w:pPr>
              <w:jc w:val="center"/>
              <w:rPr>
                <w:rFonts w:ascii="Arial" w:hAnsi="Arial" w:cs="Arial"/>
                <w:b/>
                <w:bCs/>
                <w:color w:val="000000"/>
                <w:sz w:val="16"/>
                <w:szCs w:val="16"/>
              </w:rPr>
            </w:pPr>
            <w:r w:rsidRPr="005552AD">
              <w:rPr>
                <w:rFonts w:ascii="Arial" w:hAnsi="Arial" w:cs="Arial"/>
                <w:b/>
                <w:bCs/>
                <w:color w:val="000000"/>
                <w:sz w:val="16"/>
                <w:szCs w:val="16"/>
              </w:rPr>
              <w:t>Počet nově hlášených případů pracovní neschopnosti na 100 pojištěnců</w:t>
            </w:r>
          </w:p>
        </w:tc>
        <w:tc>
          <w:tcPr>
            <w:tcW w:w="1220" w:type="dxa"/>
            <w:tcBorders>
              <w:top w:val="nil"/>
              <w:left w:val="nil"/>
              <w:bottom w:val="single" w:sz="8" w:space="0" w:color="auto"/>
              <w:right w:val="single" w:sz="8" w:space="0" w:color="auto"/>
            </w:tcBorders>
            <w:shd w:val="clear" w:color="auto" w:fill="auto"/>
            <w:vAlign w:val="center"/>
            <w:hideMark/>
          </w:tcPr>
          <w:p w:rsidR="005552AD" w:rsidRPr="005552AD" w:rsidRDefault="005552AD" w:rsidP="005552AD">
            <w:pPr>
              <w:jc w:val="center"/>
              <w:rPr>
                <w:rFonts w:ascii="Arial" w:hAnsi="Arial" w:cs="Arial"/>
                <w:b/>
                <w:bCs/>
                <w:color w:val="000000"/>
                <w:sz w:val="16"/>
                <w:szCs w:val="16"/>
              </w:rPr>
            </w:pPr>
            <w:r w:rsidRPr="005552AD">
              <w:rPr>
                <w:rFonts w:ascii="Arial" w:hAnsi="Arial" w:cs="Arial"/>
                <w:b/>
                <w:bCs/>
                <w:color w:val="000000"/>
                <w:sz w:val="16"/>
                <w:szCs w:val="16"/>
              </w:rPr>
              <w:t xml:space="preserve">Průměrné procento pracovní neschopnosti </w:t>
            </w:r>
          </w:p>
        </w:tc>
        <w:tc>
          <w:tcPr>
            <w:tcW w:w="1240" w:type="dxa"/>
            <w:tcBorders>
              <w:top w:val="nil"/>
              <w:left w:val="nil"/>
              <w:bottom w:val="single" w:sz="8" w:space="0" w:color="auto"/>
              <w:right w:val="single" w:sz="8" w:space="0" w:color="auto"/>
            </w:tcBorders>
            <w:shd w:val="clear" w:color="auto" w:fill="auto"/>
            <w:vAlign w:val="center"/>
            <w:hideMark/>
          </w:tcPr>
          <w:p w:rsidR="005552AD" w:rsidRPr="005552AD" w:rsidRDefault="005552AD" w:rsidP="005552AD">
            <w:pPr>
              <w:jc w:val="center"/>
              <w:rPr>
                <w:rFonts w:ascii="Arial" w:hAnsi="Arial" w:cs="Arial"/>
                <w:b/>
                <w:bCs/>
                <w:color w:val="000000"/>
                <w:sz w:val="16"/>
                <w:szCs w:val="16"/>
              </w:rPr>
            </w:pPr>
            <w:r w:rsidRPr="005552AD">
              <w:rPr>
                <w:rFonts w:ascii="Arial" w:hAnsi="Arial" w:cs="Arial"/>
                <w:b/>
                <w:bCs/>
                <w:color w:val="000000"/>
                <w:sz w:val="16"/>
                <w:szCs w:val="16"/>
              </w:rPr>
              <w:t>Počet kalendářních dnů pracovní neschopnosti na 1 nově hlášený případ</w:t>
            </w:r>
          </w:p>
        </w:tc>
        <w:tc>
          <w:tcPr>
            <w:tcW w:w="1180" w:type="dxa"/>
            <w:tcBorders>
              <w:top w:val="nil"/>
              <w:left w:val="nil"/>
              <w:bottom w:val="single" w:sz="8" w:space="0" w:color="auto"/>
              <w:right w:val="single" w:sz="8" w:space="0" w:color="auto"/>
            </w:tcBorders>
            <w:shd w:val="clear" w:color="auto" w:fill="auto"/>
            <w:vAlign w:val="center"/>
            <w:hideMark/>
          </w:tcPr>
          <w:p w:rsidR="005552AD" w:rsidRPr="005552AD" w:rsidRDefault="005552AD" w:rsidP="005552AD">
            <w:pPr>
              <w:jc w:val="center"/>
              <w:rPr>
                <w:rFonts w:ascii="Arial" w:hAnsi="Arial" w:cs="Arial"/>
                <w:b/>
                <w:bCs/>
                <w:color w:val="000000"/>
                <w:sz w:val="16"/>
                <w:szCs w:val="16"/>
              </w:rPr>
            </w:pPr>
            <w:r w:rsidRPr="005552AD">
              <w:rPr>
                <w:rFonts w:ascii="Arial" w:hAnsi="Arial" w:cs="Arial"/>
                <w:b/>
                <w:bCs/>
                <w:color w:val="000000"/>
                <w:sz w:val="16"/>
                <w:szCs w:val="16"/>
              </w:rPr>
              <w:t>Průměrný denní stav práce neschopných</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Hl. m. Praha</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1 152 754</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149 807</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6 035 161</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13,00</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2,893</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40,29</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33 344</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Středočeský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411 508</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66 179</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2 867 954</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16,08</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3,850</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43,34</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15 845</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Jihočeský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221 136</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37 816</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1 827 577</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17,10</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4,566</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48,33</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10 097</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Plzeňský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215 097</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39 157</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1 640 790</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18,20</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4,214</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41,90</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9 065</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Karlovarský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87 011</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15 357</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631 969</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17,65</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4,013</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41,15</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3 491</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Ústecký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277 765</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42 840</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2 062 956</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15,42</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4,103</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48,15</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11 398</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Liberecký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146 225</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25 842</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1 115 383</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17,67</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4,214</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43,16</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6 163</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Královéhradecký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186 816</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29 406</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1 284 782</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15,74</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3,800</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43,69</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7 098</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Pardubický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188 449</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29 766</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1 355 054</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15,80</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3,973</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45,52</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7 486</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Kraj Vysočina</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172 634</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28 394</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1 322 392</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16,45</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4,232</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46,57</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7 305</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Jihomoravský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467 624</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68 844</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3 252 128</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14,72</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3,842</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47,24</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17 968</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Olomoucký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219 493</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29 720</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1 629 604</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13,54</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4,102</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54,83</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9 003</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Zlínský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212 577</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31 286</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1 763 272</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14,72</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4,583</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56,36</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9 742</w:t>
            </w:r>
          </w:p>
        </w:tc>
      </w:tr>
      <w:tr w:rsidR="005552AD" w:rsidRPr="005552AD" w:rsidTr="005552AD">
        <w:trPr>
          <w:trHeight w:val="285"/>
        </w:trPr>
        <w:tc>
          <w:tcPr>
            <w:tcW w:w="2320" w:type="dxa"/>
            <w:tcBorders>
              <w:top w:val="nil"/>
              <w:left w:val="single" w:sz="8" w:space="0" w:color="auto"/>
              <w:bottom w:val="nil"/>
              <w:right w:val="single" w:sz="8" w:space="0" w:color="auto"/>
            </w:tcBorders>
            <w:shd w:val="clear" w:color="auto" w:fill="auto"/>
            <w:noWrap/>
            <w:vAlign w:val="bottom"/>
            <w:hideMark/>
          </w:tcPr>
          <w:p w:rsidR="005552AD" w:rsidRPr="005552AD" w:rsidRDefault="005552AD" w:rsidP="005552AD">
            <w:pPr>
              <w:rPr>
                <w:rFonts w:ascii="Arial" w:hAnsi="Arial" w:cs="Arial"/>
                <w:color w:val="000000"/>
                <w:sz w:val="16"/>
                <w:szCs w:val="16"/>
              </w:rPr>
            </w:pPr>
            <w:r w:rsidRPr="005552AD">
              <w:rPr>
                <w:rFonts w:ascii="Arial" w:hAnsi="Arial" w:cs="Arial"/>
                <w:color w:val="000000"/>
                <w:sz w:val="16"/>
                <w:szCs w:val="16"/>
              </w:rPr>
              <w:t>Moravskoslezský kraj</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454 414</w:t>
            </w:r>
          </w:p>
        </w:tc>
        <w:tc>
          <w:tcPr>
            <w:tcW w:w="126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69 705</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3 723 162</w:t>
            </w:r>
          </w:p>
        </w:tc>
        <w:tc>
          <w:tcPr>
            <w:tcW w:w="130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15,34</w:t>
            </w:r>
          </w:p>
        </w:tc>
        <w:tc>
          <w:tcPr>
            <w:tcW w:w="122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4,527</w:t>
            </w:r>
          </w:p>
        </w:tc>
        <w:tc>
          <w:tcPr>
            <w:tcW w:w="124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53,41</w:t>
            </w:r>
          </w:p>
        </w:tc>
        <w:tc>
          <w:tcPr>
            <w:tcW w:w="1180" w:type="dxa"/>
            <w:tcBorders>
              <w:top w:val="nil"/>
              <w:left w:val="nil"/>
              <w:bottom w:val="nil"/>
              <w:right w:val="single" w:sz="8" w:space="0" w:color="auto"/>
            </w:tcBorders>
            <w:shd w:val="clear" w:color="auto" w:fill="auto"/>
            <w:noWrap/>
            <w:vAlign w:val="bottom"/>
            <w:hideMark/>
          </w:tcPr>
          <w:p w:rsidR="005552AD" w:rsidRPr="005552AD" w:rsidRDefault="005552AD" w:rsidP="005552AD">
            <w:pPr>
              <w:jc w:val="right"/>
              <w:rPr>
                <w:rFonts w:ascii="Arial" w:hAnsi="Arial" w:cs="Arial"/>
                <w:sz w:val="16"/>
                <w:szCs w:val="16"/>
              </w:rPr>
            </w:pPr>
            <w:r w:rsidRPr="005552AD">
              <w:rPr>
                <w:rFonts w:ascii="Arial" w:hAnsi="Arial" w:cs="Arial"/>
                <w:sz w:val="16"/>
                <w:szCs w:val="16"/>
              </w:rPr>
              <w:t>20 570</w:t>
            </w:r>
          </w:p>
        </w:tc>
      </w:tr>
      <w:tr w:rsidR="005552AD" w:rsidRPr="005552AD" w:rsidTr="005552AD">
        <w:trPr>
          <w:trHeight w:val="315"/>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5552AD" w:rsidRPr="005552AD" w:rsidRDefault="005552AD" w:rsidP="005552AD">
            <w:pPr>
              <w:rPr>
                <w:rFonts w:ascii="Arial" w:hAnsi="Arial" w:cs="Arial"/>
                <w:b/>
                <w:bCs/>
                <w:color w:val="000000"/>
                <w:sz w:val="16"/>
                <w:szCs w:val="16"/>
              </w:rPr>
            </w:pPr>
            <w:r w:rsidRPr="005552AD">
              <w:rPr>
                <w:rFonts w:ascii="Arial" w:hAnsi="Arial" w:cs="Arial"/>
                <w:b/>
                <w:bCs/>
                <w:color w:val="000000"/>
                <w:sz w:val="16"/>
                <w:szCs w:val="16"/>
              </w:rPr>
              <w:t>ČR celkem</w:t>
            </w:r>
          </w:p>
        </w:tc>
        <w:tc>
          <w:tcPr>
            <w:tcW w:w="1180" w:type="dxa"/>
            <w:tcBorders>
              <w:top w:val="nil"/>
              <w:left w:val="nil"/>
              <w:bottom w:val="single" w:sz="8" w:space="0" w:color="auto"/>
              <w:right w:val="single" w:sz="8" w:space="0" w:color="auto"/>
            </w:tcBorders>
            <w:shd w:val="clear" w:color="auto" w:fill="auto"/>
            <w:noWrap/>
            <w:vAlign w:val="bottom"/>
            <w:hideMark/>
          </w:tcPr>
          <w:p w:rsidR="005552AD" w:rsidRPr="005552AD" w:rsidRDefault="005552AD" w:rsidP="005552AD">
            <w:pPr>
              <w:jc w:val="right"/>
              <w:rPr>
                <w:rFonts w:ascii="Arial" w:hAnsi="Arial" w:cs="Arial"/>
                <w:b/>
                <w:bCs/>
                <w:sz w:val="16"/>
                <w:szCs w:val="16"/>
              </w:rPr>
            </w:pPr>
            <w:r w:rsidRPr="005552AD">
              <w:rPr>
                <w:rFonts w:ascii="Arial" w:hAnsi="Arial" w:cs="Arial"/>
                <w:b/>
                <w:bCs/>
                <w:sz w:val="16"/>
                <w:szCs w:val="16"/>
              </w:rPr>
              <w:t>4 413 503</w:t>
            </w:r>
          </w:p>
        </w:tc>
        <w:tc>
          <w:tcPr>
            <w:tcW w:w="1260" w:type="dxa"/>
            <w:tcBorders>
              <w:top w:val="nil"/>
              <w:left w:val="nil"/>
              <w:bottom w:val="single" w:sz="8" w:space="0" w:color="auto"/>
              <w:right w:val="single" w:sz="8" w:space="0" w:color="auto"/>
            </w:tcBorders>
            <w:shd w:val="clear" w:color="auto" w:fill="auto"/>
            <w:noWrap/>
            <w:vAlign w:val="bottom"/>
            <w:hideMark/>
          </w:tcPr>
          <w:p w:rsidR="005552AD" w:rsidRPr="005552AD" w:rsidRDefault="005552AD" w:rsidP="005552AD">
            <w:pPr>
              <w:jc w:val="right"/>
              <w:rPr>
                <w:rFonts w:ascii="Arial" w:hAnsi="Arial" w:cs="Arial"/>
                <w:b/>
                <w:bCs/>
                <w:sz w:val="16"/>
                <w:szCs w:val="16"/>
              </w:rPr>
            </w:pPr>
            <w:r w:rsidRPr="005552AD">
              <w:rPr>
                <w:rFonts w:ascii="Arial" w:hAnsi="Arial" w:cs="Arial"/>
                <w:b/>
                <w:bCs/>
                <w:sz w:val="16"/>
                <w:szCs w:val="16"/>
              </w:rPr>
              <w:t>664 119</w:t>
            </w:r>
          </w:p>
        </w:tc>
        <w:tc>
          <w:tcPr>
            <w:tcW w:w="1240" w:type="dxa"/>
            <w:tcBorders>
              <w:top w:val="nil"/>
              <w:left w:val="nil"/>
              <w:bottom w:val="single" w:sz="8" w:space="0" w:color="auto"/>
              <w:right w:val="single" w:sz="8" w:space="0" w:color="auto"/>
            </w:tcBorders>
            <w:shd w:val="clear" w:color="auto" w:fill="auto"/>
            <w:noWrap/>
            <w:vAlign w:val="bottom"/>
            <w:hideMark/>
          </w:tcPr>
          <w:p w:rsidR="005552AD" w:rsidRPr="005552AD" w:rsidRDefault="005552AD" w:rsidP="005552AD">
            <w:pPr>
              <w:jc w:val="right"/>
              <w:rPr>
                <w:rFonts w:ascii="Arial" w:hAnsi="Arial" w:cs="Arial"/>
                <w:b/>
                <w:bCs/>
                <w:sz w:val="16"/>
                <w:szCs w:val="16"/>
              </w:rPr>
            </w:pPr>
            <w:r w:rsidRPr="005552AD">
              <w:rPr>
                <w:rFonts w:ascii="Arial" w:hAnsi="Arial" w:cs="Arial"/>
                <w:b/>
                <w:bCs/>
                <w:sz w:val="16"/>
                <w:szCs w:val="16"/>
              </w:rPr>
              <w:t>30 512 184</w:t>
            </w:r>
          </w:p>
        </w:tc>
        <w:tc>
          <w:tcPr>
            <w:tcW w:w="1300" w:type="dxa"/>
            <w:tcBorders>
              <w:top w:val="nil"/>
              <w:left w:val="nil"/>
              <w:bottom w:val="single" w:sz="8" w:space="0" w:color="auto"/>
              <w:right w:val="single" w:sz="8" w:space="0" w:color="auto"/>
            </w:tcBorders>
            <w:shd w:val="clear" w:color="auto" w:fill="auto"/>
            <w:noWrap/>
            <w:vAlign w:val="bottom"/>
            <w:hideMark/>
          </w:tcPr>
          <w:p w:rsidR="005552AD" w:rsidRPr="005552AD" w:rsidRDefault="005552AD" w:rsidP="005552AD">
            <w:pPr>
              <w:jc w:val="right"/>
              <w:rPr>
                <w:rFonts w:ascii="Arial" w:hAnsi="Arial" w:cs="Arial"/>
                <w:b/>
                <w:bCs/>
                <w:sz w:val="16"/>
                <w:szCs w:val="16"/>
              </w:rPr>
            </w:pPr>
            <w:r w:rsidRPr="005552AD">
              <w:rPr>
                <w:rFonts w:ascii="Arial" w:hAnsi="Arial" w:cs="Arial"/>
                <w:b/>
                <w:bCs/>
                <w:sz w:val="16"/>
                <w:szCs w:val="16"/>
              </w:rPr>
              <w:t>15,05</w:t>
            </w:r>
          </w:p>
        </w:tc>
        <w:tc>
          <w:tcPr>
            <w:tcW w:w="1220" w:type="dxa"/>
            <w:tcBorders>
              <w:top w:val="nil"/>
              <w:left w:val="nil"/>
              <w:bottom w:val="single" w:sz="8" w:space="0" w:color="auto"/>
              <w:right w:val="single" w:sz="8" w:space="0" w:color="auto"/>
            </w:tcBorders>
            <w:shd w:val="clear" w:color="auto" w:fill="auto"/>
            <w:noWrap/>
            <w:vAlign w:val="bottom"/>
            <w:hideMark/>
          </w:tcPr>
          <w:p w:rsidR="005552AD" w:rsidRPr="005552AD" w:rsidRDefault="005552AD" w:rsidP="005552AD">
            <w:pPr>
              <w:jc w:val="right"/>
              <w:rPr>
                <w:rFonts w:ascii="Arial" w:hAnsi="Arial" w:cs="Arial"/>
                <w:b/>
                <w:bCs/>
                <w:sz w:val="16"/>
                <w:szCs w:val="16"/>
              </w:rPr>
            </w:pPr>
            <w:r w:rsidRPr="005552AD">
              <w:rPr>
                <w:rFonts w:ascii="Arial" w:hAnsi="Arial" w:cs="Arial"/>
                <w:b/>
                <w:bCs/>
                <w:sz w:val="16"/>
                <w:szCs w:val="16"/>
              </w:rPr>
              <w:t>3,820</w:t>
            </w:r>
          </w:p>
        </w:tc>
        <w:tc>
          <w:tcPr>
            <w:tcW w:w="1240" w:type="dxa"/>
            <w:tcBorders>
              <w:top w:val="nil"/>
              <w:left w:val="nil"/>
              <w:bottom w:val="single" w:sz="8" w:space="0" w:color="auto"/>
              <w:right w:val="single" w:sz="8" w:space="0" w:color="auto"/>
            </w:tcBorders>
            <w:shd w:val="clear" w:color="auto" w:fill="auto"/>
            <w:noWrap/>
            <w:vAlign w:val="bottom"/>
            <w:hideMark/>
          </w:tcPr>
          <w:p w:rsidR="005552AD" w:rsidRPr="005552AD" w:rsidRDefault="005552AD" w:rsidP="005552AD">
            <w:pPr>
              <w:jc w:val="right"/>
              <w:rPr>
                <w:rFonts w:ascii="Arial" w:hAnsi="Arial" w:cs="Arial"/>
                <w:b/>
                <w:bCs/>
                <w:sz w:val="16"/>
                <w:szCs w:val="16"/>
              </w:rPr>
            </w:pPr>
            <w:r w:rsidRPr="005552AD">
              <w:rPr>
                <w:rFonts w:ascii="Arial" w:hAnsi="Arial" w:cs="Arial"/>
                <w:b/>
                <w:bCs/>
                <w:sz w:val="16"/>
                <w:szCs w:val="16"/>
              </w:rPr>
              <w:t>45,94</w:t>
            </w:r>
          </w:p>
        </w:tc>
        <w:tc>
          <w:tcPr>
            <w:tcW w:w="1180" w:type="dxa"/>
            <w:tcBorders>
              <w:top w:val="nil"/>
              <w:left w:val="nil"/>
              <w:bottom w:val="single" w:sz="8" w:space="0" w:color="auto"/>
              <w:right w:val="single" w:sz="8" w:space="0" w:color="auto"/>
            </w:tcBorders>
            <w:shd w:val="clear" w:color="auto" w:fill="auto"/>
            <w:noWrap/>
            <w:vAlign w:val="bottom"/>
            <w:hideMark/>
          </w:tcPr>
          <w:p w:rsidR="005552AD" w:rsidRPr="005552AD" w:rsidRDefault="005552AD" w:rsidP="005552AD">
            <w:pPr>
              <w:jc w:val="right"/>
              <w:rPr>
                <w:rFonts w:ascii="Arial" w:hAnsi="Arial" w:cs="Arial"/>
                <w:b/>
                <w:bCs/>
                <w:sz w:val="16"/>
                <w:szCs w:val="16"/>
              </w:rPr>
            </w:pPr>
            <w:r w:rsidRPr="005552AD">
              <w:rPr>
                <w:rFonts w:ascii="Arial" w:hAnsi="Arial" w:cs="Arial"/>
                <w:b/>
                <w:bCs/>
                <w:sz w:val="16"/>
                <w:szCs w:val="16"/>
              </w:rPr>
              <w:t>168 575</w:t>
            </w:r>
          </w:p>
        </w:tc>
      </w:tr>
    </w:tbl>
    <w:p w:rsidR="00B46C33" w:rsidRPr="005552AD" w:rsidRDefault="00B46C33" w:rsidP="00365645">
      <w:pPr>
        <w:jc w:val="both"/>
        <w:rPr>
          <w:rFonts w:ascii="Arial" w:hAnsi="Arial" w:cs="Arial"/>
          <w:b/>
        </w:rPr>
      </w:pPr>
    </w:p>
    <w:p w:rsidR="00365645" w:rsidRDefault="00365645" w:rsidP="00EF71AB">
      <w:pPr>
        <w:jc w:val="both"/>
        <w:rPr>
          <w:rFonts w:ascii="Arial" w:hAnsi="Arial" w:cs="Arial"/>
          <w:b/>
        </w:rPr>
      </w:pPr>
    </w:p>
    <w:tbl>
      <w:tblPr>
        <w:tblW w:w="10940" w:type="dxa"/>
        <w:tblInd w:w="55" w:type="dxa"/>
        <w:tblCellMar>
          <w:left w:w="70" w:type="dxa"/>
          <w:right w:w="70" w:type="dxa"/>
        </w:tblCellMar>
        <w:tblLook w:val="04A0"/>
      </w:tblPr>
      <w:tblGrid>
        <w:gridCol w:w="2320"/>
        <w:gridCol w:w="1180"/>
        <w:gridCol w:w="1260"/>
        <w:gridCol w:w="1240"/>
        <w:gridCol w:w="1300"/>
        <w:gridCol w:w="1220"/>
        <w:gridCol w:w="1240"/>
        <w:gridCol w:w="1180"/>
      </w:tblGrid>
      <w:tr w:rsidR="00671818" w:rsidRPr="00671818" w:rsidTr="00671818">
        <w:trPr>
          <w:trHeight w:val="600"/>
        </w:trPr>
        <w:tc>
          <w:tcPr>
            <w:tcW w:w="10940" w:type="dxa"/>
            <w:gridSpan w:val="8"/>
            <w:tcBorders>
              <w:top w:val="nil"/>
              <w:left w:val="nil"/>
              <w:bottom w:val="single" w:sz="8" w:space="0" w:color="auto"/>
              <w:right w:val="nil"/>
            </w:tcBorders>
            <w:shd w:val="clear" w:color="auto" w:fill="auto"/>
            <w:vAlign w:val="bottom"/>
            <w:hideMark/>
          </w:tcPr>
          <w:p w:rsidR="00671818" w:rsidRPr="00671818" w:rsidRDefault="00671818" w:rsidP="00AF013F">
            <w:pPr>
              <w:rPr>
                <w:rFonts w:ascii="Arial" w:hAnsi="Arial" w:cs="Arial"/>
                <w:b/>
                <w:bCs/>
                <w:color w:val="000000"/>
              </w:rPr>
            </w:pPr>
            <w:r w:rsidRPr="00671818">
              <w:rPr>
                <w:rFonts w:ascii="Arial" w:hAnsi="Arial" w:cs="Arial"/>
                <w:b/>
                <w:bCs/>
                <w:color w:val="000000"/>
              </w:rPr>
              <w:t>Tabulka</w:t>
            </w:r>
            <w:r w:rsidR="00AF013F">
              <w:rPr>
                <w:rFonts w:ascii="Arial" w:hAnsi="Arial" w:cs="Arial"/>
                <w:b/>
                <w:bCs/>
                <w:color w:val="000000"/>
              </w:rPr>
              <w:t xml:space="preserve"> </w:t>
            </w:r>
            <w:r w:rsidRPr="00671818">
              <w:rPr>
                <w:rFonts w:ascii="Arial" w:hAnsi="Arial" w:cs="Arial"/>
                <w:b/>
                <w:bCs/>
                <w:color w:val="000000"/>
              </w:rPr>
              <w:t xml:space="preserve">2: </w:t>
            </w:r>
            <w:r w:rsidRPr="00671818">
              <w:rPr>
                <w:rFonts w:ascii="Arial" w:hAnsi="Arial" w:cs="Arial"/>
                <w:b/>
                <w:bCs/>
                <w:color w:val="000000"/>
              </w:rPr>
              <w:br/>
              <w:t>Základní ukazatele dočasné pracovní neschopnosti pro nemoc a úraz podle skupin CZ-NACE v ČR za 1. pol</w:t>
            </w:r>
            <w:r w:rsidR="00AF013F">
              <w:rPr>
                <w:rFonts w:ascii="Arial" w:hAnsi="Arial" w:cs="Arial"/>
                <w:b/>
                <w:bCs/>
                <w:color w:val="000000"/>
              </w:rPr>
              <w:t>oletí</w:t>
            </w:r>
            <w:r w:rsidRPr="00671818">
              <w:rPr>
                <w:rFonts w:ascii="Arial" w:hAnsi="Arial" w:cs="Arial"/>
                <w:b/>
                <w:bCs/>
                <w:color w:val="000000"/>
              </w:rPr>
              <w:t xml:space="preserve"> 2014</w:t>
            </w:r>
            <w:r w:rsidRPr="00671818">
              <w:rPr>
                <w:rFonts w:ascii="Arial" w:hAnsi="Arial" w:cs="Arial"/>
                <w:b/>
                <w:bCs/>
                <w:color w:val="000000"/>
                <w:vertAlign w:val="superscript"/>
              </w:rPr>
              <w:t xml:space="preserve">*) </w:t>
            </w:r>
          </w:p>
        </w:tc>
      </w:tr>
      <w:tr w:rsidR="00671818" w:rsidRPr="00671818" w:rsidTr="00671818">
        <w:trPr>
          <w:trHeight w:val="1590"/>
        </w:trPr>
        <w:tc>
          <w:tcPr>
            <w:tcW w:w="2320" w:type="dxa"/>
            <w:tcBorders>
              <w:top w:val="nil"/>
              <w:left w:val="single" w:sz="8" w:space="0" w:color="auto"/>
              <w:bottom w:val="single" w:sz="8" w:space="0" w:color="auto"/>
              <w:right w:val="single" w:sz="8" w:space="0" w:color="auto"/>
            </w:tcBorders>
            <w:shd w:val="clear" w:color="auto" w:fill="auto"/>
            <w:vAlign w:val="center"/>
            <w:hideMark/>
          </w:tcPr>
          <w:p w:rsidR="00671818" w:rsidRPr="00671818" w:rsidRDefault="00671818" w:rsidP="00671818">
            <w:pPr>
              <w:jc w:val="center"/>
              <w:rPr>
                <w:rFonts w:ascii="Arial" w:hAnsi="Arial" w:cs="Arial"/>
                <w:b/>
                <w:bCs/>
                <w:color w:val="000000"/>
                <w:sz w:val="16"/>
                <w:szCs w:val="16"/>
              </w:rPr>
            </w:pPr>
            <w:r w:rsidRPr="00671818">
              <w:rPr>
                <w:rFonts w:ascii="Arial" w:hAnsi="Arial" w:cs="Arial"/>
                <w:b/>
                <w:bCs/>
                <w:color w:val="000000"/>
                <w:sz w:val="16"/>
                <w:szCs w:val="16"/>
              </w:rPr>
              <w:t>CZ-NACE</w:t>
            </w:r>
          </w:p>
        </w:tc>
        <w:tc>
          <w:tcPr>
            <w:tcW w:w="1180" w:type="dxa"/>
            <w:tcBorders>
              <w:top w:val="nil"/>
              <w:left w:val="nil"/>
              <w:bottom w:val="single" w:sz="8" w:space="0" w:color="auto"/>
              <w:right w:val="single" w:sz="8" w:space="0" w:color="auto"/>
            </w:tcBorders>
            <w:shd w:val="clear" w:color="auto" w:fill="auto"/>
            <w:vAlign w:val="center"/>
            <w:hideMark/>
          </w:tcPr>
          <w:p w:rsidR="00671818" w:rsidRPr="00671818" w:rsidRDefault="00671818" w:rsidP="00671818">
            <w:pPr>
              <w:jc w:val="center"/>
              <w:rPr>
                <w:rFonts w:ascii="Arial" w:hAnsi="Arial" w:cs="Arial"/>
                <w:b/>
                <w:bCs/>
                <w:color w:val="000000"/>
                <w:sz w:val="16"/>
                <w:szCs w:val="16"/>
              </w:rPr>
            </w:pPr>
            <w:r w:rsidRPr="00671818">
              <w:rPr>
                <w:rFonts w:ascii="Arial" w:hAnsi="Arial" w:cs="Arial"/>
                <w:b/>
                <w:bCs/>
                <w:color w:val="000000"/>
                <w:sz w:val="16"/>
                <w:szCs w:val="16"/>
              </w:rPr>
              <w:t xml:space="preserve">Průměrný počet </w:t>
            </w:r>
            <w:proofErr w:type="spellStart"/>
            <w:r w:rsidRPr="00671818">
              <w:rPr>
                <w:rFonts w:ascii="Arial" w:hAnsi="Arial" w:cs="Arial"/>
                <w:b/>
                <w:bCs/>
                <w:color w:val="000000"/>
                <w:sz w:val="16"/>
                <w:szCs w:val="16"/>
              </w:rPr>
              <w:t>nemocensky</w:t>
            </w:r>
            <w:proofErr w:type="spellEnd"/>
            <w:r w:rsidRPr="00671818">
              <w:rPr>
                <w:rFonts w:ascii="Arial" w:hAnsi="Arial" w:cs="Arial"/>
                <w:b/>
                <w:bCs/>
                <w:color w:val="000000"/>
                <w:sz w:val="16"/>
                <w:szCs w:val="16"/>
              </w:rPr>
              <w:t xml:space="preserve"> pojištěných </w:t>
            </w:r>
          </w:p>
        </w:tc>
        <w:tc>
          <w:tcPr>
            <w:tcW w:w="1260" w:type="dxa"/>
            <w:tcBorders>
              <w:top w:val="nil"/>
              <w:left w:val="nil"/>
              <w:bottom w:val="single" w:sz="8" w:space="0" w:color="auto"/>
              <w:right w:val="single" w:sz="8" w:space="0" w:color="auto"/>
            </w:tcBorders>
            <w:shd w:val="clear" w:color="auto" w:fill="auto"/>
            <w:vAlign w:val="center"/>
            <w:hideMark/>
          </w:tcPr>
          <w:p w:rsidR="00671818" w:rsidRPr="00671818" w:rsidRDefault="00671818" w:rsidP="00671818">
            <w:pPr>
              <w:jc w:val="center"/>
              <w:rPr>
                <w:rFonts w:ascii="Arial" w:hAnsi="Arial" w:cs="Arial"/>
                <w:b/>
                <w:bCs/>
                <w:color w:val="000000"/>
                <w:sz w:val="16"/>
                <w:szCs w:val="16"/>
              </w:rPr>
            </w:pPr>
            <w:r w:rsidRPr="00671818">
              <w:rPr>
                <w:rFonts w:ascii="Arial" w:hAnsi="Arial" w:cs="Arial"/>
                <w:b/>
                <w:bCs/>
                <w:color w:val="000000"/>
                <w:sz w:val="16"/>
                <w:szCs w:val="16"/>
              </w:rPr>
              <w:t xml:space="preserve">Počet nově hlášených případů pracovní neschopnosti </w:t>
            </w:r>
          </w:p>
        </w:tc>
        <w:tc>
          <w:tcPr>
            <w:tcW w:w="1240" w:type="dxa"/>
            <w:tcBorders>
              <w:top w:val="nil"/>
              <w:left w:val="nil"/>
              <w:bottom w:val="single" w:sz="8" w:space="0" w:color="auto"/>
              <w:right w:val="single" w:sz="8" w:space="0" w:color="auto"/>
            </w:tcBorders>
            <w:shd w:val="clear" w:color="auto" w:fill="auto"/>
            <w:vAlign w:val="center"/>
            <w:hideMark/>
          </w:tcPr>
          <w:p w:rsidR="00671818" w:rsidRPr="00671818" w:rsidRDefault="00671818" w:rsidP="00671818">
            <w:pPr>
              <w:jc w:val="center"/>
              <w:rPr>
                <w:rFonts w:ascii="Arial" w:hAnsi="Arial" w:cs="Arial"/>
                <w:b/>
                <w:bCs/>
                <w:color w:val="000000"/>
                <w:sz w:val="16"/>
                <w:szCs w:val="16"/>
              </w:rPr>
            </w:pPr>
            <w:r w:rsidRPr="00671818">
              <w:rPr>
                <w:rFonts w:ascii="Arial" w:hAnsi="Arial" w:cs="Arial"/>
                <w:b/>
                <w:bCs/>
                <w:color w:val="000000"/>
                <w:sz w:val="16"/>
                <w:szCs w:val="16"/>
              </w:rPr>
              <w:t xml:space="preserve">Počet kalendářních dnů pracovní neschopnosti </w:t>
            </w:r>
          </w:p>
        </w:tc>
        <w:tc>
          <w:tcPr>
            <w:tcW w:w="1300" w:type="dxa"/>
            <w:tcBorders>
              <w:top w:val="nil"/>
              <w:left w:val="nil"/>
              <w:bottom w:val="single" w:sz="8" w:space="0" w:color="auto"/>
              <w:right w:val="single" w:sz="8" w:space="0" w:color="auto"/>
            </w:tcBorders>
            <w:shd w:val="clear" w:color="auto" w:fill="auto"/>
            <w:vAlign w:val="center"/>
            <w:hideMark/>
          </w:tcPr>
          <w:p w:rsidR="00671818" w:rsidRPr="00671818" w:rsidRDefault="00671818" w:rsidP="00671818">
            <w:pPr>
              <w:jc w:val="center"/>
              <w:rPr>
                <w:rFonts w:ascii="Arial" w:hAnsi="Arial" w:cs="Arial"/>
                <w:b/>
                <w:bCs/>
                <w:color w:val="000000"/>
                <w:sz w:val="16"/>
                <w:szCs w:val="16"/>
              </w:rPr>
            </w:pPr>
            <w:r w:rsidRPr="00671818">
              <w:rPr>
                <w:rFonts w:ascii="Arial" w:hAnsi="Arial" w:cs="Arial"/>
                <w:b/>
                <w:bCs/>
                <w:color w:val="000000"/>
                <w:sz w:val="16"/>
                <w:szCs w:val="16"/>
              </w:rPr>
              <w:t>Počet nově hlášených případů pracovní neschopnosti na 100 pojištěnců</w:t>
            </w:r>
          </w:p>
        </w:tc>
        <w:tc>
          <w:tcPr>
            <w:tcW w:w="1220" w:type="dxa"/>
            <w:tcBorders>
              <w:top w:val="nil"/>
              <w:left w:val="nil"/>
              <w:bottom w:val="single" w:sz="8" w:space="0" w:color="auto"/>
              <w:right w:val="single" w:sz="8" w:space="0" w:color="auto"/>
            </w:tcBorders>
            <w:shd w:val="clear" w:color="auto" w:fill="auto"/>
            <w:vAlign w:val="center"/>
            <w:hideMark/>
          </w:tcPr>
          <w:p w:rsidR="00671818" w:rsidRPr="00671818" w:rsidRDefault="00671818" w:rsidP="00671818">
            <w:pPr>
              <w:jc w:val="center"/>
              <w:rPr>
                <w:rFonts w:ascii="Arial" w:hAnsi="Arial" w:cs="Arial"/>
                <w:b/>
                <w:bCs/>
                <w:color w:val="000000"/>
                <w:sz w:val="16"/>
                <w:szCs w:val="16"/>
              </w:rPr>
            </w:pPr>
            <w:r w:rsidRPr="00671818">
              <w:rPr>
                <w:rFonts w:ascii="Arial" w:hAnsi="Arial" w:cs="Arial"/>
                <w:b/>
                <w:bCs/>
                <w:color w:val="000000"/>
                <w:sz w:val="16"/>
                <w:szCs w:val="16"/>
              </w:rPr>
              <w:t xml:space="preserve">Průměrné procento pracovní neschopnosti </w:t>
            </w:r>
          </w:p>
        </w:tc>
        <w:tc>
          <w:tcPr>
            <w:tcW w:w="1240" w:type="dxa"/>
            <w:tcBorders>
              <w:top w:val="nil"/>
              <w:left w:val="nil"/>
              <w:bottom w:val="single" w:sz="8" w:space="0" w:color="auto"/>
              <w:right w:val="single" w:sz="8" w:space="0" w:color="auto"/>
            </w:tcBorders>
            <w:shd w:val="clear" w:color="auto" w:fill="auto"/>
            <w:vAlign w:val="center"/>
            <w:hideMark/>
          </w:tcPr>
          <w:p w:rsidR="00671818" w:rsidRPr="00671818" w:rsidRDefault="00671818" w:rsidP="00671818">
            <w:pPr>
              <w:jc w:val="center"/>
              <w:rPr>
                <w:rFonts w:ascii="Arial" w:hAnsi="Arial" w:cs="Arial"/>
                <w:b/>
                <w:bCs/>
                <w:color w:val="000000"/>
                <w:sz w:val="16"/>
                <w:szCs w:val="16"/>
              </w:rPr>
            </w:pPr>
            <w:r w:rsidRPr="00671818">
              <w:rPr>
                <w:rFonts w:ascii="Arial" w:hAnsi="Arial" w:cs="Arial"/>
                <w:b/>
                <w:bCs/>
                <w:color w:val="000000"/>
                <w:sz w:val="16"/>
                <w:szCs w:val="16"/>
              </w:rPr>
              <w:t>Počet kalendářních dnů pracovní neschopnosti na 1 nově hlášený případ</w:t>
            </w:r>
          </w:p>
        </w:tc>
        <w:tc>
          <w:tcPr>
            <w:tcW w:w="1180" w:type="dxa"/>
            <w:tcBorders>
              <w:top w:val="nil"/>
              <w:left w:val="nil"/>
              <w:bottom w:val="single" w:sz="8" w:space="0" w:color="auto"/>
              <w:right w:val="single" w:sz="8" w:space="0" w:color="auto"/>
            </w:tcBorders>
            <w:shd w:val="clear" w:color="auto" w:fill="auto"/>
            <w:vAlign w:val="center"/>
            <w:hideMark/>
          </w:tcPr>
          <w:p w:rsidR="00671818" w:rsidRPr="00671818" w:rsidRDefault="00671818" w:rsidP="00671818">
            <w:pPr>
              <w:jc w:val="center"/>
              <w:rPr>
                <w:rFonts w:ascii="Arial" w:hAnsi="Arial" w:cs="Arial"/>
                <w:b/>
                <w:bCs/>
                <w:color w:val="000000"/>
                <w:sz w:val="16"/>
                <w:szCs w:val="16"/>
              </w:rPr>
            </w:pPr>
            <w:r w:rsidRPr="00671818">
              <w:rPr>
                <w:rFonts w:ascii="Arial" w:hAnsi="Arial" w:cs="Arial"/>
                <w:b/>
                <w:bCs/>
                <w:color w:val="000000"/>
                <w:sz w:val="16"/>
                <w:szCs w:val="16"/>
              </w:rPr>
              <w:t>Průměrný denní stav práce neschopných</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A. </w:t>
            </w:r>
            <w:proofErr w:type="spellStart"/>
            <w:r w:rsidRPr="00671818">
              <w:rPr>
                <w:rFonts w:ascii="Arial" w:hAnsi="Arial" w:cs="Arial"/>
                <w:sz w:val="16"/>
                <w:szCs w:val="16"/>
              </w:rPr>
              <w:t>Zeměď</w:t>
            </w:r>
            <w:proofErr w:type="spellEnd"/>
            <w:r w:rsidRPr="00671818">
              <w:rPr>
                <w:rFonts w:ascii="Arial" w:hAnsi="Arial" w:cs="Arial"/>
                <w:sz w:val="16"/>
                <w:szCs w:val="16"/>
              </w:rPr>
              <w:t>,lesnic.,rybářství</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111 277</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15 428</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956 787</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13,86</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4,750</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62,02</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5 286</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B. Těžba a dobývání</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32 347</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5 657</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281 043</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17,49</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4,800</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49,68</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1 553</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C. Zpracovatelský průmysl</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1 150 224</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217 927</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9 648 010</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18,95</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4,634</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44,27</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53 304</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D. Výr.a </w:t>
            </w:r>
            <w:proofErr w:type="spellStart"/>
            <w:r w:rsidRPr="00671818">
              <w:rPr>
                <w:rFonts w:ascii="Arial" w:hAnsi="Arial" w:cs="Arial"/>
                <w:sz w:val="16"/>
                <w:szCs w:val="16"/>
              </w:rPr>
              <w:t>rozv.el.a.j.energ</w:t>
            </w:r>
            <w:proofErr w:type="spellEnd"/>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32 692</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3 202</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130 199</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9,79</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2,200</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40,66</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719</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E. </w:t>
            </w:r>
            <w:proofErr w:type="spellStart"/>
            <w:r w:rsidRPr="00671818">
              <w:rPr>
                <w:rFonts w:ascii="Arial" w:hAnsi="Arial" w:cs="Arial"/>
                <w:sz w:val="16"/>
                <w:szCs w:val="16"/>
              </w:rPr>
              <w:t>Zás.vodou</w:t>
            </w:r>
            <w:proofErr w:type="spellEnd"/>
            <w:r w:rsidRPr="00671818">
              <w:rPr>
                <w:rFonts w:ascii="Arial" w:hAnsi="Arial" w:cs="Arial"/>
                <w:sz w:val="16"/>
                <w:szCs w:val="16"/>
              </w:rPr>
              <w:t>;čin.s odpady</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57 243</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8 522</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414 913</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14,89</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4,005</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48,69</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2 292</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F. Stavebnictví</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236 198</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32 581</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2 103 016</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13,79</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4,919</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64,55</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11 619</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G. VO,MO;opravy motor.voz.</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597 137</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80 061</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4 076 044</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13,41</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3,771</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50,91</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22 520</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H. Doprava a skladování</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274 259</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37 599</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1 975 265</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13,71</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3,979</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52,54</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10 913</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I. Ubyt.,strav.a </w:t>
            </w:r>
            <w:proofErr w:type="spellStart"/>
            <w:r w:rsidRPr="00671818">
              <w:rPr>
                <w:rFonts w:ascii="Arial" w:hAnsi="Arial" w:cs="Arial"/>
                <w:sz w:val="16"/>
                <w:szCs w:val="16"/>
              </w:rPr>
              <w:t>pohost</w:t>
            </w:r>
            <w:proofErr w:type="spellEnd"/>
            <w:r w:rsidRPr="00671818">
              <w:rPr>
                <w:rFonts w:ascii="Arial" w:hAnsi="Arial" w:cs="Arial"/>
                <w:sz w:val="16"/>
                <w:szCs w:val="16"/>
              </w:rPr>
              <w:t>.</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133 637</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16 149</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956 339</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12,08</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3,954</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59,22</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5 284</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J. </w:t>
            </w:r>
            <w:proofErr w:type="spellStart"/>
            <w:r w:rsidRPr="00671818">
              <w:rPr>
                <w:rFonts w:ascii="Arial" w:hAnsi="Arial" w:cs="Arial"/>
                <w:sz w:val="16"/>
                <w:szCs w:val="16"/>
              </w:rPr>
              <w:t>Info.a</w:t>
            </w:r>
            <w:proofErr w:type="spellEnd"/>
            <w:r w:rsidRPr="00671818">
              <w:rPr>
                <w:rFonts w:ascii="Arial" w:hAnsi="Arial" w:cs="Arial"/>
                <w:sz w:val="16"/>
                <w:szCs w:val="16"/>
              </w:rPr>
              <w:t xml:space="preserve"> </w:t>
            </w:r>
            <w:proofErr w:type="spellStart"/>
            <w:r w:rsidRPr="00671818">
              <w:rPr>
                <w:rFonts w:ascii="Arial" w:hAnsi="Arial" w:cs="Arial"/>
                <w:sz w:val="16"/>
                <w:szCs w:val="16"/>
              </w:rPr>
              <w:t>komunik.činnosti</w:t>
            </w:r>
            <w:proofErr w:type="spellEnd"/>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115 866</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12 870</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357 383</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11,11</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1,704</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27,77</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1 974</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K. Peněžnictví a </w:t>
            </w:r>
            <w:proofErr w:type="spellStart"/>
            <w:r w:rsidRPr="00671818">
              <w:rPr>
                <w:rFonts w:ascii="Arial" w:hAnsi="Arial" w:cs="Arial"/>
                <w:sz w:val="16"/>
                <w:szCs w:val="16"/>
              </w:rPr>
              <w:t>pojišťov</w:t>
            </w:r>
            <w:proofErr w:type="spellEnd"/>
            <w:r w:rsidRPr="00671818">
              <w:rPr>
                <w:rFonts w:ascii="Arial" w:hAnsi="Arial" w:cs="Arial"/>
                <w:sz w:val="16"/>
                <w:szCs w:val="16"/>
              </w:rPr>
              <w:t>.</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90 524</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11 697</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400 971</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12,92</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2,447</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34,28</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2 215</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L. Čin.v </w:t>
            </w:r>
            <w:proofErr w:type="spellStart"/>
            <w:r w:rsidRPr="00671818">
              <w:rPr>
                <w:rFonts w:ascii="Arial" w:hAnsi="Arial" w:cs="Arial"/>
                <w:sz w:val="16"/>
                <w:szCs w:val="16"/>
              </w:rPr>
              <w:t>obl.nemovitostí</w:t>
            </w:r>
            <w:proofErr w:type="spellEnd"/>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73 932</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5 332</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299 377</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7,21</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2,237</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56,15</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1 654</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M. Profes.,věd.a </w:t>
            </w:r>
            <w:proofErr w:type="spellStart"/>
            <w:r w:rsidRPr="00671818">
              <w:rPr>
                <w:rFonts w:ascii="Arial" w:hAnsi="Arial" w:cs="Arial"/>
                <w:sz w:val="16"/>
                <w:szCs w:val="16"/>
              </w:rPr>
              <w:t>tech.čin</w:t>
            </w:r>
            <w:proofErr w:type="spellEnd"/>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196 620</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18 659</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765 815</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9,49</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2,152</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41,04</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4 231</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N. </w:t>
            </w:r>
            <w:proofErr w:type="spellStart"/>
            <w:r w:rsidRPr="00671818">
              <w:rPr>
                <w:rFonts w:ascii="Arial" w:hAnsi="Arial" w:cs="Arial"/>
                <w:sz w:val="16"/>
                <w:szCs w:val="16"/>
              </w:rPr>
              <w:t>Administr.a</w:t>
            </w:r>
            <w:proofErr w:type="spellEnd"/>
            <w:r w:rsidRPr="00671818">
              <w:rPr>
                <w:rFonts w:ascii="Arial" w:hAnsi="Arial" w:cs="Arial"/>
                <w:sz w:val="16"/>
                <w:szCs w:val="16"/>
              </w:rPr>
              <w:t xml:space="preserve"> </w:t>
            </w:r>
            <w:proofErr w:type="spellStart"/>
            <w:r w:rsidRPr="00671818">
              <w:rPr>
                <w:rFonts w:ascii="Arial" w:hAnsi="Arial" w:cs="Arial"/>
                <w:sz w:val="16"/>
                <w:szCs w:val="16"/>
              </w:rPr>
              <w:t>podpůr.čin</w:t>
            </w:r>
            <w:proofErr w:type="spellEnd"/>
            <w:r w:rsidRPr="00671818">
              <w:rPr>
                <w:rFonts w:ascii="Arial" w:hAnsi="Arial" w:cs="Arial"/>
                <w:sz w:val="16"/>
                <w:szCs w:val="16"/>
              </w:rPr>
              <w:t>.</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241 287</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46 707</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1 974 816</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19,36</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4,522</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42,28</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10 911</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O. </w:t>
            </w:r>
            <w:proofErr w:type="spellStart"/>
            <w:r w:rsidRPr="00671818">
              <w:rPr>
                <w:rFonts w:ascii="Arial" w:hAnsi="Arial" w:cs="Arial"/>
                <w:sz w:val="16"/>
                <w:szCs w:val="16"/>
              </w:rPr>
              <w:t>Veř.spr</w:t>
            </w:r>
            <w:proofErr w:type="spellEnd"/>
            <w:r w:rsidRPr="00671818">
              <w:rPr>
                <w:rFonts w:ascii="Arial" w:hAnsi="Arial" w:cs="Arial"/>
                <w:sz w:val="16"/>
                <w:szCs w:val="16"/>
              </w:rPr>
              <w:t>. obrana;</w:t>
            </w:r>
            <w:proofErr w:type="spellStart"/>
            <w:r w:rsidRPr="00671818">
              <w:rPr>
                <w:rFonts w:ascii="Arial" w:hAnsi="Arial" w:cs="Arial"/>
                <w:sz w:val="16"/>
                <w:szCs w:val="16"/>
              </w:rPr>
              <w:t>soc.zab</w:t>
            </w:r>
            <w:proofErr w:type="spellEnd"/>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255 552</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34 506</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1 308 758</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13,50</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2,829</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37,93</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7 231</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P. Vzdělávání</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341 961</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45 177</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1 582 256</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13,21</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2,556</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35,02</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8 742</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Q. Zdravotní a </w:t>
            </w:r>
            <w:proofErr w:type="spellStart"/>
            <w:r w:rsidRPr="00671818">
              <w:rPr>
                <w:rFonts w:ascii="Arial" w:hAnsi="Arial" w:cs="Arial"/>
                <w:sz w:val="16"/>
                <w:szCs w:val="16"/>
              </w:rPr>
              <w:t>soc.péče</w:t>
            </w:r>
            <w:proofErr w:type="spellEnd"/>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330 809</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43 806</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2 228 516</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13,24</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3,722</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50,87</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12 312</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 xml:space="preserve">R. Kultur,zábav.a </w:t>
            </w:r>
            <w:proofErr w:type="spellStart"/>
            <w:r w:rsidRPr="00671818">
              <w:rPr>
                <w:rFonts w:ascii="Arial" w:hAnsi="Arial" w:cs="Arial"/>
                <w:sz w:val="16"/>
                <w:szCs w:val="16"/>
              </w:rPr>
              <w:t>rekr.čin</w:t>
            </w:r>
            <w:proofErr w:type="spellEnd"/>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63 108</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6 642</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298 248</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10,52</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2,611</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44,90</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1 648</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S. Ostatní činnosti</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61 834</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7 378</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372 371</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11,93</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3,327</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50,47</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2 057</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U. Čin.exteritoriál.org.</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62</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191</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1,61</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1,702</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191,00</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1</w:t>
            </w:r>
          </w:p>
        </w:tc>
      </w:tr>
      <w:tr w:rsidR="00671818" w:rsidRPr="00671818" w:rsidTr="00671818">
        <w:trPr>
          <w:trHeight w:val="225"/>
        </w:trPr>
        <w:tc>
          <w:tcPr>
            <w:tcW w:w="2320" w:type="dxa"/>
            <w:tcBorders>
              <w:top w:val="nil"/>
              <w:left w:val="single" w:sz="8" w:space="0" w:color="auto"/>
              <w:bottom w:val="nil"/>
              <w:right w:val="single" w:sz="8" w:space="0" w:color="auto"/>
            </w:tcBorders>
            <w:shd w:val="clear" w:color="auto" w:fill="auto"/>
            <w:noWrap/>
            <w:vAlign w:val="bottom"/>
            <w:hideMark/>
          </w:tcPr>
          <w:p w:rsidR="00671818" w:rsidRPr="00671818" w:rsidRDefault="00671818" w:rsidP="00671818">
            <w:pPr>
              <w:rPr>
                <w:rFonts w:ascii="Arial" w:hAnsi="Arial" w:cs="Arial"/>
                <w:sz w:val="16"/>
                <w:szCs w:val="16"/>
              </w:rPr>
            </w:pPr>
            <w:r w:rsidRPr="00671818">
              <w:rPr>
                <w:rFonts w:ascii="Arial" w:hAnsi="Arial" w:cs="Arial"/>
                <w:sz w:val="16"/>
                <w:szCs w:val="16"/>
              </w:rPr>
              <w:t>Nezjištěno</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x</w:t>
            </w:r>
          </w:p>
        </w:tc>
        <w:tc>
          <w:tcPr>
            <w:tcW w:w="126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x</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x</w:t>
            </w:r>
          </w:p>
        </w:tc>
        <w:tc>
          <w:tcPr>
            <w:tcW w:w="130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x</w:t>
            </w:r>
          </w:p>
        </w:tc>
        <w:tc>
          <w:tcPr>
            <w:tcW w:w="122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x</w:t>
            </w:r>
          </w:p>
        </w:tc>
        <w:tc>
          <w:tcPr>
            <w:tcW w:w="124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x</w:t>
            </w:r>
          </w:p>
        </w:tc>
        <w:tc>
          <w:tcPr>
            <w:tcW w:w="1180" w:type="dxa"/>
            <w:tcBorders>
              <w:top w:val="nil"/>
              <w:left w:val="nil"/>
              <w:bottom w:val="nil"/>
              <w:right w:val="single" w:sz="8" w:space="0" w:color="auto"/>
            </w:tcBorders>
            <w:shd w:val="clear" w:color="auto" w:fill="auto"/>
            <w:noWrap/>
            <w:vAlign w:val="bottom"/>
            <w:hideMark/>
          </w:tcPr>
          <w:p w:rsidR="00671818" w:rsidRPr="00671818" w:rsidRDefault="00671818" w:rsidP="00671818">
            <w:pPr>
              <w:jc w:val="right"/>
              <w:rPr>
                <w:rFonts w:ascii="Arial" w:hAnsi="Arial" w:cs="Arial"/>
                <w:sz w:val="16"/>
                <w:szCs w:val="16"/>
              </w:rPr>
            </w:pPr>
            <w:r w:rsidRPr="00671818">
              <w:rPr>
                <w:rFonts w:ascii="Arial" w:hAnsi="Arial" w:cs="Arial"/>
                <w:sz w:val="16"/>
                <w:szCs w:val="16"/>
              </w:rPr>
              <w:t>x</w:t>
            </w:r>
          </w:p>
        </w:tc>
      </w:tr>
      <w:tr w:rsidR="00671818" w:rsidRPr="00671818" w:rsidTr="00671818">
        <w:trPr>
          <w:trHeight w:val="240"/>
        </w:trPr>
        <w:tc>
          <w:tcPr>
            <w:tcW w:w="2320" w:type="dxa"/>
            <w:tcBorders>
              <w:top w:val="nil"/>
              <w:left w:val="single" w:sz="8" w:space="0" w:color="auto"/>
              <w:bottom w:val="single" w:sz="8" w:space="0" w:color="auto"/>
              <w:right w:val="single" w:sz="8" w:space="0" w:color="auto"/>
            </w:tcBorders>
            <w:shd w:val="clear" w:color="auto" w:fill="auto"/>
            <w:noWrap/>
            <w:vAlign w:val="bottom"/>
            <w:hideMark/>
          </w:tcPr>
          <w:p w:rsidR="00671818" w:rsidRPr="00671818" w:rsidRDefault="00671818" w:rsidP="00671818">
            <w:pPr>
              <w:rPr>
                <w:rFonts w:ascii="Arial" w:hAnsi="Arial" w:cs="Arial"/>
                <w:b/>
                <w:bCs/>
                <w:sz w:val="16"/>
                <w:szCs w:val="16"/>
              </w:rPr>
            </w:pPr>
            <w:r w:rsidRPr="00671818">
              <w:rPr>
                <w:rFonts w:ascii="Arial" w:hAnsi="Arial" w:cs="Arial"/>
                <w:b/>
                <w:bCs/>
                <w:sz w:val="16"/>
                <w:szCs w:val="16"/>
              </w:rPr>
              <w:t>Celkem</w:t>
            </w:r>
          </w:p>
        </w:tc>
        <w:tc>
          <w:tcPr>
            <w:tcW w:w="1180" w:type="dxa"/>
            <w:tcBorders>
              <w:top w:val="nil"/>
              <w:left w:val="nil"/>
              <w:bottom w:val="single" w:sz="8" w:space="0" w:color="auto"/>
              <w:right w:val="single" w:sz="8" w:space="0" w:color="auto"/>
            </w:tcBorders>
            <w:shd w:val="clear" w:color="auto" w:fill="auto"/>
            <w:noWrap/>
            <w:vAlign w:val="bottom"/>
            <w:hideMark/>
          </w:tcPr>
          <w:p w:rsidR="00671818" w:rsidRPr="00671818" w:rsidRDefault="00671818" w:rsidP="00671818">
            <w:pPr>
              <w:jc w:val="right"/>
              <w:rPr>
                <w:rFonts w:ascii="Arial" w:hAnsi="Arial" w:cs="Arial"/>
                <w:b/>
                <w:bCs/>
                <w:sz w:val="16"/>
                <w:szCs w:val="16"/>
              </w:rPr>
            </w:pPr>
            <w:r w:rsidRPr="00671818">
              <w:rPr>
                <w:rFonts w:ascii="Arial" w:hAnsi="Arial" w:cs="Arial"/>
                <w:b/>
                <w:bCs/>
                <w:sz w:val="16"/>
                <w:szCs w:val="16"/>
              </w:rPr>
              <w:t>4 413 503</w:t>
            </w:r>
          </w:p>
        </w:tc>
        <w:tc>
          <w:tcPr>
            <w:tcW w:w="1260" w:type="dxa"/>
            <w:tcBorders>
              <w:top w:val="nil"/>
              <w:left w:val="nil"/>
              <w:bottom w:val="single" w:sz="8" w:space="0" w:color="auto"/>
              <w:right w:val="single" w:sz="8" w:space="0" w:color="auto"/>
            </w:tcBorders>
            <w:shd w:val="clear" w:color="auto" w:fill="auto"/>
            <w:noWrap/>
            <w:vAlign w:val="bottom"/>
            <w:hideMark/>
          </w:tcPr>
          <w:p w:rsidR="00671818" w:rsidRPr="00671818" w:rsidRDefault="00671818" w:rsidP="00671818">
            <w:pPr>
              <w:jc w:val="right"/>
              <w:rPr>
                <w:rFonts w:ascii="Arial" w:hAnsi="Arial" w:cs="Arial"/>
                <w:b/>
                <w:bCs/>
                <w:sz w:val="16"/>
                <w:szCs w:val="16"/>
              </w:rPr>
            </w:pPr>
            <w:r w:rsidRPr="00671818">
              <w:rPr>
                <w:rFonts w:ascii="Arial" w:hAnsi="Arial" w:cs="Arial"/>
                <w:b/>
                <w:bCs/>
                <w:sz w:val="16"/>
                <w:szCs w:val="16"/>
              </w:rPr>
              <w:t>664 119</w:t>
            </w:r>
          </w:p>
        </w:tc>
        <w:tc>
          <w:tcPr>
            <w:tcW w:w="1240" w:type="dxa"/>
            <w:tcBorders>
              <w:top w:val="nil"/>
              <w:left w:val="nil"/>
              <w:bottom w:val="single" w:sz="8" w:space="0" w:color="auto"/>
              <w:right w:val="single" w:sz="8" w:space="0" w:color="auto"/>
            </w:tcBorders>
            <w:shd w:val="clear" w:color="auto" w:fill="auto"/>
            <w:noWrap/>
            <w:vAlign w:val="bottom"/>
            <w:hideMark/>
          </w:tcPr>
          <w:p w:rsidR="00671818" w:rsidRPr="00671818" w:rsidRDefault="00671818" w:rsidP="00671818">
            <w:pPr>
              <w:jc w:val="right"/>
              <w:rPr>
                <w:rFonts w:ascii="Arial" w:hAnsi="Arial" w:cs="Arial"/>
                <w:b/>
                <w:bCs/>
                <w:sz w:val="16"/>
                <w:szCs w:val="16"/>
              </w:rPr>
            </w:pPr>
            <w:r w:rsidRPr="00671818">
              <w:rPr>
                <w:rFonts w:ascii="Arial" w:hAnsi="Arial" w:cs="Arial"/>
                <w:b/>
                <w:bCs/>
                <w:sz w:val="16"/>
                <w:szCs w:val="16"/>
              </w:rPr>
              <w:t>30 512 184</w:t>
            </w:r>
          </w:p>
        </w:tc>
        <w:tc>
          <w:tcPr>
            <w:tcW w:w="1300" w:type="dxa"/>
            <w:tcBorders>
              <w:top w:val="nil"/>
              <w:left w:val="nil"/>
              <w:bottom w:val="single" w:sz="8" w:space="0" w:color="auto"/>
              <w:right w:val="single" w:sz="8" w:space="0" w:color="auto"/>
            </w:tcBorders>
            <w:shd w:val="clear" w:color="auto" w:fill="auto"/>
            <w:noWrap/>
            <w:vAlign w:val="bottom"/>
            <w:hideMark/>
          </w:tcPr>
          <w:p w:rsidR="00671818" w:rsidRPr="00671818" w:rsidRDefault="00671818" w:rsidP="00671818">
            <w:pPr>
              <w:jc w:val="right"/>
              <w:rPr>
                <w:rFonts w:ascii="Arial" w:hAnsi="Arial" w:cs="Arial"/>
                <w:b/>
                <w:bCs/>
                <w:sz w:val="16"/>
                <w:szCs w:val="16"/>
              </w:rPr>
            </w:pPr>
            <w:r w:rsidRPr="00671818">
              <w:rPr>
                <w:rFonts w:ascii="Arial" w:hAnsi="Arial" w:cs="Arial"/>
                <w:b/>
                <w:bCs/>
                <w:sz w:val="16"/>
                <w:szCs w:val="16"/>
              </w:rPr>
              <w:t>15,05</w:t>
            </w:r>
          </w:p>
        </w:tc>
        <w:tc>
          <w:tcPr>
            <w:tcW w:w="1220" w:type="dxa"/>
            <w:tcBorders>
              <w:top w:val="nil"/>
              <w:left w:val="nil"/>
              <w:bottom w:val="single" w:sz="8" w:space="0" w:color="auto"/>
              <w:right w:val="single" w:sz="8" w:space="0" w:color="auto"/>
            </w:tcBorders>
            <w:shd w:val="clear" w:color="auto" w:fill="auto"/>
            <w:noWrap/>
            <w:vAlign w:val="bottom"/>
            <w:hideMark/>
          </w:tcPr>
          <w:p w:rsidR="00671818" w:rsidRPr="00671818" w:rsidRDefault="00671818" w:rsidP="00671818">
            <w:pPr>
              <w:jc w:val="right"/>
              <w:rPr>
                <w:rFonts w:ascii="Arial" w:hAnsi="Arial" w:cs="Arial"/>
                <w:b/>
                <w:bCs/>
                <w:sz w:val="16"/>
                <w:szCs w:val="16"/>
              </w:rPr>
            </w:pPr>
            <w:r w:rsidRPr="00671818">
              <w:rPr>
                <w:rFonts w:ascii="Arial" w:hAnsi="Arial" w:cs="Arial"/>
                <w:b/>
                <w:bCs/>
                <w:sz w:val="16"/>
                <w:szCs w:val="16"/>
              </w:rPr>
              <w:t>3,820</w:t>
            </w:r>
          </w:p>
        </w:tc>
        <w:tc>
          <w:tcPr>
            <w:tcW w:w="1240" w:type="dxa"/>
            <w:tcBorders>
              <w:top w:val="nil"/>
              <w:left w:val="nil"/>
              <w:bottom w:val="single" w:sz="8" w:space="0" w:color="auto"/>
              <w:right w:val="single" w:sz="8" w:space="0" w:color="auto"/>
            </w:tcBorders>
            <w:shd w:val="clear" w:color="auto" w:fill="auto"/>
            <w:noWrap/>
            <w:vAlign w:val="bottom"/>
            <w:hideMark/>
          </w:tcPr>
          <w:p w:rsidR="00671818" w:rsidRPr="00671818" w:rsidRDefault="00671818" w:rsidP="00671818">
            <w:pPr>
              <w:jc w:val="right"/>
              <w:rPr>
                <w:rFonts w:ascii="Arial" w:hAnsi="Arial" w:cs="Arial"/>
                <w:b/>
                <w:bCs/>
                <w:sz w:val="16"/>
                <w:szCs w:val="16"/>
              </w:rPr>
            </w:pPr>
            <w:r w:rsidRPr="00671818">
              <w:rPr>
                <w:rFonts w:ascii="Arial" w:hAnsi="Arial" w:cs="Arial"/>
                <w:b/>
                <w:bCs/>
                <w:sz w:val="16"/>
                <w:szCs w:val="16"/>
              </w:rPr>
              <w:t>45,94</w:t>
            </w:r>
          </w:p>
        </w:tc>
        <w:tc>
          <w:tcPr>
            <w:tcW w:w="1180" w:type="dxa"/>
            <w:tcBorders>
              <w:top w:val="nil"/>
              <w:left w:val="nil"/>
              <w:bottom w:val="single" w:sz="8" w:space="0" w:color="auto"/>
              <w:right w:val="single" w:sz="8" w:space="0" w:color="auto"/>
            </w:tcBorders>
            <w:shd w:val="clear" w:color="auto" w:fill="auto"/>
            <w:noWrap/>
            <w:vAlign w:val="bottom"/>
            <w:hideMark/>
          </w:tcPr>
          <w:p w:rsidR="00671818" w:rsidRPr="00671818" w:rsidRDefault="00671818" w:rsidP="008E65ED">
            <w:pPr>
              <w:jc w:val="right"/>
              <w:rPr>
                <w:rFonts w:ascii="Arial" w:hAnsi="Arial" w:cs="Arial"/>
                <w:b/>
                <w:bCs/>
                <w:sz w:val="16"/>
                <w:szCs w:val="16"/>
              </w:rPr>
            </w:pPr>
            <w:r w:rsidRPr="00671818">
              <w:rPr>
                <w:rFonts w:ascii="Arial" w:hAnsi="Arial" w:cs="Arial"/>
                <w:b/>
                <w:bCs/>
                <w:sz w:val="16"/>
                <w:szCs w:val="16"/>
              </w:rPr>
              <w:t>168 57</w:t>
            </w:r>
            <w:r w:rsidR="008E65ED">
              <w:rPr>
                <w:rFonts w:ascii="Arial" w:hAnsi="Arial" w:cs="Arial"/>
                <w:b/>
                <w:bCs/>
                <w:sz w:val="16"/>
                <w:szCs w:val="16"/>
              </w:rPr>
              <w:t>5</w:t>
            </w:r>
          </w:p>
        </w:tc>
      </w:tr>
      <w:tr w:rsidR="00671818" w:rsidRPr="00671818" w:rsidTr="00671818">
        <w:trPr>
          <w:trHeight w:val="300"/>
        </w:trPr>
        <w:tc>
          <w:tcPr>
            <w:tcW w:w="6000" w:type="dxa"/>
            <w:gridSpan w:val="4"/>
            <w:tcBorders>
              <w:top w:val="nil"/>
              <w:left w:val="nil"/>
              <w:bottom w:val="nil"/>
              <w:right w:val="nil"/>
            </w:tcBorders>
            <w:shd w:val="clear" w:color="auto" w:fill="auto"/>
            <w:vAlign w:val="bottom"/>
            <w:hideMark/>
          </w:tcPr>
          <w:p w:rsidR="00671818" w:rsidRPr="00671818" w:rsidRDefault="00671818" w:rsidP="00671818">
            <w:pPr>
              <w:jc w:val="both"/>
              <w:rPr>
                <w:rFonts w:ascii="Arial" w:hAnsi="Arial" w:cs="Arial"/>
                <w:color w:val="000000"/>
                <w:sz w:val="16"/>
                <w:szCs w:val="16"/>
              </w:rPr>
            </w:pPr>
            <w:r w:rsidRPr="00671818">
              <w:rPr>
                <w:rFonts w:ascii="Arial" w:hAnsi="Arial" w:cs="Arial"/>
                <w:color w:val="000000"/>
                <w:sz w:val="16"/>
                <w:szCs w:val="16"/>
              </w:rPr>
              <w:t>*) - ležatá čárka na místě čísla značí, že se jev nevyskytoval</w:t>
            </w:r>
          </w:p>
        </w:tc>
        <w:tc>
          <w:tcPr>
            <w:tcW w:w="1300" w:type="dxa"/>
            <w:tcBorders>
              <w:top w:val="nil"/>
              <w:left w:val="nil"/>
              <w:bottom w:val="nil"/>
              <w:right w:val="nil"/>
            </w:tcBorders>
            <w:shd w:val="clear" w:color="auto" w:fill="auto"/>
            <w:noWrap/>
            <w:vAlign w:val="bottom"/>
            <w:hideMark/>
          </w:tcPr>
          <w:p w:rsidR="00671818" w:rsidRPr="00671818" w:rsidRDefault="00671818" w:rsidP="00671818">
            <w:pPr>
              <w:rPr>
                <w:rFonts w:ascii="Arial" w:hAnsi="Arial" w:cs="Arial"/>
                <w:color w:val="000000"/>
                <w:sz w:val="22"/>
                <w:szCs w:val="22"/>
              </w:rPr>
            </w:pPr>
          </w:p>
        </w:tc>
        <w:tc>
          <w:tcPr>
            <w:tcW w:w="1220" w:type="dxa"/>
            <w:tcBorders>
              <w:top w:val="nil"/>
              <w:left w:val="nil"/>
              <w:bottom w:val="nil"/>
              <w:right w:val="nil"/>
            </w:tcBorders>
            <w:shd w:val="clear" w:color="auto" w:fill="auto"/>
            <w:noWrap/>
            <w:vAlign w:val="bottom"/>
            <w:hideMark/>
          </w:tcPr>
          <w:p w:rsidR="00671818" w:rsidRPr="00671818" w:rsidRDefault="00671818" w:rsidP="00671818">
            <w:pPr>
              <w:rPr>
                <w:rFonts w:ascii="Arial" w:hAnsi="Arial" w:cs="Arial"/>
                <w:color w:val="000000"/>
                <w:sz w:val="22"/>
                <w:szCs w:val="22"/>
              </w:rPr>
            </w:pPr>
          </w:p>
        </w:tc>
        <w:tc>
          <w:tcPr>
            <w:tcW w:w="1240" w:type="dxa"/>
            <w:tcBorders>
              <w:top w:val="nil"/>
              <w:left w:val="nil"/>
              <w:bottom w:val="nil"/>
              <w:right w:val="nil"/>
            </w:tcBorders>
            <w:shd w:val="clear" w:color="auto" w:fill="auto"/>
            <w:noWrap/>
            <w:vAlign w:val="bottom"/>
            <w:hideMark/>
          </w:tcPr>
          <w:p w:rsidR="00671818" w:rsidRPr="00671818" w:rsidRDefault="00671818" w:rsidP="00671818">
            <w:pPr>
              <w:rPr>
                <w:rFonts w:ascii="Arial" w:hAnsi="Arial" w:cs="Arial"/>
                <w:color w:val="000000"/>
                <w:sz w:val="22"/>
                <w:szCs w:val="22"/>
              </w:rPr>
            </w:pPr>
          </w:p>
        </w:tc>
        <w:tc>
          <w:tcPr>
            <w:tcW w:w="1180" w:type="dxa"/>
            <w:tcBorders>
              <w:top w:val="nil"/>
              <w:left w:val="nil"/>
              <w:bottom w:val="nil"/>
              <w:right w:val="nil"/>
            </w:tcBorders>
            <w:shd w:val="clear" w:color="auto" w:fill="auto"/>
            <w:noWrap/>
            <w:vAlign w:val="bottom"/>
            <w:hideMark/>
          </w:tcPr>
          <w:p w:rsidR="00671818" w:rsidRPr="00671818" w:rsidRDefault="00671818" w:rsidP="00671818">
            <w:pPr>
              <w:rPr>
                <w:rFonts w:ascii="Arial" w:hAnsi="Arial" w:cs="Arial"/>
                <w:color w:val="000000"/>
                <w:sz w:val="22"/>
                <w:szCs w:val="22"/>
              </w:rPr>
            </w:pPr>
          </w:p>
        </w:tc>
      </w:tr>
      <w:tr w:rsidR="00671818" w:rsidRPr="00671818" w:rsidTr="00671818">
        <w:trPr>
          <w:trHeight w:val="240"/>
        </w:trPr>
        <w:tc>
          <w:tcPr>
            <w:tcW w:w="6000" w:type="dxa"/>
            <w:gridSpan w:val="4"/>
            <w:tcBorders>
              <w:top w:val="nil"/>
              <w:left w:val="nil"/>
              <w:bottom w:val="nil"/>
              <w:right w:val="nil"/>
            </w:tcBorders>
            <w:shd w:val="clear" w:color="auto" w:fill="auto"/>
            <w:vAlign w:val="bottom"/>
            <w:hideMark/>
          </w:tcPr>
          <w:p w:rsidR="00671818" w:rsidRPr="00671818" w:rsidRDefault="00671818" w:rsidP="00671818">
            <w:pPr>
              <w:jc w:val="both"/>
              <w:rPr>
                <w:rFonts w:ascii="Arial" w:hAnsi="Arial" w:cs="Arial"/>
                <w:color w:val="000000"/>
                <w:sz w:val="16"/>
                <w:szCs w:val="16"/>
              </w:rPr>
            </w:pPr>
            <w:r w:rsidRPr="00671818">
              <w:rPr>
                <w:rFonts w:ascii="Arial" w:hAnsi="Arial" w:cs="Arial"/>
                <w:color w:val="000000"/>
                <w:sz w:val="16"/>
                <w:szCs w:val="16"/>
              </w:rPr>
              <w:t xml:space="preserve">   x ležatý křížek na místě čísla značí, že zápis není možný z logických důvodů</w:t>
            </w:r>
          </w:p>
        </w:tc>
        <w:tc>
          <w:tcPr>
            <w:tcW w:w="1300" w:type="dxa"/>
            <w:tcBorders>
              <w:top w:val="nil"/>
              <w:left w:val="nil"/>
              <w:bottom w:val="nil"/>
              <w:right w:val="nil"/>
            </w:tcBorders>
            <w:shd w:val="clear" w:color="auto" w:fill="auto"/>
            <w:noWrap/>
            <w:vAlign w:val="bottom"/>
            <w:hideMark/>
          </w:tcPr>
          <w:p w:rsidR="00671818" w:rsidRPr="00671818" w:rsidRDefault="00671818" w:rsidP="00671818">
            <w:pPr>
              <w:rPr>
                <w:rFonts w:ascii="Arial" w:hAnsi="Arial" w:cs="Arial"/>
                <w:color w:val="000000"/>
                <w:sz w:val="22"/>
                <w:szCs w:val="22"/>
              </w:rPr>
            </w:pPr>
          </w:p>
        </w:tc>
        <w:tc>
          <w:tcPr>
            <w:tcW w:w="1220" w:type="dxa"/>
            <w:tcBorders>
              <w:top w:val="nil"/>
              <w:left w:val="nil"/>
              <w:bottom w:val="nil"/>
              <w:right w:val="nil"/>
            </w:tcBorders>
            <w:shd w:val="clear" w:color="auto" w:fill="auto"/>
            <w:noWrap/>
            <w:vAlign w:val="bottom"/>
            <w:hideMark/>
          </w:tcPr>
          <w:p w:rsidR="00671818" w:rsidRPr="00671818" w:rsidRDefault="00671818" w:rsidP="00671818">
            <w:pPr>
              <w:rPr>
                <w:rFonts w:ascii="Arial" w:hAnsi="Arial" w:cs="Arial"/>
                <w:color w:val="000000"/>
                <w:sz w:val="22"/>
                <w:szCs w:val="22"/>
              </w:rPr>
            </w:pPr>
          </w:p>
        </w:tc>
        <w:tc>
          <w:tcPr>
            <w:tcW w:w="1240" w:type="dxa"/>
            <w:tcBorders>
              <w:top w:val="nil"/>
              <w:left w:val="nil"/>
              <w:bottom w:val="nil"/>
              <w:right w:val="nil"/>
            </w:tcBorders>
            <w:shd w:val="clear" w:color="auto" w:fill="auto"/>
            <w:noWrap/>
            <w:vAlign w:val="bottom"/>
            <w:hideMark/>
          </w:tcPr>
          <w:p w:rsidR="00671818" w:rsidRPr="00671818" w:rsidRDefault="00671818" w:rsidP="00671818">
            <w:pPr>
              <w:rPr>
                <w:rFonts w:ascii="Arial" w:hAnsi="Arial" w:cs="Arial"/>
                <w:color w:val="000000"/>
                <w:sz w:val="22"/>
                <w:szCs w:val="22"/>
              </w:rPr>
            </w:pPr>
          </w:p>
        </w:tc>
        <w:tc>
          <w:tcPr>
            <w:tcW w:w="1180" w:type="dxa"/>
            <w:tcBorders>
              <w:top w:val="nil"/>
              <w:left w:val="nil"/>
              <w:bottom w:val="nil"/>
              <w:right w:val="nil"/>
            </w:tcBorders>
            <w:shd w:val="clear" w:color="auto" w:fill="auto"/>
            <w:noWrap/>
            <w:vAlign w:val="bottom"/>
            <w:hideMark/>
          </w:tcPr>
          <w:p w:rsidR="00671818" w:rsidRPr="00671818" w:rsidRDefault="00671818" w:rsidP="00671818">
            <w:pPr>
              <w:rPr>
                <w:rFonts w:ascii="Arial" w:hAnsi="Arial" w:cs="Arial"/>
                <w:color w:val="000000"/>
                <w:sz w:val="22"/>
                <w:szCs w:val="22"/>
              </w:rPr>
            </w:pPr>
          </w:p>
        </w:tc>
      </w:tr>
    </w:tbl>
    <w:p w:rsidR="00EF71AB" w:rsidRDefault="00EF71AB" w:rsidP="000D787D">
      <w:pPr>
        <w:ind w:firstLine="360"/>
        <w:jc w:val="center"/>
        <w:rPr>
          <w:rFonts w:ascii="Arial" w:hAnsi="Arial" w:cs="Arial"/>
          <w:b/>
          <w:sz w:val="22"/>
          <w:szCs w:val="22"/>
        </w:rPr>
      </w:pPr>
    </w:p>
    <w:p w:rsidR="00BD52CF" w:rsidRDefault="00BD52CF" w:rsidP="000D787D">
      <w:pPr>
        <w:ind w:firstLine="360"/>
        <w:jc w:val="center"/>
        <w:rPr>
          <w:rFonts w:ascii="Arial" w:hAnsi="Arial" w:cs="Arial"/>
          <w:b/>
          <w:sz w:val="22"/>
          <w:szCs w:val="22"/>
        </w:rPr>
      </w:pPr>
    </w:p>
    <w:p w:rsidR="0017400B" w:rsidRDefault="0017400B" w:rsidP="000D787D">
      <w:pPr>
        <w:ind w:firstLine="360"/>
        <w:jc w:val="center"/>
        <w:rPr>
          <w:rFonts w:ascii="Arial" w:hAnsi="Arial" w:cs="Arial"/>
          <w:b/>
          <w:sz w:val="22"/>
          <w:szCs w:val="22"/>
        </w:rPr>
      </w:pPr>
    </w:p>
    <w:p w:rsidR="0072189C" w:rsidRDefault="0072189C" w:rsidP="000D787D">
      <w:pPr>
        <w:ind w:firstLine="360"/>
        <w:jc w:val="center"/>
        <w:rPr>
          <w:rFonts w:ascii="Arial" w:hAnsi="Arial" w:cs="Arial"/>
          <w:b/>
          <w:sz w:val="22"/>
          <w:szCs w:val="22"/>
        </w:rPr>
      </w:pPr>
    </w:p>
    <w:p w:rsidR="0072189C" w:rsidRDefault="00830B90" w:rsidP="000D787D">
      <w:pPr>
        <w:ind w:firstLine="360"/>
        <w:jc w:val="center"/>
        <w:rPr>
          <w:rFonts w:ascii="Arial" w:hAnsi="Arial" w:cs="Arial"/>
          <w:b/>
          <w:sz w:val="22"/>
          <w:szCs w:val="22"/>
        </w:rPr>
      </w:pPr>
      <w:r w:rsidRPr="00406D58">
        <w:rPr>
          <w:rFonts w:ascii="Arial" w:hAnsi="Arial" w:cs="Arial"/>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68pt;height:278.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">
            <v:imagedata r:id="rId7" o:title="" cropbottom="-27f"/>
            <o:lock v:ext="edit" aspectratio="f"/>
          </v:shape>
        </w:pict>
      </w:r>
    </w:p>
    <w:p w:rsidR="0072189C" w:rsidRDefault="0072189C" w:rsidP="000D787D">
      <w:pPr>
        <w:ind w:firstLine="360"/>
        <w:jc w:val="center"/>
        <w:rPr>
          <w:rFonts w:ascii="Arial" w:hAnsi="Arial" w:cs="Arial"/>
          <w:b/>
          <w:sz w:val="22"/>
          <w:szCs w:val="22"/>
        </w:rPr>
      </w:pPr>
    </w:p>
    <w:p w:rsidR="00846321" w:rsidRDefault="00846321" w:rsidP="0033167C">
      <w:pPr>
        <w:ind w:firstLine="360"/>
        <w:jc w:val="center"/>
        <w:rPr>
          <w:rFonts w:ascii="Arial" w:hAnsi="Arial" w:cs="Arial"/>
          <w:b/>
          <w:noProof/>
          <w:sz w:val="22"/>
          <w:szCs w:val="22"/>
        </w:rPr>
      </w:pPr>
    </w:p>
    <w:p w:rsidR="0033167C" w:rsidRDefault="0033167C" w:rsidP="0033167C">
      <w:pPr>
        <w:ind w:firstLine="360"/>
        <w:jc w:val="center"/>
        <w:rPr>
          <w:rFonts w:ascii="Arial" w:hAnsi="Arial" w:cs="Arial"/>
          <w:b/>
          <w:noProof/>
          <w:sz w:val="22"/>
          <w:szCs w:val="22"/>
        </w:rPr>
      </w:pPr>
    </w:p>
    <w:p w:rsidR="00EC22C1" w:rsidRDefault="00830B90" w:rsidP="0033167C">
      <w:pPr>
        <w:ind w:firstLine="360"/>
        <w:jc w:val="center"/>
        <w:rPr>
          <w:rFonts w:ascii="Arial" w:hAnsi="Arial" w:cs="Arial"/>
          <w:b/>
          <w:noProof/>
          <w:sz w:val="22"/>
          <w:szCs w:val="22"/>
        </w:rPr>
      </w:pPr>
      <w:r w:rsidRPr="00406D58">
        <w:rPr>
          <w:rFonts w:ascii="Arial" w:hAnsi="Arial" w:cs="Arial"/>
          <w:b/>
          <w:noProof/>
          <w:sz w:val="22"/>
          <w:szCs w:val="22"/>
        </w:rPr>
        <w:pict>
          <v:shape id="_x0000_i1026" type="#_x0000_t75" style="width:472.5pt;height:30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">
            <v:imagedata r:id="rId8" o:title=""/>
            <o:lock v:ext="edit" aspectratio="f"/>
          </v:shape>
        </w:pict>
      </w:r>
    </w:p>
    <w:p w:rsidR="00BD52CF" w:rsidRDefault="00BD52CF" w:rsidP="0072189C">
      <w:pPr>
        <w:ind w:firstLine="360"/>
        <w:jc w:val="center"/>
        <w:rPr>
          <w:rFonts w:ascii="Arial" w:hAnsi="Arial" w:cs="Arial"/>
          <w:b/>
          <w:sz w:val="22"/>
          <w:szCs w:val="22"/>
        </w:rPr>
      </w:pPr>
    </w:p>
    <w:p w:rsidR="00A26B89" w:rsidRDefault="00A26B89" w:rsidP="00CA461F">
      <w:pPr>
        <w:ind w:firstLine="360"/>
        <w:jc w:val="center"/>
        <w:rPr>
          <w:rFonts w:ascii="Arial" w:hAnsi="Arial" w:cs="Arial"/>
          <w:b/>
          <w:sz w:val="22"/>
          <w:szCs w:val="22"/>
        </w:rPr>
      </w:pPr>
    </w:p>
    <w:p w:rsidR="00FF09E4" w:rsidRPr="00562E9D" w:rsidRDefault="00FF09E4" w:rsidP="006E7E9D">
      <w:pPr>
        <w:jc w:val="both"/>
        <w:rPr>
          <w:rFonts w:ascii="Arial" w:hAnsi="Arial" w:cs="Arial"/>
        </w:rPr>
      </w:pPr>
      <w:r w:rsidRPr="00562E9D">
        <w:rPr>
          <w:rFonts w:ascii="Arial" w:hAnsi="Arial" w:cs="Arial"/>
        </w:rPr>
        <w:t>*)  Srovnatelnost časových řad a údajů sledovaných statistickým zjišťováním pracovní neschopnosti pro nemoc a úraz státním statistickým výkazem „</w:t>
      </w:r>
      <w:proofErr w:type="spellStart"/>
      <w:r w:rsidRPr="00562E9D">
        <w:rPr>
          <w:rFonts w:ascii="Arial" w:hAnsi="Arial" w:cs="Arial"/>
        </w:rPr>
        <w:t>Nem</w:t>
      </w:r>
      <w:proofErr w:type="spellEnd"/>
      <w:r w:rsidRPr="00562E9D">
        <w:rPr>
          <w:rFonts w:ascii="Arial" w:hAnsi="Arial" w:cs="Arial"/>
        </w:rPr>
        <w:t xml:space="preserve"> </w:t>
      </w:r>
      <w:proofErr w:type="spellStart"/>
      <w:r w:rsidRPr="00562E9D">
        <w:rPr>
          <w:rFonts w:ascii="Arial" w:hAnsi="Arial" w:cs="Arial"/>
        </w:rPr>
        <w:t>Úr</w:t>
      </w:r>
      <w:proofErr w:type="spellEnd"/>
      <w:r w:rsidRPr="00562E9D">
        <w:rPr>
          <w:rFonts w:ascii="Arial" w:hAnsi="Arial" w:cs="Arial"/>
        </w:rPr>
        <w:t xml:space="preserve"> 1-02“ končí rokem 2011. Od roku 2012 jsou údaje „Statistiky dočasné pracovní neschopnosti pro nemoc a úraz“ získávány zpracováním dat z administrativního zdroje Informačního systému České správy sociálního zabezpečení (ČSSZ)</w:t>
      </w:r>
      <w:r w:rsidR="00E84711">
        <w:rPr>
          <w:rFonts w:ascii="Arial" w:hAnsi="Arial" w:cs="Arial"/>
        </w:rPr>
        <w:t>,</w:t>
      </w:r>
      <w:r w:rsidRPr="00562E9D">
        <w:rPr>
          <w:rFonts w:ascii="Arial" w:hAnsi="Arial" w:cs="Arial"/>
        </w:rPr>
        <w:t xml:space="preserve"> (viz metodické poznámky). </w:t>
      </w:r>
    </w:p>
    <w:p w:rsidR="00280442" w:rsidRDefault="00280442" w:rsidP="00365645">
      <w:pPr>
        <w:ind w:firstLine="708"/>
        <w:jc w:val="both"/>
        <w:rPr>
          <w:rFonts w:ascii="Arial" w:hAnsi="Arial" w:cs="Arial"/>
          <w:b/>
        </w:rPr>
      </w:pPr>
    </w:p>
    <w:p w:rsidR="00280442" w:rsidRPr="00B813AC" w:rsidRDefault="00280442" w:rsidP="00CB37F2">
      <w:pPr>
        <w:jc w:val="both"/>
        <w:rPr>
          <w:rFonts w:ascii="Arial" w:hAnsi="Arial" w:cs="Arial"/>
          <w:b/>
        </w:rPr>
      </w:pPr>
    </w:p>
    <w:p w:rsidR="00CB37F2" w:rsidRDefault="00CB37F2" w:rsidP="00727B0F">
      <w:pPr>
        <w:ind w:firstLine="708"/>
        <w:rPr>
          <w:rFonts w:ascii="Arial" w:hAnsi="Arial" w:cs="Arial"/>
          <w:b/>
          <w:sz w:val="22"/>
          <w:szCs w:val="22"/>
        </w:rPr>
      </w:pPr>
    </w:p>
    <w:p w:rsidR="0027387A" w:rsidRPr="00727B0F" w:rsidRDefault="0027387A" w:rsidP="00727B0F">
      <w:pPr>
        <w:jc w:val="both"/>
        <w:rPr>
          <w:rFonts w:ascii="Arial" w:hAnsi="Arial" w:cs="Arial"/>
        </w:rPr>
      </w:pPr>
    </w:p>
    <w:p w:rsidR="00341908" w:rsidRDefault="00341908" w:rsidP="00DC008B">
      <w:pPr>
        <w:jc w:val="both"/>
        <w:rPr>
          <w:rFonts w:ascii="Arial" w:hAnsi="Arial" w:cs="Arial"/>
          <w:b/>
        </w:rPr>
      </w:pPr>
    </w:p>
    <w:p w:rsidR="007A64C6" w:rsidRDefault="007A64C6" w:rsidP="00DC008B">
      <w:pPr>
        <w:jc w:val="both"/>
        <w:rPr>
          <w:rFonts w:ascii="Arial" w:hAnsi="Arial" w:cs="Arial"/>
          <w:b/>
          <w:sz w:val="24"/>
          <w:szCs w:val="24"/>
        </w:rPr>
      </w:pPr>
    </w:p>
    <w:p w:rsidR="007A64C6" w:rsidRDefault="007A64C6" w:rsidP="00DC008B">
      <w:pPr>
        <w:jc w:val="both"/>
        <w:rPr>
          <w:rFonts w:ascii="Arial" w:hAnsi="Arial" w:cs="Arial"/>
          <w:b/>
          <w:sz w:val="24"/>
          <w:szCs w:val="24"/>
        </w:rPr>
      </w:pPr>
    </w:p>
    <w:p w:rsidR="008B0BD5" w:rsidRPr="008B0BD5" w:rsidRDefault="00DC008B" w:rsidP="00DC008B">
      <w:pPr>
        <w:jc w:val="both"/>
        <w:rPr>
          <w:rFonts w:ascii="Arial" w:hAnsi="Arial" w:cs="Arial"/>
          <w:b/>
          <w:sz w:val="24"/>
          <w:szCs w:val="24"/>
        </w:rPr>
      </w:pPr>
      <w:r w:rsidRPr="008B0BD5">
        <w:rPr>
          <w:rFonts w:ascii="Arial" w:hAnsi="Arial" w:cs="Arial"/>
          <w:b/>
          <w:sz w:val="24"/>
          <w:szCs w:val="24"/>
        </w:rPr>
        <w:t xml:space="preserve">Nemocenské pojištění </w:t>
      </w:r>
      <w:r w:rsidR="0090635B" w:rsidRPr="008B0BD5">
        <w:rPr>
          <w:rFonts w:ascii="Arial" w:hAnsi="Arial" w:cs="Arial"/>
          <w:b/>
          <w:sz w:val="24"/>
          <w:szCs w:val="24"/>
        </w:rPr>
        <w:t xml:space="preserve">v roce 2014 </w:t>
      </w:r>
    </w:p>
    <w:p w:rsidR="008B0BD5" w:rsidRPr="008B0BD5" w:rsidRDefault="008B0BD5" w:rsidP="00DC008B">
      <w:pPr>
        <w:jc w:val="both"/>
        <w:rPr>
          <w:rFonts w:ascii="Arial" w:hAnsi="Arial" w:cs="Arial"/>
          <w:b/>
          <w:sz w:val="24"/>
          <w:szCs w:val="24"/>
        </w:rPr>
      </w:pPr>
    </w:p>
    <w:p w:rsidR="00DC008B" w:rsidRPr="008B0BD5" w:rsidRDefault="008B0BD5" w:rsidP="00DC008B">
      <w:pPr>
        <w:jc w:val="both"/>
        <w:rPr>
          <w:rFonts w:ascii="Arial" w:hAnsi="Arial" w:cs="Arial"/>
          <w:b/>
          <w:sz w:val="24"/>
          <w:szCs w:val="24"/>
        </w:rPr>
      </w:pPr>
      <w:r w:rsidRPr="008B0BD5">
        <w:rPr>
          <w:rFonts w:ascii="Arial" w:hAnsi="Arial" w:cs="Arial"/>
          <w:b/>
          <w:sz w:val="24"/>
          <w:szCs w:val="24"/>
        </w:rPr>
        <w:t>O</w:t>
      </w:r>
      <w:r w:rsidR="00DC008B" w:rsidRPr="008B0BD5">
        <w:rPr>
          <w:rFonts w:ascii="Arial" w:hAnsi="Arial" w:cs="Arial"/>
          <w:b/>
          <w:sz w:val="24"/>
          <w:szCs w:val="24"/>
        </w:rPr>
        <w:t>becné informace</w:t>
      </w:r>
    </w:p>
    <w:p w:rsidR="00DC008B" w:rsidRDefault="00DC008B" w:rsidP="00DC008B">
      <w:pPr>
        <w:pStyle w:val="Nadpis3"/>
        <w:jc w:val="both"/>
        <w:rPr>
          <w:rFonts w:cs="Arial"/>
          <w:sz w:val="20"/>
        </w:rPr>
      </w:pPr>
    </w:p>
    <w:p w:rsidR="00E25574" w:rsidRPr="00E25574" w:rsidRDefault="00E25574" w:rsidP="008B0BD5">
      <w:pPr>
        <w:pStyle w:val="Nadpis2"/>
        <w:jc w:val="both"/>
        <w:rPr>
          <w:b/>
          <w:sz w:val="22"/>
          <w:szCs w:val="22"/>
        </w:rPr>
      </w:pPr>
    </w:p>
    <w:p w:rsidR="008B0BD5" w:rsidRPr="00E25574" w:rsidRDefault="008B0BD5" w:rsidP="008B0BD5">
      <w:pPr>
        <w:pStyle w:val="Nadpis2"/>
        <w:jc w:val="both"/>
        <w:rPr>
          <w:b/>
          <w:sz w:val="22"/>
          <w:szCs w:val="22"/>
        </w:rPr>
      </w:pPr>
      <w:r w:rsidRPr="00E25574">
        <w:rPr>
          <w:b/>
          <w:sz w:val="22"/>
          <w:szCs w:val="22"/>
        </w:rPr>
        <w:t>Účast na nemocenském pojištění</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Nemocenského pojištění jsou účastni zaměstnanci (kam řadíme i příslušníky ozbrojených sil a bezpečnostních sborů) a osoby samostatně výdělečně činné (dále jen „OSVČ“). Zaměstnanci jsou povinně účastni nemocenského pojištění, na rozdíl od OSVČ, jejichž nemocenské pojištění zůstává dobrovolné.</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Od 1. 1. 2014 se nově definují některé pojmy:</w:t>
      </w:r>
    </w:p>
    <w:p w:rsidR="008B0BD5" w:rsidRPr="004111D0" w:rsidRDefault="008B0BD5" w:rsidP="008B0BD5">
      <w:pPr>
        <w:numPr>
          <w:ilvl w:val="0"/>
          <w:numId w:val="36"/>
        </w:numPr>
        <w:spacing w:before="100" w:beforeAutospacing="1" w:after="100" w:afterAutospacing="1"/>
        <w:jc w:val="both"/>
        <w:rPr>
          <w:rFonts w:ascii="Arial" w:hAnsi="Arial" w:cs="Arial"/>
        </w:rPr>
      </w:pPr>
      <w:r w:rsidRPr="004111D0">
        <w:rPr>
          <w:rFonts w:ascii="Arial" w:hAnsi="Arial" w:cs="Arial"/>
        </w:rPr>
        <w:t>Za „zaměstnání“ se již nepovažuje právní vztah, na jehož základě vykonával zaměstnanec práci. Nově se za zaměstnání považuje činnost zaměstnance pro zaměstnavatele, z níž mu plynou nebo by mohly plynout od zaměstnavatele příjmy ze závislé činnosti bez ohledu na druh pracovního vztahu.</w:t>
      </w:r>
    </w:p>
    <w:p w:rsidR="008B0BD5" w:rsidRPr="004111D0" w:rsidRDefault="008B0BD5" w:rsidP="008B0BD5">
      <w:pPr>
        <w:numPr>
          <w:ilvl w:val="0"/>
          <w:numId w:val="36"/>
        </w:numPr>
        <w:spacing w:before="100" w:beforeAutospacing="1" w:after="100" w:afterAutospacing="1"/>
        <w:jc w:val="both"/>
        <w:rPr>
          <w:rFonts w:ascii="Arial" w:hAnsi="Arial" w:cs="Arial"/>
        </w:rPr>
      </w:pPr>
      <w:r w:rsidRPr="004111D0">
        <w:rPr>
          <w:rFonts w:ascii="Arial" w:hAnsi="Arial" w:cs="Arial"/>
        </w:rPr>
        <w:t>Zaměstnanci se rozumí osoby v době zaměstnání, pokud jim plynou nebo by mohly plynout příjmy ze závislé činnosti, které jsou nebo by byly, pokud by podléhaly zdanění v ČR, předmětem daně a nejsou od této daně osvobozeny.</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Povinná účast na nemocenském pojištění vzniká u zaměstnance (s výjimkou zaměstnance činného na základě dohody o provedení práce), pokud splňuje podmínky stanovené zákonem o nemocenském pojištění. Jedná se o dvě základní podmínky, a to o:</w:t>
      </w:r>
    </w:p>
    <w:p w:rsidR="008B0BD5" w:rsidRPr="004111D0" w:rsidRDefault="008B0BD5" w:rsidP="008B0BD5">
      <w:pPr>
        <w:numPr>
          <w:ilvl w:val="0"/>
          <w:numId w:val="37"/>
        </w:numPr>
        <w:spacing w:before="100" w:beforeAutospacing="1" w:after="100" w:afterAutospacing="1"/>
        <w:jc w:val="both"/>
        <w:rPr>
          <w:rFonts w:ascii="Arial" w:hAnsi="Arial" w:cs="Arial"/>
        </w:rPr>
      </w:pPr>
      <w:r w:rsidRPr="004111D0">
        <w:rPr>
          <w:rFonts w:ascii="Arial" w:hAnsi="Arial" w:cs="Arial"/>
        </w:rPr>
        <w:t>výkon práce na území České republiky (dále jen „ČR“) v zaměstnání vykonávaném v pracovněprávním či pracovním vztahu, který může účast na nemocenském pojištění založit,</w:t>
      </w:r>
    </w:p>
    <w:p w:rsidR="008B0BD5" w:rsidRPr="004111D0" w:rsidRDefault="008B0BD5" w:rsidP="008B0BD5">
      <w:pPr>
        <w:numPr>
          <w:ilvl w:val="0"/>
          <w:numId w:val="37"/>
        </w:numPr>
        <w:spacing w:before="100" w:beforeAutospacing="1" w:after="100" w:afterAutospacing="1"/>
        <w:jc w:val="both"/>
        <w:rPr>
          <w:rFonts w:ascii="Arial" w:hAnsi="Arial" w:cs="Arial"/>
        </w:rPr>
      </w:pPr>
      <w:r w:rsidRPr="004111D0">
        <w:rPr>
          <w:rFonts w:ascii="Arial" w:hAnsi="Arial" w:cs="Arial"/>
        </w:rPr>
        <w:t>minimální výši sjednaného příjmu (jedná se o tzv. rozhodný příjem, jehož hranice byla od 1. 1. 2009 stanovena na 2 000 Kč. Tato částka se od 1. 1.2012 zvýšila na částku 2 500 Kč).</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Od 1. 1. 2014 se ruší zvláštní úprava podmínek účasti na nemocenském pojištění pro krátkodobá zaměstnání, tj. zaměstnání, která neměla trvat a ani netrvala déle než 14 dnů. Zaměstnání se proto budou z hlediska podmínek účasti na nemocenském pojištění dělit na zaměstnání vykonávaná na základě dohody o provedení práce, na zaměstnání malého rozsahu a na ostatní zaměstnání.</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Zvláštní podmínky účasti zaměstnanců na nemocenském pojištění jsou stanoveny při výkonu zaměstnání malého rozsahu. Zaměstnáním malého rozsahu se rozumí zaměstnání, v němž jsou splněny podmínky výkonu zaměstnání na území ČR, avšak není splněna podmínka sjednání příjmu ze zaměstnání ve stanovené výši. Jde o situace, kdy sjednaná měsíční částka započitatelného příjmu je nižší než rozhodný příjem, anebo měsíční příjem nebyl sjednán vůbec. Při výkonu zaměstnání malého rozsahu je zaměstnanec pojištěn jen v těch kalendářních měsících, v nichž dosáhl aspoň příjmu v příslušné rozhodné výši.</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U zaměstnance činného na základě dohody o provedení práce vzniká povinná účast na nemocenském pojištění, pokud splňuje dvě podmínky, a to:</w:t>
      </w:r>
    </w:p>
    <w:p w:rsidR="008B0BD5" w:rsidRPr="004111D0" w:rsidRDefault="008B0BD5" w:rsidP="008B0BD5">
      <w:pPr>
        <w:numPr>
          <w:ilvl w:val="0"/>
          <w:numId w:val="38"/>
        </w:numPr>
        <w:spacing w:before="100" w:beforeAutospacing="1" w:after="100" w:afterAutospacing="1"/>
        <w:jc w:val="both"/>
        <w:rPr>
          <w:rFonts w:ascii="Arial" w:hAnsi="Arial" w:cs="Arial"/>
        </w:rPr>
      </w:pPr>
      <w:r w:rsidRPr="004111D0">
        <w:rPr>
          <w:rFonts w:ascii="Arial" w:hAnsi="Arial" w:cs="Arial"/>
        </w:rPr>
        <w:t>výkon práce na území ČR a</w:t>
      </w:r>
    </w:p>
    <w:p w:rsidR="008B0BD5" w:rsidRPr="004111D0" w:rsidRDefault="008B0BD5" w:rsidP="008B0BD5">
      <w:pPr>
        <w:numPr>
          <w:ilvl w:val="0"/>
          <w:numId w:val="38"/>
        </w:numPr>
        <w:spacing w:before="100" w:beforeAutospacing="1" w:after="100" w:afterAutospacing="1"/>
        <w:jc w:val="both"/>
        <w:rPr>
          <w:rFonts w:ascii="Arial" w:hAnsi="Arial" w:cs="Arial"/>
        </w:rPr>
      </w:pPr>
      <w:r w:rsidRPr="004111D0">
        <w:rPr>
          <w:rFonts w:ascii="Arial" w:hAnsi="Arial" w:cs="Arial"/>
        </w:rPr>
        <w:t>v kalendářním měsíci, v němž dohoda o provedení práce trvá, dosáhl započitatelného příjmu v částce vyšší než 10 000 Kč.</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Od 1. 1. 2014 se zjednodušuje provádění nemocenského pojištění smluvních zaměstnanců, nebude se sledovat, zda jsou či nejsou pojištěni ve „třetím“ státě, v němž má zaměstnavatel sídlo.</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Účast OSVČ na nemocenském pojištění vzniká na základě přihlášky k nemocenskému pojištění a zaplacením pojistného na nemocenské pojištění.</w:t>
      </w:r>
    </w:p>
    <w:p w:rsidR="008B0BD5" w:rsidRPr="004111D0" w:rsidRDefault="008B0BD5" w:rsidP="008B0BD5">
      <w:pPr>
        <w:pStyle w:val="Normlnweb"/>
        <w:jc w:val="both"/>
        <w:rPr>
          <w:rFonts w:ascii="Arial" w:hAnsi="Arial" w:cs="Arial"/>
          <w:sz w:val="20"/>
          <w:szCs w:val="20"/>
        </w:rPr>
      </w:pPr>
      <w:r w:rsidRPr="004111D0">
        <w:rPr>
          <w:rFonts w:ascii="Arial" w:hAnsi="Arial" w:cs="Arial"/>
          <w:sz w:val="20"/>
          <w:szCs w:val="20"/>
        </w:rPr>
        <w:t>Od 1. 1. 2014 OSVČ, která je účastna nemocenského pojištění OSVČ, již není z tohoto důvodu považována vždy za OSVČ vykonávající hlavní samostatnou výdělečnou činnost. I OSVČ vedlejší může být účastna nemocenského pojištění jako OSVČ, i když není povinna platit zálohy na důchodové pojištění. Minimální měsíční základ, který si může OSVČ určit pro placení pojistného na nemocenské pojištění, činí 5 000 Kč od 1. 1. 2012. Při sazbě 2,3 % činí minimální pojistné na nemocenské pojištění 115 Kč za kalendářní měsíc.</w:t>
      </w:r>
    </w:p>
    <w:p w:rsidR="008B0BD5" w:rsidRDefault="008B0BD5" w:rsidP="00DC008B">
      <w:pPr>
        <w:pStyle w:val="Normlnweb"/>
        <w:jc w:val="both"/>
        <w:rPr>
          <w:rFonts w:ascii="Arial" w:hAnsi="Arial" w:cs="Arial"/>
          <w:b/>
          <w:bCs/>
          <w:sz w:val="20"/>
          <w:szCs w:val="20"/>
        </w:rPr>
      </w:pPr>
    </w:p>
    <w:p w:rsidR="00E1643A" w:rsidRDefault="00E1643A" w:rsidP="00DC008B">
      <w:pPr>
        <w:pStyle w:val="Normlnweb"/>
        <w:jc w:val="both"/>
        <w:rPr>
          <w:rFonts w:ascii="Arial" w:hAnsi="Arial" w:cs="Arial"/>
          <w:b/>
          <w:bCs/>
          <w:sz w:val="20"/>
          <w:szCs w:val="20"/>
        </w:rPr>
      </w:pPr>
    </w:p>
    <w:p w:rsidR="007A64C6" w:rsidRDefault="007A64C6" w:rsidP="00DC008B">
      <w:pPr>
        <w:pStyle w:val="Normlnweb"/>
        <w:jc w:val="both"/>
        <w:rPr>
          <w:rFonts w:ascii="Arial" w:hAnsi="Arial" w:cs="Arial"/>
          <w:b/>
          <w:bCs/>
          <w:sz w:val="22"/>
          <w:szCs w:val="22"/>
        </w:rPr>
      </w:pPr>
    </w:p>
    <w:p w:rsidR="003D63CD" w:rsidRDefault="003D63CD" w:rsidP="00DC008B">
      <w:pPr>
        <w:pStyle w:val="Normlnweb"/>
        <w:jc w:val="both"/>
        <w:rPr>
          <w:rFonts w:ascii="Arial" w:hAnsi="Arial" w:cs="Arial"/>
          <w:b/>
          <w:bCs/>
          <w:sz w:val="22"/>
          <w:szCs w:val="22"/>
        </w:rPr>
      </w:pPr>
      <w:r w:rsidRPr="00E25574">
        <w:rPr>
          <w:rFonts w:ascii="Arial" w:hAnsi="Arial" w:cs="Arial"/>
          <w:b/>
          <w:bCs/>
          <w:sz w:val="22"/>
          <w:szCs w:val="22"/>
        </w:rPr>
        <w:t>Nemocenské</w:t>
      </w:r>
    </w:p>
    <w:p w:rsidR="0047029B" w:rsidRPr="00E25574" w:rsidRDefault="0047029B" w:rsidP="00DC008B">
      <w:pPr>
        <w:pStyle w:val="Normlnweb"/>
        <w:jc w:val="both"/>
        <w:rPr>
          <w:rFonts w:ascii="Arial" w:hAnsi="Arial" w:cs="Arial"/>
          <w:b/>
          <w:bCs/>
          <w:sz w:val="22"/>
          <w:szCs w:val="22"/>
        </w:rPr>
      </w:pPr>
    </w:p>
    <w:p w:rsidR="00DC008B" w:rsidRPr="008E0093" w:rsidRDefault="00DC008B" w:rsidP="00DC008B">
      <w:pPr>
        <w:pStyle w:val="Normlnweb"/>
        <w:jc w:val="both"/>
        <w:rPr>
          <w:rFonts w:ascii="Arial" w:hAnsi="Arial" w:cs="Arial"/>
          <w:sz w:val="20"/>
          <w:szCs w:val="20"/>
        </w:rPr>
      </w:pPr>
      <w:r w:rsidRPr="008E0093">
        <w:rPr>
          <w:rFonts w:ascii="Arial" w:hAnsi="Arial" w:cs="Arial"/>
          <w:b/>
          <w:bCs/>
          <w:sz w:val="20"/>
          <w:szCs w:val="20"/>
        </w:rPr>
        <w:t>Zaměstnanec nebo OSVČ</w:t>
      </w:r>
      <w:r w:rsidRPr="008E0093">
        <w:rPr>
          <w:rFonts w:ascii="Arial" w:hAnsi="Arial" w:cs="Arial"/>
          <w:sz w:val="20"/>
          <w:szCs w:val="20"/>
        </w:rPr>
        <w:t xml:space="preserve">, který je uznán ošetřujícím lékařem dočasně práce neschopným, </w:t>
      </w:r>
      <w:r w:rsidRPr="008E0093">
        <w:rPr>
          <w:rFonts w:ascii="Arial" w:hAnsi="Arial" w:cs="Arial"/>
          <w:b/>
          <w:bCs/>
          <w:sz w:val="20"/>
          <w:szCs w:val="20"/>
        </w:rPr>
        <w:t>má nárok na nemocenské od 15. kalendářního dne trvání jeho dočasné pracovní neschopnosti do konce dočasné pracovní neschopnosti, maximálně však 380 kalendářních dnů</w:t>
      </w:r>
      <w:r w:rsidRPr="008E0093">
        <w:rPr>
          <w:rFonts w:ascii="Arial" w:hAnsi="Arial" w:cs="Arial"/>
          <w:sz w:val="20"/>
          <w:szCs w:val="20"/>
        </w:rPr>
        <w:t xml:space="preserve"> počítaných od vzniku dočasné pracovní neschopnosti (včetně zápočtů předchozí doby trvání dočasné pracovní neschopnosti). OSVČ však pro získání nároku na nemocenské musí být účastna dobrovolného nemocenského pojištění OSVČ alespoň po dobu 3 měsíců bezprostředně předcházejících dni vzniku dočasné pracovní neschopnosti.</w:t>
      </w:r>
    </w:p>
    <w:p w:rsidR="00DC008B" w:rsidRPr="008E0093" w:rsidRDefault="00DC008B" w:rsidP="00DC008B">
      <w:pPr>
        <w:pStyle w:val="Normlnweb"/>
        <w:jc w:val="both"/>
        <w:rPr>
          <w:rFonts w:ascii="Arial" w:hAnsi="Arial" w:cs="Arial"/>
          <w:sz w:val="20"/>
          <w:szCs w:val="20"/>
        </w:rPr>
      </w:pPr>
      <w:r w:rsidRPr="008E0093">
        <w:rPr>
          <w:rFonts w:ascii="Arial" w:hAnsi="Arial" w:cs="Arial"/>
          <w:sz w:val="20"/>
          <w:szCs w:val="20"/>
        </w:rPr>
        <w:t>Po dobu prvních 14 kalendářních dnů je zaměstnanec (nikoli OSVČ), kterému trvá pracovní vztah zakládající účast na nemocenském pojištění, zabezpečen náhradou mzdy, kterou poskytuje zaměstnavatel podle zákoníku práce. Náhrada mzdy náleží za pracovní dny a to při dočasné pracovní neschopnosti od 4. pracovního dne (při karanténě od prvního pracovního dne).</w:t>
      </w:r>
    </w:p>
    <w:p w:rsidR="00DC008B" w:rsidRPr="008E0093" w:rsidRDefault="00DC008B" w:rsidP="00DC008B">
      <w:pPr>
        <w:pStyle w:val="Normlnweb"/>
        <w:jc w:val="both"/>
        <w:rPr>
          <w:rFonts w:ascii="Arial" w:hAnsi="Arial" w:cs="Arial"/>
          <w:sz w:val="20"/>
          <w:szCs w:val="20"/>
        </w:rPr>
      </w:pPr>
      <w:r w:rsidRPr="008E0093">
        <w:rPr>
          <w:rFonts w:ascii="Arial" w:hAnsi="Arial" w:cs="Arial"/>
          <w:b/>
          <w:bCs/>
          <w:sz w:val="20"/>
          <w:szCs w:val="20"/>
        </w:rPr>
        <w:t>Poživateli starobního důchodu nebo invalidního důchodu pro invaliditu 3. stupně</w:t>
      </w:r>
      <w:r w:rsidRPr="008E0093">
        <w:rPr>
          <w:rFonts w:ascii="Arial" w:hAnsi="Arial" w:cs="Arial"/>
          <w:sz w:val="20"/>
          <w:szCs w:val="20"/>
        </w:rPr>
        <w:t xml:space="preserve"> se nemocenské vyplácí od 15. kalendářního dne trvání dočasné pracovní neschopnosti (karantény) po dobu nejvýše 70 kalendářních dnů, nejdéle však do dne, jímž končí pojištěná činnost.</w:t>
      </w:r>
    </w:p>
    <w:p w:rsidR="00DC008B" w:rsidRPr="008E0093" w:rsidRDefault="00DC008B" w:rsidP="00636EF5">
      <w:pPr>
        <w:pStyle w:val="Normlnweb"/>
        <w:jc w:val="both"/>
        <w:rPr>
          <w:rFonts w:ascii="Arial" w:hAnsi="Arial" w:cs="Arial"/>
        </w:rPr>
      </w:pPr>
      <w:r w:rsidRPr="008E0093">
        <w:rPr>
          <w:rFonts w:ascii="Arial" w:hAnsi="Arial" w:cs="Arial"/>
          <w:sz w:val="20"/>
          <w:szCs w:val="20"/>
        </w:rPr>
        <w:t xml:space="preserve">Nemocenské náleží rovněž ve stanovených případech, jestliže ke vzniku dočasné pracovní neschopnosti (karantény) došlo po skončení pojištěného zaměstnání v tzv. </w:t>
      </w:r>
      <w:r w:rsidRPr="008E0093">
        <w:rPr>
          <w:rFonts w:ascii="Arial" w:hAnsi="Arial" w:cs="Arial"/>
          <w:b/>
          <w:bCs/>
          <w:sz w:val="20"/>
          <w:szCs w:val="20"/>
        </w:rPr>
        <w:t>ochranné lhůtě</w:t>
      </w:r>
      <w:r w:rsidRPr="008E0093">
        <w:rPr>
          <w:rFonts w:ascii="Arial" w:hAnsi="Arial" w:cs="Arial"/>
          <w:sz w:val="20"/>
          <w:szCs w:val="20"/>
        </w:rPr>
        <w:t xml:space="preserve">. Účelem ochranné lhůty je zajistit bývalého zaměstnance po stanovenou dobu po skončení pojištění pro případ vzniku sociální události (dočasné pracovní neschopnosti) dříve, než opět nastoupí další zaměstnání. Ochranná lhůta v případě uplatňování nároku na nemocenské činí </w:t>
      </w:r>
      <w:r w:rsidRPr="008E0093">
        <w:rPr>
          <w:rFonts w:ascii="Arial" w:hAnsi="Arial" w:cs="Arial"/>
          <w:b/>
          <w:bCs/>
          <w:sz w:val="20"/>
          <w:szCs w:val="20"/>
        </w:rPr>
        <w:t>7 kalendářních dnů</w:t>
      </w:r>
      <w:r w:rsidRPr="008E0093">
        <w:rPr>
          <w:rFonts w:ascii="Arial" w:hAnsi="Arial" w:cs="Arial"/>
          <w:sz w:val="20"/>
          <w:szCs w:val="20"/>
        </w:rPr>
        <w:t xml:space="preserve"> ode dne skončení zaměstnání, které zakládalo účast na nemocenském pojištění. </w:t>
      </w:r>
    </w:p>
    <w:p w:rsidR="004111D0" w:rsidRPr="004111D0" w:rsidRDefault="004111D0" w:rsidP="00341908">
      <w:pPr>
        <w:pStyle w:val="Nadpis3"/>
        <w:jc w:val="both"/>
        <w:rPr>
          <w:sz w:val="20"/>
        </w:rPr>
      </w:pPr>
      <w:r w:rsidRPr="004111D0">
        <w:rPr>
          <w:sz w:val="20"/>
          <w:lang w:val="cs-CZ"/>
        </w:rPr>
        <w:t xml:space="preserve"> </w:t>
      </w:r>
      <w:r w:rsidR="00E1643A">
        <w:rPr>
          <w:sz w:val="20"/>
          <w:lang w:val="cs-CZ"/>
        </w:rPr>
        <w:tab/>
      </w:r>
      <w:r w:rsidRPr="004111D0">
        <w:rPr>
          <w:rFonts w:cs="Arial"/>
          <w:smallCaps w:val="0"/>
          <w:sz w:val="20"/>
          <w:lang w:val="cs-CZ" w:eastAsia="cs-CZ"/>
        </w:rPr>
        <w:t xml:space="preserve">Výše </w:t>
      </w:r>
      <w:r w:rsidR="00636EF5">
        <w:rPr>
          <w:rFonts w:cs="Arial"/>
          <w:smallCaps w:val="0"/>
          <w:sz w:val="20"/>
          <w:lang w:val="cs-CZ" w:eastAsia="cs-CZ"/>
        </w:rPr>
        <w:t xml:space="preserve">a výpočet </w:t>
      </w:r>
      <w:r w:rsidR="00E1643A">
        <w:rPr>
          <w:rFonts w:cs="Arial"/>
          <w:smallCaps w:val="0"/>
          <w:sz w:val="20"/>
          <w:lang w:val="cs-CZ" w:eastAsia="cs-CZ"/>
        </w:rPr>
        <w:t>n</w:t>
      </w:r>
      <w:r w:rsidR="00636EF5">
        <w:rPr>
          <w:rFonts w:cs="Arial"/>
          <w:smallCaps w:val="0"/>
          <w:sz w:val="20"/>
          <w:lang w:val="cs-CZ" w:eastAsia="cs-CZ"/>
        </w:rPr>
        <w:t xml:space="preserve">emocenského </w:t>
      </w:r>
    </w:p>
    <w:p w:rsidR="00990EEA" w:rsidRPr="00990EEA" w:rsidRDefault="00990EEA" w:rsidP="00636EF5">
      <w:pPr>
        <w:spacing w:before="100" w:beforeAutospacing="1" w:after="100" w:afterAutospacing="1"/>
        <w:jc w:val="both"/>
        <w:rPr>
          <w:rFonts w:ascii="Arial" w:hAnsi="Arial" w:cs="Arial"/>
        </w:rPr>
      </w:pPr>
      <w:r w:rsidRPr="00990EEA">
        <w:rPr>
          <w:rFonts w:ascii="Arial" w:hAnsi="Arial" w:cs="Arial"/>
        </w:rPr>
        <w:t>Výše nemocenského činí 60 % denního vyměřovacího základu od 15. kalendářního dne trvání dočasné pracovní neschopnosti.</w:t>
      </w:r>
    </w:p>
    <w:p w:rsidR="00990EEA" w:rsidRPr="004111D0" w:rsidRDefault="00990EEA" w:rsidP="00341908">
      <w:pPr>
        <w:pStyle w:val="Nadpis2"/>
        <w:ind w:firstLine="708"/>
        <w:rPr>
          <w:b/>
          <w:sz w:val="20"/>
        </w:rPr>
      </w:pPr>
      <w:r w:rsidRPr="004111D0">
        <w:rPr>
          <w:b/>
          <w:sz w:val="20"/>
        </w:rPr>
        <w:t>Určení denního vyměřovacího základu</w:t>
      </w:r>
    </w:p>
    <w:p w:rsidR="00990EEA" w:rsidRPr="00990EEA" w:rsidRDefault="00990EEA" w:rsidP="00990EEA">
      <w:pPr>
        <w:pStyle w:val="Normlnweb"/>
        <w:rPr>
          <w:rFonts w:ascii="Arial" w:hAnsi="Arial" w:cs="Arial"/>
          <w:sz w:val="20"/>
          <w:szCs w:val="20"/>
        </w:rPr>
      </w:pPr>
      <w:r w:rsidRPr="00990EEA">
        <w:rPr>
          <w:rFonts w:ascii="Arial" w:hAnsi="Arial" w:cs="Arial"/>
          <w:sz w:val="20"/>
          <w:szCs w:val="20"/>
        </w:rPr>
        <w:t>Dávky se počítají z denního vyměřovacího základu, který se zjistí tak, že započitatelný příjem zúčtovaný zaměstnanci v rozhodném období (zpravidla období 12 kalendářních měsíců před kalendářním měsícem, ve kterém vznikla sociální událost) se dělí počtem „započitatelných“ kalendářních dnů připadajících na toto rozhodné období. Takto stanovený průměrný denní příjem se upravuje (redukuje) pomocí tří redukčních hranic na denní vyměřovací základ.</w:t>
      </w:r>
    </w:p>
    <w:p w:rsidR="00990EEA" w:rsidRPr="00341908" w:rsidRDefault="00990EEA" w:rsidP="00341908">
      <w:pPr>
        <w:pStyle w:val="Nadpis3"/>
        <w:ind w:firstLine="708"/>
        <w:jc w:val="left"/>
        <w:rPr>
          <w:rFonts w:cs="Arial"/>
          <w:smallCaps w:val="0"/>
          <w:sz w:val="20"/>
        </w:rPr>
      </w:pPr>
      <w:r w:rsidRPr="00341908">
        <w:rPr>
          <w:rFonts w:cs="Arial"/>
          <w:smallCaps w:val="0"/>
          <w:sz w:val="20"/>
          <w:lang w:val="cs-CZ" w:eastAsia="cs-CZ"/>
        </w:rPr>
        <w:t>Redukce denního vyměřovacího základu</w:t>
      </w:r>
    </w:p>
    <w:p w:rsidR="00990EEA" w:rsidRPr="00990EEA" w:rsidRDefault="00990EEA" w:rsidP="00990EEA">
      <w:pPr>
        <w:pStyle w:val="Normlnweb"/>
        <w:rPr>
          <w:rFonts w:ascii="Arial" w:hAnsi="Arial" w:cs="Arial"/>
          <w:sz w:val="20"/>
          <w:szCs w:val="20"/>
        </w:rPr>
      </w:pPr>
      <w:r w:rsidRPr="00990EEA">
        <w:rPr>
          <w:rFonts w:ascii="Arial" w:hAnsi="Arial" w:cs="Arial"/>
          <w:sz w:val="20"/>
          <w:szCs w:val="20"/>
        </w:rPr>
        <w:t>Výši tří redukčních hranic platných od 1. ledna kalendářního roku vyhlašuje Ministerstvo práce a sociálních věcí formou Sdělení ve Sbírce zákonů.</w:t>
      </w:r>
    </w:p>
    <w:p w:rsidR="00990EEA" w:rsidRPr="00990EEA" w:rsidRDefault="00990EEA" w:rsidP="00990EEA">
      <w:pPr>
        <w:pStyle w:val="Normlnweb"/>
        <w:rPr>
          <w:rFonts w:ascii="Arial" w:hAnsi="Arial" w:cs="Arial"/>
          <w:sz w:val="20"/>
          <w:szCs w:val="20"/>
        </w:rPr>
      </w:pPr>
      <w:r w:rsidRPr="00990EEA">
        <w:rPr>
          <w:rFonts w:ascii="Arial" w:hAnsi="Arial" w:cs="Arial"/>
          <w:sz w:val="20"/>
          <w:szCs w:val="20"/>
        </w:rPr>
        <w:t>V roce 2013 činila 1. redukční hranice 863 Kč, 2. redukční hranice 1 295 Kč, 3. redukční hranice 2 589 Kč.</w:t>
      </w:r>
    </w:p>
    <w:p w:rsidR="00990EEA" w:rsidRPr="00990EEA" w:rsidRDefault="00990EEA" w:rsidP="00990EEA">
      <w:pPr>
        <w:pStyle w:val="Normlnweb"/>
        <w:rPr>
          <w:rFonts w:ascii="Arial" w:hAnsi="Arial" w:cs="Arial"/>
          <w:sz w:val="20"/>
          <w:szCs w:val="20"/>
        </w:rPr>
      </w:pPr>
      <w:r w:rsidRPr="00990EEA">
        <w:rPr>
          <w:rFonts w:ascii="Arial" w:hAnsi="Arial" w:cs="Arial"/>
          <w:sz w:val="20"/>
          <w:szCs w:val="20"/>
        </w:rPr>
        <w:t>V roce 2014 činí 1. redukční hranice 865 Kč, 2. redukční hranice 1 298 Kč, 3. redukční hranice 2 595 Kč.</w:t>
      </w:r>
    </w:p>
    <w:p w:rsidR="00990EEA" w:rsidRPr="00990EEA" w:rsidRDefault="00990EEA" w:rsidP="00990EEA">
      <w:pPr>
        <w:pStyle w:val="Normlnweb"/>
        <w:rPr>
          <w:rFonts w:ascii="Arial" w:hAnsi="Arial" w:cs="Arial"/>
          <w:sz w:val="20"/>
          <w:szCs w:val="20"/>
        </w:rPr>
      </w:pPr>
      <w:r w:rsidRPr="00990EEA">
        <w:rPr>
          <w:rFonts w:ascii="Arial" w:hAnsi="Arial" w:cs="Arial"/>
          <w:sz w:val="20"/>
          <w:szCs w:val="20"/>
        </w:rPr>
        <w:t>Redukce se provede tak, že se započte</w:t>
      </w:r>
    </w:p>
    <w:p w:rsidR="00990EEA" w:rsidRPr="00990EEA" w:rsidRDefault="00990EEA" w:rsidP="00990EEA">
      <w:pPr>
        <w:numPr>
          <w:ilvl w:val="0"/>
          <w:numId w:val="35"/>
        </w:numPr>
        <w:spacing w:before="100" w:beforeAutospacing="1" w:after="100" w:afterAutospacing="1"/>
        <w:rPr>
          <w:rFonts w:ascii="Arial" w:hAnsi="Arial" w:cs="Arial"/>
        </w:rPr>
      </w:pPr>
      <w:r w:rsidRPr="00990EEA">
        <w:rPr>
          <w:rFonts w:ascii="Arial" w:hAnsi="Arial" w:cs="Arial"/>
        </w:rPr>
        <w:t xml:space="preserve">do první redukční hranice </w:t>
      </w:r>
    </w:p>
    <w:p w:rsidR="00990EEA" w:rsidRPr="00990EEA" w:rsidRDefault="00990EEA" w:rsidP="00990EEA">
      <w:pPr>
        <w:numPr>
          <w:ilvl w:val="1"/>
          <w:numId w:val="35"/>
        </w:numPr>
        <w:spacing w:before="100" w:beforeAutospacing="1" w:after="100" w:afterAutospacing="1"/>
        <w:rPr>
          <w:rFonts w:ascii="Arial" w:hAnsi="Arial" w:cs="Arial"/>
        </w:rPr>
      </w:pPr>
      <w:r w:rsidRPr="00990EEA">
        <w:rPr>
          <w:rFonts w:ascii="Arial" w:hAnsi="Arial" w:cs="Arial"/>
        </w:rPr>
        <w:t>u nemocenského a ošetřovného 90 % denního vyměřovacího základu,</w:t>
      </w:r>
    </w:p>
    <w:p w:rsidR="00990EEA" w:rsidRPr="00990EEA" w:rsidRDefault="00990EEA" w:rsidP="00990EEA">
      <w:pPr>
        <w:numPr>
          <w:ilvl w:val="1"/>
          <w:numId w:val="35"/>
        </w:numPr>
        <w:spacing w:before="100" w:beforeAutospacing="1" w:after="100" w:afterAutospacing="1"/>
        <w:rPr>
          <w:rFonts w:ascii="Arial" w:hAnsi="Arial" w:cs="Arial"/>
        </w:rPr>
      </w:pPr>
      <w:r w:rsidRPr="00990EEA">
        <w:rPr>
          <w:rFonts w:ascii="Arial" w:hAnsi="Arial" w:cs="Arial"/>
        </w:rPr>
        <w:t>u peněžité pomoci v mateřství a vyrovnávacího příspěvku v těhotenství a mateřství 100 % denního vyměřovacího základu,</w:t>
      </w:r>
    </w:p>
    <w:p w:rsidR="00990EEA" w:rsidRPr="00990EEA" w:rsidRDefault="00990EEA" w:rsidP="00990EEA">
      <w:pPr>
        <w:numPr>
          <w:ilvl w:val="0"/>
          <w:numId w:val="35"/>
        </w:numPr>
        <w:spacing w:before="100" w:beforeAutospacing="1" w:after="100" w:afterAutospacing="1"/>
        <w:rPr>
          <w:rFonts w:ascii="Arial" w:hAnsi="Arial" w:cs="Arial"/>
        </w:rPr>
      </w:pPr>
      <w:r w:rsidRPr="00990EEA">
        <w:rPr>
          <w:rFonts w:ascii="Arial" w:hAnsi="Arial" w:cs="Arial"/>
        </w:rPr>
        <w:t>z části denního vyměřovacího základu mezi první a druhou redukční hranicí se započte 60 %,</w:t>
      </w:r>
    </w:p>
    <w:p w:rsidR="00990EEA" w:rsidRPr="00990EEA" w:rsidRDefault="00990EEA" w:rsidP="00990EEA">
      <w:pPr>
        <w:numPr>
          <w:ilvl w:val="0"/>
          <w:numId w:val="35"/>
        </w:numPr>
        <w:spacing w:before="100" w:beforeAutospacing="1" w:after="100" w:afterAutospacing="1"/>
        <w:rPr>
          <w:rFonts w:ascii="Arial" w:hAnsi="Arial" w:cs="Arial"/>
        </w:rPr>
      </w:pPr>
      <w:r w:rsidRPr="00990EEA">
        <w:rPr>
          <w:rFonts w:ascii="Arial" w:hAnsi="Arial" w:cs="Arial"/>
        </w:rPr>
        <w:t>z části mezi druhou a třetí redukční hranicí se započte 30 %,</w:t>
      </w:r>
    </w:p>
    <w:p w:rsidR="00990EEA" w:rsidRPr="00990EEA" w:rsidRDefault="00990EEA" w:rsidP="00990EEA">
      <w:pPr>
        <w:numPr>
          <w:ilvl w:val="0"/>
          <w:numId w:val="35"/>
        </w:numPr>
        <w:spacing w:before="100" w:beforeAutospacing="1" w:after="100" w:afterAutospacing="1"/>
        <w:rPr>
          <w:rFonts w:ascii="Arial" w:hAnsi="Arial" w:cs="Arial"/>
        </w:rPr>
      </w:pPr>
      <w:r w:rsidRPr="00990EEA">
        <w:rPr>
          <w:rFonts w:ascii="Arial" w:hAnsi="Arial" w:cs="Arial"/>
        </w:rPr>
        <w:t>k části nad třetí redukční hranici se nepřihlédne.</w:t>
      </w:r>
    </w:p>
    <w:p w:rsidR="00DC008B" w:rsidRDefault="00DC008B" w:rsidP="00AC3D2A">
      <w:pPr>
        <w:spacing w:before="100" w:beforeAutospacing="1" w:after="100" w:afterAutospacing="1"/>
        <w:jc w:val="both"/>
        <w:rPr>
          <w:rFonts w:ascii="Arial" w:hAnsi="Arial" w:cs="Arial"/>
        </w:rPr>
      </w:pPr>
    </w:p>
    <w:p w:rsidR="004D5EFE" w:rsidRDefault="004D5EFE" w:rsidP="004D5EFE">
      <w:pPr>
        <w:ind w:firstLine="360"/>
        <w:jc w:val="both"/>
        <w:rPr>
          <w:rFonts w:ascii="Arial" w:hAnsi="Arial" w:cs="Arial"/>
        </w:rPr>
      </w:pPr>
      <w:r w:rsidRPr="00D85C6A">
        <w:rPr>
          <w:rFonts w:ascii="Arial" w:hAnsi="Arial" w:cs="Arial"/>
        </w:rPr>
        <w:t xml:space="preserve">Podrobnější informace z oblasti nemocenského pojištění jsou zveřejňovány na internetových stránkách Ministerstva práce a sociálních věcí (MPSV)  </w:t>
      </w:r>
    </w:p>
    <w:p w:rsidR="004D5EFE" w:rsidRDefault="004D5EFE" w:rsidP="004D5EFE">
      <w:pPr>
        <w:pStyle w:val="Odstavecseseznamem"/>
        <w:numPr>
          <w:ilvl w:val="0"/>
          <w:numId w:val="32"/>
        </w:numPr>
        <w:spacing w:after="200" w:line="276" w:lineRule="auto"/>
        <w:jc w:val="both"/>
        <w:rPr>
          <w:rFonts w:ascii="Arial" w:hAnsi="Arial" w:cs="Arial"/>
          <w:u w:val="single"/>
        </w:rPr>
      </w:pPr>
      <w:r w:rsidRPr="00D85C6A">
        <w:rPr>
          <w:rFonts w:ascii="Arial" w:hAnsi="Arial" w:cs="Arial"/>
          <w:u w:val="single"/>
        </w:rPr>
        <w:t xml:space="preserve"> </w:t>
      </w:r>
      <w:hyperlink r:id="rId9" w:history="1">
        <w:r w:rsidRPr="00CE25E8">
          <w:rPr>
            <w:rStyle w:val="Hypertextovodkaz"/>
            <w:rFonts w:ascii="Arial" w:hAnsi="Arial" w:cs="Arial"/>
          </w:rPr>
          <w:t>http://www.mpsv.cz/cs/7</w:t>
        </w:r>
      </w:hyperlink>
    </w:p>
    <w:p w:rsidR="004D5EFE" w:rsidRDefault="004D5EFE" w:rsidP="004D5EFE">
      <w:pPr>
        <w:ind w:firstLine="360"/>
        <w:jc w:val="both"/>
        <w:rPr>
          <w:rFonts w:ascii="Arial" w:hAnsi="Arial" w:cs="Arial"/>
        </w:rPr>
      </w:pPr>
      <w:r w:rsidRPr="00D85C6A">
        <w:rPr>
          <w:rFonts w:ascii="Arial" w:hAnsi="Arial" w:cs="Arial"/>
        </w:rPr>
        <w:t>Nebo na internetových stránkách České správy sociálního zabezpečení (ČSSZ)</w:t>
      </w:r>
    </w:p>
    <w:p w:rsidR="004D5EFE" w:rsidRDefault="00406D58" w:rsidP="004D5EFE">
      <w:pPr>
        <w:pStyle w:val="Odstavecseseznamem"/>
        <w:numPr>
          <w:ilvl w:val="0"/>
          <w:numId w:val="32"/>
        </w:numPr>
        <w:spacing w:after="200" w:line="276" w:lineRule="auto"/>
        <w:jc w:val="both"/>
        <w:rPr>
          <w:rFonts w:ascii="Arial" w:hAnsi="Arial" w:cs="Arial"/>
          <w:u w:val="single"/>
        </w:rPr>
      </w:pPr>
      <w:hyperlink r:id="rId10" w:history="1">
        <w:r w:rsidR="004D5EFE" w:rsidRPr="00CE25E8">
          <w:rPr>
            <w:rStyle w:val="Hypertextovodkaz"/>
            <w:rFonts w:ascii="Arial" w:hAnsi="Arial" w:cs="Arial"/>
          </w:rPr>
          <w:t>http://www.cssz.cz/cz/nemocenske-pojisteni/</w:t>
        </w:r>
      </w:hyperlink>
      <w:r w:rsidR="004D5EFE">
        <w:rPr>
          <w:rFonts w:ascii="Arial" w:hAnsi="Arial" w:cs="Arial"/>
          <w:u w:val="single"/>
        </w:rPr>
        <w:t>.</w:t>
      </w:r>
    </w:p>
    <w:p w:rsidR="001D74B6" w:rsidRPr="00D04111" w:rsidRDefault="001D74B6" w:rsidP="001D74B6">
      <w:pPr>
        <w:jc w:val="both"/>
        <w:rPr>
          <w:rFonts w:ascii="Arial" w:hAnsi="Arial" w:cs="Arial"/>
          <w:b/>
          <w:color w:val="FF0000"/>
        </w:rPr>
      </w:pPr>
    </w:p>
    <w:sectPr w:rsidR="001D74B6" w:rsidRPr="00D04111" w:rsidSect="005D31E6">
      <w:footerReference w:type="default" r:id="rId11"/>
      <w:pgSz w:w="11906" w:h="16838"/>
      <w:pgMar w:top="568" w:right="720" w:bottom="540" w:left="720" w:header="0" w:footer="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1B" w:rsidRDefault="00DE681B">
      <w:r>
        <w:separator/>
      </w:r>
    </w:p>
  </w:endnote>
  <w:endnote w:type="continuationSeparator" w:id="0">
    <w:p w:rsidR="00DE681B" w:rsidRDefault="00DE6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D1B" w:rsidRDefault="00406D58">
    <w:pPr>
      <w:pStyle w:val="Zpat"/>
      <w:jc w:val="center"/>
    </w:pPr>
    <w:fldSimple w:instr=" PAGE   \* MERGEFORMAT ">
      <w:r w:rsidR="00830B90">
        <w:rPr>
          <w:noProof/>
        </w:rPr>
        <w:t>1</w:t>
      </w:r>
    </w:fldSimple>
  </w:p>
  <w:p w:rsidR="00197CFE" w:rsidRDefault="00197CF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1B" w:rsidRDefault="00DE681B">
      <w:r>
        <w:separator/>
      </w:r>
    </w:p>
  </w:footnote>
  <w:footnote w:type="continuationSeparator" w:id="0">
    <w:p w:rsidR="00DE681B" w:rsidRDefault="00DE68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AEE"/>
    <w:multiLevelType w:val="multilevel"/>
    <w:tmpl w:val="B9A6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00BF1"/>
    <w:multiLevelType w:val="multilevel"/>
    <w:tmpl w:val="EDA2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E79F0"/>
    <w:multiLevelType w:val="hybridMultilevel"/>
    <w:tmpl w:val="E318B38A"/>
    <w:lvl w:ilvl="0" w:tplc="1DA2456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53F6F41"/>
    <w:multiLevelType w:val="multilevel"/>
    <w:tmpl w:val="C0807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CA0F9A"/>
    <w:multiLevelType w:val="singleLevel"/>
    <w:tmpl w:val="99B8CF6A"/>
    <w:lvl w:ilvl="0">
      <w:numFmt w:val="bullet"/>
      <w:lvlText w:val="-"/>
      <w:lvlJc w:val="left"/>
      <w:pPr>
        <w:tabs>
          <w:tab w:val="num" w:pos="360"/>
        </w:tabs>
        <w:ind w:left="360" w:hanging="360"/>
      </w:pPr>
      <w:rPr>
        <w:rFonts w:ascii="Times New Roman" w:hAnsi="Times New Roman" w:hint="default"/>
      </w:rPr>
    </w:lvl>
  </w:abstractNum>
  <w:abstractNum w:abstractNumId="5">
    <w:nsid w:val="0B932839"/>
    <w:multiLevelType w:val="multilevel"/>
    <w:tmpl w:val="8CB2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E63845"/>
    <w:multiLevelType w:val="multilevel"/>
    <w:tmpl w:val="BD36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D135CF"/>
    <w:multiLevelType w:val="hybridMultilevel"/>
    <w:tmpl w:val="21227CB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8">
    <w:nsid w:val="1EEE53EF"/>
    <w:multiLevelType w:val="multilevel"/>
    <w:tmpl w:val="9276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5A5B98"/>
    <w:multiLevelType w:val="multilevel"/>
    <w:tmpl w:val="473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8030A7"/>
    <w:multiLevelType w:val="hybridMultilevel"/>
    <w:tmpl w:val="30E04790"/>
    <w:lvl w:ilvl="0" w:tplc="D7C2B632">
      <w:numFmt w:val="bullet"/>
      <w:lvlText w:val="-"/>
      <w:lvlJc w:val="left"/>
      <w:pPr>
        <w:ind w:left="720" w:hanging="360"/>
      </w:pPr>
      <w:rPr>
        <w:rFonts w:ascii="Arial" w:eastAsia="Times New Roman" w:hAnsi="Arial" w:cs="Arial" w:hint="default"/>
        <w:u w:val="singl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C42FEF"/>
    <w:multiLevelType w:val="multilevel"/>
    <w:tmpl w:val="2716C3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4236A6"/>
    <w:multiLevelType w:val="multilevel"/>
    <w:tmpl w:val="647E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D956E4"/>
    <w:multiLevelType w:val="multilevel"/>
    <w:tmpl w:val="4EAED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CD4827"/>
    <w:multiLevelType w:val="multilevel"/>
    <w:tmpl w:val="957C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E578CC"/>
    <w:multiLevelType w:val="multilevel"/>
    <w:tmpl w:val="D630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55037"/>
    <w:multiLevelType w:val="multilevel"/>
    <w:tmpl w:val="27DA1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5917B6"/>
    <w:multiLevelType w:val="multilevel"/>
    <w:tmpl w:val="988C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66C6363"/>
    <w:multiLevelType w:val="multilevel"/>
    <w:tmpl w:val="4A841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DA211C"/>
    <w:multiLevelType w:val="multilevel"/>
    <w:tmpl w:val="F18E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DC6513"/>
    <w:multiLevelType w:val="multilevel"/>
    <w:tmpl w:val="9A8C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C01860"/>
    <w:multiLevelType w:val="hybridMultilevel"/>
    <w:tmpl w:val="9C14465E"/>
    <w:lvl w:ilvl="0" w:tplc="E2A47102">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1F57388"/>
    <w:multiLevelType w:val="multilevel"/>
    <w:tmpl w:val="F932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F906D9"/>
    <w:multiLevelType w:val="multilevel"/>
    <w:tmpl w:val="7A3A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ED4646"/>
    <w:multiLevelType w:val="multilevel"/>
    <w:tmpl w:val="6B84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6C245E"/>
    <w:multiLevelType w:val="multilevel"/>
    <w:tmpl w:val="09B85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F3C4512"/>
    <w:multiLevelType w:val="hybridMultilevel"/>
    <w:tmpl w:val="4454DE36"/>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62604693"/>
    <w:multiLevelType w:val="hybridMultilevel"/>
    <w:tmpl w:val="51F470FE"/>
    <w:lvl w:ilvl="0" w:tplc="E2A47102">
      <w:start w:val="1"/>
      <w:numFmt w:val="bullet"/>
      <w:lvlText w:val="o"/>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nsid w:val="646B2FAE"/>
    <w:multiLevelType w:val="multilevel"/>
    <w:tmpl w:val="AB1A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837EB6"/>
    <w:multiLevelType w:val="multilevel"/>
    <w:tmpl w:val="9D8CB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15B32"/>
    <w:multiLevelType w:val="multilevel"/>
    <w:tmpl w:val="D338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F92A30"/>
    <w:multiLevelType w:val="multilevel"/>
    <w:tmpl w:val="1554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8B5C2B"/>
    <w:multiLevelType w:val="hybridMultilevel"/>
    <w:tmpl w:val="6EF64E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5ED6652"/>
    <w:multiLevelType w:val="hybridMultilevel"/>
    <w:tmpl w:val="6AE40FEE"/>
    <w:lvl w:ilvl="0" w:tplc="E2A47102">
      <w:start w:val="1"/>
      <w:numFmt w:val="bullet"/>
      <w:lvlText w:val="o"/>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76C117E7"/>
    <w:multiLevelType w:val="hybridMultilevel"/>
    <w:tmpl w:val="550AEF1E"/>
    <w:lvl w:ilvl="0" w:tplc="DDDA9E8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73E5C0C"/>
    <w:multiLevelType w:val="hybridMultilevel"/>
    <w:tmpl w:val="3E78042E"/>
    <w:lvl w:ilvl="0" w:tplc="328A275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E7D5065"/>
    <w:multiLevelType w:val="hybridMultilevel"/>
    <w:tmpl w:val="F75E7F34"/>
    <w:lvl w:ilvl="0" w:tplc="04050003">
      <w:start w:val="1"/>
      <w:numFmt w:val="bullet"/>
      <w:lvlText w:val="o"/>
      <w:lvlJc w:val="left"/>
      <w:pPr>
        <w:tabs>
          <w:tab w:val="num" w:pos="360"/>
        </w:tabs>
        <w:ind w:left="360" w:hanging="360"/>
      </w:pPr>
      <w:rPr>
        <w:rFonts w:ascii="Courier New" w:hAnsi="Courier New"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21"/>
  </w:num>
  <w:num w:numId="3">
    <w:abstractNumId w:val="33"/>
  </w:num>
  <w:num w:numId="4">
    <w:abstractNumId w:val="36"/>
  </w:num>
  <w:num w:numId="5">
    <w:abstractNumId w:val="32"/>
  </w:num>
  <w:num w:numId="6">
    <w:abstractNumId w:val="22"/>
  </w:num>
  <w:num w:numId="7">
    <w:abstractNumId w:val="5"/>
  </w:num>
  <w:num w:numId="8">
    <w:abstractNumId w:val="20"/>
  </w:num>
  <w:num w:numId="9">
    <w:abstractNumId w:val="11"/>
  </w:num>
  <w:num w:numId="10">
    <w:abstractNumId w:val="16"/>
  </w:num>
  <w:num w:numId="11">
    <w:abstractNumId w:val="13"/>
  </w:num>
  <w:num w:numId="12">
    <w:abstractNumId w:val="25"/>
  </w:num>
  <w:num w:numId="13">
    <w:abstractNumId w:val="1"/>
  </w:num>
  <w:num w:numId="14">
    <w:abstractNumId w:val="31"/>
  </w:num>
  <w:num w:numId="15">
    <w:abstractNumId w:val="24"/>
  </w:num>
  <w:num w:numId="16">
    <w:abstractNumId w:val="30"/>
  </w:num>
  <w:num w:numId="17">
    <w:abstractNumId w:val="23"/>
  </w:num>
  <w:num w:numId="18">
    <w:abstractNumId w:val="18"/>
  </w:num>
  <w:num w:numId="19">
    <w:abstractNumId w:val="3"/>
  </w:num>
  <w:num w:numId="20">
    <w:abstractNumId w:val="6"/>
  </w:num>
  <w:num w:numId="21">
    <w:abstractNumId w:val="15"/>
  </w:num>
  <w:num w:numId="22">
    <w:abstractNumId w:val="8"/>
  </w:num>
  <w:num w:numId="23">
    <w:abstractNumId w:val="12"/>
  </w:num>
  <w:num w:numId="24">
    <w:abstractNumId w:val="4"/>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6"/>
  </w:num>
  <w:num w:numId="28">
    <w:abstractNumId w:val="7"/>
  </w:num>
  <w:num w:numId="29">
    <w:abstractNumId w:val="34"/>
  </w:num>
  <w:num w:numId="30">
    <w:abstractNumId w:val="2"/>
  </w:num>
  <w:num w:numId="31">
    <w:abstractNumId w:val="10"/>
  </w:num>
  <w:num w:numId="32">
    <w:abstractNumId w:val="35"/>
  </w:num>
  <w:num w:numId="33">
    <w:abstractNumId w:val="9"/>
  </w:num>
  <w:num w:numId="34">
    <w:abstractNumId w:val="28"/>
  </w:num>
  <w:num w:numId="35">
    <w:abstractNumId w:val="29"/>
  </w:num>
  <w:num w:numId="36">
    <w:abstractNumId w:val="17"/>
  </w:num>
  <w:num w:numId="37">
    <w:abstractNumId w:val="14"/>
  </w:num>
  <w:num w:numId="3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trackRevisions/>
  <w:doNotTrackMoves/>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843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5172"/>
    <w:rsid w:val="000025A7"/>
    <w:rsid w:val="0000445E"/>
    <w:rsid w:val="00010FC8"/>
    <w:rsid w:val="000114E5"/>
    <w:rsid w:val="00011821"/>
    <w:rsid w:val="000156BE"/>
    <w:rsid w:val="00015897"/>
    <w:rsid w:val="00015D5F"/>
    <w:rsid w:val="00021605"/>
    <w:rsid w:val="000223EF"/>
    <w:rsid w:val="00025727"/>
    <w:rsid w:val="00025F48"/>
    <w:rsid w:val="00040982"/>
    <w:rsid w:val="000428BB"/>
    <w:rsid w:val="00042962"/>
    <w:rsid w:val="0004461E"/>
    <w:rsid w:val="00044F3F"/>
    <w:rsid w:val="000454EC"/>
    <w:rsid w:val="00045658"/>
    <w:rsid w:val="00046F19"/>
    <w:rsid w:val="000516BA"/>
    <w:rsid w:val="000517DC"/>
    <w:rsid w:val="0005206F"/>
    <w:rsid w:val="0005467F"/>
    <w:rsid w:val="0005568B"/>
    <w:rsid w:val="000625B7"/>
    <w:rsid w:val="00062C33"/>
    <w:rsid w:val="00063E07"/>
    <w:rsid w:val="00064DB5"/>
    <w:rsid w:val="00065D50"/>
    <w:rsid w:val="000717B1"/>
    <w:rsid w:val="00074939"/>
    <w:rsid w:val="00074DDC"/>
    <w:rsid w:val="00080F50"/>
    <w:rsid w:val="0008153E"/>
    <w:rsid w:val="000816BC"/>
    <w:rsid w:val="00082E85"/>
    <w:rsid w:val="00083154"/>
    <w:rsid w:val="000857C5"/>
    <w:rsid w:val="00086982"/>
    <w:rsid w:val="0009043F"/>
    <w:rsid w:val="000906F6"/>
    <w:rsid w:val="000919B7"/>
    <w:rsid w:val="00093ED5"/>
    <w:rsid w:val="00094916"/>
    <w:rsid w:val="00094E86"/>
    <w:rsid w:val="00095078"/>
    <w:rsid w:val="00095218"/>
    <w:rsid w:val="00095D44"/>
    <w:rsid w:val="000A0BF3"/>
    <w:rsid w:val="000A1775"/>
    <w:rsid w:val="000A26EA"/>
    <w:rsid w:val="000A30A9"/>
    <w:rsid w:val="000A37F2"/>
    <w:rsid w:val="000A41EF"/>
    <w:rsid w:val="000A46BE"/>
    <w:rsid w:val="000A5C02"/>
    <w:rsid w:val="000B304A"/>
    <w:rsid w:val="000B39DD"/>
    <w:rsid w:val="000B3FFB"/>
    <w:rsid w:val="000B4284"/>
    <w:rsid w:val="000B7406"/>
    <w:rsid w:val="000B783C"/>
    <w:rsid w:val="000B7A6B"/>
    <w:rsid w:val="000C131B"/>
    <w:rsid w:val="000C1DC5"/>
    <w:rsid w:val="000D0E08"/>
    <w:rsid w:val="000D3A60"/>
    <w:rsid w:val="000D3F0F"/>
    <w:rsid w:val="000D6C53"/>
    <w:rsid w:val="000D6F94"/>
    <w:rsid w:val="000D787D"/>
    <w:rsid w:val="000E0652"/>
    <w:rsid w:val="000E201B"/>
    <w:rsid w:val="000E2521"/>
    <w:rsid w:val="000E430C"/>
    <w:rsid w:val="000F282E"/>
    <w:rsid w:val="000F4518"/>
    <w:rsid w:val="000F5490"/>
    <w:rsid w:val="000F5E9B"/>
    <w:rsid w:val="000F7B0C"/>
    <w:rsid w:val="00100473"/>
    <w:rsid w:val="00100539"/>
    <w:rsid w:val="001005A2"/>
    <w:rsid w:val="00100C6B"/>
    <w:rsid w:val="0010223D"/>
    <w:rsid w:val="00102704"/>
    <w:rsid w:val="00102B0D"/>
    <w:rsid w:val="00102C9B"/>
    <w:rsid w:val="00102CC5"/>
    <w:rsid w:val="0010618C"/>
    <w:rsid w:val="00111621"/>
    <w:rsid w:val="00112861"/>
    <w:rsid w:val="00113D71"/>
    <w:rsid w:val="0011458F"/>
    <w:rsid w:val="00116468"/>
    <w:rsid w:val="001200FD"/>
    <w:rsid w:val="001233AC"/>
    <w:rsid w:val="0012373A"/>
    <w:rsid w:val="00124B10"/>
    <w:rsid w:val="00127806"/>
    <w:rsid w:val="00132AAB"/>
    <w:rsid w:val="0013364D"/>
    <w:rsid w:val="00133BD1"/>
    <w:rsid w:val="00134E1E"/>
    <w:rsid w:val="00136A73"/>
    <w:rsid w:val="00137BB6"/>
    <w:rsid w:val="001419E9"/>
    <w:rsid w:val="001421E7"/>
    <w:rsid w:val="00143EE1"/>
    <w:rsid w:val="001458C6"/>
    <w:rsid w:val="00150859"/>
    <w:rsid w:val="00150C4D"/>
    <w:rsid w:val="00150C91"/>
    <w:rsid w:val="001512D1"/>
    <w:rsid w:val="00152793"/>
    <w:rsid w:val="00152EB1"/>
    <w:rsid w:val="00153D89"/>
    <w:rsid w:val="00156513"/>
    <w:rsid w:val="001607FD"/>
    <w:rsid w:val="001616D5"/>
    <w:rsid w:val="00162612"/>
    <w:rsid w:val="001648B0"/>
    <w:rsid w:val="001651AD"/>
    <w:rsid w:val="00166C1F"/>
    <w:rsid w:val="001678C7"/>
    <w:rsid w:val="00167FEB"/>
    <w:rsid w:val="00170F50"/>
    <w:rsid w:val="00171D94"/>
    <w:rsid w:val="00173D91"/>
    <w:rsid w:val="00173FA1"/>
    <w:rsid w:val="0017400B"/>
    <w:rsid w:val="00174BB1"/>
    <w:rsid w:val="001757C7"/>
    <w:rsid w:val="00175B66"/>
    <w:rsid w:val="0017661D"/>
    <w:rsid w:val="00177362"/>
    <w:rsid w:val="001776E6"/>
    <w:rsid w:val="00180EFF"/>
    <w:rsid w:val="001849C5"/>
    <w:rsid w:val="0018503B"/>
    <w:rsid w:val="001863B5"/>
    <w:rsid w:val="001865CD"/>
    <w:rsid w:val="00186735"/>
    <w:rsid w:val="001877E9"/>
    <w:rsid w:val="00187AB3"/>
    <w:rsid w:val="001911A7"/>
    <w:rsid w:val="00191B3B"/>
    <w:rsid w:val="00191C94"/>
    <w:rsid w:val="00193620"/>
    <w:rsid w:val="001938DC"/>
    <w:rsid w:val="00193F58"/>
    <w:rsid w:val="00196618"/>
    <w:rsid w:val="001969F8"/>
    <w:rsid w:val="00196A4D"/>
    <w:rsid w:val="00197B63"/>
    <w:rsid w:val="00197CFE"/>
    <w:rsid w:val="00197D0C"/>
    <w:rsid w:val="00197E8E"/>
    <w:rsid w:val="001A3A7F"/>
    <w:rsid w:val="001A4089"/>
    <w:rsid w:val="001A5732"/>
    <w:rsid w:val="001B2F77"/>
    <w:rsid w:val="001B3174"/>
    <w:rsid w:val="001B3B2D"/>
    <w:rsid w:val="001B4560"/>
    <w:rsid w:val="001B6AD2"/>
    <w:rsid w:val="001C1F25"/>
    <w:rsid w:val="001C5542"/>
    <w:rsid w:val="001C5CC9"/>
    <w:rsid w:val="001C7ACC"/>
    <w:rsid w:val="001D30BB"/>
    <w:rsid w:val="001D6B64"/>
    <w:rsid w:val="001D74B6"/>
    <w:rsid w:val="001E0612"/>
    <w:rsid w:val="001E194C"/>
    <w:rsid w:val="001E3BB2"/>
    <w:rsid w:val="001E46AE"/>
    <w:rsid w:val="001E54EA"/>
    <w:rsid w:val="001F205D"/>
    <w:rsid w:val="001F2D11"/>
    <w:rsid w:val="001F39FB"/>
    <w:rsid w:val="001F424D"/>
    <w:rsid w:val="001F69D3"/>
    <w:rsid w:val="001F6C48"/>
    <w:rsid w:val="001F6F69"/>
    <w:rsid w:val="001F79BD"/>
    <w:rsid w:val="00201695"/>
    <w:rsid w:val="00202110"/>
    <w:rsid w:val="0020255E"/>
    <w:rsid w:val="00204D78"/>
    <w:rsid w:val="00204DCE"/>
    <w:rsid w:val="00205A5A"/>
    <w:rsid w:val="00205B97"/>
    <w:rsid w:val="002075CE"/>
    <w:rsid w:val="002078C2"/>
    <w:rsid w:val="002101E6"/>
    <w:rsid w:val="00212D52"/>
    <w:rsid w:val="00213A47"/>
    <w:rsid w:val="002208F5"/>
    <w:rsid w:val="00220CFA"/>
    <w:rsid w:val="00225307"/>
    <w:rsid w:val="00226653"/>
    <w:rsid w:val="002268D3"/>
    <w:rsid w:val="002270D8"/>
    <w:rsid w:val="002344DF"/>
    <w:rsid w:val="002406C2"/>
    <w:rsid w:val="002467C1"/>
    <w:rsid w:val="002501DA"/>
    <w:rsid w:val="002504BB"/>
    <w:rsid w:val="00254AE6"/>
    <w:rsid w:val="00257769"/>
    <w:rsid w:val="002630DA"/>
    <w:rsid w:val="0026462A"/>
    <w:rsid w:val="00266781"/>
    <w:rsid w:val="00267698"/>
    <w:rsid w:val="00267B47"/>
    <w:rsid w:val="002703CD"/>
    <w:rsid w:val="002712B6"/>
    <w:rsid w:val="00271BF7"/>
    <w:rsid w:val="0027387A"/>
    <w:rsid w:val="00273C6E"/>
    <w:rsid w:val="00276E35"/>
    <w:rsid w:val="00280442"/>
    <w:rsid w:val="002840AE"/>
    <w:rsid w:val="00284714"/>
    <w:rsid w:val="00285FDB"/>
    <w:rsid w:val="00286C1C"/>
    <w:rsid w:val="002876D1"/>
    <w:rsid w:val="0029111B"/>
    <w:rsid w:val="0029201C"/>
    <w:rsid w:val="002931F9"/>
    <w:rsid w:val="0029447A"/>
    <w:rsid w:val="002967E2"/>
    <w:rsid w:val="002A1A7C"/>
    <w:rsid w:val="002A1F69"/>
    <w:rsid w:val="002A2661"/>
    <w:rsid w:val="002A3D75"/>
    <w:rsid w:val="002A4DAA"/>
    <w:rsid w:val="002A59A0"/>
    <w:rsid w:val="002A6DED"/>
    <w:rsid w:val="002A7888"/>
    <w:rsid w:val="002B137F"/>
    <w:rsid w:val="002B2082"/>
    <w:rsid w:val="002B2B2A"/>
    <w:rsid w:val="002C090B"/>
    <w:rsid w:val="002C0BFD"/>
    <w:rsid w:val="002C5E42"/>
    <w:rsid w:val="002C61E5"/>
    <w:rsid w:val="002C64F3"/>
    <w:rsid w:val="002C7278"/>
    <w:rsid w:val="002D05C0"/>
    <w:rsid w:val="002D178B"/>
    <w:rsid w:val="002D29F8"/>
    <w:rsid w:val="002D38C0"/>
    <w:rsid w:val="002D4E97"/>
    <w:rsid w:val="002D531A"/>
    <w:rsid w:val="002D6040"/>
    <w:rsid w:val="002D635B"/>
    <w:rsid w:val="002D7134"/>
    <w:rsid w:val="002D7C43"/>
    <w:rsid w:val="002D7C6F"/>
    <w:rsid w:val="002E2E6E"/>
    <w:rsid w:val="002E3784"/>
    <w:rsid w:val="002E3D0A"/>
    <w:rsid w:val="002E5F5C"/>
    <w:rsid w:val="002E5FFD"/>
    <w:rsid w:val="002E6674"/>
    <w:rsid w:val="002E6A3D"/>
    <w:rsid w:val="002E762C"/>
    <w:rsid w:val="002F36E0"/>
    <w:rsid w:val="002F37F0"/>
    <w:rsid w:val="002F41E0"/>
    <w:rsid w:val="002F56DB"/>
    <w:rsid w:val="002F6D85"/>
    <w:rsid w:val="00301BB4"/>
    <w:rsid w:val="00301C0B"/>
    <w:rsid w:val="00302BA4"/>
    <w:rsid w:val="0030438F"/>
    <w:rsid w:val="0030507D"/>
    <w:rsid w:val="003069F2"/>
    <w:rsid w:val="00307D1A"/>
    <w:rsid w:val="00311CC5"/>
    <w:rsid w:val="00312383"/>
    <w:rsid w:val="003132BC"/>
    <w:rsid w:val="00313B6B"/>
    <w:rsid w:val="00314C68"/>
    <w:rsid w:val="0031527F"/>
    <w:rsid w:val="00316E64"/>
    <w:rsid w:val="00320F21"/>
    <w:rsid w:val="00321249"/>
    <w:rsid w:val="003243FF"/>
    <w:rsid w:val="003249AD"/>
    <w:rsid w:val="00326861"/>
    <w:rsid w:val="0032700A"/>
    <w:rsid w:val="00330268"/>
    <w:rsid w:val="0033167C"/>
    <w:rsid w:val="00331F1D"/>
    <w:rsid w:val="00332D0D"/>
    <w:rsid w:val="00334264"/>
    <w:rsid w:val="00335256"/>
    <w:rsid w:val="003354D7"/>
    <w:rsid w:val="00336080"/>
    <w:rsid w:val="00336F9D"/>
    <w:rsid w:val="0033795F"/>
    <w:rsid w:val="0034032B"/>
    <w:rsid w:val="00341908"/>
    <w:rsid w:val="00341D32"/>
    <w:rsid w:val="00342FE6"/>
    <w:rsid w:val="00342FF6"/>
    <w:rsid w:val="003450A0"/>
    <w:rsid w:val="00345415"/>
    <w:rsid w:val="00345D56"/>
    <w:rsid w:val="00346E23"/>
    <w:rsid w:val="00350917"/>
    <w:rsid w:val="00350C0C"/>
    <w:rsid w:val="0035155D"/>
    <w:rsid w:val="00353DE1"/>
    <w:rsid w:val="00354B70"/>
    <w:rsid w:val="003556D8"/>
    <w:rsid w:val="003603A2"/>
    <w:rsid w:val="0036176B"/>
    <w:rsid w:val="00362BFC"/>
    <w:rsid w:val="00363FEE"/>
    <w:rsid w:val="0036521B"/>
    <w:rsid w:val="00365645"/>
    <w:rsid w:val="0036784A"/>
    <w:rsid w:val="00375C79"/>
    <w:rsid w:val="00376870"/>
    <w:rsid w:val="00376D45"/>
    <w:rsid w:val="0038031A"/>
    <w:rsid w:val="003811C0"/>
    <w:rsid w:val="00381D49"/>
    <w:rsid w:val="00392D32"/>
    <w:rsid w:val="00393382"/>
    <w:rsid w:val="003936AE"/>
    <w:rsid w:val="00393F55"/>
    <w:rsid w:val="00394CA1"/>
    <w:rsid w:val="00397712"/>
    <w:rsid w:val="00397DE8"/>
    <w:rsid w:val="003A0BD2"/>
    <w:rsid w:val="003A149A"/>
    <w:rsid w:val="003A1A21"/>
    <w:rsid w:val="003A2780"/>
    <w:rsid w:val="003A2792"/>
    <w:rsid w:val="003A28C9"/>
    <w:rsid w:val="003A56B4"/>
    <w:rsid w:val="003B0174"/>
    <w:rsid w:val="003B01B4"/>
    <w:rsid w:val="003B0FCE"/>
    <w:rsid w:val="003B2264"/>
    <w:rsid w:val="003B2EDB"/>
    <w:rsid w:val="003B3C43"/>
    <w:rsid w:val="003B41ED"/>
    <w:rsid w:val="003B5341"/>
    <w:rsid w:val="003B6536"/>
    <w:rsid w:val="003C1544"/>
    <w:rsid w:val="003C27B2"/>
    <w:rsid w:val="003C4198"/>
    <w:rsid w:val="003C51B3"/>
    <w:rsid w:val="003C69B6"/>
    <w:rsid w:val="003D02A3"/>
    <w:rsid w:val="003D10F4"/>
    <w:rsid w:val="003D1659"/>
    <w:rsid w:val="003D2D94"/>
    <w:rsid w:val="003D2DE4"/>
    <w:rsid w:val="003D3F62"/>
    <w:rsid w:val="003D4815"/>
    <w:rsid w:val="003D4ECF"/>
    <w:rsid w:val="003D5854"/>
    <w:rsid w:val="003D63CD"/>
    <w:rsid w:val="003E4568"/>
    <w:rsid w:val="003E46BB"/>
    <w:rsid w:val="003E727E"/>
    <w:rsid w:val="003F0704"/>
    <w:rsid w:val="003F13CB"/>
    <w:rsid w:val="003F1E59"/>
    <w:rsid w:val="003F39A4"/>
    <w:rsid w:val="003F4848"/>
    <w:rsid w:val="0040292A"/>
    <w:rsid w:val="0040293F"/>
    <w:rsid w:val="00403E46"/>
    <w:rsid w:val="00406D58"/>
    <w:rsid w:val="0040731A"/>
    <w:rsid w:val="00410CD7"/>
    <w:rsid w:val="004111D0"/>
    <w:rsid w:val="0041208F"/>
    <w:rsid w:val="00412A30"/>
    <w:rsid w:val="00413B31"/>
    <w:rsid w:val="0041499B"/>
    <w:rsid w:val="00416A46"/>
    <w:rsid w:val="004179B1"/>
    <w:rsid w:val="00420305"/>
    <w:rsid w:val="00420D4F"/>
    <w:rsid w:val="00421A3B"/>
    <w:rsid w:val="004228D8"/>
    <w:rsid w:val="004232F5"/>
    <w:rsid w:val="0042672F"/>
    <w:rsid w:val="004278C8"/>
    <w:rsid w:val="00431699"/>
    <w:rsid w:val="0043330A"/>
    <w:rsid w:val="00436A33"/>
    <w:rsid w:val="00436C39"/>
    <w:rsid w:val="004370CE"/>
    <w:rsid w:val="00437477"/>
    <w:rsid w:val="004375CB"/>
    <w:rsid w:val="00443297"/>
    <w:rsid w:val="00443637"/>
    <w:rsid w:val="00445032"/>
    <w:rsid w:val="004473A6"/>
    <w:rsid w:val="00447FE0"/>
    <w:rsid w:val="004503C4"/>
    <w:rsid w:val="00451D64"/>
    <w:rsid w:val="00454C99"/>
    <w:rsid w:val="00456DBA"/>
    <w:rsid w:val="00456F53"/>
    <w:rsid w:val="004575F8"/>
    <w:rsid w:val="00461CF5"/>
    <w:rsid w:val="00462C7D"/>
    <w:rsid w:val="00463B8E"/>
    <w:rsid w:val="00464188"/>
    <w:rsid w:val="00465094"/>
    <w:rsid w:val="00465AB7"/>
    <w:rsid w:val="00466101"/>
    <w:rsid w:val="0047029B"/>
    <w:rsid w:val="00470886"/>
    <w:rsid w:val="004773D8"/>
    <w:rsid w:val="00477625"/>
    <w:rsid w:val="00477E6B"/>
    <w:rsid w:val="00480465"/>
    <w:rsid w:val="004808C3"/>
    <w:rsid w:val="00480F84"/>
    <w:rsid w:val="00482022"/>
    <w:rsid w:val="0048311E"/>
    <w:rsid w:val="00483B27"/>
    <w:rsid w:val="004862FD"/>
    <w:rsid w:val="004865D4"/>
    <w:rsid w:val="004866E1"/>
    <w:rsid w:val="004872A8"/>
    <w:rsid w:val="00487E50"/>
    <w:rsid w:val="00491754"/>
    <w:rsid w:val="004930F9"/>
    <w:rsid w:val="0049516A"/>
    <w:rsid w:val="0049516F"/>
    <w:rsid w:val="004A0E6B"/>
    <w:rsid w:val="004A0EC0"/>
    <w:rsid w:val="004A11D5"/>
    <w:rsid w:val="004A138B"/>
    <w:rsid w:val="004A2865"/>
    <w:rsid w:val="004A3219"/>
    <w:rsid w:val="004A72C3"/>
    <w:rsid w:val="004B0B34"/>
    <w:rsid w:val="004B29F7"/>
    <w:rsid w:val="004B3901"/>
    <w:rsid w:val="004B3A08"/>
    <w:rsid w:val="004B5F90"/>
    <w:rsid w:val="004B6D5E"/>
    <w:rsid w:val="004C128B"/>
    <w:rsid w:val="004C2A91"/>
    <w:rsid w:val="004C3A63"/>
    <w:rsid w:val="004C3F61"/>
    <w:rsid w:val="004C51B3"/>
    <w:rsid w:val="004C5507"/>
    <w:rsid w:val="004C6B6B"/>
    <w:rsid w:val="004C6BF0"/>
    <w:rsid w:val="004C7AB3"/>
    <w:rsid w:val="004C7C86"/>
    <w:rsid w:val="004D19A8"/>
    <w:rsid w:val="004D5EFE"/>
    <w:rsid w:val="004D6EA6"/>
    <w:rsid w:val="004E2E21"/>
    <w:rsid w:val="004F2E82"/>
    <w:rsid w:val="004F3655"/>
    <w:rsid w:val="004F57C8"/>
    <w:rsid w:val="004F5BE8"/>
    <w:rsid w:val="004F5C48"/>
    <w:rsid w:val="004F65F0"/>
    <w:rsid w:val="004F7340"/>
    <w:rsid w:val="004F7EDC"/>
    <w:rsid w:val="00500365"/>
    <w:rsid w:val="0050264E"/>
    <w:rsid w:val="005033E1"/>
    <w:rsid w:val="00506721"/>
    <w:rsid w:val="005112C9"/>
    <w:rsid w:val="005139ED"/>
    <w:rsid w:val="005154FA"/>
    <w:rsid w:val="00517A3B"/>
    <w:rsid w:val="0052580E"/>
    <w:rsid w:val="00525E48"/>
    <w:rsid w:val="00526FCC"/>
    <w:rsid w:val="0052732C"/>
    <w:rsid w:val="00531F4C"/>
    <w:rsid w:val="00531F8A"/>
    <w:rsid w:val="00533CA1"/>
    <w:rsid w:val="00534000"/>
    <w:rsid w:val="00534751"/>
    <w:rsid w:val="00535620"/>
    <w:rsid w:val="00537AD2"/>
    <w:rsid w:val="00544628"/>
    <w:rsid w:val="00544F16"/>
    <w:rsid w:val="00545D00"/>
    <w:rsid w:val="00545FE4"/>
    <w:rsid w:val="00547557"/>
    <w:rsid w:val="00547618"/>
    <w:rsid w:val="00547ABC"/>
    <w:rsid w:val="00551277"/>
    <w:rsid w:val="005524EE"/>
    <w:rsid w:val="005532A3"/>
    <w:rsid w:val="00553B7A"/>
    <w:rsid w:val="0055494C"/>
    <w:rsid w:val="005552AD"/>
    <w:rsid w:val="0055538F"/>
    <w:rsid w:val="0055593D"/>
    <w:rsid w:val="0055786E"/>
    <w:rsid w:val="00561828"/>
    <w:rsid w:val="00561DF0"/>
    <w:rsid w:val="00562E9D"/>
    <w:rsid w:val="00564C73"/>
    <w:rsid w:val="00567029"/>
    <w:rsid w:val="0056749C"/>
    <w:rsid w:val="00567C00"/>
    <w:rsid w:val="0057034D"/>
    <w:rsid w:val="00571E8B"/>
    <w:rsid w:val="00572327"/>
    <w:rsid w:val="0057479C"/>
    <w:rsid w:val="0058408C"/>
    <w:rsid w:val="00584504"/>
    <w:rsid w:val="00585E32"/>
    <w:rsid w:val="00587CC8"/>
    <w:rsid w:val="005916C4"/>
    <w:rsid w:val="00593CF7"/>
    <w:rsid w:val="005A3021"/>
    <w:rsid w:val="005A3987"/>
    <w:rsid w:val="005A40F2"/>
    <w:rsid w:val="005A4F98"/>
    <w:rsid w:val="005A6B10"/>
    <w:rsid w:val="005B4840"/>
    <w:rsid w:val="005B4CB5"/>
    <w:rsid w:val="005B599B"/>
    <w:rsid w:val="005C0C7F"/>
    <w:rsid w:val="005C14F7"/>
    <w:rsid w:val="005C19F0"/>
    <w:rsid w:val="005C57CE"/>
    <w:rsid w:val="005D029F"/>
    <w:rsid w:val="005D0A5D"/>
    <w:rsid w:val="005D1EC3"/>
    <w:rsid w:val="005D31E6"/>
    <w:rsid w:val="005D4B25"/>
    <w:rsid w:val="005D5E7B"/>
    <w:rsid w:val="005D6FDC"/>
    <w:rsid w:val="005E0D47"/>
    <w:rsid w:val="005E1A92"/>
    <w:rsid w:val="005E24A1"/>
    <w:rsid w:val="005E461F"/>
    <w:rsid w:val="005F199F"/>
    <w:rsid w:val="005F3B25"/>
    <w:rsid w:val="005F42F9"/>
    <w:rsid w:val="005F5C8C"/>
    <w:rsid w:val="005F76ED"/>
    <w:rsid w:val="005F7AD2"/>
    <w:rsid w:val="005F7C05"/>
    <w:rsid w:val="006006F0"/>
    <w:rsid w:val="006023AC"/>
    <w:rsid w:val="006034F7"/>
    <w:rsid w:val="00603B79"/>
    <w:rsid w:val="00603DEB"/>
    <w:rsid w:val="006052A3"/>
    <w:rsid w:val="00607A20"/>
    <w:rsid w:val="00607C36"/>
    <w:rsid w:val="00607F3A"/>
    <w:rsid w:val="00610E30"/>
    <w:rsid w:val="006110C9"/>
    <w:rsid w:val="0061159A"/>
    <w:rsid w:val="006116B1"/>
    <w:rsid w:val="00614AC4"/>
    <w:rsid w:val="006150C7"/>
    <w:rsid w:val="0061516F"/>
    <w:rsid w:val="00616049"/>
    <w:rsid w:val="00616424"/>
    <w:rsid w:val="00617591"/>
    <w:rsid w:val="006216E6"/>
    <w:rsid w:val="00622F91"/>
    <w:rsid w:val="00625B7B"/>
    <w:rsid w:val="00631684"/>
    <w:rsid w:val="00632EC9"/>
    <w:rsid w:val="00633702"/>
    <w:rsid w:val="0063460B"/>
    <w:rsid w:val="00636EF5"/>
    <w:rsid w:val="00637472"/>
    <w:rsid w:val="006405F9"/>
    <w:rsid w:val="00640B2E"/>
    <w:rsid w:val="006413B0"/>
    <w:rsid w:val="00644348"/>
    <w:rsid w:val="00645852"/>
    <w:rsid w:val="00650D46"/>
    <w:rsid w:val="006530A6"/>
    <w:rsid w:val="006560BF"/>
    <w:rsid w:val="00656C69"/>
    <w:rsid w:val="0065730D"/>
    <w:rsid w:val="00657594"/>
    <w:rsid w:val="00662A5D"/>
    <w:rsid w:val="00665591"/>
    <w:rsid w:val="006671DC"/>
    <w:rsid w:val="00671818"/>
    <w:rsid w:val="00672323"/>
    <w:rsid w:val="00673741"/>
    <w:rsid w:val="00675B71"/>
    <w:rsid w:val="00676689"/>
    <w:rsid w:val="00680936"/>
    <w:rsid w:val="0068212D"/>
    <w:rsid w:val="0068477A"/>
    <w:rsid w:val="00684B79"/>
    <w:rsid w:val="00684C1B"/>
    <w:rsid w:val="006865BD"/>
    <w:rsid w:val="006869E4"/>
    <w:rsid w:val="00687E8F"/>
    <w:rsid w:val="00690742"/>
    <w:rsid w:val="006919A4"/>
    <w:rsid w:val="0069223F"/>
    <w:rsid w:val="006941AE"/>
    <w:rsid w:val="00694B2B"/>
    <w:rsid w:val="00696A9F"/>
    <w:rsid w:val="00697EAB"/>
    <w:rsid w:val="006A15AA"/>
    <w:rsid w:val="006A4C16"/>
    <w:rsid w:val="006B0630"/>
    <w:rsid w:val="006B0B27"/>
    <w:rsid w:val="006B1968"/>
    <w:rsid w:val="006B2AF2"/>
    <w:rsid w:val="006B4E61"/>
    <w:rsid w:val="006B5116"/>
    <w:rsid w:val="006B6978"/>
    <w:rsid w:val="006B7AB5"/>
    <w:rsid w:val="006C023C"/>
    <w:rsid w:val="006C0B8A"/>
    <w:rsid w:val="006C4EA2"/>
    <w:rsid w:val="006C7367"/>
    <w:rsid w:val="006D128A"/>
    <w:rsid w:val="006D1EAE"/>
    <w:rsid w:val="006D28D7"/>
    <w:rsid w:val="006D33D3"/>
    <w:rsid w:val="006E0001"/>
    <w:rsid w:val="006E18F6"/>
    <w:rsid w:val="006E3BFF"/>
    <w:rsid w:val="006E4456"/>
    <w:rsid w:val="006E4585"/>
    <w:rsid w:val="006E7C3C"/>
    <w:rsid w:val="006E7E9D"/>
    <w:rsid w:val="006F076D"/>
    <w:rsid w:val="006F1A69"/>
    <w:rsid w:val="006F1B9B"/>
    <w:rsid w:val="006F3D8A"/>
    <w:rsid w:val="006F4384"/>
    <w:rsid w:val="006F4A34"/>
    <w:rsid w:val="006F4CD3"/>
    <w:rsid w:val="006F60A7"/>
    <w:rsid w:val="006F6CF9"/>
    <w:rsid w:val="006F7360"/>
    <w:rsid w:val="00702A38"/>
    <w:rsid w:val="007031BE"/>
    <w:rsid w:val="007065D8"/>
    <w:rsid w:val="00711B12"/>
    <w:rsid w:val="00714285"/>
    <w:rsid w:val="00716860"/>
    <w:rsid w:val="00716C82"/>
    <w:rsid w:val="00717C87"/>
    <w:rsid w:val="0072189C"/>
    <w:rsid w:val="00722CED"/>
    <w:rsid w:val="00724806"/>
    <w:rsid w:val="00724D43"/>
    <w:rsid w:val="00724D6B"/>
    <w:rsid w:val="00726B5B"/>
    <w:rsid w:val="007278A2"/>
    <w:rsid w:val="00727B0F"/>
    <w:rsid w:val="0073041B"/>
    <w:rsid w:val="00730AF4"/>
    <w:rsid w:val="00731748"/>
    <w:rsid w:val="00732F9B"/>
    <w:rsid w:val="0073337A"/>
    <w:rsid w:val="0073439A"/>
    <w:rsid w:val="00736D86"/>
    <w:rsid w:val="00737FBA"/>
    <w:rsid w:val="00740D52"/>
    <w:rsid w:val="00744910"/>
    <w:rsid w:val="00750005"/>
    <w:rsid w:val="00750388"/>
    <w:rsid w:val="00751A5D"/>
    <w:rsid w:val="00752240"/>
    <w:rsid w:val="00754066"/>
    <w:rsid w:val="007549BB"/>
    <w:rsid w:val="0075534E"/>
    <w:rsid w:val="00757054"/>
    <w:rsid w:val="00757A86"/>
    <w:rsid w:val="00762DA2"/>
    <w:rsid w:val="007637D5"/>
    <w:rsid w:val="00764C25"/>
    <w:rsid w:val="00764C6D"/>
    <w:rsid w:val="00766A58"/>
    <w:rsid w:val="00771E80"/>
    <w:rsid w:val="00773778"/>
    <w:rsid w:val="00774586"/>
    <w:rsid w:val="00777FF8"/>
    <w:rsid w:val="00781950"/>
    <w:rsid w:val="007825ED"/>
    <w:rsid w:val="007848B6"/>
    <w:rsid w:val="00786B25"/>
    <w:rsid w:val="00787865"/>
    <w:rsid w:val="00790CA9"/>
    <w:rsid w:val="00791652"/>
    <w:rsid w:val="007926FB"/>
    <w:rsid w:val="00792D70"/>
    <w:rsid w:val="0079347F"/>
    <w:rsid w:val="00794C2C"/>
    <w:rsid w:val="00794FC0"/>
    <w:rsid w:val="007A032A"/>
    <w:rsid w:val="007A0AE2"/>
    <w:rsid w:val="007A0DCE"/>
    <w:rsid w:val="007A0F1B"/>
    <w:rsid w:val="007A2544"/>
    <w:rsid w:val="007A3947"/>
    <w:rsid w:val="007A64C6"/>
    <w:rsid w:val="007B0EB9"/>
    <w:rsid w:val="007B26CE"/>
    <w:rsid w:val="007B3098"/>
    <w:rsid w:val="007B3191"/>
    <w:rsid w:val="007B4049"/>
    <w:rsid w:val="007B5ACE"/>
    <w:rsid w:val="007B6487"/>
    <w:rsid w:val="007B794E"/>
    <w:rsid w:val="007B79B9"/>
    <w:rsid w:val="007C24C1"/>
    <w:rsid w:val="007C3381"/>
    <w:rsid w:val="007C524C"/>
    <w:rsid w:val="007C5AB4"/>
    <w:rsid w:val="007D1BEE"/>
    <w:rsid w:val="007D2F43"/>
    <w:rsid w:val="007D46A9"/>
    <w:rsid w:val="007D4C78"/>
    <w:rsid w:val="007D6EAA"/>
    <w:rsid w:val="007E08D5"/>
    <w:rsid w:val="007E0DA9"/>
    <w:rsid w:val="007E1555"/>
    <w:rsid w:val="007E3238"/>
    <w:rsid w:val="007E590E"/>
    <w:rsid w:val="007E5B67"/>
    <w:rsid w:val="007E5E06"/>
    <w:rsid w:val="007E7708"/>
    <w:rsid w:val="007F001D"/>
    <w:rsid w:val="007F3273"/>
    <w:rsid w:val="007F3348"/>
    <w:rsid w:val="007F5F41"/>
    <w:rsid w:val="007F75FE"/>
    <w:rsid w:val="007F7C7D"/>
    <w:rsid w:val="008002AC"/>
    <w:rsid w:val="008006D7"/>
    <w:rsid w:val="00805A9C"/>
    <w:rsid w:val="008074B3"/>
    <w:rsid w:val="00807F20"/>
    <w:rsid w:val="00810DAC"/>
    <w:rsid w:val="00815A25"/>
    <w:rsid w:val="00816414"/>
    <w:rsid w:val="00817F2D"/>
    <w:rsid w:val="00820D4C"/>
    <w:rsid w:val="0082253A"/>
    <w:rsid w:val="008227FA"/>
    <w:rsid w:val="00823B99"/>
    <w:rsid w:val="00823FE9"/>
    <w:rsid w:val="00825F86"/>
    <w:rsid w:val="008267BC"/>
    <w:rsid w:val="008303FB"/>
    <w:rsid w:val="00830B90"/>
    <w:rsid w:val="0083185C"/>
    <w:rsid w:val="00835573"/>
    <w:rsid w:val="0083580F"/>
    <w:rsid w:val="00835A90"/>
    <w:rsid w:val="008400BB"/>
    <w:rsid w:val="00841296"/>
    <w:rsid w:val="00841A74"/>
    <w:rsid w:val="00844332"/>
    <w:rsid w:val="0084490F"/>
    <w:rsid w:val="00844D20"/>
    <w:rsid w:val="00844D78"/>
    <w:rsid w:val="00844E03"/>
    <w:rsid w:val="00846321"/>
    <w:rsid w:val="00850FDC"/>
    <w:rsid w:val="0085163F"/>
    <w:rsid w:val="00852B84"/>
    <w:rsid w:val="00853AC7"/>
    <w:rsid w:val="00854587"/>
    <w:rsid w:val="00854C81"/>
    <w:rsid w:val="00855E36"/>
    <w:rsid w:val="008605E8"/>
    <w:rsid w:val="008623A0"/>
    <w:rsid w:val="008640F5"/>
    <w:rsid w:val="008650DB"/>
    <w:rsid w:val="008670BE"/>
    <w:rsid w:val="0086749F"/>
    <w:rsid w:val="00870754"/>
    <w:rsid w:val="00870D7F"/>
    <w:rsid w:val="00870E0F"/>
    <w:rsid w:val="00871231"/>
    <w:rsid w:val="00874195"/>
    <w:rsid w:val="00874D4D"/>
    <w:rsid w:val="00876C97"/>
    <w:rsid w:val="008820E9"/>
    <w:rsid w:val="00882320"/>
    <w:rsid w:val="0088658B"/>
    <w:rsid w:val="00886664"/>
    <w:rsid w:val="0089124A"/>
    <w:rsid w:val="008A087E"/>
    <w:rsid w:val="008A09E7"/>
    <w:rsid w:val="008A1AFC"/>
    <w:rsid w:val="008A2417"/>
    <w:rsid w:val="008A2A6F"/>
    <w:rsid w:val="008A2C34"/>
    <w:rsid w:val="008A541D"/>
    <w:rsid w:val="008A7D51"/>
    <w:rsid w:val="008B00E2"/>
    <w:rsid w:val="008B0BD5"/>
    <w:rsid w:val="008B1305"/>
    <w:rsid w:val="008B2E69"/>
    <w:rsid w:val="008B364F"/>
    <w:rsid w:val="008B4659"/>
    <w:rsid w:val="008B53DB"/>
    <w:rsid w:val="008B7234"/>
    <w:rsid w:val="008B7E4A"/>
    <w:rsid w:val="008C0569"/>
    <w:rsid w:val="008C061A"/>
    <w:rsid w:val="008C3D3D"/>
    <w:rsid w:val="008C5857"/>
    <w:rsid w:val="008C5F4F"/>
    <w:rsid w:val="008C78E9"/>
    <w:rsid w:val="008D2486"/>
    <w:rsid w:val="008D630C"/>
    <w:rsid w:val="008E0FAC"/>
    <w:rsid w:val="008E142A"/>
    <w:rsid w:val="008E14FE"/>
    <w:rsid w:val="008E1CA6"/>
    <w:rsid w:val="008E1CBD"/>
    <w:rsid w:val="008E3298"/>
    <w:rsid w:val="008E4779"/>
    <w:rsid w:val="008E4948"/>
    <w:rsid w:val="008E65ED"/>
    <w:rsid w:val="008F0A90"/>
    <w:rsid w:val="008F1841"/>
    <w:rsid w:val="008F254A"/>
    <w:rsid w:val="008F3FB3"/>
    <w:rsid w:val="00901983"/>
    <w:rsid w:val="009021CB"/>
    <w:rsid w:val="00902CEA"/>
    <w:rsid w:val="0090311A"/>
    <w:rsid w:val="009032EB"/>
    <w:rsid w:val="00903DB7"/>
    <w:rsid w:val="00905075"/>
    <w:rsid w:val="0090635B"/>
    <w:rsid w:val="0091023D"/>
    <w:rsid w:val="00912CD3"/>
    <w:rsid w:val="0091311A"/>
    <w:rsid w:val="00913902"/>
    <w:rsid w:val="00915175"/>
    <w:rsid w:val="00916008"/>
    <w:rsid w:val="009161DA"/>
    <w:rsid w:val="00916BB5"/>
    <w:rsid w:val="00921096"/>
    <w:rsid w:val="0092156F"/>
    <w:rsid w:val="00921AE9"/>
    <w:rsid w:val="0092236B"/>
    <w:rsid w:val="00924830"/>
    <w:rsid w:val="009260F7"/>
    <w:rsid w:val="00926BC0"/>
    <w:rsid w:val="00927114"/>
    <w:rsid w:val="00927F3B"/>
    <w:rsid w:val="009316C4"/>
    <w:rsid w:val="009340E6"/>
    <w:rsid w:val="0093422F"/>
    <w:rsid w:val="00934696"/>
    <w:rsid w:val="009348F4"/>
    <w:rsid w:val="009358BA"/>
    <w:rsid w:val="009362E8"/>
    <w:rsid w:val="00937C7B"/>
    <w:rsid w:val="00945679"/>
    <w:rsid w:val="00951A1A"/>
    <w:rsid w:val="00954E4C"/>
    <w:rsid w:val="00955E4D"/>
    <w:rsid w:val="00957C6D"/>
    <w:rsid w:val="00960145"/>
    <w:rsid w:val="0096395C"/>
    <w:rsid w:val="00966D2A"/>
    <w:rsid w:val="00967E51"/>
    <w:rsid w:val="00971CD3"/>
    <w:rsid w:val="009732AD"/>
    <w:rsid w:val="00973976"/>
    <w:rsid w:val="009812E5"/>
    <w:rsid w:val="00982397"/>
    <w:rsid w:val="00985917"/>
    <w:rsid w:val="009861C3"/>
    <w:rsid w:val="00986A44"/>
    <w:rsid w:val="00990EEA"/>
    <w:rsid w:val="0099163C"/>
    <w:rsid w:val="009927CF"/>
    <w:rsid w:val="00992E44"/>
    <w:rsid w:val="00994121"/>
    <w:rsid w:val="00994228"/>
    <w:rsid w:val="0099477B"/>
    <w:rsid w:val="009951C0"/>
    <w:rsid w:val="009961E4"/>
    <w:rsid w:val="009962C0"/>
    <w:rsid w:val="009969CF"/>
    <w:rsid w:val="009A0A21"/>
    <w:rsid w:val="009A17B7"/>
    <w:rsid w:val="009A1E9A"/>
    <w:rsid w:val="009A2A41"/>
    <w:rsid w:val="009A38FB"/>
    <w:rsid w:val="009A3BEE"/>
    <w:rsid w:val="009A4742"/>
    <w:rsid w:val="009A55EC"/>
    <w:rsid w:val="009A6FA7"/>
    <w:rsid w:val="009A7374"/>
    <w:rsid w:val="009A7ACD"/>
    <w:rsid w:val="009B2840"/>
    <w:rsid w:val="009B2B75"/>
    <w:rsid w:val="009C080E"/>
    <w:rsid w:val="009C0B4C"/>
    <w:rsid w:val="009C43A2"/>
    <w:rsid w:val="009C77A1"/>
    <w:rsid w:val="009D2192"/>
    <w:rsid w:val="009D28CA"/>
    <w:rsid w:val="009D489A"/>
    <w:rsid w:val="009D4AF2"/>
    <w:rsid w:val="009D6807"/>
    <w:rsid w:val="009D74FF"/>
    <w:rsid w:val="009E068A"/>
    <w:rsid w:val="009E0E77"/>
    <w:rsid w:val="009E1DA6"/>
    <w:rsid w:val="009E2195"/>
    <w:rsid w:val="009E417E"/>
    <w:rsid w:val="009E41F5"/>
    <w:rsid w:val="009E52D0"/>
    <w:rsid w:val="009E5642"/>
    <w:rsid w:val="009E63D2"/>
    <w:rsid w:val="009E6458"/>
    <w:rsid w:val="009F1E1E"/>
    <w:rsid w:val="009F2759"/>
    <w:rsid w:val="009F44CA"/>
    <w:rsid w:val="009F4E61"/>
    <w:rsid w:val="009F504D"/>
    <w:rsid w:val="009F64E9"/>
    <w:rsid w:val="009F77A1"/>
    <w:rsid w:val="009F7E22"/>
    <w:rsid w:val="00A06F14"/>
    <w:rsid w:val="00A160D7"/>
    <w:rsid w:val="00A16266"/>
    <w:rsid w:val="00A1783F"/>
    <w:rsid w:val="00A17E78"/>
    <w:rsid w:val="00A21754"/>
    <w:rsid w:val="00A22551"/>
    <w:rsid w:val="00A262AD"/>
    <w:rsid w:val="00A263B6"/>
    <w:rsid w:val="00A26B89"/>
    <w:rsid w:val="00A3018E"/>
    <w:rsid w:val="00A314F3"/>
    <w:rsid w:val="00A31BC9"/>
    <w:rsid w:val="00A33295"/>
    <w:rsid w:val="00A338F5"/>
    <w:rsid w:val="00A33B04"/>
    <w:rsid w:val="00A349BA"/>
    <w:rsid w:val="00A35B51"/>
    <w:rsid w:val="00A3627F"/>
    <w:rsid w:val="00A41492"/>
    <w:rsid w:val="00A45173"/>
    <w:rsid w:val="00A46044"/>
    <w:rsid w:val="00A47336"/>
    <w:rsid w:val="00A476F3"/>
    <w:rsid w:val="00A47AD6"/>
    <w:rsid w:val="00A47DA4"/>
    <w:rsid w:val="00A50D49"/>
    <w:rsid w:val="00A5315D"/>
    <w:rsid w:val="00A53C87"/>
    <w:rsid w:val="00A62E3F"/>
    <w:rsid w:val="00A633DE"/>
    <w:rsid w:val="00A6374C"/>
    <w:rsid w:val="00A63D11"/>
    <w:rsid w:val="00A64758"/>
    <w:rsid w:val="00A6515D"/>
    <w:rsid w:val="00A6687F"/>
    <w:rsid w:val="00A67208"/>
    <w:rsid w:val="00A730B7"/>
    <w:rsid w:val="00A742FE"/>
    <w:rsid w:val="00A762CA"/>
    <w:rsid w:val="00A84427"/>
    <w:rsid w:val="00A84B32"/>
    <w:rsid w:val="00A90B4C"/>
    <w:rsid w:val="00A90CBC"/>
    <w:rsid w:val="00A941E2"/>
    <w:rsid w:val="00A9447F"/>
    <w:rsid w:val="00A95E16"/>
    <w:rsid w:val="00A95E56"/>
    <w:rsid w:val="00AA0058"/>
    <w:rsid w:val="00AA327F"/>
    <w:rsid w:val="00AA43DB"/>
    <w:rsid w:val="00AA4C30"/>
    <w:rsid w:val="00AB0051"/>
    <w:rsid w:val="00AB098F"/>
    <w:rsid w:val="00AB153E"/>
    <w:rsid w:val="00AB19DF"/>
    <w:rsid w:val="00AB2216"/>
    <w:rsid w:val="00AB68A5"/>
    <w:rsid w:val="00AC0168"/>
    <w:rsid w:val="00AC1473"/>
    <w:rsid w:val="00AC16A0"/>
    <w:rsid w:val="00AC2FEE"/>
    <w:rsid w:val="00AC3D2A"/>
    <w:rsid w:val="00AC4573"/>
    <w:rsid w:val="00AC6175"/>
    <w:rsid w:val="00AC66FC"/>
    <w:rsid w:val="00AC6E45"/>
    <w:rsid w:val="00AD07B8"/>
    <w:rsid w:val="00AD15EC"/>
    <w:rsid w:val="00AD172D"/>
    <w:rsid w:val="00AD2287"/>
    <w:rsid w:val="00AD5DD8"/>
    <w:rsid w:val="00AD70CF"/>
    <w:rsid w:val="00AD78E1"/>
    <w:rsid w:val="00AE0DAB"/>
    <w:rsid w:val="00AE0DAD"/>
    <w:rsid w:val="00AE2202"/>
    <w:rsid w:val="00AE5BCF"/>
    <w:rsid w:val="00AE60DF"/>
    <w:rsid w:val="00AE6CAD"/>
    <w:rsid w:val="00AE6E63"/>
    <w:rsid w:val="00AF013F"/>
    <w:rsid w:val="00AF1C5D"/>
    <w:rsid w:val="00AF54DF"/>
    <w:rsid w:val="00AF6A0E"/>
    <w:rsid w:val="00B005CE"/>
    <w:rsid w:val="00B0252F"/>
    <w:rsid w:val="00B0319B"/>
    <w:rsid w:val="00B0479C"/>
    <w:rsid w:val="00B05454"/>
    <w:rsid w:val="00B0655B"/>
    <w:rsid w:val="00B06E2E"/>
    <w:rsid w:val="00B07073"/>
    <w:rsid w:val="00B12951"/>
    <w:rsid w:val="00B12C26"/>
    <w:rsid w:val="00B12D90"/>
    <w:rsid w:val="00B1648C"/>
    <w:rsid w:val="00B16845"/>
    <w:rsid w:val="00B16FBD"/>
    <w:rsid w:val="00B20BF6"/>
    <w:rsid w:val="00B2124E"/>
    <w:rsid w:val="00B225CA"/>
    <w:rsid w:val="00B22FC4"/>
    <w:rsid w:val="00B25952"/>
    <w:rsid w:val="00B26E10"/>
    <w:rsid w:val="00B27784"/>
    <w:rsid w:val="00B27D91"/>
    <w:rsid w:val="00B302D6"/>
    <w:rsid w:val="00B342F2"/>
    <w:rsid w:val="00B35BCA"/>
    <w:rsid w:val="00B36267"/>
    <w:rsid w:val="00B36545"/>
    <w:rsid w:val="00B37CB9"/>
    <w:rsid w:val="00B41DE0"/>
    <w:rsid w:val="00B43ACA"/>
    <w:rsid w:val="00B469DE"/>
    <w:rsid w:val="00B46C33"/>
    <w:rsid w:val="00B47C18"/>
    <w:rsid w:val="00B513A5"/>
    <w:rsid w:val="00B52230"/>
    <w:rsid w:val="00B53228"/>
    <w:rsid w:val="00B53455"/>
    <w:rsid w:val="00B56EFA"/>
    <w:rsid w:val="00B56FB1"/>
    <w:rsid w:val="00B60A86"/>
    <w:rsid w:val="00B60EA9"/>
    <w:rsid w:val="00B66E30"/>
    <w:rsid w:val="00B72876"/>
    <w:rsid w:val="00B74EA6"/>
    <w:rsid w:val="00B77187"/>
    <w:rsid w:val="00B77D29"/>
    <w:rsid w:val="00B80663"/>
    <w:rsid w:val="00B80C24"/>
    <w:rsid w:val="00B813AC"/>
    <w:rsid w:val="00B83242"/>
    <w:rsid w:val="00B84577"/>
    <w:rsid w:val="00B84E4B"/>
    <w:rsid w:val="00B851FF"/>
    <w:rsid w:val="00B866BA"/>
    <w:rsid w:val="00B90B0B"/>
    <w:rsid w:val="00B91182"/>
    <w:rsid w:val="00B93891"/>
    <w:rsid w:val="00B9694E"/>
    <w:rsid w:val="00BA076A"/>
    <w:rsid w:val="00BA0E7B"/>
    <w:rsid w:val="00BA1915"/>
    <w:rsid w:val="00BA1FC8"/>
    <w:rsid w:val="00BA29F7"/>
    <w:rsid w:val="00BA3315"/>
    <w:rsid w:val="00BA3DD6"/>
    <w:rsid w:val="00BA55C2"/>
    <w:rsid w:val="00BA5AE4"/>
    <w:rsid w:val="00BA6088"/>
    <w:rsid w:val="00BA63F5"/>
    <w:rsid w:val="00BA7097"/>
    <w:rsid w:val="00BA725C"/>
    <w:rsid w:val="00BB1667"/>
    <w:rsid w:val="00BB1A13"/>
    <w:rsid w:val="00BB1DEB"/>
    <w:rsid w:val="00BB226E"/>
    <w:rsid w:val="00BB2ADA"/>
    <w:rsid w:val="00BB36B0"/>
    <w:rsid w:val="00BB3FE5"/>
    <w:rsid w:val="00BB42AF"/>
    <w:rsid w:val="00BB5172"/>
    <w:rsid w:val="00BB6C70"/>
    <w:rsid w:val="00BB7758"/>
    <w:rsid w:val="00BC0B26"/>
    <w:rsid w:val="00BC1801"/>
    <w:rsid w:val="00BC20D9"/>
    <w:rsid w:val="00BC2F3A"/>
    <w:rsid w:val="00BC7932"/>
    <w:rsid w:val="00BD0079"/>
    <w:rsid w:val="00BD52CF"/>
    <w:rsid w:val="00BD558F"/>
    <w:rsid w:val="00BD5FE5"/>
    <w:rsid w:val="00BD61FD"/>
    <w:rsid w:val="00BD72C2"/>
    <w:rsid w:val="00BD7834"/>
    <w:rsid w:val="00BE124B"/>
    <w:rsid w:val="00BE646A"/>
    <w:rsid w:val="00BE7BF7"/>
    <w:rsid w:val="00BF069C"/>
    <w:rsid w:val="00BF26BE"/>
    <w:rsid w:val="00BF69FD"/>
    <w:rsid w:val="00BF7417"/>
    <w:rsid w:val="00C01532"/>
    <w:rsid w:val="00C027D4"/>
    <w:rsid w:val="00C03A71"/>
    <w:rsid w:val="00C03E9A"/>
    <w:rsid w:val="00C048C4"/>
    <w:rsid w:val="00C05FE0"/>
    <w:rsid w:val="00C06036"/>
    <w:rsid w:val="00C11F87"/>
    <w:rsid w:val="00C13094"/>
    <w:rsid w:val="00C132E8"/>
    <w:rsid w:val="00C13CDF"/>
    <w:rsid w:val="00C14C8B"/>
    <w:rsid w:val="00C14CD7"/>
    <w:rsid w:val="00C152AD"/>
    <w:rsid w:val="00C159E4"/>
    <w:rsid w:val="00C15EB6"/>
    <w:rsid w:val="00C234EA"/>
    <w:rsid w:val="00C2412A"/>
    <w:rsid w:val="00C257C2"/>
    <w:rsid w:val="00C347A4"/>
    <w:rsid w:val="00C34B19"/>
    <w:rsid w:val="00C37C74"/>
    <w:rsid w:val="00C421DC"/>
    <w:rsid w:val="00C42FE0"/>
    <w:rsid w:val="00C44397"/>
    <w:rsid w:val="00C4575D"/>
    <w:rsid w:val="00C500EC"/>
    <w:rsid w:val="00C52E75"/>
    <w:rsid w:val="00C532DE"/>
    <w:rsid w:val="00C53D8D"/>
    <w:rsid w:val="00C54C0D"/>
    <w:rsid w:val="00C54D6B"/>
    <w:rsid w:val="00C54EC5"/>
    <w:rsid w:val="00C54F77"/>
    <w:rsid w:val="00C576D8"/>
    <w:rsid w:val="00C57E26"/>
    <w:rsid w:val="00C60255"/>
    <w:rsid w:val="00C62D53"/>
    <w:rsid w:val="00C637A1"/>
    <w:rsid w:val="00C646DD"/>
    <w:rsid w:val="00C74B33"/>
    <w:rsid w:val="00C76208"/>
    <w:rsid w:val="00C76F64"/>
    <w:rsid w:val="00C80749"/>
    <w:rsid w:val="00C81E23"/>
    <w:rsid w:val="00C83C11"/>
    <w:rsid w:val="00C878F3"/>
    <w:rsid w:val="00C90B3D"/>
    <w:rsid w:val="00C9136F"/>
    <w:rsid w:val="00C923FE"/>
    <w:rsid w:val="00C93C4A"/>
    <w:rsid w:val="00C957B7"/>
    <w:rsid w:val="00C95D22"/>
    <w:rsid w:val="00CA003B"/>
    <w:rsid w:val="00CA072B"/>
    <w:rsid w:val="00CA1B4F"/>
    <w:rsid w:val="00CA271A"/>
    <w:rsid w:val="00CA366E"/>
    <w:rsid w:val="00CA380A"/>
    <w:rsid w:val="00CA461F"/>
    <w:rsid w:val="00CA49BB"/>
    <w:rsid w:val="00CA699F"/>
    <w:rsid w:val="00CA6EA1"/>
    <w:rsid w:val="00CB05D8"/>
    <w:rsid w:val="00CB06A3"/>
    <w:rsid w:val="00CB09CF"/>
    <w:rsid w:val="00CB206F"/>
    <w:rsid w:val="00CB29FC"/>
    <w:rsid w:val="00CB2E29"/>
    <w:rsid w:val="00CB37F2"/>
    <w:rsid w:val="00CB38A2"/>
    <w:rsid w:val="00CC5035"/>
    <w:rsid w:val="00CC72F4"/>
    <w:rsid w:val="00CD1625"/>
    <w:rsid w:val="00CD255C"/>
    <w:rsid w:val="00CD3003"/>
    <w:rsid w:val="00CD3C70"/>
    <w:rsid w:val="00CD3F56"/>
    <w:rsid w:val="00CD4038"/>
    <w:rsid w:val="00CD4206"/>
    <w:rsid w:val="00CD5116"/>
    <w:rsid w:val="00CD700F"/>
    <w:rsid w:val="00CE04AB"/>
    <w:rsid w:val="00CE0737"/>
    <w:rsid w:val="00CE2E66"/>
    <w:rsid w:val="00CE44A4"/>
    <w:rsid w:val="00CE4CF0"/>
    <w:rsid w:val="00CE4DE2"/>
    <w:rsid w:val="00CE6978"/>
    <w:rsid w:val="00CE6AE6"/>
    <w:rsid w:val="00CE6C9E"/>
    <w:rsid w:val="00CF0E76"/>
    <w:rsid w:val="00CF175D"/>
    <w:rsid w:val="00CF595C"/>
    <w:rsid w:val="00CF6658"/>
    <w:rsid w:val="00D00607"/>
    <w:rsid w:val="00D012DF"/>
    <w:rsid w:val="00D02C23"/>
    <w:rsid w:val="00D03681"/>
    <w:rsid w:val="00D03826"/>
    <w:rsid w:val="00D04103"/>
    <w:rsid w:val="00D04111"/>
    <w:rsid w:val="00D07FFB"/>
    <w:rsid w:val="00D129E4"/>
    <w:rsid w:val="00D13209"/>
    <w:rsid w:val="00D152F4"/>
    <w:rsid w:val="00D16E10"/>
    <w:rsid w:val="00D17D4E"/>
    <w:rsid w:val="00D20BCC"/>
    <w:rsid w:val="00D20D01"/>
    <w:rsid w:val="00D2267C"/>
    <w:rsid w:val="00D234E6"/>
    <w:rsid w:val="00D2475D"/>
    <w:rsid w:val="00D2573C"/>
    <w:rsid w:val="00D32D0B"/>
    <w:rsid w:val="00D33335"/>
    <w:rsid w:val="00D36F8D"/>
    <w:rsid w:val="00D4136F"/>
    <w:rsid w:val="00D41BE0"/>
    <w:rsid w:val="00D44505"/>
    <w:rsid w:val="00D445F3"/>
    <w:rsid w:val="00D510D0"/>
    <w:rsid w:val="00D512D7"/>
    <w:rsid w:val="00D5167C"/>
    <w:rsid w:val="00D518EA"/>
    <w:rsid w:val="00D629DF"/>
    <w:rsid w:val="00D63A51"/>
    <w:rsid w:val="00D65E2F"/>
    <w:rsid w:val="00D72310"/>
    <w:rsid w:val="00D77AF9"/>
    <w:rsid w:val="00D8113F"/>
    <w:rsid w:val="00D82D67"/>
    <w:rsid w:val="00D86FF2"/>
    <w:rsid w:val="00D9170E"/>
    <w:rsid w:val="00D91A65"/>
    <w:rsid w:val="00D92753"/>
    <w:rsid w:val="00D954E1"/>
    <w:rsid w:val="00D96288"/>
    <w:rsid w:val="00D966D2"/>
    <w:rsid w:val="00D96A2F"/>
    <w:rsid w:val="00DA0C31"/>
    <w:rsid w:val="00DA2D95"/>
    <w:rsid w:val="00DA3F03"/>
    <w:rsid w:val="00DA3F52"/>
    <w:rsid w:val="00DB090D"/>
    <w:rsid w:val="00DB1192"/>
    <w:rsid w:val="00DB1A99"/>
    <w:rsid w:val="00DB20FA"/>
    <w:rsid w:val="00DB7E72"/>
    <w:rsid w:val="00DC008B"/>
    <w:rsid w:val="00DC02C2"/>
    <w:rsid w:val="00DC210D"/>
    <w:rsid w:val="00DC3C68"/>
    <w:rsid w:val="00DC3CE7"/>
    <w:rsid w:val="00DC47F5"/>
    <w:rsid w:val="00DC53EF"/>
    <w:rsid w:val="00DC76F4"/>
    <w:rsid w:val="00DD1C46"/>
    <w:rsid w:val="00DD4593"/>
    <w:rsid w:val="00DD4F7E"/>
    <w:rsid w:val="00DD5DD3"/>
    <w:rsid w:val="00DE0819"/>
    <w:rsid w:val="00DE152C"/>
    <w:rsid w:val="00DE241E"/>
    <w:rsid w:val="00DE3884"/>
    <w:rsid w:val="00DE516B"/>
    <w:rsid w:val="00DE681B"/>
    <w:rsid w:val="00DF10C1"/>
    <w:rsid w:val="00DF19FC"/>
    <w:rsid w:val="00DF4FF8"/>
    <w:rsid w:val="00DF7ED7"/>
    <w:rsid w:val="00E038CA"/>
    <w:rsid w:val="00E03BA3"/>
    <w:rsid w:val="00E06725"/>
    <w:rsid w:val="00E067F1"/>
    <w:rsid w:val="00E07533"/>
    <w:rsid w:val="00E1067A"/>
    <w:rsid w:val="00E111BC"/>
    <w:rsid w:val="00E11CAF"/>
    <w:rsid w:val="00E1323C"/>
    <w:rsid w:val="00E1490D"/>
    <w:rsid w:val="00E1643A"/>
    <w:rsid w:val="00E1783B"/>
    <w:rsid w:val="00E20E31"/>
    <w:rsid w:val="00E24769"/>
    <w:rsid w:val="00E25574"/>
    <w:rsid w:val="00E260ED"/>
    <w:rsid w:val="00E27150"/>
    <w:rsid w:val="00E3000E"/>
    <w:rsid w:val="00E31E74"/>
    <w:rsid w:val="00E33BC3"/>
    <w:rsid w:val="00E347FB"/>
    <w:rsid w:val="00E34B7B"/>
    <w:rsid w:val="00E379CD"/>
    <w:rsid w:val="00E41C61"/>
    <w:rsid w:val="00E43B36"/>
    <w:rsid w:val="00E44DBF"/>
    <w:rsid w:val="00E4767E"/>
    <w:rsid w:val="00E502F7"/>
    <w:rsid w:val="00E521C7"/>
    <w:rsid w:val="00E54974"/>
    <w:rsid w:val="00E56FFE"/>
    <w:rsid w:val="00E57AE9"/>
    <w:rsid w:val="00E57B93"/>
    <w:rsid w:val="00E6284A"/>
    <w:rsid w:val="00E62D6F"/>
    <w:rsid w:val="00E64252"/>
    <w:rsid w:val="00E65B3F"/>
    <w:rsid w:val="00E66BBD"/>
    <w:rsid w:val="00E70409"/>
    <w:rsid w:val="00E72C15"/>
    <w:rsid w:val="00E751D5"/>
    <w:rsid w:val="00E756C1"/>
    <w:rsid w:val="00E770EE"/>
    <w:rsid w:val="00E7722A"/>
    <w:rsid w:val="00E772D2"/>
    <w:rsid w:val="00E776C6"/>
    <w:rsid w:val="00E779EB"/>
    <w:rsid w:val="00E77E3A"/>
    <w:rsid w:val="00E81A7D"/>
    <w:rsid w:val="00E81AFC"/>
    <w:rsid w:val="00E82AAA"/>
    <w:rsid w:val="00E83922"/>
    <w:rsid w:val="00E83D51"/>
    <w:rsid w:val="00E8411C"/>
    <w:rsid w:val="00E84550"/>
    <w:rsid w:val="00E84711"/>
    <w:rsid w:val="00E8532D"/>
    <w:rsid w:val="00E85C82"/>
    <w:rsid w:val="00E85D1B"/>
    <w:rsid w:val="00E90C62"/>
    <w:rsid w:val="00E92C01"/>
    <w:rsid w:val="00E92EAE"/>
    <w:rsid w:val="00E934EB"/>
    <w:rsid w:val="00E9472F"/>
    <w:rsid w:val="00E95345"/>
    <w:rsid w:val="00E95A57"/>
    <w:rsid w:val="00E95ED6"/>
    <w:rsid w:val="00E979FF"/>
    <w:rsid w:val="00E97F8B"/>
    <w:rsid w:val="00EA3382"/>
    <w:rsid w:val="00EA3612"/>
    <w:rsid w:val="00EA47EB"/>
    <w:rsid w:val="00EA565E"/>
    <w:rsid w:val="00EB0EAA"/>
    <w:rsid w:val="00EB33BE"/>
    <w:rsid w:val="00EB6012"/>
    <w:rsid w:val="00EB6365"/>
    <w:rsid w:val="00EC22C1"/>
    <w:rsid w:val="00EC2963"/>
    <w:rsid w:val="00EC4B96"/>
    <w:rsid w:val="00EC6858"/>
    <w:rsid w:val="00ED19AC"/>
    <w:rsid w:val="00ED68F4"/>
    <w:rsid w:val="00ED78E1"/>
    <w:rsid w:val="00EE13AE"/>
    <w:rsid w:val="00EE2F5C"/>
    <w:rsid w:val="00EE5610"/>
    <w:rsid w:val="00EF523F"/>
    <w:rsid w:val="00EF71AB"/>
    <w:rsid w:val="00F03BE2"/>
    <w:rsid w:val="00F06F0C"/>
    <w:rsid w:val="00F10CE9"/>
    <w:rsid w:val="00F12F64"/>
    <w:rsid w:val="00F1418F"/>
    <w:rsid w:val="00F2101C"/>
    <w:rsid w:val="00F2144C"/>
    <w:rsid w:val="00F2265E"/>
    <w:rsid w:val="00F23B2B"/>
    <w:rsid w:val="00F247E5"/>
    <w:rsid w:val="00F27969"/>
    <w:rsid w:val="00F30145"/>
    <w:rsid w:val="00F3153E"/>
    <w:rsid w:val="00F3270B"/>
    <w:rsid w:val="00F341E7"/>
    <w:rsid w:val="00F356A9"/>
    <w:rsid w:val="00F35BB1"/>
    <w:rsid w:val="00F367BA"/>
    <w:rsid w:val="00F41DC3"/>
    <w:rsid w:val="00F428D7"/>
    <w:rsid w:val="00F457AC"/>
    <w:rsid w:val="00F4628F"/>
    <w:rsid w:val="00F47869"/>
    <w:rsid w:val="00F5045C"/>
    <w:rsid w:val="00F50E97"/>
    <w:rsid w:val="00F53041"/>
    <w:rsid w:val="00F53097"/>
    <w:rsid w:val="00F547A9"/>
    <w:rsid w:val="00F56C2A"/>
    <w:rsid w:val="00F56DB0"/>
    <w:rsid w:val="00F5719A"/>
    <w:rsid w:val="00F646E2"/>
    <w:rsid w:val="00F660F4"/>
    <w:rsid w:val="00F661BD"/>
    <w:rsid w:val="00F70356"/>
    <w:rsid w:val="00F71662"/>
    <w:rsid w:val="00F72529"/>
    <w:rsid w:val="00F72EC1"/>
    <w:rsid w:val="00F72F2D"/>
    <w:rsid w:val="00F73051"/>
    <w:rsid w:val="00F74715"/>
    <w:rsid w:val="00F75B5B"/>
    <w:rsid w:val="00F765A0"/>
    <w:rsid w:val="00F821B3"/>
    <w:rsid w:val="00F827FA"/>
    <w:rsid w:val="00F82BBC"/>
    <w:rsid w:val="00F836A8"/>
    <w:rsid w:val="00F851C1"/>
    <w:rsid w:val="00F853F7"/>
    <w:rsid w:val="00F85F55"/>
    <w:rsid w:val="00F87E42"/>
    <w:rsid w:val="00F917BA"/>
    <w:rsid w:val="00F91932"/>
    <w:rsid w:val="00F9267F"/>
    <w:rsid w:val="00F941E6"/>
    <w:rsid w:val="00F94925"/>
    <w:rsid w:val="00F97C12"/>
    <w:rsid w:val="00FA3389"/>
    <w:rsid w:val="00FA3935"/>
    <w:rsid w:val="00FA3A9A"/>
    <w:rsid w:val="00FB3ACB"/>
    <w:rsid w:val="00FB3D6A"/>
    <w:rsid w:val="00FB488C"/>
    <w:rsid w:val="00FB60D1"/>
    <w:rsid w:val="00FB69D3"/>
    <w:rsid w:val="00FC1219"/>
    <w:rsid w:val="00FC3145"/>
    <w:rsid w:val="00FC3AEE"/>
    <w:rsid w:val="00FC3BD7"/>
    <w:rsid w:val="00FC4865"/>
    <w:rsid w:val="00FC5AE4"/>
    <w:rsid w:val="00FC6E6A"/>
    <w:rsid w:val="00FD0409"/>
    <w:rsid w:val="00FD1D18"/>
    <w:rsid w:val="00FD1D7D"/>
    <w:rsid w:val="00FD1F25"/>
    <w:rsid w:val="00FD504E"/>
    <w:rsid w:val="00FD5398"/>
    <w:rsid w:val="00FE0535"/>
    <w:rsid w:val="00FE0F6E"/>
    <w:rsid w:val="00FE1683"/>
    <w:rsid w:val="00FE4BBE"/>
    <w:rsid w:val="00FE4F6D"/>
    <w:rsid w:val="00FE774C"/>
    <w:rsid w:val="00FF09E4"/>
    <w:rsid w:val="00FF5562"/>
    <w:rsid w:val="00FF5D51"/>
    <w:rsid w:val="00FF69D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macro"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E3BB2"/>
  </w:style>
  <w:style w:type="paragraph" w:styleId="Nadpis1">
    <w:name w:val="heading 1"/>
    <w:basedOn w:val="Normln"/>
    <w:next w:val="Normln"/>
    <w:qFormat/>
    <w:rsid w:val="00180EFF"/>
    <w:pPr>
      <w:keepNext/>
      <w:outlineLvl w:val="0"/>
    </w:pPr>
    <w:rPr>
      <w:b/>
    </w:rPr>
  </w:style>
  <w:style w:type="paragraph" w:styleId="Nadpis2">
    <w:name w:val="heading 2"/>
    <w:basedOn w:val="Normln"/>
    <w:next w:val="Normln"/>
    <w:qFormat/>
    <w:rsid w:val="00180EFF"/>
    <w:pPr>
      <w:keepNext/>
      <w:outlineLvl w:val="1"/>
    </w:pPr>
    <w:rPr>
      <w:rFonts w:ascii="Arial" w:hAnsi="Arial"/>
      <w:sz w:val="24"/>
    </w:rPr>
  </w:style>
  <w:style w:type="paragraph" w:styleId="Nadpis3">
    <w:name w:val="heading 3"/>
    <w:basedOn w:val="Normln"/>
    <w:next w:val="Normln"/>
    <w:link w:val="Nadpis3Char"/>
    <w:qFormat/>
    <w:rsid w:val="00180EFF"/>
    <w:pPr>
      <w:keepNext/>
      <w:jc w:val="center"/>
      <w:outlineLvl w:val="2"/>
    </w:pPr>
    <w:rPr>
      <w:rFonts w:ascii="Arial" w:hAnsi="Arial"/>
      <w:b/>
      <w:smallCaps/>
      <w:sz w:val="24"/>
      <w:lang/>
    </w:rPr>
  </w:style>
  <w:style w:type="paragraph" w:styleId="Nadpis4">
    <w:name w:val="heading 4"/>
    <w:basedOn w:val="Normln"/>
    <w:next w:val="Normln"/>
    <w:link w:val="Nadpis4Char"/>
    <w:uiPriority w:val="9"/>
    <w:qFormat/>
    <w:rsid w:val="0050264E"/>
    <w:pPr>
      <w:keepNext/>
      <w:spacing w:before="240" w:after="60"/>
      <w:outlineLvl w:val="3"/>
    </w:pPr>
    <w:rPr>
      <w:rFonts w:ascii="Calibri" w:hAnsi="Calibri"/>
      <w:b/>
      <w:bCs/>
      <w:sz w:val="28"/>
      <w:szCs w:val="28"/>
      <w:lang/>
    </w:rPr>
  </w:style>
  <w:style w:type="paragraph" w:styleId="Nadpis5">
    <w:name w:val="heading 5"/>
    <w:basedOn w:val="Normln"/>
    <w:next w:val="Normln"/>
    <w:qFormat/>
    <w:rsid w:val="00180EFF"/>
    <w:pPr>
      <w:keepNext/>
      <w:jc w:val="both"/>
      <w:outlineLvl w:val="4"/>
    </w:pPr>
    <w:rPr>
      <w:rFonts w:eastAsia="Arial Unicode MS"/>
      <w:b/>
      <w:bCs/>
      <w:sz w:val="24"/>
      <w:szCs w:val="24"/>
    </w:rPr>
  </w:style>
  <w:style w:type="paragraph" w:styleId="Nadpis6">
    <w:name w:val="heading 6"/>
    <w:basedOn w:val="Normln"/>
    <w:next w:val="Normln"/>
    <w:qFormat/>
    <w:rsid w:val="00180EFF"/>
    <w:pPr>
      <w:keepNext/>
      <w:jc w:val="right"/>
      <w:outlineLvl w:val="5"/>
    </w:pPr>
    <w:rPr>
      <w:rFonts w:eastAsia="Arial Unicode MS"/>
      <w:sz w:val="28"/>
      <w:szCs w:val="24"/>
    </w:rPr>
  </w:style>
  <w:style w:type="paragraph" w:styleId="Nadpis7">
    <w:name w:val="heading 7"/>
    <w:basedOn w:val="Normln"/>
    <w:next w:val="Normln"/>
    <w:qFormat/>
    <w:rsid w:val="00180EFF"/>
    <w:pPr>
      <w:keepNext/>
      <w:outlineLvl w:val="6"/>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180EFF"/>
    <w:rPr>
      <w:color w:val="0000FF"/>
      <w:u w:val="single"/>
    </w:rPr>
  </w:style>
  <w:style w:type="character" w:styleId="Sledovanodkaz">
    <w:name w:val="FollowedHyperlink"/>
    <w:rsid w:val="00180EFF"/>
    <w:rPr>
      <w:color w:val="800080"/>
      <w:u w:val="single"/>
    </w:rPr>
  </w:style>
  <w:style w:type="paragraph" w:styleId="Textmakra">
    <w:name w:val="macro"/>
    <w:link w:val="TextmakraChar"/>
    <w:semiHidden/>
    <w:rsid w:val="00180EFF"/>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Zkladntext">
    <w:name w:val="Body Text"/>
    <w:basedOn w:val="Normln"/>
    <w:rsid w:val="00180EFF"/>
    <w:rPr>
      <w:sz w:val="23"/>
    </w:rPr>
  </w:style>
  <w:style w:type="paragraph" w:styleId="Zkladntextodsazen">
    <w:name w:val="Body Text Indent"/>
    <w:basedOn w:val="Normln"/>
    <w:link w:val="ZkladntextodsazenChar"/>
    <w:rsid w:val="00180EFF"/>
    <w:pPr>
      <w:ind w:firstLine="708"/>
      <w:jc w:val="both"/>
    </w:pPr>
    <w:rPr>
      <w:rFonts w:ascii="Arial" w:hAnsi="Arial"/>
      <w:lang/>
    </w:rPr>
  </w:style>
  <w:style w:type="paragraph" w:styleId="Textpoznpodarou">
    <w:name w:val="footnote text"/>
    <w:basedOn w:val="Normln"/>
    <w:semiHidden/>
    <w:rsid w:val="00180EFF"/>
  </w:style>
  <w:style w:type="character" w:styleId="Znakapoznpodarou">
    <w:name w:val="footnote reference"/>
    <w:semiHidden/>
    <w:rsid w:val="00180EFF"/>
    <w:rPr>
      <w:vertAlign w:val="superscript"/>
    </w:rPr>
  </w:style>
  <w:style w:type="paragraph" w:styleId="Textbubliny">
    <w:name w:val="Balloon Text"/>
    <w:basedOn w:val="Normln"/>
    <w:semiHidden/>
    <w:rsid w:val="006C7367"/>
    <w:rPr>
      <w:rFonts w:ascii="Tahoma" w:hAnsi="Tahoma" w:cs="Tahoma"/>
      <w:sz w:val="16"/>
      <w:szCs w:val="16"/>
    </w:rPr>
  </w:style>
  <w:style w:type="character" w:customStyle="1" w:styleId="Nadpis3Char">
    <w:name w:val="Nadpis 3 Char"/>
    <w:link w:val="Nadpis3"/>
    <w:rsid w:val="008002AC"/>
    <w:rPr>
      <w:rFonts w:ascii="Arial" w:hAnsi="Arial"/>
      <w:b/>
      <w:smallCaps/>
      <w:sz w:val="24"/>
    </w:rPr>
  </w:style>
  <w:style w:type="character" w:customStyle="1" w:styleId="TextmakraChar">
    <w:name w:val="Text makra Char"/>
    <w:link w:val="Textmakra"/>
    <w:semiHidden/>
    <w:rsid w:val="008002AC"/>
    <w:rPr>
      <w:rFonts w:ascii="Courier New" w:hAnsi="Courier New"/>
      <w:lang w:val="cs-CZ" w:eastAsia="cs-CZ" w:bidi="ar-SA"/>
    </w:rPr>
  </w:style>
  <w:style w:type="character" w:customStyle="1" w:styleId="ZkladntextodsazenChar">
    <w:name w:val="Základní text odsazený Char"/>
    <w:link w:val="Zkladntextodsazen"/>
    <w:rsid w:val="008002AC"/>
    <w:rPr>
      <w:rFonts w:ascii="Arial" w:hAnsi="Arial"/>
    </w:rPr>
  </w:style>
  <w:style w:type="paragraph" w:styleId="Zhlav">
    <w:name w:val="header"/>
    <w:basedOn w:val="Normln"/>
    <w:link w:val="ZhlavChar"/>
    <w:uiPriority w:val="99"/>
    <w:semiHidden/>
    <w:unhideWhenUsed/>
    <w:rsid w:val="00823B99"/>
    <w:pPr>
      <w:tabs>
        <w:tab w:val="center" w:pos="4536"/>
        <w:tab w:val="right" w:pos="9072"/>
      </w:tabs>
    </w:pPr>
  </w:style>
  <w:style w:type="character" w:customStyle="1" w:styleId="ZhlavChar">
    <w:name w:val="Záhlaví Char"/>
    <w:basedOn w:val="Standardnpsmoodstavce"/>
    <w:link w:val="Zhlav"/>
    <w:uiPriority w:val="99"/>
    <w:semiHidden/>
    <w:rsid w:val="00823B99"/>
  </w:style>
  <w:style w:type="paragraph" w:styleId="Zpat">
    <w:name w:val="footer"/>
    <w:basedOn w:val="Normln"/>
    <w:link w:val="ZpatChar"/>
    <w:uiPriority w:val="99"/>
    <w:unhideWhenUsed/>
    <w:rsid w:val="00823B99"/>
    <w:pPr>
      <w:tabs>
        <w:tab w:val="center" w:pos="4536"/>
        <w:tab w:val="right" w:pos="9072"/>
      </w:tabs>
    </w:pPr>
  </w:style>
  <w:style w:type="character" w:customStyle="1" w:styleId="ZpatChar">
    <w:name w:val="Zápatí Char"/>
    <w:basedOn w:val="Standardnpsmoodstavce"/>
    <w:link w:val="Zpat"/>
    <w:uiPriority w:val="99"/>
    <w:rsid w:val="00823B99"/>
  </w:style>
  <w:style w:type="paragraph" w:styleId="Rozvrendokumentu">
    <w:name w:val="Document Map"/>
    <w:basedOn w:val="Normln"/>
    <w:link w:val="RozvrendokumentuChar"/>
    <w:uiPriority w:val="99"/>
    <w:semiHidden/>
    <w:unhideWhenUsed/>
    <w:rsid w:val="007D6EAA"/>
    <w:rPr>
      <w:rFonts w:ascii="Tahoma" w:hAnsi="Tahoma"/>
      <w:sz w:val="16"/>
      <w:szCs w:val="16"/>
      <w:lang/>
    </w:rPr>
  </w:style>
  <w:style w:type="character" w:customStyle="1" w:styleId="RozvrendokumentuChar">
    <w:name w:val="Rozvržení dokumentu Char"/>
    <w:link w:val="Rozvrendokumentu"/>
    <w:uiPriority w:val="99"/>
    <w:semiHidden/>
    <w:rsid w:val="007D6EAA"/>
    <w:rPr>
      <w:rFonts w:ascii="Tahoma" w:hAnsi="Tahoma" w:cs="Tahoma"/>
      <w:sz w:val="16"/>
      <w:szCs w:val="16"/>
    </w:rPr>
  </w:style>
  <w:style w:type="paragraph" w:styleId="Normlnweb">
    <w:name w:val="Normal (Web)"/>
    <w:basedOn w:val="Normln"/>
    <w:uiPriority w:val="99"/>
    <w:unhideWhenUsed/>
    <w:rsid w:val="0050264E"/>
    <w:pPr>
      <w:spacing w:before="100" w:beforeAutospacing="1" w:after="100" w:afterAutospacing="1"/>
    </w:pPr>
    <w:rPr>
      <w:sz w:val="24"/>
      <w:szCs w:val="24"/>
    </w:rPr>
  </w:style>
  <w:style w:type="character" w:customStyle="1" w:styleId="Nadpis4Char">
    <w:name w:val="Nadpis 4 Char"/>
    <w:link w:val="Nadpis4"/>
    <w:uiPriority w:val="9"/>
    <w:rsid w:val="0050264E"/>
    <w:rPr>
      <w:rFonts w:ascii="Calibri" w:eastAsia="Times New Roman" w:hAnsi="Calibri" w:cs="Times New Roman"/>
      <w:b/>
      <w:bCs/>
      <w:sz w:val="28"/>
      <w:szCs w:val="28"/>
    </w:rPr>
  </w:style>
  <w:style w:type="character" w:styleId="Odkaznakoment">
    <w:name w:val="annotation reference"/>
    <w:semiHidden/>
    <w:rsid w:val="00436C39"/>
    <w:rPr>
      <w:sz w:val="16"/>
      <w:szCs w:val="16"/>
    </w:rPr>
  </w:style>
  <w:style w:type="paragraph" w:styleId="Textkomente">
    <w:name w:val="annotation text"/>
    <w:basedOn w:val="Normln"/>
    <w:semiHidden/>
    <w:rsid w:val="00436C39"/>
  </w:style>
  <w:style w:type="paragraph" w:styleId="Pedmtkomente">
    <w:name w:val="annotation subject"/>
    <w:basedOn w:val="Textkomente"/>
    <w:next w:val="Textkomente"/>
    <w:semiHidden/>
    <w:rsid w:val="00436C39"/>
    <w:rPr>
      <w:b/>
      <w:bCs/>
    </w:rPr>
  </w:style>
  <w:style w:type="character" w:styleId="Zvraznn">
    <w:name w:val="Emphasis"/>
    <w:uiPriority w:val="20"/>
    <w:qFormat/>
    <w:rsid w:val="00702A38"/>
    <w:rPr>
      <w:i/>
      <w:iCs/>
    </w:rPr>
  </w:style>
  <w:style w:type="paragraph" w:styleId="Odstavecseseznamem">
    <w:name w:val="List Paragraph"/>
    <w:basedOn w:val="Normln"/>
    <w:uiPriority w:val="34"/>
    <w:qFormat/>
    <w:rsid w:val="00717C87"/>
    <w:pPr>
      <w:ind w:left="720"/>
      <w:contextualSpacing/>
    </w:pPr>
  </w:style>
  <w:style w:type="paragraph" w:customStyle="1" w:styleId="Default">
    <w:name w:val="Default"/>
    <w:rsid w:val="00CE04AB"/>
    <w:pPr>
      <w:autoSpaceDE w:val="0"/>
      <w:autoSpaceDN w:val="0"/>
      <w:adjustRightInd w:val="0"/>
    </w:pPr>
    <w:rPr>
      <w:rFonts w:ascii="Arial" w:hAnsi="Arial" w:cs="Arial"/>
      <w:color w:val="000000"/>
      <w:sz w:val="24"/>
      <w:szCs w:val="24"/>
    </w:rPr>
  </w:style>
  <w:style w:type="paragraph" w:styleId="Zkladntext2">
    <w:name w:val="Body Text 2"/>
    <w:basedOn w:val="Normln"/>
    <w:link w:val="Zkladntext2Char"/>
    <w:uiPriority w:val="99"/>
    <w:unhideWhenUsed/>
    <w:rsid w:val="003556D8"/>
    <w:pPr>
      <w:spacing w:after="120" w:line="480" w:lineRule="auto"/>
    </w:pPr>
  </w:style>
  <w:style w:type="character" w:customStyle="1" w:styleId="Zkladntext2Char">
    <w:name w:val="Základní text 2 Char"/>
    <w:basedOn w:val="Standardnpsmoodstavce"/>
    <w:link w:val="Zkladntext2"/>
    <w:uiPriority w:val="99"/>
    <w:rsid w:val="003556D8"/>
  </w:style>
  <w:style w:type="table" w:styleId="Mkatabulky">
    <w:name w:val="Table Grid"/>
    <w:basedOn w:val="Normlntabulka"/>
    <w:uiPriority w:val="59"/>
    <w:rsid w:val="008A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ulek">
    <w:name w:val="caption"/>
    <w:basedOn w:val="Normln"/>
    <w:next w:val="Normln"/>
    <w:uiPriority w:val="35"/>
    <w:qFormat/>
    <w:rsid w:val="002C5E42"/>
    <w:rPr>
      <w:b/>
      <w:bCs/>
    </w:rPr>
  </w:style>
  <w:style w:type="paragraph" w:styleId="Revize">
    <w:name w:val="Revision"/>
    <w:hidden/>
    <w:uiPriority w:val="99"/>
    <w:semiHidden/>
    <w:rsid w:val="000516BA"/>
  </w:style>
</w:styles>
</file>

<file path=word/webSettings.xml><?xml version="1.0" encoding="utf-8"?>
<w:webSettings xmlns:r="http://schemas.openxmlformats.org/officeDocument/2006/relationships" xmlns:w="http://schemas.openxmlformats.org/wordprocessingml/2006/main">
  <w:divs>
    <w:div w:id="76177466">
      <w:bodyDiv w:val="1"/>
      <w:marLeft w:val="0"/>
      <w:marRight w:val="0"/>
      <w:marTop w:val="0"/>
      <w:marBottom w:val="0"/>
      <w:divBdr>
        <w:top w:val="none" w:sz="0" w:space="0" w:color="auto"/>
        <w:left w:val="none" w:sz="0" w:space="0" w:color="auto"/>
        <w:bottom w:val="none" w:sz="0" w:space="0" w:color="auto"/>
        <w:right w:val="none" w:sz="0" w:space="0" w:color="auto"/>
      </w:divBdr>
      <w:divsChild>
        <w:div w:id="1357996386">
          <w:marLeft w:val="0"/>
          <w:marRight w:val="0"/>
          <w:marTop w:val="0"/>
          <w:marBottom w:val="0"/>
          <w:divBdr>
            <w:top w:val="none" w:sz="0" w:space="0" w:color="auto"/>
            <w:left w:val="none" w:sz="0" w:space="0" w:color="auto"/>
            <w:bottom w:val="none" w:sz="0" w:space="0" w:color="auto"/>
            <w:right w:val="none" w:sz="0" w:space="0" w:color="auto"/>
          </w:divBdr>
          <w:divsChild>
            <w:div w:id="113541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97410">
      <w:bodyDiv w:val="1"/>
      <w:marLeft w:val="0"/>
      <w:marRight w:val="0"/>
      <w:marTop w:val="0"/>
      <w:marBottom w:val="0"/>
      <w:divBdr>
        <w:top w:val="none" w:sz="0" w:space="0" w:color="auto"/>
        <w:left w:val="none" w:sz="0" w:space="0" w:color="auto"/>
        <w:bottom w:val="none" w:sz="0" w:space="0" w:color="auto"/>
        <w:right w:val="none" w:sz="0" w:space="0" w:color="auto"/>
      </w:divBdr>
    </w:div>
    <w:div w:id="269436324">
      <w:bodyDiv w:val="1"/>
      <w:marLeft w:val="0"/>
      <w:marRight w:val="0"/>
      <w:marTop w:val="0"/>
      <w:marBottom w:val="0"/>
      <w:divBdr>
        <w:top w:val="none" w:sz="0" w:space="0" w:color="auto"/>
        <w:left w:val="none" w:sz="0" w:space="0" w:color="auto"/>
        <w:bottom w:val="none" w:sz="0" w:space="0" w:color="auto"/>
        <w:right w:val="none" w:sz="0" w:space="0" w:color="auto"/>
      </w:divBdr>
    </w:div>
    <w:div w:id="346106825">
      <w:bodyDiv w:val="1"/>
      <w:marLeft w:val="0"/>
      <w:marRight w:val="0"/>
      <w:marTop w:val="0"/>
      <w:marBottom w:val="0"/>
      <w:divBdr>
        <w:top w:val="none" w:sz="0" w:space="0" w:color="auto"/>
        <w:left w:val="none" w:sz="0" w:space="0" w:color="auto"/>
        <w:bottom w:val="none" w:sz="0" w:space="0" w:color="auto"/>
        <w:right w:val="none" w:sz="0" w:space="0" w:color="auto"/>
      </w:divBdr>
    </w:div>
    <w:div w:id="371153374">
      <w:bodyDiv w:val="1"/>
      <w:marLeft w:val="0"/>
      <w:marRight w:val="0"/>
      <w:marTop w:val="0"/>
      <w:marBottom w:val="0"/>
      <w:divBdr>
        <w:top w:val="none" w:sz="0" w:space="0" w:color="auto"/>
        <w:left w:val="none" w:sz="0" w:space="0" w:color="auto"/>
        <w:bottom w:val="none" w:sz="0" w:space="0" w:color="auto"/>
        <w:right w:val="none" w:sz="0" w:space="0" w:color="auto"/>
      </w:divBdr>
    </w:div>
    <w:div w:id="441416604">
      <w:bodyDiv w:val="1"/>
      <w:marLeft w:val="0"/>
      <w:marRight w:val="0"/>
      <w:marTop w:val="0"/>
      <w:marBottom w:val="0"/>
      <w:divBdr>
        <w:top w:val="none" w:sz="0" w:space="0" w:color="auto"/>
        <w:left w:val="none" w:sz="0" w:space="0" w:color="auto"/>
        <w:bottom w:val="none" w:sz="0" w:space="0" w:color="auto"/>
        <w:right w:val="none" w:sz="0" w:space="0" w:color="auto"/>
      </w:divBdr>
    </w:div>
    <w:div w:id="450636991">
      <w:bodyDiv w:val="1"/>
      <w:marLeft w:val="0"/>
      <w:marRight w:val="0"/>
      <w:marTop w:val="0"/>
      <w:marBottom w:val="0"/>
      <w:divBdr>
        <w:top w:val="none" w:sz="0" w:space="0" w:color="auto"/>
        <w:left w:val="none" w:sz="0" w:space="0" w:color="auto"/>
        <w:bottom w:val="none" w:sz="0" w:space="0" w:color="auto"/>
        <w:right w:val="none" w:sz="0" w:space="0" w:color="auto"/>
      </w:divBdr>
    </w:div>
    <w:div w:id="461655720">
      <w:bodyDiv w:val="1"/>
      <w:marLeft w:val="0"/>
      <w:marRight w:val="0"/>
      <w:marTop w:val="0"/>
      <w:marBottom w:val="0"/>
      <w:divBdr>
        <w:top w:val="none" w:sz="0" w:space="0" w:color="auto"/>
        <w:left w:val="none" w:sz="0" w:space="0" w:color="auto"/>
        <w:bottom w:val="none" w:sz="0" w:space="0" w:color="auto"/>
        <w:right w:val="none" w:sz="0" w:space="0" w:color="auto"/>
      </w:divBdr>
    </w:div>
    <w:div w:id="470169227">
      <w:bodyDiv w:val="1"/>
      <w:marLeft w:val="0"/>
      <w:marRight w:val="0"/>
      <w:marTop w:val="0"/>
      <w:marBottom w:val="0"/>
      <w:divBdr>
        <w:top w:val="none" w:sz="0" w:space="0" w:color="auto"/>
        <w:left w:val="none" w:sz="0" w:space="0" w:color="auto"/>
        <w:bottom w:val="none" w:sz="0" w:space="0" w:color="auto"/>
        <w:right w:val="none" w:sz="0" w:space="0" w:color="auto"/>
      </w:divBdr>
    </w:div>
    <w:div w:id="503667735">
      <w:bodyDiv w:val="1"/>
      <w:marLeft w:val="60"/>
      <w:marRight w:val="60"/>
      <w:marTop w:val="60"/>
      <w:marBottom w:val="15"/>
      <w:divBdr>
        <w:top w:val="none" w:sz="0" w:space="0" w:color="auto"/>
        <w:left w:val="none" w:sz="0" w:space="0" w:color="auto"/>
        <w:bottom w:val="none" w:sz="0" w:space="0" w:color="auto"/>
        <w:right w:val="none" w:sz="0" w:space="0" w:color="auto"/>
      </w:divBdr>
    </w:div>
    <w:div w:id="580532212">
      <w:bodyDiv w:val="1"/>
      <w:marLeft w:val="0"/>
      <w:marRight w:val="0"/>
      <w:marTop w:val="0"/>
      <w:marBottom w:val="0"/>
      <w:divBdr>
        <w:top w:val="none" w:sz="0" w:space="0" w:color="auto"/>
        <w:left w:val="none" w:sz="0" w:space="0" w:color="auto"/>
        <w:bottom w:val="none" w:sz="0" w:space="0" w:color="auto"/>
        <w:right w:val="none" w:sz="0" w:space="0" w:color="auto"/>
      </w:divBdr>
    </w:div>
    <w:div w:id="608972061">
      <w:bodyDiv w:val="1"/>
      <w:marLeft w:val="0"/>
      <w:marRight w:val="0"/>
      <w:marTop w:val="0"/>
      <w:marBottom w:val="0"/>
      <w:divBdr>
        <w:top w:val="none" w:sz="0" w:space="0" w:color="auto"/>
        <w:left w:val="none" w:sz="0" w:space="0" w:color="auto"/>
        <w:bottom w:val="none" w:sz="0" w:space="0" w:color="auto"/>
        <w:right w:val="none" w:sz="0" w:space="0" w:color="auto"/>
      </w:divBdr>
    </w:div>
    <w:div w:id="640185561">
      <w:bodyDiv w:val="1"/>
      <w:marLeft w:val="0"/>
      <w:marRight w:val="0"/>
      <w:marTop w:val="0"/>
      <w:marBottom w:val="0"/>
      <w:divBdr>
        <w:top w:val="none" w:sz="0" w:space="0" w:color="auto"/>
        <w:left w:val="none" w:sz="0" w:space="0" w:color="auto"/>
        <w:bottom w:val="none" w:sz="0" w:space="0" w:color="auto"/>
        <w:right w:val="none" w:sz="0" w:space="0" w:color="auto"/>
      </w:divBdr>
    </w:div>
    <w:div w:id="675498005">
      <w:bodyDiv w:val="1"/>
      <w:marLeft w:val="0"/>
      <w:marRight w:val="0"/>
      <w:marTop w:val="0"/>
      <w:marBottom w:val="0"/>
      <w:divBdr>
        <w:top w:val="none" w:sz="0" w:space="0" w:color="auto"/>
        <w:left w:val="none" w:sz="0" w:space="0" w:color="auto"/>
        <w:bottom w:val="none" w:sz="0" w:space="0" w:color="auto"/>
        <w:right w:val="none" w:sz="0" w:space="0" w:color="auto"/>
      </w:divBdr>
    </w:div>
    <w:div w:id="751241122">
      <w:bodyDiv w:val="1"/>
      <w:marLeft w:val="0"/>
      <w:marRight w:val="0"/>
      <w:marTop w:val="0"/>
      <w:marBottom w:val="0"/>
      <w:divBdr>
        <w:top w:val="none" w:sz="0" w:space="0" w:color="auto"/>
        <w:left w:val="none" w:sz="0" w:space="0" w:color="auto"/>
        <w:bottom w:val="none" w:sz="0" w:space="0" w:color="auto"/>
        <w:right w:val="none" w:sz="0" w:space="0" w:color="auto"/>
      </w:divBdr>
    </w:div>
    <w:div w:id="751244218">
      <w:bodyDiv w:val="1"/>
      <w:marLeft w:val="0"/>
      <w:marRight w:val="0"/>
      <w:marTop w:val="0"/>
      <w:marBottom w:val="0"/>
      <w:divBdr>
        <w:top w:val="none" w:sz="0" w:space="0" w:color="auto"/>
        <w:left w:val="none" w:sz="0" w:space="0" w:color="auto"/>
        <w:bottom w:val="none" w:sz="0" w:space="0" w:color="auto"/>
        <w:right w:val="none" w:sz="0" w:space="0" w:color="auto"/>
      </w:divBdr>
    </w:div>
    <w:div w:id="765076957">
      <w:bodyDiv w:val="1"/>
      <w:marLeft w:val="0"/>
      <w:marRight w:val="0"/>
      <w:marTop w:val="0"/>
      <w:marBottom w:val="0"/>
      <w:divBdr>
        <w:top w:val="none" w:sz="0" w:space="0" w:color="auto"/>
        <w:left w:val="none" w:sz="0" w:space="0" w:color="auto"/>
        <w:bottom w:val="none" w:sz="0" w:space="0" w:color="auto"/>
        <w:right w:val="none" w:sz="0" w:space="0" w:color="auto"/>
      </w:divBdr>
    </w:div>
    <w:div w:id="890002764">
      <w:bodyDiv w:val="1"/>
      <w:marLeft w:val="0"/>
      <w:marRight w:val="0"/>
      <w:marTop w:val="0"/>
      <w:marBottom w:val="0"/>
      <w:divBdr>
        <w:top w:val="none" w:sz="0" w:space="0" w:color="auto"/>
        <w:left w:val="none" w:sz="0" w:space="0" w:color="auto"/>
        <w:bottom w:val="none" w:sz="0" w:space="0" w:color="auto"/>
        <w:right w:val="none" w:sz="0" w:space="0" w:color="auto"/>
      </w:divBdr>
    </w:div>
    <w:div w:id="909853243">
      <w:bodyDiv w:val="1"/>
      <w:marLeft w:val="0"/>
      <w:marRight w:val="0"/>
      <w:marTop w:val="0"/>
      <w:marBottom w:val="0"/>
      <w:divBdr>
        <w:top w:val="none" w:sz="0" w:space="0" w:color="auto"/>
        <w:left w:val="none" w:sz="0" w:space="0" w:color="auto"/>
        <w:bottom w:val="none" w:sz="0" w:space="0" w:color="auto"/>
        <w:right w:val="none" w:sz="0" w:space="0" w:color="auto"/>
      </w:divBdr>
    </w:div>
    <w:div w:id="1021861139">
      <w:bodyDiv w:val="1"/>
      <w:marLeft w:val="0"/>
      <w:marRight w:val="0"/>
      <w:marTop w:val="0"/>
      <w:marBottom w:val="0"/>
      <w:divBdr>
        <w:top w:val="none" w:sz="0" w:space="0" w:color="auto"/>
        <w:left w:val="none" w:sz="0" w:space="0" w:color="auto"/>
        <w:bottom w:val="none" w:sz="0" w:space="0" w:color="auto"/>
        <w:right w:val="none" w:sz="0" w:space="0" w:color="auto"/>
      </w:divBdr>
    </w:div>
    <w:div w:id="1083912545">
      <w:bodyDiv w:val="1"/>
      <w:marLeft w:val="0"/>
      <w:marRight w:val="0"/>
      <w:marTop w:val="0"/>
      <w:marBottom w:val="0"/>
      <w:divBdr>
        <w:top w:val="none" w:sz="0" w:space="0" w:color="auto"/>
        <w:left w:val="none" w:sz="0" w:space="0" w:color="auto"/>
        <w:bottom w:val="none" w:sz="0" w:space="0" w:color="auto"/>
        <w:right w:val="none" w:sz="0" w:space="0" w:color="auto"/>
      </w:divBdr>
    </w:div>
    <w:div w:id="1133982111">
      <w:bodyDiv w:val="1"/>
      <w:marLeft w:val="0"/>
      <w:marRight w:val="0"/>
      <w:marTop w:val="0"/>
      <w:marBottom w:val="0"/>
      <w:divBdr>
        <w:top w:val="none" w:sz="0" w:space="0" w:color="auto"/>
        <w:left w:val="none" w:sz="0" w:space="0" w:color="auto"/>
        <w:bottom w:val="none" w:sz="0" w:space="0" w:color="auto"/>
        <w:right w:val="none" w:sz="0" w:space="0" w:color="auto"/>
      </w:divBdr>
    </w:div>
    <w:div w:id="1159542099">
      <w:bodyDiv w:val="1"/>
      <w:marLeft w:val="0"/>
      <w:marRight w:val="0"/>
      <w:marTop w:val="0"/>
      <w:marBottom w:val="0"/>
      <w:divBdr>
        <w:top w:val="none" w:sz="0" w:space="0" w:color="auto"/>
        <w:left w:val="none" w:sz="0" w:space="0" w:color="auto"/>
        <w:bottom w:val="none" w:sz="0" w:space="0" w:color="auto"/>
        <w:right w:val="none" w:sz="0" w:space="0" w:color="auto"/>
      </w:divBdr>
    </w:div>
    <w:div w:id="1195463676">
      <w:bodyDiv w:val="1"/>
      <w:marLeft w:val="0"/>
      <w:marRight w:val="0"/>
      <w:marTop w:val="0"/>
      <w:marBottom w:val="0"/>
      <w:divBdr>
        <w:top w:val="none" w:sz="0" w:space="0" w:color="auto"/>
        <w:left w:val="none" w:sz="0" w:space="0" w:color="auto"/>
        <w:bottom w:val="none" w:sz="0" w:space="0" w:color="auto"/>
        <w:right w:val="none" w:sz="0" w:space="0" w:color="auto"/>
      </w:divBdr>
    </w:div>
    <w:div w:id="1211530717">
      <w:bodyDiv w:val="1"/>
      <w:marLeft w:val="0"/>
      <w:marRight w:val="0"/>
      <w:marTop w:val="0"/>
      <w:marBottom w:val="0"/>
      <w:divBdr>
        <w:top w:val="none" w:sz="0" w:space="0" w:color="auto"/>
        <w:left w:val="none" w:sz="0" w:space="0" w:color="auto"/>
        <w:bottom w:val="none" w:sz="0" w:space="0" w:color="auto"/>
        <w:right w:val="none" w:sz="0" w:space="0" w:color="auto"/>
      </w:divBdr>
    </w:div>
    <w:div w:id="1214317328">
      <w:bodyDiv w:val="1"/>
      <w:marLeft w:val="0"/>
      <w:marRight w:val="0"/>
      <w:marTop w:val="0"/>
      <w:marBottom w:val="0"/>
      <w:divBdr>
        <w:top w:val="none" w:sz="0" w:space="0" w:color="auto"/>
        <w:left w:val="none" w:sz="0" w:space="0" w:color="auto"/>
        <w:bottom w:val="none" w:sz="0" w:space="0" w:color="auto"/>
        <w:right w:val="none" w:sz="0" w:space="0" w:color="auto"/>
      </w:divBdr>
    </w:div>
    <w:div w:id="1238438003">
      <w:bodyDiv w:val="1"/>
      <w:marLeft w:val="0"/>
      <w:marRight w:val="0"/>
      <w:marTop w:val="0"/>
      <w:marBottom w:val="0"/>
      <w:divBdr>
        <w:top w:val="none" w:sz="0" w:space="0" w:color="auto"/>
        <w:left w:val="none" w:sz="0" w:space="0" w:color="auto"/>
        <w:bottom w:val="none" w:sz="0" w:space="0" w:color="auto"/>
        <w:right w:val="none" w:sz="0" w:space="0" w:color="auto"/>
      </w:divBdr>
    </w:div>
    <w:div w:id="1239100767">
      <w:bodyDiv w:val="1"/>
      <w:marLeft w:val="0"/>
      <w:marRight w:val="0"/>
      <w:marTop w:val="0"/>
      <w:marBottom w:val="0"/>
      <w:divBdr>
        <w:top w:val="none" w:sz="0" w:space="0" w:color="auto"/>
        <w:left w:val="none" w:sz="0" w:space="0" w:color="auto"/>
        <w:bottom w:val="none" w:sz="0" w:space="0" w:color="auto"/>
        <w:right w:val="none" w:sz="0" w:space="0" w:color="auto"/>
      </w:divBdr>
    </w:div>
    <w:div w:id="1307777785">
      <w:bodyDiv w:val="1"/>
      <w:marLeft w:val="0"/>
      <w:marRight w:val="0"/>
      <w:marTop w:val="0"/>
      <w:marBottom w:val="0"/>
      <w:divBdr>
        <w:top w:val="none" w:sz="0" w:space="0" w:color="auto"/>
        <w:left w:val="none" w:sz="0" w:space="0" w:color="auto"/>
        <w:bottom w:val="none" w:sz="0" w:space="0" w:color="auto"/>
        <w:right w:val="none" w:sz="0" w:space="0" w:color="auto"/>
      </w:divBdr>
      <w:divsChild>
        <w:div w:id="798576207">
          <w:marLeft w:val="0"/>
          <w:marRight w:val="0"/>
          <w:marTop w:val="0"/>
          <w:marBottom w:val="0"/>
          <w:divBdr>
            <w:top w:val="none" w:sz="0" w:space="0" w:color="auto"/>
            <w:left w:val="none" w:sz="0" w:space="0" w:color="auto"/>
            <w:bottom w:val="none" w:sz="0" w:space="0" w:color="auto"/>
            <w:right w:val="none" w:sz="0" w:space="0" w:color="auto"/>
          </w:divBdr>
        </w:div>
      </w:divsChild>
    </w:div>
    <w:div w:id="1318807567">
      <w:bodyDiv w:val="1"/>
      <w:marLeft w:val="0"/>
      <w:marRight w:val="0"/>
      <w:marTop w:val="0"/>
      <w:marBottom w:val="0"/>
      <w:divBdr>
        <w:top w:val="none" w:sz="0" w:space="0" w:color="auto"/>
        <w:left w:val="none" w:sz="0" w:space="0" w:color="auto"/>
        <w:bottom w:val="none" w:sz="0" w:space="0" w:color="auto"/>
        <w:right w:val="none" w:sz="0" w:space="0" w:color="auto"/>
      </w:divBdr>
    </w:div>
    <w:div w:id="1320500723">
      <w:bodyDiv w:val="1"/>
      <w:marLeft w:val="0"/>
      <w:marRight w:val="0"/>
      <w:marTop w:val="0"/>
      <w:marBottom w:val="0"/>
      <w:divBdr>
        <w:top w:val="none" w:sz="0" w:space="0" w:color="auto"/>
        <w:left w:val="none" w:sz="0" w:space="0" w:color="auto"/>
        <w:bottom w:val="none" w:sz="0" w:space="0" w:color="auto"/>
        <w:right w:val="none" w:sz="0" w:space="0" w:color="auto"/>
      </w:divBdr>
    </w:div>
    <w:div w:id="1348017852">
      <w:bodyDiv w:val="1"/>
      <w:marLeft w:val="0"/>
      <w:marRight w:val="0"/>
      <w:marTop w:val="0"/>
      <w:marBottom w:val="0"/>
      <w:divBdr>
        <w:top w:val="none" w:sz="0" w:space="0" w:color="auto"/>
        <w:left w:val="none" w:sz="0" w:space="0" w:color="auto"/>
        <w:bottom w:val="none" w:sz="0" w:space="0" w:color="auto"/>
        <w:right w:val="none" w:sz="0" w:space="0" w:color="auto"/>
      </w:divBdr>
    </w:div>
    <w:div w:id="1351025010">
      <w:bodyDiv w:val="1"/>
      <w:marLeft w:val="0"/>
      <w:marRight w:val="0"/>
      <w:marTop w:val="0"/>
      <w:marBottom w:val="0"/>
      <w:divBdr>
        <w:top w:val="none" w:sz="0" w:space="0" w:color="auto"/>
        <w:left w:val="none" w:sz="0" w:space="0" w:color="auto"/>
        <w:bottom w:val="none" w:sz="0" w:space="0" w:color="auto"/>
        <w:right w:val="none" w:sz="0" w:space="0" w:color="auto"/>
      </w:divBdr>
    </w:div>
    <w:div w:id="1391685705">
      <w:bodyDiv w:val="1"/>
      <w:marLeft w:val="0"/>
      <w:marRight w:val="0"/>
      <w:marTop w:val="0"/>
      <w:marBottom w:val="0"/>
      <w:divBdr>
        <w:top w:val="none" w:sz="0" w:space="0" w:color="auto"/>
        <w:left w:val="none" w:sz="0" w:space="0" w:color="auto"/>
        <w:bottom w:val="none" w:sz="0" w:space="0" w:color="auto"/>
        <w:right w:val="none" w:sz="0" w:space="0" w:color="auto"/>
      </w:divBdr>
    </w:div>
    <w:div w:id="1417171947">
      <w:bodyDiv w:val="1"/>
      <w:marLeft w:val="60"/>
      <w:marRight w:val="60"/>
      <w:marTop w:val="60"/>
      <w:marBottom w:val="15"/>
      <w:divBdr>
        <w:top w:val="none" w:sz="0" w:space="0" w:color="auto"/>
        <w:left w:val="none" w:sz="0" w:space="0" w:color="auto"/>
        <w:bottom w:val="none" w:sz="0" w:space="0" w:color="auto"/>
        <w:right w:val="none" w:sz="0" w:space="0" w:color="auto"/>
      </w:divBdr>
    </w:div>
    <w:div w:id="1503010455">
      <w:bodyDiv w:val="1"/>
      <w:marLeft w:val="0"/>
      <w:marRight w:val="0"/>
      <w:marTop w:val="0"/>
      <w:marBottom w:val="0"/>
      <w:divBdr>
        <w:top w:val="none" w:sz="0" w:space="0" w:color="auto"/>
        <w:left w:val="none" w:sz="0" w:space="0" w:color="auto"/>
        <w:bottom w:val="none" w:sz="0" w:space="0" w:color="auto"/>
        <w:right w:val="none" w:sz="0" w:space="0" w:color="auto"/>
      </w:divBdr>
    </w:div>
    <w:div w:id="1515999679">
      <w:bodyDiv w:val="1"/>
      <w:marLeft w:val="0"/>
      <w:marRight w:val="0"/>
      <w:marTop w:val="0"/>
      <w:marBottom w:val="0"/>
      <w:divBdr>
        <w:top w:val="none" w:sz="0" w:space="0" w:color="auto"/>
        <w:left w:val="none" w:sz="0" w:space="0" w:color="auto"/>
        <w:bottom w:val="none" w:sz="0" w:space="0" w:color="auto"/>
        <w:right w:val="none" w:sz="0" w:space="0" w:color="auto"/>
      </w:divBdr>
    </w:div>
    <w:div w:id="1519150020">
      <w:bodyDiv w:val="1"/>
      <w:marLeft w:val="0"/>
      <w:marRight w:val="0"/>
      <w:marTop w:val="0"/>
      <w:marBottom w:val="0"/>
      <w:divBdr>
        <w:top w:val="none" w:sz="0" w:space="0" w:color="auto"/>
        <w:left w:val="none" w:sz="0" w:space="0" w:color="auto"/>
        <w:bottom w:val="none" w:sz="0" w:space="0" w:color="auto"/>
        <w:right w:val="none" w:sz="0" w:space="0" w:color="auto"/>
      </w:divBdr>
    </w:div>
    <w:div w:id="1541018343">
      <w:bodyDiv w:val="1"/>
      <w:marLeft w:val="0"/>
      <w:marRight w:val="0"/>
      <w:marTop w:val="0"/>
      <w:marBottom w:val="0"/>
      <w:divBdr>
        <w:top w:val="none" w:sz="0" w:space="0" w:color="auto"/>
        <w:left w:val="none" w:sz="0" w:space="0" w:color="auto"/>
        <w:bottom w:val="none" w:sz="0" w:space="0" w:color="auto"/>
        <w:right w:val="none" w:sz="0" w:space="0" w:color="auto"/>
      </w:divBdr>
    </w:div>
    <w:div w:id="1570529838">
      <w:bodyDiv w:val="1"/>
      <w:marLeft w:val="0"/>
      <w:marRight w:val="0"/>
      <w:marTop w:val="0"/>
      <w:marBottom w:val="0"/>
      <w:divBdr>
        <w:top w:val="none" w:sz="0" w:space="0" w:color="auto"/>
        <w:left w:val="none" w:sz="0" w:space="0" w:color="auto"/>
        <w:bottom w:val="none" w:sz="0" w:space="0" w:color="auto"/>
        <w:right w:val="none" w:sz="0" w:space="0" w:color="auto"/>
      </w:divBdr>
    </w:div>
    <w:div w:id="1599213423">
      <w:bodyDiv w:val="1"/>
      <w:marLeft w:val="0"/>
      <w:marRight w:val="0"/>
      <w:marTop w:val="0"/>
      <w:marBottom w:val="0"/>
      <w:divBdr>
        <w:top w:val="none" w:sz="0" w:space="0" w:color="auto"/>
        <w:left w:val="none" w:sz="0" w:space="0" w:color="auto"/>
        <w:bottom w:val="none" w:sz="0" w:space="0" w:color="auto"/>
        <w:right w:val="none" w:sz="0" w:space="0" w:color="auto"/>
      </w:divBdr>
    </w:div>
    <w:div w:id="1624649837">
      <w:bodyDiv w:val="1"/>
      <w:marLeft w:val="0"/>
      <w:marRight w:val="0"/>
      <w:marTop w:val="0"/>
      <w:marBottom w:val="0"/>
      <w:divBdr>
        <w:top w:val="none" w:sz="0" w:space="0" w:color="auto"/>
        <w:left w:val="none" w:sz="0" w:space="0" w:color="auto"/>
        <w:bottom w:val="none" w:sz="0" w:space="0" w:color="auto"/>
        <w:right w:val="none" w:sz="0" w:space="0" w:color="auto"/>
      </w:divBdr>
    </w:div>
    <w:div w:id="1627541385">
      <w:bodyDiv w:val="1"/>
      <w:marLeft w:val="0"/>
      <w:marRight w:val="0"/>
      <w:marTop w:val="0"/>
      <w:marBottom w:val="0"/>
      <w:divBdr>
        <w:top w:val="none" w:sz="0" w:space="0" w:color="auto"/>
        <w:left w:val="none" w:sz="0" w:space="0" w:color="auto"/>
        <w:bottom w:val="none" w:sz="0" w:space="0" w:color="auto"/>
        <w:right w:val="none" w:sz="0" w:space="0" w:color="auto"/>
      </w:divBdr>
    </w:div>
    <w:div w:id="1632250973">
      <w:bodyDiv w:val="1"/>
      <w:marLeft w:val="0"/>
      <w:marRight w:val="0"/>
      <w:marTop w:val="0"/>
      <w:marBottom w:val="0"/>
      <w:divBdr>
        <w:top w:val="none" w:sz="0" w:space="0" w:color="auto"/>
        <w:left w:val="none" w:sz="0" w:space="0" w:color="auto"/>
        <w:bottom w:val="none" w:sz="0" w:space="0" w:color="auto"/>
        <w:right w:val="none" w:sz="0" w:space="0" w:color="auto"/>
      </w:divBdr>
    </w:div>
    <w:div w:id="1638104873">
      <w:bodyDiv w:val="1"/>
      <w:marLeft w:val="0"/>
      <w:marRight w:val="0"/>
      <w:marTop w:val="0"/>
      <w:marBottom w:val="0"/>
      <w:divBdr>
        <w:top w:val="none" w:sz="0" w:space="0" w:color="auto"/>
        <w:left w:val="none" w:sz="0" w:space="0" w:color="auto"/>
        <w:bottom w:val="none" w:sz="0" w:space="0" w:color="auto"/>
        <w:right w:val="none" w:sz="0" w:space="0" w:color="auto"/>
      </w:divBdr>
    </w:div>
    <w:div w:id="1647274849">
      <w:bodyDiv w:val="1"/>
      <w:marLeft w:val="0"/>
      <w:marRight w:val="0"/>
      <w:marTop w:val="0"/>
      <w:marBottom w:val="0"/>
      <w:divBdr>
        <w:top w:val="none" w:sz="0" w:space="0" w:color="auto"/>
        <w:left w:val="none" w:sz="0" w:space="0" w:color="auto"/>
        <w:bottom w:val="none" w:sz="0" w:space="0" w:color="auto"/>
        <w:right w:val="none" w:sz="0" w:space="0" w:color="auto"/>
      </w:divBdr>
    </w:div>
    <w:div w:id="1669863405">
      <w:bodyDiv w:val="1"/>
      <w:marLeft w:val="0"/>
      <w:marRight w:val="0"/>
      <w:marTop w:val="0"/>
      <w:marBottom w:val="0"/>
      <w:divBdr>
        <w:top w:val="none" w:sz="0" w:space="0" w:color="auto"/>
        <w:left w:val="none" w:sz="0" w:space="0" w:color="auto"/>
        <w:bottom w:val="none" w:sz="0" w:space="0" w:color="auto"/>
        <w:right w:val="none" w:sz="0" w:space="0" w:color="auto"/>
      </w:divBdr>
    </w:div>
    <w:div w:id="1780444072">
      <w:bodyDiv w:val="1"/>
      <w:marLeft w:val="0"/>
      <w:marRight w:val="0"/>
      <w:marTop w:val="0"/>
      <w:marBottom w:val="0"/>
      <w:divBdr>
        <w:top w:val="none" w:sz="0" w:space="0" w:color="auto"/>
        <w:left w:val="none" w:sz="0" w:space="0" w:color="auto"/>
        <w:bottom w:val="none" w:sz="0" w:space="0" w:color="auto"/>
        <w:right w:val="none" w:sz="0" w:space="0" w:color="auto"/>
      </w:divBdr>
    </w:div>
    <w:div w:id="1780642356">
      <w:bodyDiv w:val="1"/>
      <w:marLeft w:val="0"/>
      <w:marRight w:val="0"/>
      <w:marTop w:val="0"/>
      <w:marBottom w:val="0"/>
      <w:divBdr>
        <w:top w:val="none" w:sz="0" w:space="0" w:color="auto"/>
        <w:left w:val="none" w:sz="0" w:space="0" w:color="auto"/>
        <w:bottom w:val="none" w:sz="0" w:space="0" w:color="auto"/>
        <w:right w:val="none" w:sz="0" w:space="0" w:color="auto"/>
      </w:divBdr>
    </w:div>
    <w:div w:id="1819572120">
      <w:bodyDiv w:val="1"/>
      <w:marLeft w:val="0"/>
      <w:marRight w:val="0"/>
      <w:marTop w:val="0"/>
      <w:marBottom w:val="0"/>
      <w:divBdr>
        <w:top w:val="none" w:sz="0" w:space="0" w:color="auto"/>
        <w:left w:val="none" w:sz="0" w:space="0" w:color="auto"/>
        <w:bottom w:val="none" w:sz="0" w:space="0" w:color="auto"/>
        <w:right w:val="none" w:sz="0" w:space="0" w:color="auto"/>
      </w:divBdr>
    </w:div>
    <w:div w:id="1847747331">
      <w:bodyDiv w:val="1"/>
      <w:marLeft w:val="0"/>
      <w:marRight w:val="0"/>
      <w:marTop w:val="0"/>
      <w:marBottom w:val="0"/>
      <w:divBdr>
        <w:top w:val="none" w:sz="0" w:space="0" w:color="auto"/>
        <w:left w:val="none" w:sz="0" w:space="0" w:color="auto"/>
        <w:bottom w:val="none" w:sz="0" w:space="0" w:color="auto"/>
        <w:right w:val="none" w:sz="0" w:space="0" w:color="auto"/>
      </w:divBdr>
    </w:div>
    <w:div w:id="1882286069">
      <w:bodyDiv w:val="1"/>
      <w:marLeft w:val="0"/>
      <w:marRight w:val="0"/>
      <w:marTop w:val="0"/>
      <w:marBottom w:val="0"/>
      <w:divBdr>
        <w:top w:val="none" w:sz="0" w:space="0" w:color="auto"/>
        <w:left w:val="none" w:sz="0" w:space="0" w:color="auto"/>
        <w:bottom w:val="none" w:sz="0" w:space="0" w:color="auto"/>
        <w:right w:val="none" w:sz="0" w:space="0" w:color="auto"/>
      </w:divBdr>
    </w:div>
    <w:div w:id="1907062274">
      <w:bodyDiv w:val="1"/>
      <w:marLeft w:val="0"/>
      <w:marRight w:val="0"/>
      <w:marTop w:val="0"/>
      <w:marBottom w:val="0"/>
      <w:divBdr>
        <w:top w:val="none" w:sz="0" w:space="0" w:color="auto"/>
        <w:left w:val="none" w:sz="0" w:space="0" w:color="auto"/>
        <w:bottom w:val="none" w:sz="0" w:space="0" w:color="auto"/>
        <w:right w:val="none" w:sz="0" w:space="0" w:color="auto"/>
      </w:divBdr>
    </w:div>
    <w:div w:id="1916161055">
      <w:bodyDiv w:val="1"/>
      <w:marLeft w:val="0"/>
      <w:marRight w:val="0"/>
      <w:marTop w:val="0"/>
      <w:marBottom w:val="0"/>
      <w:divBdr>
        <w:top w:val="none" w:sz="0" w:space="0" w:color="auto"/>
        <w:left w:val="none" w:sz="0" w:space="0" w:color="auto"/>
        <w:bottom w:val="none" w:sz="0" w:space="0" w:color="auto"/>
        <w:right w:val="none" w:sz="0" w:space="0" w:color="auto"/>
      </w:divBdr>
    </w:div>
    <w:div w:id="1920017660">
      <w:bodyDiv w:val="1"/>
      <w:marLeft w:val="0"/>
      <w:marRight w:val="0"/>
      <w:marTop w:val="0"/>
      <w:marBottom w:val="0"/>
      <w:divBdr>
        <w:top w:val="none" w:sz="0" w:space="0" w:color="auto"/>
        <w:left w:val="none" w:sz="0" w:space="0" w:color="auto"/>
        <w:bottom w:val="none" w:sz="0" w:space="0" w:color="auto"/>
        <w:right w:val="none" w:sz="0" w:space="0" w:color="auto"/>
      </w:divBdr>
    </w:div>
    <w:div w:id="1922982653">
      <w:bodyDiv w:val="1"/>
      <w:marLeft w:val="0"/>
      <w:marRight w:val="0"/>
      <w:marTop w:val="0"/>
      <w:marBottom w:val="0"/>
      <w:divBdr>
        <w:top w:val="none" w:sz="0" w:space="0" w:color="auto"/>
        <w:left w:val="none" w:sz="0" w:space="0" w:color="auto"/>
        <w:bottom w:val="none" w:sz="0" w:space="0" w:color="auto"/>
        <w:right w:val="none" w:sz="0" w:space="0" w:color="auto"/>
      </w:divBdr>
      <w:divsChild>
        <w:div w:id="223151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59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28726">
      <w:bodyDiv w:val="1"/>
      <w:marLeft w:val="0"/>
      <w:marRight w:val="0"/>
      <w:marTop w:val="0"/>
      <w:marBottom w:val="0"/>
      <w:divBdr>
        <w:top w:val="none" w:sz="0" w:space="0" w:color="auto"/>
        <w:left w:val="none" w:sz="0" w:space="0" w:color="auto"/>
        <w:bottom w:val="none" w:sz="0" w:space="0" w:color="auto"/>
        <w:right w:val="none" w:sz="0" w:space="0" w:color="auto"/>
      </w:divBdr>
    </w:div>
    <w:div w:id="2012681092">
      <w:bodyDiv w:val="1"/>
      <w:marLeft w:val="0"/>
      <w:marRight w:val="0"/>
      <w:marTop w:val="0"/>
      <w:marBottom w:val="0"/>
      <w:divBdr>
        <w:top w:val="none" w:sz="0" w:space="0" w:color="auto"/>
        <w:left w:val="none" w:sz="0" w:space="0" w:color="auto"/>
        <w:bottom w:val="none" w:sz="0" w:space="0" w:color="auto"/>
        <w:right w:val="none" w:sz="0" w:space="0" w:color="auto"/>
      </w:divBdr>
    </w:div>
    <w:div w:id="2043362411">
      <w:bodyDiv w:val="1"/>
      <w:marLeft w:val="0"/>
      <w:marRight w:val="0"/>
      <w:marTop w:val="0"/>
      <w:marBottom w:val="0"/>
      <w:divBdr>
        <w:top w:val="none" w:sz="0" w:space="0" w:color="auto"/>
        <w:left w:val="none" w:sz="0" w:space="0" w:color="auto"/>
        <w:bottom w:val="none" w:sz="0" w:space="0" w:color="auto"/>
        <w:right w:val="none" w:sz="0" w:space="0" w:color="auto"/>
      </w:divBdr>
    </w:div>
    <w:div w:id="2046323230">
      <w:bodyDiv w:val="1"/>
      <w:marLeft w:val="0"/>
      <w:marRight w:val="0"/>
      <w:marTop w:val="0"/>
      <w:marBottom w:val="0"/>
      <w:divBdr>
        <w:top w:val="none" w:sz="0" w:space="0" w:color="auto"/>
        <w:left w:val="none" w:sz="0" w:space="0" w:color="auto"/>
        <w:bottom w:val="none" w:sz="0" w:space="0" w:color="auto"/>
        <w:right w:val="none" w:sz="0" w:space="0" w:color="auto"/>
      </w:divBdr>
    </w:div>
    <w:div w:id="2050567516">
      <w:bodyDiv w:val="1"/>
      <w:marLeft w:val="0"/>
      <w:marRight w:val="0"/>
      <w:marTop w:val="0"/>
      <w:marBottom w:val="0"/>
      <w:divBdr>
        <w:top w:val="none" w:sz="0" w:space="0" w:color="auto"/>
        <w:left w:val="none" w:sz="0" w:space="0" w:color="auto"/>
        <w:bottom w:val="none" w:sz="0" w:space="0" w:color="auto"/>
        <w:right w:val="none" w:sz="0" w:space="0" w:color="auto"/>
      </w:divBdr>
    </w:div>
    <w:div w:id="2108621340">
      <w:bodyDiv w:val="1"/>
      <w:marLeft w:val="0"/>
      <w:marRight w:val="0"/>
      <w:marTop w:val="0"/>
      <w:marBottom w:val="0"/>
      <w:divBdr>
        <w:top w:val="none" w:sz="0" w:space="0" w:color="auto"/>
        <w:left w:val="none" w:sz="0" w:space="0" w:color="auto"/>
        <w:bottom w:val="none" w:sz="0" w:space="0" w:color="auto"/>
        <w:right w:val="none" w:sz="0" w:space="0" w:color="auto"/>
      </w:divBdr>
      <w:divsChild>
        <w:div w:id="5474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ssz.cz/cz/nemocenske-pojisteni/" TargetMode="External"/><Relationship Id="rId4" Type="http://schemas.openxmlformats.org/officeDocument/2006/relationships/webSettings" Target="webSettings.xml"/><Relationship Id="rId9" Type="http://schemas.openxmlformats.org/officeDocument/2006/relationships/hyperlink" Target="http://www.mpsv.cz/cs/7"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2249</Words>
  <Characters>13274</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habraka dabraka Alexandra</vt:lpstr>
    </vt:vector>
  </TitlesOfParts>
  <Company>CSU</Company>
  <LinksUpToDate>false</LinksUpToDate>
  <CharactersWithSpaces>15493</CharactersWithSpaces>
  <SharedDoc>false</SharedDoc>
  <HLinks>
    <vt:vector size="12" baseType="variant">
      <vt:variant>
        <vt:i4>4128827</vt:i4>
      </vt:variant>
      <vt:variant>
        <vt:i4>3</vt:i4>
      </vt:variant>
      <vt:variant>
        <vt:i4>0</vt:i4>
      </vt:variant>
      <vt:variant>
        <vt:i4>5</vt:i4>
      </vt:variant>
      <vt:variant>
        <vt:lpwstr>http://www.cssz.cz/cz/nemocenske-pojisteni/</vt:lpwstr>
      </vt:variant>
      <vt:variant>
        <vt:lpwstr/>
      </vt:variant>
      <vt:variant>
        <vt:i4>2949225</vt:i4>
      </vt:variant>
      <vt:variant>
        <vt:i4>0</vt:i4>
      </vt:variant>
      <vt:variant>
        <vt:i4>0</vt:i4>
      </vt:variant>
      <vt:variant>
        <vt:i4>5</vt:i4>
      </vt:variant>
      <vt:variant>
        <vt:lpwstr>http://www.mpsv.cz/cs/7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habraka dabraka Alexandra</dc:title>
  <dc:creator>Votavová</dc:creator>
  <cp:lastModifiedBy>hrivikova2924</cp:lastModifiedBy>
  <cp:revision>2</cp:revision>
  <cp:lastPrinted>2014-10-10T13:36:00Z</cp:lastPrinted>
  <dcterms:created xsi:type="dcterms:W3CDTF">2014-11-28T16:25:00Z</dcterms:created>
  <dcterms:modified xsi:type="dcterms:W3CDTF">2014-11-28T16:25:00Z</dcterms:modified>
</cp:coreProperties>
</file>