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79" w:rsidRPr="00F55670" w:rsidRDefault="00BD4479" w:rsidP="00BD4479">
      <w:pPr>
        <w:pStyle w:val="Nadpis1"/>
        <w:spacing w:before="480"/>
      </w:pPr>
      <w:bookmarkStart w:id="0" w:name="_Toc431994667"/>
      <w:bookmarkStart w:id="1" w:name="_Toc432579584"/>
      <w:r w:rsidRPr="00F55670">
        <w:t>2</w:t>
      </w:r>
      <w:r>
        <w:t>.</w:t>
      </w:r>
      <w:r w:rsidRPr="00F55670">
        <w:t xml:space="preserve"> Základní vzdělávání</w:t>
      </w:r>
      <w:bookmarkEnd w:id="0"/>
      <w:bookmarkEnd w:id="1"/>
    </w:p>
    <w:p w:rsidR="00BD4479" w:rsidRDefault="00BD4479" w:rsidP="00BD4479">
      <w:pPr>
        <w:pStyle w:val="Zkladntextodsazen"/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line="288" w:lineRule="auto"/>
        <w:ind w:firstLine="0"/>
      </w:pPr>
      <w:r>
        <w:t>Základní vzdělávání je dalším stupněm ve vzdělávací soustavě České republiky.</w:t>
      </w:r>
      <w:r w:rsidRPr="00833857">
        <w:t xml:space="preserve"> </w:t>
      </w:r>
      <w:r>
        <w:t>Cílem základního vzdělávání je vést žáky k osvojení potřebné strategie učení a motivovat k celoživotnímu učení. Učí žáky tvořivě myslet a řešit přiměřené problémy, účinně komunikovat a spolupracovat, chránit své fyzické i duševní zdraví, vytvořené hodnoty a životní prostředí. Vede k ohleduplnosti a toleranci k jiným lidem, odlišným kulturním a duchovním hodnotám. Napomáhá žákům poznávat své schopnosti a reálné možnosti a uplatňovat je spolu s osvojenými vědomostmi a dovednostmi při rozhodování o své další životní dráze a svém profesním uplatnění.</w:t>
      </w:r>
    </w:p>
    <w:p w:rsidR="00BD4479" w:rsidRDefault="00BD4479" w:rsidP="00BD4479">
      <w:pPr>
        <w:pStyle w:val="Zkladntextodsazen"/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0"/>
        <w:ind w:firstLine="0"/>
      </w:pPr>
    </w:p>
    <w:p w:rsidR="00BD4479" w:rsidRDefault="00BD4479" w:rsidP="00BD4479">
      <w:pPr>
        <w:pStyle w:val="Zkladntextodsazen"/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60" w:line="288" w:lineRule="auto"/>
        <w:ind w:firstLine="0"/>
      </w:pPr>
      <w:r>
        <w:t>Základní vzdělání získá žák úspěšným ukončením vzdělávacího programu základního vzdělávání v základní škole, na nižším stupni šestiletého nebo osmiletého gymnázia nebo v odpovídajících ročnících osmiletého vzdělávacího programu konzervatoře. Základní vzdělávání má 9 ročníků a člení se na první a druhý stupeň. První stupeň je tvořen prvním až pátým ročníkem a druhý stupeň šestým až devátým ročníkem základní školy (příp. odpovídajícími ročníky víceletých gymnázií či osmiletých konzervatoří).</w:t>
      </w:r>
    </w:p>
    <w:p w:rsidR="00BD4479" w:rsidRDefault="00BD4479" w:rsidP="00BD4479">
      <w:pPr>
        <w:pStyle w:val="Zkladntextodsazen"/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0"/>
        <w:ind w:firstLine="0"/>
      </w:pPr>
    </w:p>
    <w:p w:rsidR="00BD4479" w:rsidRDefault="00BD4479" w:rsidP="00BD4479">
      <w:pPr>
        <w:pStyle w:val="Zkladntextodsazen"/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60" w:line="288" w:lineRule="auto"/>
        <w:ind w:firstLine="0"/>
        <w:rPr>
          <w:b/>
        </w:rPr>
      </w:pPr>
      <w:r>
        <w:t xml:space="preserve">U žáků </w:t>
      </w:r>
      <w:r w:rsidRPr="00EB2584">
        <w:t xml:space="preserve">se speciálními vzdělávacími potřebami </w:t>
      </w:r>
      <w:r>
        <w:t>je možné prodloužení základního vzdělávání</w:t>
      </w:r>
      <w:r w:rsidRPr="00EB2584">
        <w:t xml:space="preserve"> na deset let</w:t>
      </w:r>
      <w:r>
        <w:t>, kde první stupeň končí šestým ročníkem základní školy</w:t>
      </w:r>
      <w:r w:rsidRPr="00EB2584">
        <w:t>.</w:t>
      </w:r>
      <w:r w:rsidRPr="00C40993">
        <w:t xml:space="preserve"> Žáci se zdravotním postižením mohou být </w:t>
      </w:r>
      <w:r>
        <w:t xml:space="preserve">zařazeni </w:t>
      </w:r>
      <w:r w:rsidRPr="00C40993">
        <w:t xml:space="preserve">do speciálních tříd na běžných základních školách nebo </w:t>
      </w:r>
      <w:r>
        <w:t xml:space="preserve">individuálně integrováni </w:t>
      </w:r>
      <w:r w:rsidRPr="00C40993">
        <w:t>do běžných tříd základních š</w:t>
      </w:r>
      <w:r>
        <w:t>kol. J</w:t>
      </w:r>
      <w:r w:rsidRPr="00C40993">
        <w:t>sou pro ně určeny</w:t>
      </w:r>
      <w:r>
        <w:t xml:space="preserve"> také</w:t>
      </w:r>
      <w:r w:rsidRPr="00C40993">
        <w:t xml:space="preserve"> školy zaměřené primárně na výuku žáků se spec</w:t>
      </w:r>
      <w:r>
        <w:t>iálními vzdělávacími potřebami. Pomocné školy mají deset postupných ročníků.</w:t>
      </w:r>
      <w:r w:rsidRPr="00E11662">
        <w:rPr>
          <w:b/>
        </w:rPr>
        <w:t xml:space="preserve"> </w:t>
      </w:r>
    </w:p>
    <w:p w:rsidR="00BD4479" w:rsidRPr="000414B3" w:rsidRDefault="00BD4479" w:rsidP="00BD4479">
      <w:pPr>
        <w:pStyle w:val="Nadpis4"/>
        <w:spacing w:after="120"/>
      </w:pPr>
      <w:bookmarkStart w:id="2" w:name="_Toc431985642"/>
      <w:bookmarkStart w:id="3" w:name="_Toc431994668"/>
      <w:r>
        <w:br w:type="page"/>
      </w:r>
      <w:r w:rsidRPr="000414B3">
        <w:lastRenderedPageBreak/>
        <w:t xml:space="preserve">Tab. 2: </w:t>
      </w:r>
      <w:r>
        <w:t>Základní ukazatele za I. a II. stupeň základních škol</w:t>
      </w:r>
    </w:p>
    <w:tbl>
      <w:tblPr>
        <w:tblW w:w="95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BD4479" w:rsidRPr="00F56044" w:rsidTr="00FE79B5">
        <w:trPr>
          <w:trHeight w:val="33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D4479" w:rsidRPr="00F56044" w:rsidRDefault="00BD4479" w:rsidP="00FE79B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b/>
                <w:bCs/>
                <w:color w:val="000000"/>
                <w:sz w:val="18"/>
                <w:szCs w:val="18"/>
              </w:rPr>
              <w:t>2005/06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b/>
                <w:bCs/>
                <w:color w:val="000000"/>
                <w:sz w:val="18"/>
                <w:szCs w:val="18"/>
              </w:rPr>
              <w:t>2006/07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b/>
                <w:bCs/>
                <w:color w:val="000000"/>
                <w:sz w:val="18"/>
                <w:szCs w:val="18"/>
              </w:rPr>
              <w:t>2007/08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b/>
                <w:bCs/>
                <w:color w:val="000000"/>
                <w:sz w:val="18"/>
                <w:szCs w:val="18"/>
              </w:rPr>
              <w:t>2008/09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b/>
                <w:bCs/>
                <w:color w:val="000000"/>
                <w:sz w:val="18"/>
                <w:szCs w:val="18"/>
              </w:rPr>
              <w:t>2009/10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b/>
                <w:bCs/>
                <w:color w:val="000000"/>
                <w:sz w:val="18"/>
                <w:szCs w:val="18"/>
              </w:rPr>
              <w:t>2010/11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b/>
                <w:bCs/>
                <w:color w:val="000000"/>
                <w:sz w:val="18"/>
                <w:szCs w:val="18"/>
              </w:rPr>
              <w:t>2011/12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b/>
                <w:bCs/>
                <w:color w:val="000000"/>
                <w:sz w:val="18"/>
                <w:szCs w:val="18"/>
              </w:rPr>
              <w:t>2012/13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b/>
                <w:bCs/>
                <w:color w:val="000000"/>
                <w:sz w:val="18"/>
                <w:szCs w:val="18"/>
              </w:rPr>
              <w:t>2013/14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DDC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56044">
              <w:rPr>
                <w:rFonts w:cs="Arial"/>
                <w:b/>
                <w:bCs/>
                <w:color w:val="000000"/>
                <w:sz w:val="18"/>
                <w:szCs w:val="18"/>
              </w:rPr>
              <w:t>2014/15</w:t>
            </w:r>
          </w:p>
        </w:tc>
      </w:tr>
      <w:tr w:rsidR="00BD4479" w:rsidRPr="00F56044" w:rsidTr="00FE79B5">
        <w:trPr>
          <w:trHeight w:val="390"/>
        </w:trPr>
        <w:tc>
          <w:tcPr>
            <w:tcW w:w="9575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56044">
              <w:rPr>
                <w:rFonts w:cs="Arial"/>
                <w:b/>
                <w:bCs/>
                <w:sz w:val="18"/>
                <w:szCs w:val="18"/>
              </w:rPr>
              <w:t>I. stupeň</w:t>
            </w:r>
          </w:p>
        </w:tc>
      </w:tr>
      <w:tr w:rsidR="00BD4479" w:rsidRPr="00F56044" w:rsidTr="00FE79B5">
        <w:trPr>
          <w:trHeight w:val="390"/>
        </w:trPr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before="20"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Školy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4 435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4 173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4 132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4 108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4 098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4 096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4 089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4 074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4 074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4 085</w:t>
            </w:r>
          </w:p>
        </w:tc>
      </w:tr>
      <w:tr w:rsidR="00BD4479" w:rsidRPr="00F56044" w:rsidTr="00FE79B5">
        <w:trPr>
          <w:trHeight w:val="390"/>
        </w:trPr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Třídy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24 890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24 566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24 324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24 325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24 521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24 703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25 277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25 187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25 764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26 663</w:t>
            </w:r>
          </w:p>
        </w:tc>
      </w:tr>
      <w:tr w:rsidR="00BD4479" w:rsidRPr="00F56044" w:rsidTr="00FE79B5">
        <w:trPr>
          <w:trHeight w:val="390"/>
        </w:trPr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before="20"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Žáci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473 269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462 820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458 046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458 198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460 754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465 380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474 327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488 106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505 983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529 604</w:t>
            </w:r>
          </w:p>
        </w:tc>
      </w:tr>
      <w:tr w:rsidR="00BD4479" w:rsidRPr="00F56044" w:rsidTr="00FE79B5">
        <w:trPr>
          <w:trHeight w:val="570"/>
        </w:trPr>
        <w:tc>
          <w:tcPr>
            <w:tcW w:w="1575" w:type="dxa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Učitelé (přepočtené počty)</w:t>
            </w:r>
          </w:p>
        </w:tc>
        <w:tc>
          <w:tcPr>
            <w:tcW w:w="8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27 586</w:t>
            </w:r>
          </w:p>
        </w:tc>
        <w:tc>
          <w:tcPr>
            <w:tcW w:w="8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27 727</w:t>
            </w:r>
          </w:p>
        </w:tc>
        <w:tc>
          <w:tcPr>
            <w:tcW w:w="8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27 520</w:t>
            </w:r>
          </w:p>
        </w:tc>
        <w:tc>
          <w:tcPr>
            <w:tcW w:w="8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27 529</w:t>
            </w:r>
          </w:p>
        </w:tc>
        <w:tc>
          <w:tcPr>
            <w:tcW w:w="8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27 635</w:t>
            </w:r>
          </w:p>
        </w:tc>
        <w:tc>
          <w:tcPr>
            <w:tcW w:w="8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27 796</w:t>
            </w:r>
          </w:p>
        </w:tc>
        <w:tc>
          <w:tcPr>
            <w:tcW w:w="8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28 115</w:t>
            </w:r>
          </w:p>
        </w:tc>
        <w:tc>
          <w:tcPr>
            <w:tcW w:w="8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28 375</w:t>
            </w:r>
          </w:p>
        </w:tc>
        <w:tc>
          <w:tcPr>
            <w:tcW w:w="8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29 025</w:t>
            </w:r>
          </w:p>
        </w:tc>
        <w:tc>
          <w:tcPr>
            <w:tcW w:w="80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29 888</w:t>
            </w:r>
          </w:p>
        </w:tc>
      </w:tr>
      <w:tr w:rsidR="00BD4479" w:rsidRPr="00F56044" w:rsidTr="00FE79B5">
        <w:trPr>
          <w:trHeight w:val="39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Učitelé - ženy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26 185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26 286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26 146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26 168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26 209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26 354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26 600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26 853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27 411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28 170</w:t>
            </w:r>
          </w:p>
        </w:tc>
      </w:tr>
      <w:tr w:rsidR="00BD4479" w:rsidRPr="00F56044" w:rsidTr="00FE79B5">
        <w:trPr>
          <w:trHeight w:val="390"/>
        </w:trPr>
        <w:tc>
          <w:tcPr>
            <w:tcW w:w="15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0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tabs>
                <w:tab w:val="left" w:pos="3143"/>
              </w:tabs>
              <w:spacing w:line="240" w:lineRule="auto"/>
              <w:ind w:left="-1535"/>
              <w:jc w:val="center"/>
              <w:rPr>
                <w:rFonts w:cs="Arial"/>
                <w:b/>
                <w:sz w:val="18"/>
                <w:szCs w:val="18"/>
              </w:rPr>
            </w:pPr>
            <w:r w:rsidRPr="00F56044">
              <w:rPr>
                <w:rFonts w:cs="Arial"/>
                <w:b/>
                <w:sz w:val="18"/>
                <w:szCs w:val="18"/>
              </w:rPr>
              <w:t>%</w:t>
            </w:r>
          </w:p>
        </w:tc>
      </w:tr>
      <w:tr w:rsidR="00BD4479" w:rsidRPr="00F56044" w:rsidTr="00FE79B5">
        <w:trPr>
          <w:trHeight w:val="570"/>
        </w:trPr>
        <w:tc>
          <w:tcPr>
            <w:tcW w:w="157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color w:val="000000" w:themeColor="text1"/>
                <w:sz w:val="18"/>
                <w:szCs w:val="18"/>
              </w:rPr>
              <w:t>Průměrný počet tříd na školu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5,6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5,9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5,9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5,9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6,5</w:t>
            </w:r>
          </w:p>
        </w:tc>
      </w:tr>
      <w:tr w:rsidR="00BD4479" w:rsidRPr="00F56044" w:rsidTr="00FE79B5">
        <w:trPr>
          <w:trHeight w:val="570"/>
        </w:trPr>
        <w:tc>
          <w:tcPr>
            <w:tcW w:w="15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color w:val="000000" w:themeColor="text1"/>
                <w:sz w:val="18"/>
                <w:szCs w:val="18"/>
              </w:rPr>
              <w:t>Podíl žen na počtu učitelů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94,9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94,8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95,0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95,1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94,8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94,8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94,6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94,6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94,4</w:t>
            </w:r>
          </w:p>
        </w:tc>
        <w:tc>
          <w:tcPr>
            <w:tcW w:w="80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94,2</w:t>
            </w:r>
          </w:p>
        </w:tc>
      </w:tr>
      <w:tr w:rsidR="00BD4479" w:rsidRPr="00F56044" w:rsidTr="00FE79B5">
        <w:trPr>
          <w:trHeight w:val="570"/>
        </w:trPr>
        <w:tc>
          <w:tcPr>
            <w:tcW w:w="15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color w:val="000000" w:themeColor="text1"/>
                <w:sz w:val="18"/>
                <w:szCs w:val="18"/>
              </w:rPr>
              <w:t>Průměrný počet dětí na třídu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19,0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18,8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18,8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18,8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18,8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18,8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18,8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19,4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19,6</w:t>
            </w:r>
          </w:p>
        </w:tc>
        <w:tc>
          <w:tcPr>
            <w:tcW w:w="80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19,9</w:t>
            </w:r>
          </w:p>
        </w:tc>
      </w:tr>
      <w:tr w:rsidR="00BD4479" w:rsidRPr="00F56044" w:rsidTr="00FE79B5">
        <w:trPr>
          <w:trHeight w:val="570"/>
        </w:trPr>
        <w:tc>
          <w:tcPr>
            <w:tcW w:w="15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color w:val="000000" w:themeColor="text1"/>
                <w:sz w:val="18"/>
                <w:szCs w:val="18"/>
              </w:rPr>
              <w:t>Průměrný počet učitelů na školu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6,2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6,6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6,7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6,8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6,9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7,0</w:t>
            </w:r>
          </w:p>
        </w:tc>
        <w:tc>
          <w:tcPr>
            <w:tcW w:w="80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7,1</w:t>
            </w:r>
          </w:p>
        </w:tc>
        <w:tc>
          <w:tcPr>
            <w:tcW w:w="80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7,3</w:t>
            </w:r>
          </w:p>
        </w:tc>
      </w:tr>
      <w:tr w:rsidR="00BD4479" w:rsidRPr="00F56044" w:rsidTr="00FE79B5">
        <w:trPr>
          <w:trHeight w:val="570"/>
        </w:trPr>
        <w:tc>
          <w:tcPr>
            <w:tcW w:w="157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color w:val="000000" w:themeColor="text1"/>
                <w:sz w:val="18"/>
                <w:szCs w:val="18"/>
              </w:rPr>
              <w:t>Průměrný počet dětí na učitele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17,2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16,7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16,6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16,6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16,7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16,7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16,9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17,2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17,4</w:t>
            </w:r>
          </w:p>
        </w:tc>
        <w:tc>
          <w:tcPr>
            <w:tcW w:w="800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17,7</w:t>
            </w:r>
          </w:p>
        </w:tc>
      </w:tr>
      <w:tr w:rsidR="00BD4479" w:rsidRPr="00F56044" w:rsidTr="00FE79B5">
        <w:trPr>
          <w:trHeight w:val="390"/>
        </w:trPr>
        <w:tc>
          <w:tcPr>
            <w:tcW w:w="957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56044">
              <w:rPr>
                <w:rFonts w:cs="Arial"/>
                <w:b/>
                <w:bCs/>
                <w:sz w:val="18"/>
                <w:szCs w:val="18"/>
              </w:rPr>
              <w:t>II. stupeň</w:t>
            </w:r>
          </w:p>
        </w:tc>
      </w:tr>
      <w:tr w:rsidR="00BD4479" w:rsidRPr="00F56044" w:rsidTr="00FE79B5">
        <w:trPr>
          <w:trHeight w:val="390"/>
        </w:trPr>
        <w:tc>
          <w:tcPr>
            <w:tcW w:w="157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before="20"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Školy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3 052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2 809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2 775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2 760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2 755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2 748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2 738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2 718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2 705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2 707</w:t>
            </w:r>
          </w:p>
        </w:tc>
      </w:tr>
      <w:tr w:rsidR="00BD4479" w:rsidRPr="00F56044" w:rsidTr="00FE79B5">
        <w:trPr>
          <w:trHeight w:val="390"/>
        </w:trPr>
        <w:tc>
          <w:tcPr>
            <w:tcW w:w="15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Třídy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20 879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19 961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19 109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18 173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17 420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17 017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16 828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16 552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16 570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16 596</w:t>
            </w:r>
          </w:p>
        </w:tc>
      </w:tr>
      <w:tr w:rsidR="00BD4479" w:rsidRPr="00F56044" w:rsidTr="00FE79B5">
        <w:trPr>
          <w:trHeight w:val="390"/>
        </w:trPr>
        <w:tc>
          <w:tcPr>
            <w:tcW w:w="15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before="20"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Žáci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443 306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413 693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386 817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357 817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333 705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324 106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320 315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319 844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321 671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324 533</w:t>
            </w:r>
          </w:p>
        </w:tc>
      </w:tr>
      <w:tr w:rsidR="00BD4479" w:rsidRPr="00F56044" w:rsidTr="00FE79B5">
        <w:trPr>
          <w:trHeight w:val="570"/>
        </w:trPr>
        <w:tc>
          <w:tcPr>
            <w:tcW w:w="15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Učitelé (přepočtené počty)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35 572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34 931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33 453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31 963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30 782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30 227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29 700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29 294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29 244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29 240</w:t>
            </w:r>
          </w:p>
        </w:tc>
      </w:tr>
      <w:tr w:rsidR="00BD4479" w:rsidRPr="00F56044" w:rsidTr="00FE79B5">
        <w:trPr>
          <w:trHeight w:val="390"/>
        </w:trPr>
        <w:tc>
          <w:tcPr>
            <w:tcW w:w="157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Učitelé - ženy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26 528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25 978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24 821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23 745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22 789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22 450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22 138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21 728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21 708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21 765</w:t>
            </w:r>
          </w:p>
        </w:tc>
      </w:tr>
      <w:tr w:rsidR="00BD4479" w:rsidRPr="00F56044" w:rsidTr="00FE79B5">
        <w:trPr>
          <w:trHeight w:val="390"/>
        </w:trPr>
        <w:tc>
          <w:tcPr>
            <w:tcW w:w="15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0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ind w:left="-1630"/>
              <w:jc w:val="center"/>
              <w:rPr>
                <w:rFonts w:cs="Arial"/>
                <w:b/>
                <w:sz w:val="18"/>
                <w:szCs w:val="18"/>
              </w:rPr>
            </w:pPr>
            <w:r w:rsidRPr="00F56044">
              <w:rPr>
                <w:rFonts w:cs="Arial"/>
                <w:b/>
                <w:sz w:val="18"/>
                <w:szCs w:val="18"/>
              </w:rPr>
              <w:t>%</w:t>
            </w:r>
          </w:p>
        </w:tc>
      </w:tr>
      <w:tr w:rsidR="00BD4479" w:rsidRPr="00F56044" w:rsidTr="00FE79B5">
        <w:trPr>
          <w:trHeight w:val="570"/>
        </w:trPr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color w:val="000000" w:themeColor="text1"/>
                <w:sz w:val="18"/>
                <w:szCs w:val="18"/>
              </w:rPr>
              <w:t>Průměrný počet tříd na školu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7,1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6,1</w:t>
            </w:r>
          </w:p>
        </w:tc>
      </w:tr>
      <w:tr w:rsidR="00BD4479" w:rsidRPr="00F56044" w:rsidTr="00FE79B5">
        <w:trPr>
          <w:trHeight w:val="570"/>
        </w:trPr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color w:val="000000" w:themeColor="text1"/>
                <w:sz w:val="18"/>
                <w:szCs w:val="18"/>
              </w:rPr>
              <w:t>Podíl žen na počtu učitelů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74,6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74,2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74,3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74,0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74,3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74,5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74,2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74,2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74,4</w:t>
            </w:r>
          </w:p>
        </w:tc>
      </w:tr>
      <w:tr w:rsidR="00BD4479" w:rsidRPr="00F56044" w:rsidTr="00FE79B5">
        <w:trPr>
          <w:trHeight w:val="570"/>
        </w:trPr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color w:val="000000" w:themeColor="text1"/>
                <w:sz w:val="18"/>
                <w:szCs w:val="18"/>
              </w:rPr>
              <w:t>Průměrný počet dětí na třídu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21,2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20,7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20,2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19,7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19,2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19,0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19,0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19,3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19,4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19,6</w:t>
            </w:r>
          </w:p>
        </w:tc>
      </w:tr>
      <w:tr w:rsidR="00BD4479" w:rsidRPr="00F56044" w:rsidTr="00FE79B5">
        <w:trPr>
          <w:trHeight w:val="570"/>
        </w:trPr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color w:val="000000" w:themeColor="text1"/>
                <w:sz w:val="18"/>
                <w:szCs w:val="18"/>
              </w:rPr>
              <w:t>Průměrný počet učitelů na školu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11,7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12,4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12,1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11,6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11,2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10,8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10,8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10,8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10,8</w:t>
            </w:r>
          </w:p>
        </w:tc>
      </w:tr>
      <w:tr w:rsidR="00BD4479" w:rsidRPr="00F56044" w:rsidTr="00FE79B5">
        <w:trPr>
          <w:trHeight w:val="57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color w:val="000000" w:themeColor="text1"/>
                <w:sz w:val="18"/>
                <w:szCs w:val="18"/>
              </w:rPr>
              <w:t>Průměrný počet dětí na učitele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79" w:rsidRPr="00F56044" w:rsidRDefault="00BD4479" w:rsidP="00FE79B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56044">
              <w:rPr>
                <w:rFonts w:cs="Arial"/>
                <w:sz w:val="18"/>
                <w:szCs w:val="18"/>
              </w:rPr>
              <w:t>11,1</w:t>
            </w:r>
          </w:p>
        </w:tc>
      </w:tr>
    </w:tbl>
    <w:p w:rsidR="00BD4479" w:rsidRDefault="00BD4479" w:rsidP="00BD4479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60" w:line="288" w:lineRule="auto"/>
        <w:ind w:firstLine="0"/>
        <w:rPr>
          <w:i/>
          <w:iCs/>
          <w:sz w:val="18"/>
          <w:szCs w:val="18"/>
        </w:rPr>
      </w:pPr>
      <w:r w:rsidRPr="00355B40">
        <w:rPr>
          <w:i/>
          <w:iCs/>
          <w:sz w:val="18"/>
          <w:szCs w:val="18"/>
        </w:rPr>
        <w:t xml:space="preserve">Zdroj: </w:t>
      </w:r>
      <w:r>
        <w:rPr>
          <w:i/>
          <w:iCs/>
          <w:sz w:val="18"/>
          <w:szCs w:val="18"/>
        </w:rPr>
        <w:t>Ministerstvo školství, mládeže a tělovýchovy, 2015</w:t>
      </w:r>
    </w:p>
    <w:p w:rsidR="00BD4479" w:rsidRPr="00AC7F6F" w:rsidRDefault="00BD4479" w:rsidP="00BD4479">
      <w:pPr>
        <w:spacing w:before="120"/>
        <w:rPr>
          <w:b/>
          <w:color w:val="C0504D" w:themeColor="accent2"/>
        </w:rPr>
      </w:pPr>
      <w:r>
        <w:br w:type="page"/>
      </w:r>
      <w:r w:rsidRPr="00AC7F6F">
        <w:rPr>
          <w:b/>
          <w:color w:val="C0504D" w:themeColor="accent2"/>
          <w:sz w:val="24"/>
        </w:rPr>
        <w:lastRenderedPageBreak/>
        <w:t>Shrnutí údajů</w:t>
      </w:r>
      <w:bookmarkEnd w:id="2"/>
      <w:bookmarkEnd w:id="3"/>
      <w:r w:rsidRPr="00AC7F6F">
        <w:rPr>
          <w:b/>
          <w:color w:val="C0504D" w:themeColor="accent2"/>
          <w:sz w:val="24"/>
        </w:rPr>
        <w:t xml:space="preserve"> </w:t>
      </w:r>
    </w:p>
    <w:p w:rsidR="00BD4479" w:rsidRPr="00F9525C" w:rsidRDefault="00BD4479" w:rsidP="00BD4479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60" w:line="288" w:lineRule="auto"/>
        <w:ind w:firstLine="0"/>
      </w:pPr>
      <w:r w:rsidRPr="00F9525C">
        <w:t xml:space="preserve">Ve školním roce 2014/15 bylo v České republice  4 106 </w:t>
      </w:r>
      <w:r w:rsidRPr="00F9525C">
        <w:rPr>
          <w:b/>
        </w:rPr>
        <w:t xml:space="preserve">základních škol </w:t>
      </w:r>
      <w:r w:rsidRPr="00160BFF">
        <w:t xml:space="preserve">(dále jen </w:t>
      </w:r>
      <w:r w:rsidRPr="00160BFF">
        <w:rPr>
          <w:b/>
        </w:rPr>
        <w:t>ZŠ</w:t>
      </w:r>
      <w:r w:rsidRPr="00160BFF">
        <w:t>)</w:t>
      </w:r>
      <w:r w:rsidRPr="00F9525C">
        <w:t>, což je o 650 škol méně než před 10 lety. Během uplynulých let klesly především počty škol zřizovan</w:t>
      </w:r>
      <w:r>
        <w:t>ých</w:t>
      </w:r>
      <w:r w:rsidRPr="00F9525C">
        <w:t xml:space="preserve"> krajem. </w:t>
      </w:r>
      <w:r>
        <w:t>Ve školním roce 2014/15</w:t>
      </w:r>
      <w:r w:rsidRPr="00F9525C">
        <w:t xml:space="preserve"> </w:t>
      </w:r>
      <w:r>
        <w:t xml:space="preserve">bylo </w:t>
      </w:r>
      <w:r w:rsidRPr="00F9525C">
        <w:t xml:space="preserve">nejvíce základních škol </w:t>
      </w:r>
      <w:r>
        <w:t>ve Středočeském kraji, následovaném</w:t>
      </w:r>
      <w:r w:rsidRPr="00F9525C">
        <w:t xml:space="preserve"> kraj</w:t>
      </w:r>
      <w:r>
        <w:t>em</w:t>
      </w:r>
      <w:r w:rsidRPr="00F9525C">
        <w:t xml:space="preserve"> Moravskoslezský</w:t>
      </w:r>
      <w:r>
        <w:t>m</w:t>
      </w:r>
      <w:r w:rsidRPr="00F9525C">
        <w:t xml:space="preserve"> a</w:t>
      </w:r>
      <w:r>
        <w:t> </w:t>
      </w:r>
      <w:r w:rsidRPr="00F9525C">
        <w:t>krajem</w:t>
      </w:r>
      <w:r>
        <w:t xml:space="preserve"> Jihomoravským</w:t>
      </w:r>
      <w:r w:rsidRPr="00F9525C">
        <w:t xml:space="preserve"> </w:t>
      </w:r>
      <w:r>
        <w:t>s 523 školami</w:t>
      </w:r>
      <w:r w:rsidRPr="00F9525C">
        <w:t>.</w:t>
      </w:r>
      <w:r>
        <w:t xml:space="preserve"> Počet škol v jednotlivých krajích je ovlivněn jak velikostí populace daného kraje, tak dostupností jednotlivých sídel.</w:t>
      </w:r>
      <w:r w:rsidRPr="00F9525C">
        <w:t xml:space="preserve"> Z</w:t>
      </w:r>
      <w:r>
        <w:t> </w:t>
      </w:r>
      <w:r w:rsidRPr="00F9525C">
        <w:t xml:space="preserve">dlouhodobého </w:t>
      </w:r>
      <w:r>
        <w:t xml:space="preserve">pohledu </w:t>
      </w:r>
      <w:r w:rsidRPr="00F9525C">
        <w:t xml:space="preserve">je zajímavý vývoj průměrného počtu žáků v jedné třídě, </w:t>
      </w:r>
      <w:r>
        <w:t>který</w:t>
      </w:r>
      <w:r w:rsidRPr="00F9525C">
        <w:t xml:space="preserve"> souvisí s</w:t>
      </w:r>
      <w:r>
        <w:t> </w:t>
      </w:r>
      <w:r w:rsidRPr="00F9525C">
        <w:t>populačním vývojem v</w:t>
      </w:r>
      <w:r>
        <w:t> </w:t>
      </w:r>
      <w:r w:rsidRPr="00F9525C">
        <w:t>naší republice. Zatímco před 20lety připadlo na jednu třídu základní školy 25,5 žák</w:t>
      </w:r>
      <w:r>
        <w:t>ů</w:t>
      </w:r>
      <w:r w:rsidRPr="00F9525C">
        <w:t>, v současnosti to je necelých 20 žáků.</w:t>
      </w:r>
    </w:p>
    <w:p w:rsidR="00BD4479" w:rsidRDefault="00BD4479" w:rsidP="00BD4479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60" w:line="288" w:lineRule="auto"/>
        <w:ind w:firstLine="0"/>
      </w:pPr>
      <w:r w:rsidRPr="00F9525C">
        <w:t xml:space="preserve">Ve školním roce 1990/91 vznikly první dvě </w:t>
      </w:r>
      <w:r w:rsidRPr="00F9525C">
        <w:rPr>
          <w:b/>
        </w:rPr>
        <w:t xml:space="preserve">soukromé </w:t>
      </w:r>
      <w:r w:rsidRPr="00CF7FD1">
        <w:t>(nyní privátní)</w:t>
      </w:r>
      <w:r w:rsidRPr="00F9525C">
        <w:t xml:space="preserve"> základní školy a jedna</w:t>
      </w:r>
      <w:r>
        <w:t xml:space="preserve"> škola</w:t>
      </w:r>
      <w:r w:rsidRPr="00F9525C">
        <w:t xml:space="preserve"> </w:t>
      </w:r>
      <w:r w:rsidRPr="00F9525C">
        <w:rPr>
          <w:b/>
        </w:rPr>
        <w:t>církevní</w:t>
      </w:r>
      <w:r w:rsidRPr="00F9525C">
        <w:t>. V</w:t>
      </w:r>
      <w:r>
        <w:t> </w:t>
      </w:r>
      <w:r w:rsidRPr="00F9525C">
        <w:t>uplynulém období se počet</w:t>
      </w:r>
      <w:r>
        <w:t xml:space="preserve"> těchto škol</w:t>
      </w:r>
      <w:r w:rsidRPr="00F9525C">
        <w:t xml:space="preserve"> postupně rozrůstal a</w:t>
      </w:r>
      <w:r>
        <w:t>ž</w:t>
      </w:r>
      <w:r w:rsidRPr="00F9525C">
        <w:t xml:space="preserve"> na 40 privátních a</w:t>
      </w:r>
      <w:r>
        <w:t> </w:t>
      </w:r>
      <w:r w:rsidRPr="00F9525C">
        <w:t>30</w:t>
      </w:r>
      <w:r>
        <w:t> </w:t>
      </w:r>
      <w:r w:rsidRPr="00F9525C">
        <w:t>církevních</w:t>
      </w:r>
      <w:r>
        <w:t xml:space="preserve"> </w:t>
      </w:r>
      <w:r w:rsidRPr="00F9525C">
        <w:t>základních škol</w:t>
      </w:r>
      <w:r>
        <w:t xml:space="preserve"> ve školním roce 2000/200</w:t>
      </w:r>
      <w:r w:rsidRPr="00F9525C">
        <w:t>1.</w:t>
      </w:r>
      <w:r>
        <w:t xml:space="preserve"> </w:t>
      </w:r>
      <w:r w:rsidRPr="00F9525C">
        <w:t>V současnosti základní vzdělávání poskytuje 143</w:t>
      </w:r>
      <w:r>
        <w:t> </w:t>
      </w:r>
      <w:r w:rsidRPr="00F9525C">
        <w:t>privátních a 43 církevních základních škol.</w:t>
      </w:r>
    </w:p>
    <w:p w:rsidR="00BD4479" w:rsidRDefault="00BD4479" w:rsidP="00BD4479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60" w:line="288" w:lineRule="auto"/>
        <w:ind w:firstLine="0"/>
      </w:pPr>
      <w:r>
        <w:t>Ve</w:t>
      </w:r>
      <w:r w:rsidRPr="00F9525C">
        <w:t xml:space="preserve"> školním </w:t>
      </w:r>
      <w:r>
        <w:t>roce 2014/2015 navštěvovalo základní vzdělávání</w:t>
      </w:r>
      <w:r w:rsidRPr="00F9525C">
        <w:t xml:space="preserve"> 854,1</w:t>
      </w:r>
      <w:r>
        <w:t> </w:t>
      </w:r>
      <w:r w:rsidRPr="00F9525C">
        <w:t>tis</w:t>
      </w:r>
      <w:r>
        <w:t>íc</w:t>
      </w:r>
      <w:r w:rsidRPr="00F9525C">
        <w:t xml:space="preserve"> </w:t>
      </w:r>
      <w:r w:rsidRPr="00F9525C">
        <w:rPr>
          <w:b/>
        </w:rPr>
        <w:t>žáků</w:t>
      </w:r>
      <w:r w:rsidRPr="00F9525C">
        <w:t>, z toho 414,3</w:t>
      </w:r>
      <w:r>
        <w:t> </w:t>
      </w:r>
      <w:r w:rsidRPr="00F9525C">
        <w:t>tis</w:t>
      </w:r>
      <w:r>
        <w:t>íc</w:t>
      </w:r>
      <w:r w:rsidRPr="00F9525C">
        <w:t xml:space="preserve"> </w:t>
      </w:r>
      <w:r w:rsidRPr="00F9525C">
        <w:rPr>
          <w:b/>
        </w:rPr>
        <w:t>dívek</w:t>
      </w:r>
      <w:r w:rsidRPr="00F9525C">
        <w:t xml:space="preserve"> (48,5 %). Výuku zajišťovalo 59 129 </w:t>
      </w:r>
      <w:r w:rsidRPr="00F9525C">
        <w:rPr>
          <w:b/>
        </w:rPr>
        <w:t>učitelů</w:t>
      </w:r>
      <w:r w:rsidRPr="00F9525C">
        <w:t xml:space="preserve"> (přepočtené počty)</w:t>
      </w:r>
      <w:r>
        <w:t>,</w:t>
      </w:r>
      <w:r w:rsidRPr="00F9525C">
        <w:t xml:space="preserve"> z </w:t>
      </w:r>
      <w:r>
        <w:t>čehož</w:t>
      </w:r>
      <w:r w:rsidRPr="00F9525C">
        <w:t xml:space="preserve"> podíl žen čin</w:t>
      </w:r>
      <w:r>
        <w:t>il</w:t>
      </w:r>
      <w:r w:rsidRPr="00F9525C">
        <w:t xml:space="preserve"> 84,5 %. Na jednoho učit</w:t>
      </w:r>
      <w:r>
        <w:t>ele připadalo v průměru 14,4 žáků</w:t>
      </w:r>
      <w:r w:rsidRPr="00F9525C">
        <w:t xml:space="preserve">. </w:t>
      </w:r>
    </w:p>
    <w:p w:rsidR="00BD4479" w:rsidRDefault="00BD4479" w:rsidP="00BD4479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line="288" w:lineRule="auto"/>
        <w:ind w:firstLine="0"/>
      </w:pPr>
      <w:r w:rsidRPr="001734BC">
        <w:t xml:space="preserve">Od roku 2006 vzrostl </w:t>
      </w:r>
      <w:r>
        <w:t xml:space="preserve">v základním vzdělávání </w:t>
      </w:r>
      <w:r w:rsidRPr="001734BC">
        <w:t xml:space="preserve">počet </w:t>
      </w:r>
      <w:r w:rsidRPr="001734BC">
        <w:rPr>
          <w:b/>
        </w:rPr>
        <w:t>vysokoškolsky vzdělaných učitelů</w:t>
      </w:r>
      <w:r w:rsidRPr="001734BC">
        <w:t>. Ve školním roce 2006/07 mělo vysokou školu vystudovanou 85 % učitelů základních škol</w:t>
      </w:r>
      <w:r>
        <w:t>,</w:t>
      </w:r>
      <w:r w:rsidRPr="001734BC">
        <w:t xml:space="preserve"> ve školním roce 2014/15 se jedn</w:t>
      </w:r>
      <w:r>
        <w:t>alo</w:t>
      </w:r>
      <w:r w:rsidRPr="001734BC">
        <w:t xml:space="preserve"> </w:t>
      </w:r>
      <w:r>
        <w:t>již t</w:t>
      </w:r>
      <w:r w:rsidRPr="001734BC">
        <w:t>éměř o 90 %</w:t>
      </w:r>
      <w:r>
        <w:t xml:space="preserve"> učitelů. </w:t>
      </w:r>
      <w:r w:rsidRPr="00320A58">
        <w:rPr>
          <w:b/>
        </w:rPr>
        <w:t>Průměrný věk</w:t>
      </w:r>
      <w:r>
        <w:t xml:space="preserve"> učitelů základních škol se stále zvyšuje. </w:t>
      </w:r>
      <w:r w:rsidRPr="00F9525C">
        <w:t xml:space="preserve">Zatímco ve školním roce 2006/07 </w:t>
      </w:r>
      <w:r>
        <w:t xml:space="preserve">bylo ve věku 46 a více let 39 % učitelů, ve školním roce 2014/2015 se jednalo již o rovných 50 %. K tomuto nárůstu došlo na úkor učitelů mladších 35 let, jejichž podíl klesl za stejné období z 28 </w:t>
      </w:r>
      <w:r>
        <w:rPr>
          <w:lang w:val="en-US"/>
        </w:rPr>
        <w:t xml:space="preserve">% </w:t>
      </w:r>
      <w:r>
        <w:t>na 19 %.</w:t>
      </w:r>
    </w:p>
    <w:p w:rsidR="00BD4479" w:rsidRDefault="00BD4479" w:rsidP="00BD4479">
      <w:pPr>
        <w:pStyle w:val="Nadpis4"/>
      </w:pPr>
      <w:bookmarkStart w:id="4" w:name="_Toc431985643"/>
      <w:bookmarkStart w:id="5" w:name="_Toc431994669"/>
      <w:r>
        <w:t>Graf 3: S</w:t>
      </w:r>
      <w:r w:rsidRPr="00B41DBD">
        <w:t xml:space="preserve">truktura učitelů </w:t>
      </w:r>
      <w:r>
        <w:t xml:space="preserve">základních škol </w:t>
      </w:r>
      <w:r w:rsidRPr="00B41DBD">
        <w:t>podle věku</w:t>
      </w:r>
      <w:bookmarkEnd w:id="4"/>
      <w:bookmarkEnd w:id="5"/>
    </w:p>
    <w:bookmarkStart w:id="6" w:name="_MON_1505670518"/>
    <w:bookmarkEnd w:id="6"/>
    <w:p w:rsidR="00BD4479" w:rsidRDefault="00BD4479" w:rsidP="00BD4479">
      <w:pPr>
        <w:rPr>
          <w:i/>
          <w:iCs/>
          <w:sz w:val="18"/>
          <w:szCs w:val="18"/>
        </w:rPr>
      </w:pPr>
      <w:r>
        <w:object w:dxaOrig="9577" w:dyaOrig="4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237.75pt" o:ole="">
            <v:imagedata r:id="rId4" o:title=""/>
          </v:shape>
          <o:OLEObject Type="Embed" ProgID="Excel.Sheet.12" ShapeID="_x0000_i1025" DrawAspect="Content" ObjectID="_1507098989" r:id="rId5"/>
        </w:object>
      </w:r>
      <w:r w:rsidRPr="00355B40">
        <w:rPr>
          <w:i/>
          <w:iCs/>
          <w:sz w:val="18"/>
          <w:szCs w:val="18"/>
        </w:rPr>
        <w:t xml:space="preserve">Zdroj: </w:t>
      </w:r>
      <w:r>
        <w:rPr>
          <w:i/>
          <w:iCs/>
          <w:sz w:val="18"/>
          <w:szCs w:val="18"/>
        </w:rPr>
        <w:t>Ministerstvo školství, mládeže a tělovýchovy, 2015</w:t>
      </w:r>
    </w:p>
    <w:p w:rsidR="00BD4479" w:rsidRDefault="00BD4479" w:rsidP="00BD4479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0" w:line="288" w:lineRule="auto"/>
        <w:ind w:firstLine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Pozn.: </w:t>
      </w:r>
      <w:r w:rsidRPr="00355B40">
        <w:rPr>
          <w:i/>
          <w:iCs/>
          <w:sz w:val="18"/>
          <w:szCs w:val="18"/>
        </w:rPr>
        <w:t>Údaje o učitelích jsou uvedeny pouze za školy zřizované MŠMT, obcemi a kraji.</w:t>
      </w:r>
    </w:p>
    <w:p w:rsidR="00BD4479" w:rsidRDefault="00BD4479" w:rsidP="00BD4479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before="240" w:line="288" w:lineRule="auto"/>
        <w:ind w:firstLine="0"/>
      </w:pPr>
      <w:r w:rsidRPr="00F9525C">
        <w:t>Z celkov</w:t>
      </w:r>
      <w:r>
        <w:t>ého</w:t>
      </w:r>
      <w:r w:rsidRPr="00F9525C">
        <w:t xml:space="preserve"> počt</w:t>
      </w:r>
      <w:r>
        <w:t>u</w:t>
      </w:r>
      <w:r w:rsidRPr="00F9525C">
        <w:t xml:space="preserve"> žáků základních škol </w:t>
      </w:r>
      <w:r>
        <w:t>navštěvovalo v roce 2014/15</w:t>
      </w:r>
      <w:r w:rsidRPr="00F9525C">
        <w:t xml:space="preserve"> </w:t>
      </w:r>
      <w:r>
        <w:rPr>
          <w:b/>
        </w:rPr>
        <w:t>první</w:t>
      </w:r>
      <w:r w:rsidRPr="00F9525C">
        <w:rPr>
          <w:b/>
        </w:rPr>
        <w:t xml:space="preserve"> stupeň</w:t>
      </w:r>
      <w:r w:rsidRPr="00F9525C">
        <w:t xml:space="preserve"> 6</w:t>
      </w:r>
      <w:r>
        <w:t>2 % všech žáků</w:t>
      </w:r>
      <w:r w:rsidRPr="00F9525C">
        <w:t xml:space="preserve">. </w:t>
      </w:r>
      <w:r>
        <w:t>Na prvním</w:t>
      </w:r>
      <w:r w:rsidRPr="00EE7A79">
        <w:t xml:space="preserve"> stupni základních škol vyučují především ženy, kt</w:t>
      </w:r>
      <w:r>
        <w:t>eré zde tvoří 94 % učitelského sboru</w:t>
      </w:r>
      <w:r w:rsidRPr="00EE7A79">
        <w:t>. Na</w:t>
      </w:r>
      <w:r>
        <w:t> druhém</w:t>
      </w:r>
      <w:r w:rsidRPr="00EE7A79">
        <w:t xml:space="preserve"> stupni </w:t>
      </w:r>
      <w:r>
        <w:t>pak p</w:t>
      </w:r>
      <w:r w:rsidRPr="00EE7A79">
        <w:t>odíl</w:t>
      </w:r>
      <w:r>
        <w:t xml:space="preserve"> žen - učitelek v uplynulých pěti</w:t>
      </w:r>
      <w:r w:rsidRPr="00EE7A79">
        <w:t xml:space="preserve"> školních letech činil 74 %</w:t>
      </w:r>
      <w:r w:rsidRPr="00F9525C">
        <w:t xml:space="preserve">. </w:t>
      </w:r>
      <w:r>
        <w:t>Co se týká průměrného počtu žáků na učitele, připadá n</w:t>
      </w:r>
      <w:r w:rsidRPr="00F9525C">
        <w:t xml:space="preserve">a </w:t>
      </w:r>
      <w:r>
        <w:t>prvním </w:t>
      </w:r>
      <w:r w:rsidRPr="00F9525C">
        <w:t xml:space="preserve">stupni ZŠ v posledních třech školních letech </w:t>
      </w:r>
      <w:r>
        <w:t xml:space="preserve">na jednoho učitele přibližně 17,5 žáků. Na druhém stupni </w:t>
      </w:r>
      <w:r w:rsidRPr="00F9525C">
        <w:t xml:space="preserve">tento průměr </w:t>
      </w:r>
      <w:r>
        <w:t>klesá na</w:t>
      </w:r>
      <w:r w:rsidRPr="00F9525C">
        <w:t xml:space="preserve"> necelých 11 žáků na </w:t>
      </w:r>
      <w:r w:rsidRPr="00F9525C">
        <w:lastRenderedPageBreak/>
        <w:t>učitele.</w:t>
      </w:r>
      <w:r>
        <w:t xml:space="preserve"> Tento rozdíl je dán především odlišným způsobem výuky, kdy na prvním stupni vyučuje jeden učitel celou třídu všechny předměty, kdežto na druhém stupni jsou již učitelé specializovaní na konkrétní předměty.</w:t>
      </w:r>
    </w:p>
    <w:p w:rsidR="00BD4479" w:rsidRDefault="00BD4479" w:rsidP="00BD4479">
      <w:pPr>
        <w:spacing w:before="120"/>
        <w:jc w:val="both"/>
      </w:pPr>
      <w:r>
        <w:t xml:space="preserve">Ve školním roce 2014/15 navštěvovalo základní školy v České republice téměř 16,5 tisíce žáků s </w:t>
      </w:r>
      <w:r w:rsidRPr="00B5650D">
        <w:rPr>
          <w:b/>
        </w:rPr>
        <w:t xml:space="preserve">cizí </w:t>
      </w:r>
      <w:r w:rsidRPr="00EE7A79">
        <w:rPr>
          <w:b/>
        </w:rPr>
        <w:t>státní příslušností</w:t>
      </w:r>
      <w:r>
        <w:t xml:space="preserve"> a na celkovém počtu žáků základních škol se tyto děti podílely 1,9 %. Mezi žáky - cizinci zcela jednoznačně dominovali Ukrajinci (4 039), Slováci (3 775) a Vietnamci (3 220), kdy tyto tři národnosti představovaly 2/3 všech cizinců na základních školách.</w:t>
      </w:r>
    </w:p>
    <w:p w:rsidR="00BD4479" w:rsidRDefault="00BD4479" w:rsidP="00BD4479">
      <w:pPr>
        <w:pStyle w:val="Nadpis4"/>
      </w:pPr>
      <w:bookmarkStart w:id="7" w:name="_Toc431985644"/>
      <w:bookmarkStart w:id="8" w:name="_Toc431994670"/>
      <w:r>
        <w:t>Graf 4: Cizinci navštěvující základní školy v ČR podle státní</w:t>
      </w:r>
      <w:r w:rsidRPr="00C21671">
        <w:t xml:space="preserve"> příslušnosti</w:t>
      </w:r>
      <w:bookmarkEnd w:id="7"/>
      <w:bookmarkEnd w:id="8"/>
      <w:r>
        <w:t xml:space="preserve"> (vybrané školní roky) </w:t>
      </w:r>
    </w:p>
    <w:p w:rsidR="00BD4479" w:rsidRDefault="00BD4479" w:rsidP="00BD4479">
      <w:pPr>
        <w:spacing w:before="120"/>
        <w:jc w:val="both"/>
        <w:rPr>
          <w:i/>
          <w:iCs/>
          <w:sz w:val="18"/>
          <w:szCs w:val="18"/>
        </w:rPr>
      </w:pPr>
      <w:r>
        <w:object w:dxaOrig="9482" w:dyaOrig="4391">
          <v:shape id="_x0000_i1026" type="#_x0000_t75" style="width:474.75pt;height:219pt" o:ole="">
            <v:imagedata r:id="rId6" o:title=""/>
          </v:shape>
          <o:OLEObject Type="Embed" ProgID="Excel.Sheet.12" ShapeID="_x0000_i1026" DrawAspect="Content" ObjectID="_1507098990" r:id="rId7"/>
        </w:object>
      </w:r>
      <w:r w:rsidRPr="00355B40">
        <w:rPr>
          <w:i/>
          <w:iCs/>
          <w:sz w:val="18"/>
          <w:szCs w:val="18"/>
        </w:rPr>
        <w:t xml:space="preserve">Zdroj: </w:t>
      </w:r>
      <w:r>
        <w:rPr>
          <w:i/>
          <w:iCs/>
          <w:sz w:val="18"/>
          <w:szCs w:val="18"/>
        </w:rPr>
        <w:t>Ministerstvo školství, mládeže a tělovýchovy, 2015</w:t>
      </w:r>
    </w:p>
    <w:p w:rsidR="00BD4479" w:rsidRDefault="00BD4479" w:rsidP="00BD4479">
      <w:pPr>
        <w:spacing w:before="120"/>
        <w:jc w:val="both"/>
      </w:pPr>
    </w:p>
    <w:p w:rsidR="00BD4479" w:rsidRDefault="00BD4479" w:rsidP="00BD4479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line="288" w:lineRule="auto"/>
        <w:ind w:firstLine="0"/>
      </w:pPr>
      <w:r w:rsidRPr="00F9525C">
        <w:t xml:space="preserve">Základní vzdělávání lze plnit jak na základních školách, tak v </w:t>
      </w:r>
      <w:r w:rsidRPr="00F9525C">
        <w:rPr>
          <w:b/>
        </w:rPr>
        <w:t>nižších ročnících gymnázií a</w:t>
      </w:r>
      <w:r>
        <w:rPr>
          <w:b/>
        </w:rPr>
        <w:t> </w:t>
      </w:r>
      <w:r w:rsidRPr="00F9525C">
        <w:rPr>
          <w:b/>
        </w:rPr>
        <w:t>konzervatoří</w:t>
      </w:r>
      <w:r>
        <w:t>. Jedná se o první dva ročníky šestiletých gymnázií a osmiletých konzervatoří a první čtyři ročníky osmiletých gymnázií. Z celkového počtu</w:t>
      </w:r>
      <w:r w:rsidRPr="00F9525C">
        <w:t xml:space="preserve"> žáků plnících povinnou školní docházku, ji</w:t>
      </w:r>
      <w:r>
        <w:t> </w:t>
      </w:r>
      <w:r w:rsidRPr="00F9525C">
        <w:t>40,4</w:t>
      </w:r>
      <w:r>
        <w:t> t</w:t>
      </w:r>
      <w:r w:rsidRPr="00F9525C">
        <w:t>is</w:t>
      </w:r>
      <w:r>
        <w:t>íc plnilo</w:t>
      </w:r>
      <w:r w:rsidRPr="00F9525C">
        <w:t xml:space="preserve"> </w:t>
      </w:r>
      <w:r>
        <w:t xml:space="preserve">v oborech víceletých gymnázií, </w:t>
      </w:r>
      <w:r w:rsidRPr="00F9525C">
        <w:t xml:space="preserve">269 žáků v oborech konzervatoří. </w:t>
      </w:r>
    </w:p>
    <w:p w:rsidR="00BD4479" w:rsidRPr="00F9525C" w:rsidRDefault="00BD4479" w:rsidP="00BD4479">
      <w:pPr>
        <w:pStyle w:val="Zkladntextodsazen"/>
        <w:tabs>
          <w:tab w:val="left" w:pos="-1128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48"/>
        </w:tabs>
        <w:spacing w:line="288" w:lineRule="auto"/>
        <w:ind w:firstLine="0"/>
      </w:pPr>
      <w:r w:rsidRPr="00F9525C">
        <w:t>V základních školách se vzdělává téměř 76</w:t>
      </w:r>
      <w:r>
        <w:t> </w:t>
      </w:r>
      <w:r w:rsidRPr="00F9525C">
        <w:t>tis</w:t>
      </w:r>
      <w:r>
        <w:t>íc</w:t>
      </w:r>
      <w:r w:rsidRPr="00F9525C">
        <w:t xml:space="preserve"> </w:t>
      </w:r>
      <w:r w:rsidRPr="00F9525C">
        <w:rPr>
          <w:b/>
        </w:rPr>
        <w:t>zdravotně postižených a znevýhodněných žáků</w:t>
      </w:r>
      <w:r w:rsidRPr="00F9525C">
        <w:t xml:space="preserve">, kteří tvoří 9 % </w:t>
      </w:r>
      <w:r>
        <w:t>z celkového počtu</w:t>
      </w:r>
      <w:r w:rsidRPr="00F9525C">
        <w:t xml:space="preserve"> žáků</w:t>
      </w:r>
      <w:r>
        <w:t xml:space="preserve"> navštěvujících základní</w:t>
      </w:r>
      <w:r w:rsidRPr="00F9525C">
        <w:t xml:space="preserve"> vzdělávání. Třicet tisíc těchto ž</w:t>
      </w:r>
      <w:r>
        <w:t>áků navštěvuje speciální třídy,</w:t>
      </w:r>
      <w:r w:rsidRPr="00F9525C">
        <w:t xml:space="preserve"> zbytek je integrován mezi ostatní žáky v běžných třídách. </w:t>
      </w:r>
    </w:p>
    <w:p w:rsidR="00CB3E2E" w:rsidRDefault="00CB3E2E"/>
    <w:sectPr w:rsidR="00CB3E2E" w:rsidSect="00CB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479"/>
    <w:rsid w:val="00BD4479"/>
    <w:rsid w:val="00CB3E2E"/>
    <w:rsid w:val="00E9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479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D4479"/>
    <w:pPr>
      <w:keepNext/>
      <w:keepLines/>
      <w:spacing w:before="120" w:line="288" w:lineRule="auto"/>
      <w:outlineLvl w:val="0"/>
    </w:pPr>
    <w:rPr>
      <w:rFonts w:ascii="Arial" w:eastAsia="MS Gothic" w:hAnsi="Arial" w:cs="Times New Roman"/>
      <w:b/>
      <w:bCs/>
      <w:color w:val="BC091B"/>
      <w:sz w:val="32"/>
      <w:szCs w:val="28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D4479"/>
    <w:pPr>
      <w:keepNext/>
      <w:keepLines/>
      <w:spacing w:before="240" w:after="40" w:line="240" w:lineRule="auto"/>
      <w:outlineLvl w:val="3"/>
    </w:pPr>
    <w:rPr>
      <w:rFonts w:ascii="Arial" w:eastAsia="MS Gothic" w:hAnsi="Arial" w:cs="Times New Roman"/>
      <w:b/>
      <w:bCs/>
      <w:iCs/>
      <w:color w:val="C0504D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4479"/>
    <w:rPr>
      <w:rFonts w:ascii="Arial" w:eastAsia="MS Gothic" w:hAnsi="Arial" w:cs="Times New Roman"/>
      <w:b/>
      <w:bCs/>
      <w:color w:val="BC091B"/>
      <w:sz w:val="32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D4479"/>
    <w:rPr>
      <w:rFonts w:ascii="Arial" w:eastAsia="MS Gothic" w:hAnsi="Arial" w:cs="Times New Roman"/>
      <w:b/>
      <w:bCs/>
      <w:iCs/>
      <w:color w:val="C0504D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D4479"/>
    <w:pPr>
      <w:widowControl w:val="0"/>
      <w:tabs>
        <w:tab w:val="left" w:pos="0"/>
        <w:tab w:val="left" w:pos="60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before="120" w:line="240" w:lineRule="auto"/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D4479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List_aplikace_Microsoft_Office_Excel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List_aplikace_Microsoft_Office_Excel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6345</Characters>
  <Application>Microsoft Office Word</Application>
  <DocSecurity>0</DocSecurity>
  <Lines>52</Lines>
  <Paragraphs>14</Paragraphs>
  <ScaleCrop>false</ScaleCrop>
  <Company>ČSÚ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watier5011</dc:creator>
  <cp:lastModifiedBy>watier5011</cp:lastModifiedBy>
  <cp:revision>1</cp:revision>
  <dcterms:created xsi:type="dcterms:W3CDTF">2015-10-23T07:48:00Z</dcterms:created>
  <dcterms:modified xsi:type="dcterms:W3CDTF">2015-10-23T07:49:00Z</dcterms:modified>
</cp:coreProperties>
</file>