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54" w:rsidRPr="00D374C8" w:rsidRDefault="00775B7B" w:rsidP="002C0F54">
      <w:pPr>
        <w:pStyle w:val="datum0"/>
        <w:rPr>
          <w:lang w:val="cs-CZ"/>
        </w:rPr>
      </w:pPr>
      <w:r>
        <w:rPr>
          <w:lang w:val="cs-CZ"/>
        </w:rPr>
        <w:t>9. 7</w:t>
      </w:r>
      <w:r w:rsidR="002C0F54" w:rsidRPr="00D374C8">
        <w:rPr>
          <w:lang w:val="cs-CZ"/>
        </w:rPr>
        <w:t>. 201</w:t>
      </w:r>
      <w:r w:rsidR="00241F15">
        <w:rPr>
          <w:lang w:val="cs-CZ"/>
        </w:rPr>
        <w:t>4</w:t>
      </w:r>
    </w:p>
    <w:p w:rsidR="002C0F54" w:rsidRPr="00CB7959" w:rsidRDefault="002C0F54" w:rsidP="00CB7959">
      <w:pPr>
        <w:pStyle w:val="Nzev"/>
        <w:rPr>
          <w:rFonts w:cs="Arial"/>
        </w:rPr>
      </w:pPr>
      <w:r w:rsidRPr="00CB7959">
        <w:rPr>
          <w:rFonts w:cs="Arial"/>
        </w:rPr>
        <w:t>V</w:t>
      </w:r>
      <w:r w:rsidR="00C05A6D">
        <w:rPr>
          <w:rFonts w:cs="Arial"/>
        </w:rPr>
        <w:t>ývoj</w:t>
      </w:r>
      <w:r w:rsidRPr="00CB7959">
        <w:rPr>
          <w:rFonts w:cs="Arial"/>
        </w:rPr>
        <w:t xml:space="preserve"> </w:t>
      </w:r>
      <w:r w:rsidR="00C05A6D">
        <w:rPr>
          <w:rFonts w:cs="Arial"/>
        </w:rPr>
        <w:t>indexů</w:t>
      </w:r>
      <w:r w:rsidRPr="00CB7959">
        <w:rPr>
          <w:rFonts w:cs="Arial"/>
        </w:rPr>
        <w:t xml:space="preserve"> </w:t>
      </w:r>
      <w:r w:rsidR="00075CEE">
        <w:rPr>
          <w:rFonts w:cs="Arial"/>
        </w:rPr>
        <w:t>spotřebitelských cen v</w:t>
      </w:r>
      <w:r w:rsidR="00775B7B">
        <w:rPr>
          <w:rFonts w:cs="Arial"/>
        </w:rPr>
        <w:t>e 2</w:t>
      </w:r>
      <w:r w:rsidR="00075CEE">
        <w:rPr>
          <w:rFonts w:cs="Arial"/>
        </w:rPr>
        <w:t>. čtvrtletí 2014</w:t>
      </w:r>
      <w:r w:rsidR="00D3587A">
        <w:rPr>
          <w:rFonts w:cs="Arial"/>
        </w:rPr>
        <w:t xml:space="preserve"> </w:t>
      </w:r>
    </w:p>
    <w:p w:rsidR="002C0F54" w:rsidRDefault="002C0F54" w:rsidP="00794A69">
      <w:pPr>
        <w:pStyle w:val="Perex"/>
      </w:pPr>
      <w:r>
        <w:t xml:space="preserve">Celková hladina spotřebitelských cen </w:t>
      </w:r>
      <w:r w:rsidR="009844FB">
        <w:t>vzrostla</w:t>
      </w:r>
      <w:r>
        <w:t xml:space="preserve"> </w:t>
      </w:r>
      <w:r w:rsidRPr="00533ACB">
        <w:t>v</w:t>
      </w:r>
      <w:r w:rsidR="00E5030E">
        <w:t>e</w:t>
      </w:r>
      <w:r w:rsidRPr="00533ACB">
        <w:t> </w:t>
      </w:r>
      <w:r w:rsidR="00E5030E">
        <w:t>2. čtvrtletí 2014 proti 1. čtvrtletí 2014 o 0,2</w:t>
      </w:r>
      <w:r>
        <w:t xml:space="preserve"> %. </w:t>
      </w:r>
      <w:r w:rsidRPr="00533ACB">
        <w:t>Meziročn</w:t>
      </w:r>
      <w:r>
        <w:t>ě v</w:t>
      </w:r>
      <w:r w:rsidR="00674A6D">
        <w:t>zrostly spotřebitelské ceny v</w:t>
      </w:r>
      <w:r w:rsidR="00E5030E">
        <w:t>e 2</w:t>
      </w:r>
      <w:r w:rsidR="009844FB">
        <w:t>. čtvrtletí 2014</w:t>
      </w:r>
      <w:r w:rsidR="00E5030E">
        <w:t xml:space="preserve"> stejně jako v 1. čtvrtletí, tj. </w:t>
      </w:r>
      <w:r w:rsidRPr="00533ACB">
        <w:t>o </w:t>
      </w:r>
      <w:r w:rsidR="00B27413">
        <w:t>0,2</w:t>
      </w:r>
      <w:r w:rsidR="00E5030E">
        <w:t> %.</w:t>
      </w:r>
    </w:p>
    <w:p w:rsidR="00A655F4" w:rsidRDefault="003A00CB" w:rsidP="00C24A32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Cs w:val="0"/>
          <w:sz w:val="20"/>
          <w:szCs w:val="20"/>
        </w:rPr>
        <w:t>M</w:t>
      </w:r>
      <w:r w:rsidRPr="00D47C23">
        <w:rPr>
          <w:rFonts w:ascii="Arial" w:hAnsi="Arial" w:cs="Arial"/>
          <w:bCs w:val="0"/>
          <w:sz w:val="20"/>
          <w:szCs w:val="20"/>
        </w:rPr>
        <w:t>ezičtvrtletní</w:t>
      </w:r>
      <w:r w:rsidRPr="00D47C23">
        <w:rPr>
          <w:rFonts w:ascii="Arial" w:hAnsi="Arial" w:cs="Arial"/>
          <w:b w:val="0"/>
          <w:bCs w:val="0"/>
          <w:sz w:val="20"/>
          <w:szCs w:val="20"/>
        </w:rPr>
        <w:t xml:space="preserve"> zvýšení cenové hladiny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bylo pouze 0,2 %, </w:t>
      </w:r>
      <w:r w:rsidR="0022460B">
        <w:rPr>
          <w:rFonts w:ascii="Arial" w:hAnsi="Arial" w:cs="Arial"/>
          <w:b w:val="0"/>
          <w:bCs w:val="0"/>
          <w:sz w:val="20"/>
          <w:szCs w:val="20"/>
        </w:rPr>
        <w:t>přitom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cenové změny jednotlivých oddílů spotřebního koše byly rozdílné a pohybovaly se v rozmezí od -1,0 % do +5,0 %.</w:t>
      </w:r>
      <w:r w:rsidRPr="00B049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Nejvíce se zvýšily ceny v oddíle odívání a obuv</w:t>
      </w:r>
      <w:r w:rsidRPr="00CB5829">
        <w:rPr>
          <w:rFonts w:ascii="Arial" w:hAnsi="Arial" w:cs="Arial"/>
          <w:b w:val="0"/>
          <w:bCs w:val="0"/>
          <w:sz w:val="20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 xml:space="preserve">vlivem vyšších cen nových letních modelů. </w:t>
      </w:r>
      <w:r w:rsidR="009D3B0D">
        <w:rPr>
          <w:rFonts w:ascii="Arial" w:hAnsi="Arial" w:cs="Arial"/>
          <w:b w:val="0"/>
          <w:bCs w:val="0"/>
          <w:sz w:val="20"/>
        </w:rPr>
        <w:t>Zahájení letní sezó</w:t>
      </w:r>
      <w:r w:rsidR="00BF47FD">
        <w:rPr>
          <w:rFonts w:ascii="Arial" w:hAnsi="Arial" w:cs="Arial"/>
          <w:b w:val="0"/>
          <w:bCs w:val="0"/>
          <w:sz w:val="20"/>
        </w:rPr>
        <w:t>ny se projevilo zvýšením cen ubytovacích služeb o 2,1 % v</w:t>
      </w:r>
      <w:r w:rsidR="00BF47FD">
        <w:rPr>
          <w:rFonts w:ascii="Arial" w:hAnsi="Arial" w:cs="Arial"/>
          <w:b w:val="0"/>
          <w:bCs w:val="0"/>
          <w:sz w:val="20"/>
          <w:szCs w:val="20"/>
        </w:rPr>
        <w:t> oddíle stravování a</w:t>
      </w:r>
      <w:r w:rsidR="00F21ECC">
        <w:rPr>
          <w:rFonts w:ascii="Arial" w:hAnsi="Arial" w:cs="Arial"/>
          <w:b w:val="0"/>
          <w:bCs w:val="0"/>
          <w:sz w:val="20"/>
          <w:szCs w:val="20"/>
        </w:rPr>
        <w:t> </w:t>
      </w:r>
      <w:r w:rsidR="00BF47FD">
        <w:rPr>
          <w:rFonts w:ascii="Arial" w:hAnsi="Arial" w:cs="Arial"/>
          <w:b w:val="0"/>
          <w:bCs w:val="0"/>
          <w:sz w:val="20"/>
          <w:szCs w:val="20"/>
        </w:rPr>
        <w:t xml:space="preserve">ubytování. </w:t>
      </w:r>
      <w:r w:rsidR="00D87442">
        <w:rPr>
          <w:rFonts w:ascii="Arial" w:hAnsi="Arial" w:cs="Arial"/>
          <w:b w:val="0"/>
          <w:bCs w:val="0"/>
          <w:sz w:val="20"/>
          <w:szCs w:val="20"/>
        </w:rPr>
        <w:t>K</w:t>
      </w:r>
      <w:r w:rsidR="00BF47FD">
        <w:rPr>
          <w:rFonts w:ascii="Arial" w:hAnsi="Arial" w:cs="Arial"/>
          <w:b w:val="0"/>
          <w:bCs w:val="0"/>
          <w:sz w:val="20"/>
          <w:szCs w:val="20"/>
        </w:rPr>
        <w:t> </w:t>
      </w:r>
      <w:r w:rsidR="00D87442">
        <w:rPr>
          <w:rFonts w:ascii="Arial" w:hAnsi="Arial" w:cs="Arial"/>
          <w:b w:val="0"/>
          <w:bCs w:val="0"/>
          <w:sz w:val="20"/>
          <w:szCs w:val="20"/>
        </w:rPr>
        <w:t>významnějšímu</w:t>
      </w:r>
      <w:r w:rsidR="00BF47FD">
        <w:rPr>
          <w:rFonts w:ascii="Arial" w:hAnsi="Arial" w:cs="Arial"/>
          <w:b w:val="0"/>
          <w:bCs w:val="0"/>
          <w:sz w:val="20"/>
          <w:szCs w:val="20"/>
        </w:rPr>
        <w:t xml:space="preserve"> zvýšení cen došlo </w:t>
      </w:r>
      <w:r>
        <w:rPr>
          <w:rFonts w:ascii="Arial" w:hAnsi="Arial" w:cs="Arial"/>
          <w:b w:val="0"/>
          <w:bCs w:val="0"/>
          <w:sz w:val="20"/>
          <w:szCs w:val="20"/>
        </w:rPr>
        <w:t>v oddíle zdraví, kde vzrostly ceny léků a jejich doplatků</w:t>
      </w:r>
      <w:r w:rsidR="00BF47FD">
        <w:rPr>
          <w:rFonts w:ascii="Arial" w:hAnsi="Arial" w:cs="Arial"/>
          <w:b w:val="0"/>
          <w:bCs w:val="0"/>
          <w:sz w:val="20"/>
          <w:szCs w:val="20"/>
        </w:rPr>
        <w:t xml:space="preserve"> o 2,0 %.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87442">
        <w:rPr>
          <w:rFonts w:ascii="Arial" w:hAnsi="Arial" w:cs="Arial"/>
          <w:b w:val="0"/>
          <w:bCs w:val="0"/>
          <w:sz w:val="20"/>
          <w:szCs w:val="20"/>
        </w:rPr>
        <w:t>Nižší v</w:t>
      </w:r>
      <w:r w:rsidR="000275AF">
        <w:rPr>
          <w:rFonts w:ascii="Arial" w:hAnsi="Arial" w:cs="Arial"/>
          <w:b w:val="0"/>
          <w:bCs w:val="0"/>
          <w:sz w:val="20"/>
          <w:szCs w:val="20"/>
        </w:rPr>
        <w:t>e 2. čtvrtletí 2014 než v 1</w:t>
      </w:r>
      <w:r w:rsidR="00D87442">
        <w:rPr>
          <w:rFonts w:ascii="Arial" w:hAnsi="Arial" w:cs="Arial"/>
          <w:b w:val="0"/>
          <w:bCs w:val="0"/>
          <w:sz w:val="20"/>
          <w:szCs w:val="20"/>
        </w:rPr>
        <w:t>. čtvrtletí 201</w:t>
      </w:r>
      <w:r w:rsidR="000275AF">
        <w:rPr>
          <w:rFonts w:ascii="Arial" w:hAnsi="Arial" w:cs="Arial"/>
          <w:b w:val="0"/>
          <w:bCs w:val="0"/>
          <w:sz w:val="20"/>
          <w:szCs w:val="20"/>
        </w:rPr>
        <w:t>4</w:t>
      </w:r>
      <w:r w:rsidR="00D8744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73350">
        <w:rPr>
          <w:rFonts w:ascii="Arial" w:hAnsi="Arial" w:cs="Arial"/>
          <w:b w:val="0"/>
          <w:bCs w:val="0"/>
          <w:sz w:val="20"/>
          <w:szCs w:val="20"/>
        </w:rPr>
        <w:t>byly</w:t>
      </w:r>
      <w:r w:rsidR="000275AF">
        <w:rPr>
          <w:rFonts w:ascii="Arial" w:hAnsi="Arial" w:cs="Arial"/>
          <w:b w:val="0"/>
          <w:bCs w:val="0"/>
          <w:sz w:val="20"/>
          <w:szCs w:val="20"/>
        </w:rPr>
        <w:t xml:space="preserve"> zejména ceny</w:t>
      </w:r>
      <w:r w:rsidR="00336F6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5030E">
        <w:rPr>
          <w:rFonts w:ascii="Arial" w:hAnsi="Arial" w:cs="Arial"/>
          <w:b w:val="0"/>
          <w:bCs w:val="0"/>
          <w:sz w:val="20"/>
          <w:szCs w:val="20"/>
        </w:rPr>
        <w:t>potravin a</w:t>
      </w:r>
      <w:r w:rsidR="00F21ECC">
        <w:rPr>
          <w:rFonts w:ascii="Arial" w:hAnsi="Arial" w:cs="Arial"/>
          <w:b w:val="0"/>
          <w:bCs w:val="0"/>
          <w:sz w:val="20"/>
          <w:szCs w:val="20"/>
        </w:rPr>
        <w:t> </w:t>
      </w:r>
      <w:r w:rsidR="00E5030E">
        <w:rPr>
          <w:rFonts w:ascii="Arial" w:hAnsi="Arial" w:cs="Arial"/>
          <w:b w:val="0"/>
          <w:bCs w:val="0"/>
          <w:sz w:val="20"/>
          <w:szCs w:val="20"/>
        </w:rPr>
        <w:t>nealkoholických</w:t>
      </w:r>
      <w:r w:rsidR="000275A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5030E">
        <w:rPr>
          <w:rFonts w:ascii="Arial" w:hAnsi="Arial" w:cs="Arial"/>
          <w:b w:val="0"/>
          <w:bCs w:val="0"/>
          <w:sz w:val="20"/>
          <w:szCs w:val="20"/>
        </w:rPr>
        <w:t xml:space="preserve">nápojů. Toto </w:t>
      </w:r>
      <w:r w:rsidR="000275AF">
        <w:rPr>
          <w:rFonts w:ascii="Arial" w:hAnsi="Arial" w:cs="Arial"/>
          <w:b w:val="0"/>
          <w:bCs w:val="0"/>
          <w:sz w:val="20"/>
          <w:szCs w:val="20"/>
        </w:rPr>
        <w:t>snížení</w:t>
      </w:r>
      <w:r w:rsidR="00E5030E">
        <w:rPr>
          <w:rFonts w:ascii="Arial" w:hAnsi="Arial" w:cs="Arial"/>
          <w:b w:val="0"/>
          <w:bCs w:val="0"/>
          <w:sz w:val="20"/>
          <w:szCs w:val="20"/>
        </w:rPr>
        <w:t xml:space="preserve"> bylo způsobeno hlavně </w:t>
      </w:r>
      <w:r w:rsidR="00E73350">
        <w:rPr>
          <w:rFonts w:ascii="Arial" w:hAnsi="Arial" w:cs="Arial"/>
          <w:b w:val="0"/>
          <w:bCs w:val="0"/>
          <w:sz w:val="20"/>
          <w:szCs w:val="20"/>
        </w:rPr>
        <w:t>poklesem cen</w:t>
      </w:r>
      <w:r w:rsidR="00E5030E">
        <w:rPr>
          <w:rFonts w:ascii="Arial" w:hAnsi="Arial" w:cs="Arial"/>
          <w:b w:val="0"/>
          <w:bCs w:val="0"/>
          <w:sz w:val="20"/>
          <w:szCs w:val="20"/>
        </w:rPr>
        <w:t xml:space="preserve"> ovoce a zeleniny (o </w:t>
      </w:r>
      <w:r w:rsidR="00E73350">
        <w:rPr>
          <w:rFonts w:ascii="Arial" w:hAnsi="Arial" w:cs="Arial"/>
          <w:b w:val="0"/>
          <w:bCs w:val="0"/>
          <w:sz w:val="20"/>
          <w:szCs w:val="20"/>
        </w:rPr>
        <w:t>4,6 %</w:t>
      </w:r>
      <w:r w:rsidR="00DA532B">
        <w:rPr>
          <w:rFonts w:ascii="Arial" w:hAnsi="Arial" w:cs="Arial"/>
          <w:b w:val="0"/>
          <w:bCs w:val="0"/>
          <w:sz w:val="20"/>
          <w:szCs w:val="20"/>
        </w:rPr>
        <w:t>,</w:t>
      </w:r>
      <w:r w:rsidR="00E73350">
        <w:rPr>
          <w:rFonts w:ascii="Arial" w:hAnsi="Arial" w:cs="Arial"/>
          <w:b w:val="0"/>
          <w:bCs w:val="0"/>
          <w:sz w:val="20"/>
          <w:szCs w:val="20"/>
        </w:rPr>
        <w:t xml:space="preserve"> resp. 5,3</w:t>
      </w:r>
      <w:r w:rsidR="002B0094">
        <w:rPr>
          <w:rFonts w:ascii="Arial" w:hAnsi="Arial" w:cs="Arial"/>
          <w:b w:val="0"/>
          <w:bCs w:val="0"/>
          <w:sz w:val="20"/>
          <w:szCs w:val="20"/>
        </w:rPr>
        <w:t xml:space="preserve"> %) a mírným </w:t>
      </w:r>
      <w:r w:rsidR="00E73350">
        <w:rPr>
          <w:rFonts w:ascii="Arial" w:hAnsi="Arial" w:cs="Arial"/>
          <w:b w:val="0"/>
          <w:bCs w:val="0"/>
          <w:sz w:val="20"/>
          <w:szCs w:val="20"/>
        </w:rPr>
        <w:t>pokles</w:t>
      </w:r>
      <w:r w:rsidR="002B0094">
        <w:rPr>
          <w:rFonts w:ascii="Arial" w:hAnsi="Arial" w:cs="Arial"/>
          <w:b w:val="0"/>
          <w:bCs w:val="0"/>
          <w:sz w:val="20"/>
          <w:szCs w:val="20"/>
        </w:rPr>
        <w:t>em</w:t>
      </w:r>
      <w:r w:rsidR="00E73350">
        <w:rPr>
          <w:rFonts w:ascii="Arial" w:hAnsi="Arial" w:cs="Arial"/>
          <w:b w:val="0"/>
          <w:bCs w:val="0"/>
          <w:sz w:val="20"/>
          <w:szCs w:val="20"/>
        </w:rPr>
        <w:t xml:space="preserve"> cen </w:t>
      </w:r>
      <w:r w:rsidR="002B0094">
        <w:rPr>
          <w:rFonts w:ascii="Arial" w:hAnsi="Arial" w:cs="Arial"/>
          <w:b w:val="0"/>
          <w:bCs w:val="0"/>
          <w:sz w:val="20"/>
          <w:szCs w:val="20"/>
        </w:rPr>
        <w:t>řady</w:t>
      </w:r>
      <w:r w:rsidR="00E5030E">
        <w:rPr>
          <w:rFonts w:ascii="Arial" w:hAnsi="Arial" w:cs="Arial"/>
          <w:b w:val="0"/>
          <w:bCs w:val="0"/>
          <w:sz w:val="20"/>
          <w:szCs w:val="20"/>
        </w:rPr>
        <w:t xml:space="preserve"> dalších potravin. To se týkalo především </w:t>
      </w:r>
      <w:r w:rsidR="00E73350">
        <w:rPr>
          <w:rFonts w:ascii="Arial" w:hAnsi="Arial" w:cs="Arial"/>
          <w:b w:val="0"/>
          <w:bCs w:val="0"/>
          <w:sz w:val="20"/>
          <w:szCs w:val="20"/>
        </w:rPr>
        <w:t>vepřového masa, vajec</w:t>
      </w:r>
      <w:r w:rsidR="00E5030E">
        <w:rPr>
          <w:rFonts w:ascii="Arial" w:hAnsi="Arial" w:cs="Arial"/>
          <w:b w:val="0"/>
          <w:bCs w:val="0"/>
          <w:sz w:val="20"/>
          <w:szCs w:val="20"/>
        </w:rPr>
        <w:t>, sýrů, jogurtů</w:t>
      </w:r>
      <w:r w:rsidR="00E73350">
        <w:rPr>
          <w:rFonts w:ascii="Arial" w:hAnsi="Arial" w:cs="Arial"/>
          <w:b w:val="0"/>
          <w:bCs w:val="0"/>
          <w:sz w:val="20"/>
          <w:szCs w:val="20"/>
        </w:rPr>
        <w:t>,</w:t>
      </w:r>
      <w:r w:rsidR="00E5030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6E6506">
        <w:rPr>
          <w:rFonts w:ascii="Arial" w:hAnsi="Arial" w:cs="Arial"/>
          <w:b w:val="0"/>
          <w:bCs w:val="0"/>
          <w:sz w:val="20"/>
          <w:szCs w:val="20"/>
        </w:rPr>
        <w:t>másla</w:t>
      </w:r>
      <w:r w:rsidR="00E73350">
        <w:rPr>
          <w:rFonts w:ascii="Arial" w:hAnsi="Arial" w:cs="Arial"/>
          <w:b w:val="0"/>
          <w:bCs w:val="0"/>
          <w:sz w:val="20"/>
          <w:szCs w:val="20"/>
        </w:rPr>
        <w:t>,</w:t>
      </w:r>
      <w:r w:rsidR="006E6506">
        <w:rPr>
          <w:rFonts w:ascii="Arial" w:hAnsi="Arial" w:cs="Arial"/>
          <w:b w:val="0"/>
          <w:bCs w:val="0"/>
          <w:sz w:val="20"/>
          <w:szCs w:val="20"/>
        </w:rPr>
        <w:t xml:space="preserve"> cukru, kakaa a kávy.</w:t>
      </w:r>
      <w:r w:rsidR="00E5030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6E6506">
        <w:rPr>
          <w:rFonts w:ascii="Arial" w:hAnsi="Arial" w:cs="Arial"/>
          <w:b w:val="0"/>
          <w:bCs w:val="0"/>
          <w:sz w:val="20"/>
          <w:szCs w:val="20"/>
        </w:rPr>
        <w:t>V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oddíle alkoholické nápoje a tabák </w:t>
      </w:r>
      <w:r w:rsidR="006E6506">
        <w:rPr>
          <w:rFonts w:ascii="Arial" w:hAnsi="Arial" w:cs="Arial"/>
          <w:b w:val="0"/>
          <w:bCs w:val="0"/>
          <w:sz w:val="20"/>
          <w:szCs w:val="20"/>
        </w:rPr>
        <w:t xml:space="preserve">klesly ceny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vlivem </w:t>
      </w:r>
      <w:r w:rsidR="006E6506">
        <w:rPr>
          <w:rFonts w:ascii="Arial" w:hAnsi="Arial" w:cs="Arial"/>
          <w:b w:val="0"/>
          <w:bCs w:val="0"/>
          <w:sz w:val="20"/>
          <w:szCs w:val="20"/>
        </w:rPr>
        <w:t>snížení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cen alkoholických nápojů o </w:t>
      </w:r>
      <w:r w:rsidR="006E6506">
        <w:rPr>
          <w:rFonts w:ascii="Arial" w:hAnsi="Arial" w:cs="Arial"/>
          <w:b w:val="0"/>
          <w:bCs w:val="0"/>
          <w:sz w:val="20"/>
          <w:szCs w:val="20"/>
        </w:rPr>
        <w:t>1,1</w:t>
      </w:r>
      <w:r>
        <w:rPr>
          <w:rFonts w:ascii="Arial" w:hAnsi="Arial" w:cs="Arial"/>
          <w:b w:val="0"/>
          <w:bCs w:val="0"/>
          <w:sz w:val="20"/>
          <w:szCs w:val="20"/>
        </w:rPr>
        <w:t> %.</w:t>
      </w:r>
      <w:r w:rsidR="001A2794" w:rsidRPr="001A2794">
        <w:rPr>
          <w:rFonts w:ascii="Arial" w:hAnsi="Arial" w:cs="Arial"/>
          <w:b w:val="0"/>
          <w:bCs w:val="0"/>
          <w:sz w:val="20"/>
        </w:rPr>
        <w:t xml:space="preserve"> </w:t>
      </w:r>
      <w:r w:rsidR="001A2794">
        <w:rPr>
          <w:rFonts w:ascii="Arial" w:hAnsi="Arial" w:cs="Arial"/>
          <w:b w:val="0"/>
          <w:bCs w:val="0"/>
          <w:sz w:val="20"/>
        </w:rPr>
        <w:t xml:space="preserve">V oddíle </w:t>
      </w:r>
      <w:r w:rsidR="001A2794">
        <w:rPr>
          <w:rFonts w:ascii="Arial" w:hAnsi="Arial" w:cs="Arial"/>
          <w:b w:val="0"/>
          <w:sz w:val="20"/>
          <w:szCs w:val="20"/>
        </w:rPr>
        <w:t>pošty a</w:t>
      </w:r>
      <w:r w:rsidR="00F21ECC">
        <w:rPr>
          <w:rFonts w:ascii="Arial" w:hAnsi="Arial" w:cs="Arial"/>
          <w:b w:val="0"/>
          <w:sz w:val="20"/>
          <w:szCs w:val="20"/>
        </w:rPr>
        <w:t> </w:t>
      </w:r>
      <w:r w:rsidR="001A2794">
        <w:rPr>
          <w:rFonts w:ascii="Arial" w:hAnsi="Arial" w:cs="Arial"/>
          <w:b w:val="0"/>
          <w:sz w:val="20"/>
          <w:szCs w:val="20"/>
        </w:rPr>
        <w:t>telekomunikace</w:t>
      </w:r>
      <w:r w:rsidR="001A2794">
        <w:rPr>
          <w:rFonts w:ascii="Arial" w:hAnsi="Arial" w:cs="Arial"/>
          <w:b w:val="0"/>
          <w:bCs w:val="0"/>
          <w:sz w:val="20"/>
        </w:rPr>
        <w:t xml:space="preserve"> p</w:t>
      </w:r>
      <w:r w:rsidR="001A2794" w:rsidRPr="0064462B">
        <w:rPr>
          <w:rFonts w:ascii="Arial" w:hAnsi="Arial" w:cs="Arial"/>
          <w:b w:val="0"/>
          <w:bCs w:val="0"/>
          <w:sz w:val="20"/>
        </w:rPr>
        <w:t>okračoval</w:t>
      </w:r>
      <w:r w:rsidR="001A2794">
        <w:rPr>
          <w:rFonts w:ascii="Arial" w:hAnsi="Arial" w:cs="Arial"/>
          <w:b w:val="0"/>
          <w:bCs w:val="0"/>
          <w:sz w:val="20"/>
        </w:rPr>
        <w:t xml:space="preserve"> </w:t>
      </w:r>
      <w:r w:rsidR="001A2794" w:rsidRPr="0064462B">
        <w:rPr>
          <w:rFonts w:ascii="Arial" w:hAnsi="Arial" w:cs="Arial"/>
          <w:b w:val="0"/>
          <w:bCs w:val="0"/>
          <w:sz w:val="20"/>
        </w:rPr>
        <w:t>pokles cen mobilních telefonů a tele</w:t>
      </w:r>
      <w:r w:rsidR="003D352D">
        <w:rPr>
          <w:rFonts w:ascii="Arial" w:hAnsi="Arial" w:cs="Arial"/>
          <w:b w:val="0"/>
          <w:bCs w:val="0"/>
          <w:sz w:val="20"/>
        </w:rPr>
        <w:t>fonických a </w:t>
      </w:r>
      <w:r w:rsidR="001A2794">
        <w:rPr>
          <w:rFonts w:ascii="Arial" w:hAnsi="Arial" w:cs="Arial"/>
          <w:b w:val="0"/>
          <w:bCs w:val="0"/>
          <w:sz w:val="20"/>
        </w:rPr>
        <w:t>telefaxových služeb.</w:t>
      </w:r>
      <w:r w:rsidR="000275AF">
        <w:rPr>
          <w:rFonts w:ascii="Arial" w:hAnsi="Arial" w:cs="Arial"/>
          <w:b w:val="0"/>
          <w:bCs w:val="0"/>
          <w:sz w:val="20"/>
        </w:rPr>
        <w:t xml:space="preserve"> </w:t>
      </w:r>
    </w:p>
    <w:p w:rsidR="00EA18FD" w:rsidRDefault="00EA18FD" w:rsidP="00C24A32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2C0F54" w:rsidRDefault="002C0F54" w:rsidP="00F32D71">
      <w:pPr>
        <w:pStyle w:val="Zkladntextodsazen2"/>
        <w:ind w:left="720" w:firstLine="720"/>
        <w:rPr>
          <w:rFonts w:ascii="Arial" w:hAnsi="Arial" w:cs="Arial"/>
          <w:sz w:val="20"/>
          <w:szCs w:val="18"/>
        </w:rPr>
      </w:pPr>
      <w:r w:rsidRPr="007A0E1A">
        <w:rPr>
          <w:rFonts w:ascii="Arial" w:hAnsi="Arial" w:cs="Arial"/>
          <w:sz w:val="20"/>
          <w:szCs w:val="18"/>
        </w:rPr>
        <w:t>Indexy spotřebitelských cen</w:t>
      </w:r>
      <w:r w:rsidR="007A0E1A" w:rsidRPr="007A0E1A">
        <w:rPr>
          <w:rFonts w:ascii="Arial" w:hAnsi="Arial" w:cs="Arial"/>
          <w:sz w:val="20"/>
          <w:szCs w:val="18"/>
        </w:rPr>
        <w:t xml:space="preserve"> (</w:t>
      </w:r>
      <w:r w:rsidRPr="007A0E1A">
        <w:rPr>
          <w:rFonts w:ascii="Arial" w:hAnsi="Arial" w:cs="Arial"/>
          <w:sz w:val="20"/>
          <w:szCs w:val="18"/>
        </w:rPr>
        <w:t>předchozí čtvrtletí =</w:t>
      </w:r>
      <w:r w:rsidR="007A0E1A" w:rsidRPr="007A0E1A">
        <w:rPr>
          <w:rFonts w:ascii="Arial" w:hAnsi="Arial" w:cs="Arial"/>
          <w:sz w:val="20"/>
          <w:szCs w:val="18"/>
        </w:rPr>
        <w:t xml:space="preserve"> </w:t>
      </w:r>
      <w:r w:rsidRPr="007A0E1A">
        <w:rPr>
          <w:rFonts w:ascii="Arial" w:hAnsi="Arial" w:cs="Arial"/>
          <w:sz w:val="20"/>
          <w:szCs w:val="18"/>
        </w:rPr>
        <w:t>100</w:t>
      </w:r>
      <w:r w:rsidR="007A0E1A" w:rsidRPr="007A0E1A">
        <w:rPr>
          <w:rFonts w:ascii="Arial" w:hAnsi="Arial" w:cs="Arial"/>
          <w:sz w:val="20"/>
          <w:szCs w:val="18"/>
        </w:rPr>
        <w:t>)</w:t>
      </w:r>
    </w:p>
    <w:p w:rsidR="00235DB9" w:rsidRDefault="00235DB9" w:rsidP="007A0E1A">
      <w:pPr>
        <w:pStyle w:val="Zkladntextodsazen2"/>
        <w:ind w:firstLine="0"/>
        <w:rPr>
          <w:rFonts w:ascii="Arial" w:hAnsi="Arial" w:cs="Arial"/>
          <w:sz w:val="20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2"/>
        <w:gridCol w:w="1269"/>
        <w:gridCol w:w="1179"/>
        <w:gridCol w:w="1242"/>
        <w:gridCol w:w="1116"/>
        <w:gridCol w:w="1338"/>
      </w:tblGrid>
      <w:tr w:rsidR="009C4976" w:rsidTr="009C4976">
        <w:trPr>
          <w:trHeight w:val="424"/>
          <w:jc w:val="center"/>
        </w:trPr>
        <w:tc>
          <w:tcPr>
            <w:tcW w:w="2452" w:type="dxa"/>
            <w:vAlign w:val="center"/>
          </w:tcPr>
          <w:p w:rsidR="009C4976" w:rsidRPr="001D402A" w:rsidRDefault="009C4976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</w:p>
        </w:tc>
        <w:tc>
          <w:tcPr>
            <w:tcW w:w="3690" w:type="dxa"/>
            <w:gridSpan w:val="3"/>
            <w:vAlign w:val="center"/>
          </w:tcPr>
          <w:p w:rsidR="009C4976" w:rsidRPr="001D402A" w:rsidRDefault="009C4976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cs-CZ"/>
              </w:rPr>
              <w:t>rok 2013</w:t>
            </w:r>
          </w:p>
          <w:p w:rsidR="009C4976" w:rsidRPr="001D402A" w:rsidRDefault="009C4976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9C4976" w:rsidRPr="001D402A" w:rsidRDefault="009C4976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rok 2014</w:t>
            </w:r>
          </w:p>
        </w:tc>
      </w:tr>
      <w:tr w:rsidR="00775B7B" w:rsidTr="009C4976">
        <w:trPr>
          <w:trHeight w:val="284"/>
          <w:jc w:val="center"/>
        </w:trPr>
        <w:tc>
          <w:tcPr>
            <w:tcW w:w="2452" w:type="dxa"/>
            <w:vAlign w:val="center"/>
          </w:tcPr>
          <w:p w:rsidR="00775B7B" w:rsidRPr="001D402A" w:rsidRDefault="00775B7B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ODDÍL</w:t>
            </w:r>
          </w:p>
        </w:tc>
        <w:tc>
          <w:tcPr>
            <w:tcW w:w="126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 xml:space="preserve">2. čtvrtletí </w:t>
            </w:r>
          </w:p>
        </w:tc>
        <w:tc>
          <w:tcPr>
            <w:tcW w:w="117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3. čtvrtletí</w:t>
            </w:r>
          </w:p>
        </w:tc>
        <w:tc>
          <w:tcPr>
            <w:tcW w:w="1242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4. čtvrtletí</w:t>
            </w:r>
          </w:p>
        </w:tc>
        <w:tc>
          <w:tcPr>
            <w:tcW w:w="1116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1. čtvrtletí</w:t>
            </w:r>
          </w:p>
        </w:tc>
        <w:tc>
          <w:tcPr>
            <w:tcW w:w="1338" w:type="dxa"/>
            <w:vAlign w:val="center"/>
          </w:tcPr>
          <w:p w:rsidR="00775B7B" w:rsidRPr="001D402A" w:rsidRDefault="00775B7B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 čtvrtletí</w:t>
            </w:r>
          </w:p>
        </w:tc>
      </w:tr>
      <w:tr w:rsidR="00775B7B" w:rsidTr="009C4976">
        <w:trPr>
          <w:trHeight w:val="284"/>
          <w:jc w:val="center"/>
        </w:trPr>
        <w:tc>
          <w:tcPr>
            <w:tcW w:w="2452" w:type="dxa"/>
            <w:vAlign w:val="center"/>
          </w:tcPr>
          <w:p w:rsidR="00775B7B" w:rsidRPr="001D402A" w:rsidRDefault="00775B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ÚHRN</w:t>
            </w:r>
          </w:p>
        </w:tc>
        <w:tc>
          <w:tcPr>
            <w:tcW w:w="126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17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  <w:tc>
          <w:tcPr>
            <w:tcW w:w="1242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116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338" w:type="dxa"/>
            <w:vAlign w:val="center"/>
          </w:tcPr>
          <w:p w:rsidR="00775B7B" w:rsidRPr="001D402A" w:rsidRDefault="00A63471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</w:tr>
      <w:tr w:rsidR="00775B7B" w:rsidTr="009C4976">
        <w:trPr>
          <w:trHeight w:val="284"/>
          <w:jc w:val="center"/>
        </w:trPr>
        <w:tc>
          <w:tcPr>
            <w:tcW w:w="2452" w:type="dxa"/>
            <w:vAlign w:val="center"/>
          </w:tcPr>
          <w:p w:rsidR="00775B7B" w:rsidRPr="001D402A" w:rsidRDefault="00775B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Potraviny a nealkoholické nápoje</w:t>
            </w:r>
          </w:p>
        </w:tc>
        <w:tc>
          <w:tcPr>
            <w:tcW w:w="126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101,4</w:t>
            </w:r>
          </w:p>
        </w:tc>
        <w:tc>
          <w:tcPr>
            <w:tcW w:w="117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98,9</w:t>
            </w:r>
          </w:p>
        </w:tc>
        <w:tc>
          <w:tcPr>
            <w:tcW w:w="1242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116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103,6</w:t>
            </w:r>
          </w:p>
        </w:tc>
        <w:tc>
          <w:tcPr>
            <w:tcW w:w="1338" w:type="dxa"/>
            <w:vAlign w:val="center"/>
          </w:tcPr>
          <w:p w:rsidR="00775B7B" w:rsidRPr="001D402A" w:rsidRDefault="00A63471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99,0</w:t>
            </w:r>
          </w:p>
        </w:tc>
      </w:tr>
      <w:tr w:rsidR="00775B7B" w:rsidTr="009C4976">
        <w:trPr>
          <w:trHeight w:val="284"/>
          <w:jc w:val="center"/>
        </w:trPr>
        <w:tc>
          <w:tcPr>
            <w:tcW w:w="2452" w:type="dxa"/>
            <w:vAlign w:val="center"/>
          </w:tcPr>
          <w:p w:rsidR="00775B7B" w:rsidRPr="001D402A" w:rsidRDefault="00775B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Alkoholické nápoje a tabák</w:t>
            </w:r>
          </w:p>
        </w:tc>
        <w:tc>
          <w:tcPr>
            <w:tcW w:w="126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7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42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  <w:tc>
          <w:tcPr>
            <w:tcW w:w="1116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101,6</w:t>
            </w:r>
          </w:p>
        </w:tc>
        <w:tc>
          <w:tcPr>
            <w:tcW w:w="1338" w:type="dxa"/>
            <w:vAlign w:val="center"/>
          </w:tcPr>
          <w:p w:rsidR="00775B7B" w:rsidRPr="001D402A" w:rsidRDefault="00A63471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99,5</w:t>
            </w:r>
          </w:p>
        </w:tc>
      </w:tr>
      <w:tr w:rsidR="00775B7B" w:rsidTr="009C4976">
        <w:trPr>
          <w:trHeight w:val="318"/>
          <w:jc w:val="center"/>
        </w:trPr>
        <w:tc>
          <w:tcPr>
            <w:tcW w:w="2452" w:type="dxa"/>
            <w:vAlign w:val="center"/>
          </w:tcPr>
          <w:p w:rsidR="00775B7B" w:rsidRPr="001D402A" w:rsidRDefault="00775B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Odívání a obuv</w:t>
            </w:r>
          </w:p>
        </w:tc>
        <w:tc>
          <w:tcPr>
            <w:tcW w:w="126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104,3</w:t>
            </w:r>
          </w:p>
        </w:tc>
        <w:tc>
          <w:tcPr>
            <w:tcW w:w="117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98,0</w:t>
            </w:r>
          </w:p>
        </w:tc>
        <w:tc>
          <w:tcPr>
            <w:tcW w:w="1242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104,7</w:t>
            </w:r>
          </w:p>
        </w:tc>
        <w:tc>
          <w:tcPr>
            <w:tcW w:w="1116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95,7</w:t>
            </w:r>
          </w:p>
        </w:tc>
        <w:tc>
          <w:tcPr>
            <w:tcW w:w="1338" w:type="dxa"/>
            <w:vAlign w:val="center"/>
          </w:tcPr>
          <w:p w:rsidR="00775B7B" w:rsidRPr="001D402A" w:rsidRDefault="00A63471" w:rsidP="00A6347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105,0</w:t>
            </w:r>
          </w:p>
        </w:tc>
      </w:tr>
      <w:tr w:rsidR="00775B7B" w:rsidTr="009C4976">
        <w:trPr>
          <w:trHeight w:val="284"/>
          <w:jc w:val="center"/>
        </w:trPr>
        <w:tc>
          <w:tcPr>
            <w:tcW w:w="2452" w:type="dxa"/>
            <w:vAlign w:val="center"/>
          </w:tcPr>
          <w:p w:rsidR="00775B7B" w:rsidRPr="001D402A" w:rsidRDefault="00775B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Bydlení, voda, energie, paliva</w:t>
            </w:r>
          </w:p>
        </w:tc>
        <w:tc>
          <w:tcPr>
            <w:tcW w:w="126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99,5</w:t>
            </w:r>
          </w:p>
        </w:tc>
        <w:tc>
          <w:tcPr>
            <w:tcW w:w="117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99,4</w:t>
            </w:r>
          </w:p>
        </w:tc>
        <w:tc>
          <w:tcPr>
            <w:tcW w:w="1242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116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98,6</w:t>
            </w:r>
          </w:p>
        </w:tc>
        <w:tc>
          <w:tcPr>
            <w:tcW w:w="1338" w:type="dxa"/>
            <w:vAlign w:val="center"/>
          </w:tcPr>
          <w:p w:rsidR="00775B7B" w:rsidRPr="001D402A" w:rsidRDefault="00B35EB2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</w:tr>
      <w:tr w:rsidR="00775B7B" w:rsidTr="009C4976">
        <w:trPr>
          <w:trHeight w:val="582"/>
          <w:jc w:val="center"/>
        </w:trPr>
        <w:tc>
          <w:tcPr>
            <w:tcW w:w="2452" w:type="dxa"/>
            <w:vAlign w:val="center"/>
          </w:tcPr>
          <w:p w:rsidR="00775B7B" w:rsidRPr="001D402A" w:rsidRDefault="00775B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Bytové vybavení, zařízení domácnosti, opravy</w:t>
            </w:r>
          </w:p>
        </w:tc>
        <w:tc>
          <w:tcPr>
            <w:tcW w:w="126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  <w:tc>
          <w:tcPr>
            <w:tcW w:w="117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99,2</w:t>
            </w:r>
          </w:p>
        </w:tc>
        <w:tc>
          <w:tcPr>
            <w:tcW w:w="1242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99,4</w:t>
            </w:r>
          </w:p>
        </w:tc>
        <w:tc>
          <w:tcPr>
            <w:tcW w:w="1116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338" w:type="dxa"/>
            <w:vAlign w:val="center"/>
          </w:tcPr>
          <w:p w:rsidR="00775B7B" w:rsidRPr="001D402A" w:rsidRDefault="00B35EB2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</w:tr>
      <w:tr w:rsidR="00775B7B" w:rsidTr="009C4976">
        <w:trPr>
          <w:trHeight w:val="284"/>
          <w:jc w:val="center"/>
        </w:trPr>
        <w:tc>
          <w:tcPr>
            <w:tcW w:w="2452" w:type="dxa"/>
            <w:vAlign w:val="center"/>
          </w:tcPr>
          <w:p w:rsidR="00775B7B" w:rsidRPr="001D402A" w:rsidRDefault="00775B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Zdraví</w:t>
            </w:r>
          </w:p>
        </w:tc>
        <w:tc>
          <w:tcPr>
            <w:tcW w:w="126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17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42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99,3</w:t>
            </w:r>
          </w:p>
        </w:tc>
        <w:tc>
          <w:tcPr>
            <w:tcW w:w="1116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96,9</w:t>
            </w:r>
          </w:p>
        </w:tc>
        <w:tc>
          <w:tcPr>
            <w:tcW w:w="1338" w:type="dxa"/>
            <w:vAlign w:val="center"/>
          </w:tcPr>
          <w:p w:rsidR="00775B7B" w:rsidRPr="001D402A" w:rsidRDefault="00B35EB2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</w:tr>
      <w:tr w:rsidR="00775B7B" w:rsidTr="009C4976">
        <w:trPr>
          <w:trHeight w:val="284"/>
          <w:jc w:val="center"/>
        </w:trPr>
        <w:tc>
          <w:tcPr>
            <w:tcW w:w="2452" w:type="dxa"/>
            <w:vAlign w:val="center"/>
          </w:tcPr>
          <w:p w:rsidR="00775B7B" w:rsidRPr="001D402A" w:rsidRDefault="00775B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Doprava</w:t>
            </w:r>
          </w:p>
        </w:tc>
        <w:tc>
          <w:tcPr>
            <w:tcW w:w="126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17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42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99,2</w:t>
            </w:r>
          </w:p>
        </w:tc>
        <w:tc>
          <w:tcPr>
            <w:tcW w:w="1116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100,6</w:t>
            </w:r>
          </w:p>
        </w:tc>
        <w:tc>
          <w:tcPr>
            <w:tcW w:w="1338" w:type="dxa"/>
            <w:vAlign w:val="center"/>
          </w:tcPr>
          <w:p w:rsidR="00775B7B" w:rsidRPr="001D402A" w:rsidRDefault="00B35EB2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</w:tr>
      <w:tr w:rsidR="00775B7B" w:rsidTr="009C4976">
        <w:trPr>
          <w:trHeight w:val="284"/>
          <w:jc w:val="center"/>
        </w:trPr>
        <w:tc>
          <w:tcPr>
            <w:tcW w:w="2452" w:type="dxa"/>
            <w:vAlign w:val="center"/>
          </w:tcPr>
          <w:p w:rsidR="00775B7B" w:rsidRPr="001D402A" w:rsidRDefault="00775B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Pošty a telekomunikace</w:t>
            </w:r>
          </w:p>
        </w:tc>
        <w:tc>
          <w:tcPr>
            <w:tcW w:w="126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94,9</w:t>
            </w:r>
          </w:p>
        </w:tc>
        <w:tc>
          <w:tcPr>
            <w:tcW w:w="117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96,9</w:t>
            </w:r>
          </w:p>
        </w:tc>
        <w:tc>
          <w:tcPr>
            <w:tcW w:w="1242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98,8</w:t>
            </w:r>
          </w:p>
        </w:tc>
        <w:tc>
          <w:tcPr>
            <w:tcW w:w="1116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99,6</w:t>
            </w:r>
          </w:p>
        </w:tc>
        <w:tc>
          <w:tcPr>
            <w:tcW w:w="1338" w:type="dxa"/>
            <w:vAlign w:val="center"/>
          </w:tcPr>
          <w:p w:rsidR="00775B7B" w:rsidRPr="001D402A" w:rsidRDefault="00B35EB2" w:rsidP="00D60D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99,4</w:t>
            </w:r>
          </w:p>
        </w:tc>
      </w:tr>
      <w:tr w:rsidR="00775B7B" w:rsidTr="009C4976">
        <w:trPr>
          <w:trHeight w:val="284"/>
          <w:jc w:val="center"/>
        </w:trPr>
        <w:tc>
          <w:tcPr>
            <w:tcW w:w="2452" w:type="dxa"/>
            <w:vAlign w:val="center"/>
          </w:tcPr>
          <w:p w:rsidR="00775B7B" w:rsidRPr="001D402A" w:rsidRDefault="00775B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Rekreace a kultura</w:t>
            </w:r>
          </w:p>
        </w:tc>
        <w:tc>
          <w:tcPr>
            <w:tcW w:w="126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99,6</w:t>
            </w:r>
          </w:p>
        </w:tc>
        <w:tc>
          <w:tcPr>
            <w:tcW w:w="117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102,1</w:t>
            </w:r>
          </w:p>
        </w:tc>
        <w:tc>
          <w:tcPr>
            <w:tcW w:w="1242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98,0</w:t>
            </w:r>
          </w:p>
        </w:tc>
        <w:tc>
          <w:tcPr>
            <w:tcW w:w="1116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338" w:type="dxa"/>
            <w:vAlign w:val="center"/>
          </w:tcPr>
          <w:p w:rsidR="00775B7B" w:rsidRPr="001D402A" w:rsidRDefault="00B35EB2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</w:tr>
      <w:tr w:rsidR="00775B7B" w:rsidTr="009C4976">
        <w:trPr>
          <w:trHeight w:val="284"/>
          <w:jc w:val="center"/>
        </w:trPr>
        <w:tc>
          <w:tcPr>
            <w:tcW w:w="2452" w:type="dxa"/>
            <w:vAlign w:val="center"/>
          </w:tcPr>
          <w:p w:rsidR="00775B7B" w:rsidRPr="001D402A" w:rsidRDefault="00775B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Vzdělávání</w:t>
            </w:r>
          </w:p>
        </w:tc>
        <w:tc>
          <w:tcPr>
            <w:tcW w:w="126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17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  <w:tc>
          <w:tcPr>
            <w:tcW w:w="1242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116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338" w:type="dxa"/>
            <w:vAlign w:val="center"/>
          </w:tcPr>
          <w:p w:rsidR="00775B7B" w:rsidRPr="001D402A" w:rsidRDefault="00775B7B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</w:tr>
      <w:tr w:rsidR="00775B7B" w:rsidTr="009C4976">
        <w:trPr>
          <w:trHeight w:val="284"/>
          <w:jc w:val="center"/>
        </w:trPr>
        <w:tc>
          <w:tcPr>
            <w:tcW w:w="2452" w:type="dxa"/>
            <w:vAlign w:val="center"/>
          </w:tcPr>
          <w:p w:rsidR="00775B7B" w:rsidRPr="001D402A" w:rsidRDefault="00775B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Stravování a ubytování</w:t>
            </w:r>
          </w:p>
        </w:tc>
        <w:tc>
          <w:tcPr>
            <w:tcW w:w="126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100,6</w:t>
            </w:r>
          </w:p>
        </w:tc>
        <w:tc>
          <w:tcPr>
            <w:tcW w:w="117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42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116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338" w:type="dxa"/>
            <w:vAlign w:val="center"/>
          </w:tcPr>
          <w:p w:rsidR="00775B7B" w:rsidRPr="001D402A" w:rsidRDefault="00B35EB2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100,6</w:t>
            </w:r>
          </w:p>
        </w:tc>
      </w:tr>
      <w:tr w:rsidR="00775B7B" w:rsidTr="009C4976">
        <w:trPr>
          <w:trHeight w:val="284"/>
          <w:jc w:val="center"/>
        </w:trPr>
        <w:tc>
          <w:tcPr>
            <w:tcW w:w="2452" w:type="dxa"/>
            <w:vAlign w:val="center"/>
          </w:tcPr>
          <w:p w:rsidR="00775B7B" w:rsidRPr="001D402A" w:rsidRDefault="00775B7B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Ostatní zboží a služby</w:t>
            </w:r>
          </w:p>
        </w:tc>
        <w:tc>
          <w:tcPr>
            <w:tcW w:w="126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79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99,4</w:t>
            </w:r>
          </w:p>
        </w:tc>
        <w:tc>
          <w:tcPr>
            <w:tcW w:w="1242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116" w:type="dxa"/>
            <w:vAlign w:val="center"/>
          </w:tcPr>
          <w:p w:rsidR="00775B7B" w:rsidRPr="001D402A" w:rsidRDefault="00775B7B" w:rsidP="0024634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338" w:type="dxa"/>
            <w:vAlign w:val="center"/>
          </w:tcPr>
          <w:p w:rsidR="00775B7B" w:rsidRPr="001D402A" w:rsidRDefault="00B35EB2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B51D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</w:tr>
    </w:tbl>
    <w:p w:rsidR="00EA18FD" w:rsidRDefault="00EA18FD" w:rsidP="009158EA">
      <w:pPr>
        <w:rPr>
          <w:rFonts w:cs="Arial"/>
          <w:b/>
          <w:szCs w:val="20"/>
        </w:rPr>
      </w:pPr>
    </w:p>
    <w:p w:rsidR="00EA18FD" w:rsidRDefault="00EA18FD" w:rsidP="009158EA">
      <w:pPr>
        <w:rPr>
          <w:rFonts w:cs="Arial"/>
          <w:b/>
          <w:szCs w:val="20"/>
        </w:rPr>
      </w:pPr>
    </w:p>
    <w:p w:rsidR="0057782C" w:rsidRDefault="002C0F54" w:rsidP="00786B2F">
      <w:pPr>
        <w:rPr>
          <w:rFonts w:cs="Arial"/>
          <w:bCs/>
        </w:rPr>
      </w:pPr>
      <w:r w:rsidRPr="009158EA">
        <w:rPr>
          <w:rFonts w:cs="Arial"/>
          <w:b/>
          <w:szCs w:val="20"/>
        </w:rPr>
        <w:lastRenderedPageBreak/>
        <w:t xml:space="preserve">Meziročně </w:t>
      </w:r>
      <w:r w:rsidRPr="009158EA">
        <w:rPr>
          <w:rFonts w:cs="Arial"/>
          <w:szCs w:val="20"/>
        </w:rPr>
        <w:t>vzrostly spotřebitelské ceny v</w:t>
      </w:r>
      <w:r w:rsidR="002B0094">
        <w:rPr>
          <w:rFonts w:cs="Arial"/>
          <w:szCs w:val="20"/>
        </w:rPr>
        <w:t>e 2</w:t>
      </w:r>
      <w:r w:rsidR="009158EA" w:rsidRPr="009158EA">
        <w:rPr>
          <w:rFonts w:cs="Arial"/>
          <w:szCs w:val="20"/>
        </w:rPr>
        <w:t xml:space="preserve">. čtvrtletí 2014 proti </w:t>
      </w:r>
      <w:r w:rsidR="002B0094">
        <w:rPr>
          <w:rFonts w:cs="Arial"/>
          <w:szCs w:val="20"/>
        </w:rPr>
        <w:t>2</w:t>
      </w:r>
      <w:r w:rsidRPr="009158EA">
        <w:rPr>
          <w:rFonts w:cs="Arial"/>
          <w:szCs w:val="20"/>
        </w:rPr>
        <w:t>. čtvrtletí 201</w:t>
      </w:r>
      <w:r w:rsidR="009158EA" w:rsidRPr="009158EA">
        <w:rPr>
          <w:rFonts w:cs="Arial"/>
          <w:szCs w:val="20"/>
        </w:rPr>
        <w:t>3</w:t>
      </w:r>
      <w:r w:rsidR="006B770A" w:rsidRPr="009158EA">
        <w:rPr>
          <w:rFonts w:cs="Arial"/>
          <w:szCs w:val="20"/>
        </w:rPr>
        <w:t xml:space="preserve"> </w:t>
      </w:r>
      <w:r w:rsidR="009158EA" w:rsidRPr="009158EA">
        <w:rPr>
          <w:rFonts w:cs="Arial"/>
          <w:bCs/>
          <w:szCs w:val="20"/>
        </w:rPr>
        <w:t xml:space="preserve">o 0,2 %, </w:t>
      </w:r>
      <w:r w:rsidR="002B0094">
        <w:rPr>
          <w:rFonts w:cs="Arial"/>
          <w:bCs/>
          <w:szCs w:val="20"/>
        </w:rPr>
        <w:t>tedy stejně jako</w:t>
      </w:r>
      <w:r w:rsidR="0057782C">
        <w:rPr>
          <w:rFonts w:cs="Arial"/>
          <w:bCs/>
          <w:szCs w:val="20"/>
        </w:rPr>
        <w:t xml:space="preserve"> v 1</w:t>
      </w:r>
      <w:r w:rsidR="0057782C">
        <w:rPr>
          <w:rFonts w:cs="Arial"/>
          <w:szCs w:val="20"/>
        </w:rPr>
        <w:t>. čtvrtletí 2014</w:t>
      </w:r>
      <w:r w:rsidRPr="009158EA">
        <w:rPr>
          <w:rFonts w:cs="Arial"/>
          <w:szCs w:val="20"/>
        </w:rPr>
        <w:t xml:space="preserve">. </w:t>
      </w:r>
      <w:r w:rsidR="00B16D61">
        <w:rPr>
          <w:rFonts w:cs="Arial"/>
          <w:szCs w:val="20"/>
        </w:rPr>
        <w:t xml:space="preserve">V některých oddílech spotřebního koše však byl meziroční pohyb cen v 1. a 2. čtvrtletí rozdílný. Zrychlení </w:t>
      </w:r>
      <w:r w:rsidR="00B16D61" w:rsidRPr="0057782C">
        <w:rPr>
          <w:rFonts w:cs="Arial"/>
        </w:rPr>
        <w:t>meziročního cenového růstu se projevilo zejména v</w:t>
      </w:r>
      <w:r w:rsidR="00B16D61">
        <w:rPr>
          <w:rFonts w:cs="Arial"/>
        </w:rPr>
        <w:t> </w:t>
      </w:r>
      <w:r w:rsidR="00B16D61" w:rsidRPr="0057782C">
        <w:rPr>
          <w:rFonts w:cs="Arial"/>
        </w:rPr>
        <w:t>oddíle</w:t>
      </w:r>
      <w:r w:rsidR="00B16D61">
        <w:rPr>
          <w:rFonts w:cs="Arial"/>
        </w:rPr>
        <w:t xml:space="preserve"> </w:t>
      </w:r>
      <w:r w:rsidR="00954966">
        <w:rPr>
          <w:rFonts w:cs="Arial"/>
        </w:rPr>
        <w:t xml:space="preserve">odívání a obuv. </w:t>
      </w:r>
      <w:r w:rsidR="00B16D61">
        <w:rPr>
          <w:rFonts w:cs="Arial"/>
        </w:rPr>
        <w:t>Naopak v oddílech potraviny a nealkoholické nápoje</w:t>
      </w:r>
      <w:r w:rsidR="001907D4">
        <w:rPr>
          <w:rFonts w:cs="Arial"/>
        </w:rPr>
        <w:t xml:space="preserve">, </w:t>
      </w:r>
      <w:r w:rsidR="00B16D61">
        <w:rPr>
          <w:rFonts w:cs="Arial"/>
        </w:rPr>
        <w:t>alkoholické nápoje a tabák došlo</w:t>
      </w:r>
      <w:r w:rsidR="00A32E70">
        <w:rPr>
          <w:rFonts w:cs="Arial"/>
        </w:rPr>
        <w:t xml:space="preserve"> ke zpomalení mez</w:t>
      </w:r>
      <w:r w:rsidR="009D3B0D">
        <w:rPr>
          <w:rFonts w:cs="Arial"/>
        </w:rPr>
        <w:t xml:space="preserve">iročního cenového růstu vlivem </w:t>
      </w:r>
      <w:r w:rsidR="00A32E70">
        <w:rPr>
          <w:rFonts w:cs="Arial"/>
        </w:rPr>
        <w:t xml:space="preserve">meziměsíčních poklesů </w:t>
      </w:r>
      <w:r w:rsidR="009D3B0D">
        <w:rPr>
          <w:rFonts w:cs="Arial"/>
        </w:rPr>
        <w:t xml:space="preserve">jejich </w:t>
      </w:r>
      <w:r w:rsidR="00A32E70">
        <w:rPr>
          <w:rFonts w:cs="Arial"/>
        </w:rPr>
        <w:t xml:space="preserve">cen ve 2. čtvrtletí 2014. </w:t>
      </w:r>
      <w:r w:rsidR="0057782C" w:rsidRPr="0057782C">
        <w:rPr>
          <w:rFonts w:cs="Arial"/>
          <w:bCs/>
        </w:rPr>
        <w:t>V</w:t>
      </w:r>
      <w:r w:rsidR="00954966">
        <w:rPr>
          <w:rFonts w:cs="Arial"/>
          <w:bCs/>
        </w:rPr>
        <w:t>e čtyřech</w:t>
      </w:r>
      <w:r w:rsidR="009C4F07">
        <w:rPr>
          <w:rFonts w:cs="Arial"/>
          <w:bCs/>
        </w:rPr>
        <w:t xml:space="preserve"> </w:t>
      </w:r>
      <w:r w:rsidR="0057782C" w:rsidRPr="0057782C">
        <w:rPr>
          <w:rFonts w:cs="Arial"/>
          <w:bCs/>
        </w:rPr>
        <w:t xml:space="preserve">oddílech </w:t>
      </w:r>
      <w:r w:rsidR="00954966">
        <w:rPr>
          <w:rFonts w:cs="Arial"/>
          <w:bCs/>
        </w:rPr>
        <w:t xml:space="preserve">spotřebního koše - bydlení, bytové vybavení a zařízení domácnosti, </w:t>
      </w:r>
      <w:r w:rsidR="00786B2F">
        <w:rPr>
          <w:rFonts w:cs="Arial"/>
          <w:bCs/>
        </w:rPr>
        <w:t>z</w:t>
      </w:r>
      <w:r w:rsidR="00954966">
        <w:rPr>
          <w:rFonts w:cs="Arial"/>
          <w:bCs/>
        </w:rPr>
        <w:t>draví,</w:t>
      </w:r>
      <w:r w:rsidR="00954966" w:rsidRPr="00954966">
        <w:rPr>
          <w:rFonts w:cs="Arial"/>
          <w:bCs/>
        </w:rPr>
        <w:t xml:space="preserve"> </w:t>
      </w:r>
      <w:r w:rsidR="00954966" w:rsidRPr="0057782C">
        <w:rPr>
          <w:rFonts w:cs="Arial"/>
          <w:bCs/>
        </w:rPr>
        <w:t>pošty a telekomunikace</w:t>
      </w:r>
      <w:r w:rsidR="009C4F07">
        <w:rPr>
          <w:rFonts w:cs="Arial"/>
          <w:bCs/>
        </w:rPr>
        <w:t xml:space="preserve"> </w:t>
      </w:r>
      <w:r w:rsidR="00954966">
        <w:rPr>
          <w:rFonts w:cs="Arial"/>
          <w:bCs/>
        </w:rPr>
        <w:t>-</w:t>
      </w:r>
      <w:r w:rsidR="009C4F07">
        <w:rPr>
          <w:rFonts w:cs="Arial"/>
          <w:bCs/>
        </w:rPr>
        <w:t xml:space="preserve"> </w:t>
      </w:r>
      <w:r w:rsidR="0057782C" w:rsidRPr="0057782C">
        <w:rPr>
          <w:rFonts w:cs="Arial"/>
          <w:bCs/>
        </w:rPr>
        <w:t>došlo k</w:t>
      </w:r>
      <w:r w:rsidR="00954966">
        <w:rPr>
          <w:rFonts w:cs="Arial"/>
          <w:bCs/>
        </w:rPr>
        <w:t>e</w:t>
      </w:r>
      <w:r w:rsidR="0057782C" w:rsidRPr="0057782C">
        <w:rPr>
          <w:rFonts w:cs="Arial"/>
          <w:bCs/>
        </w:rPr>
        <w:t> </w:t>
      </w:r>
      <w:r w:rsidR="00954966">
        <w:rPr>
          <w:rFonts w:cs="Arial"/>
          <w:bCs/>
        </w:rPr>
        <w:t xml:space="preserve">zmírnění jejich cenového </w:t>
      </w:r>
      <w:r w:rsidR="0057782C" w:rsidRPr="0057782C">
        <w:rPr>
          <w:rFonts w:cs="Arial"/>
          <w:bCs/>
        </w:rPr>
        <w:t>poklesu</w:t>
      </w:r>
      <w:r w:rsidR="009D3B0D">
        <w:rPr>
          <w:rFonts w:cs="Arial"/>
          <w:bCs/>
        </w:rPr>
        <w:t>,</w:t>
      </w:r>
      <w:r w:rsidR="0057782C" w:rsidRPr="0057782C">
        <w:rPr>
          <w:rFonts w:cs="Arial"/>
          <w:bCs/>
        </w:rPr>
        <w:t xml:space="preserve"> a tím i ke </w:t>
      </w:r>
      <w:r w:rsidR="00954966">
        <w:rPr>
          <w:rFonts w:cs="Arial"/>
          <w:bCs/>
        </w:rPr>
        <w:t xml:space="preserve">snížení </w:t>
      </w:r>
      <w:r w:rsidR="0057782C" w:rsidRPr="0057782C">
        <w:rPr>
          <w:rFonts w:cs="Arial"/>
          <w:bCs/>
        </w:rPr>
        <w:t xml:space="preserve">jejich vlivu na snižování cenové hladiny. </w:t>
      </w:r>
    </w:p>
    <w:p w:rsidR="00954966" w:rsidRPr="0057782C" w:rsidRDefault="00954966" w:rsidP="0057782C">
      <w:pPr>
        <w:jc w:val="left"/>
        <w:rPr>
          <w:rFonts w:cs="Arial"/>
          <w:bCs/>
        </w:rPr>
      </w:pPr>
    </w:p>
    <w:p w:rsidR="0057782C" w:rsidRDefault="0057782C" w:rsidP="00074505">
      <w:pPr>
        <w:rPr>
          <w:rFonts w:cs="Arial"/>
        </w:rPr>
      </w:pPr>
      <w:r w:rsidRPr="0057782C">
        <w:rPr>
          <w:rFonts w:cs="Arial"/>
        </w:rPr>
        <w:t xml:space="preserve">Růst tržních cen </w:t>
      </w:r>
      <w:r w:rsidR="00074505">
        <w:rPr>
          <w:rFonts w:cs="Arial"/>
        </w:rPr>
        <w:t>zpomalil</w:t>
      </w:r>
      <w:r w:rsidRPr="0057782C">
        <w:rPr>
          <w:rFonts w:cs="Arial"/>
        </w:rPr>
        <w:t xml:space="preserve"> ve 2. čtvrtletí 201</w:t>
      </w:r>
      <w:r w:rsidR="00074505">
        <w:rPr>
          <w:rFonts w:cs="Arial"/>
        </w:rPr>
        <w:t xml:space="preserve">4 na 0,9 % ze 1,2 % v 1. čtvrtletí </w:t>
      </w:r>
      <w:r w:rsidRPr="0057782C">
        <w:rPr>
          <w:rFonts w:cs="Arial"/>
        </w:rPr>
        <w:t>a</w:t>
      </w:r>
      <w:r w:rsidR="00DF1780">
        <w:rPr>
          <w:rFonts w:cs="Arial"/>
        </w:rPr>
        <w:t xml:space="preserve"> </w:t>
      </w:r>
      <w:r w:rsidR="00074505">
        <w:rPr>
          <w:rFonts w:cs="Arial"/>
        </w:rPr>
        <w:t>pokles re</w:t>
      </w:r>
      <w:r w:rsidRPr="0057782C">
        <w:rPr>
          <w:rFonts w:cs="Arial"/>
        </w:rPr>
        <w:t>gulovaných</w:t>
      </w:r>
      <w:r w:rsidRPr="0057782C">
        <w:rPr>
          <w:rFonts w:cs="Arial"/>
          <w:vertAlign w:val="superscript"/>
        </w:rPr>
        <w:footnoteReference w:id="1"/>
      </w:r>
      <w:r w:rsidRPr="0057782C">
        <w:rPr>
          <w:rFonts w:cs="Arial"/>
          <w:vertAlign w:val="superscript"/>
        </w:rPr>
        <w:t>)</w:t>
      </w:r>
      <w:r w:rsidRPr="0057782C">
        <w:rPr>
          <w:rFonts w:cs="Arial"/>
        </w:rPr>
        <w:t xml:space="preserve"> cen </w:t>
      </w:r>
      <w:r w:rsidR="00074505">
        <w:rPr>
          <w:rFonts w:cs="Arial"/>
        </w:rPr>
        <w:t>zmírni</w:t>
      </w:r>
      <w:r w:rsidRPr="0057782C">
        <w:rPr>
          <w:rFonts w:cs="Arial"/>
        </w:rPr>
        <w:t>l na </w:t>
      </w:r>
      <w:r w:rsidR="00074505">
        <w:rPr>
          <w:rFonts w:cs="Arial"/>
        </w:rPr>
        <w:t>-3,7</w:t>
      </w:r>
      <w:r w:rsidRPr="0057782C">
        <w:rPr>
          <w:rFonts w:cs="Arial"/>
        </w:rPr>
        <w:t> % z</w:t>
      </w:r>
      <w:r w:rsidR="00074505">
        <w:rPr>
          <w:rFonts w:cs="Arial"/>
        </w:rPr>
        <w:t xml:space="preserve"> -4</w:t>
      </w:r>
      <w:r w:rsidRPr="0057782C">
        <w:rPr>
          <w:rFonts w:cs="Arial"/>
        </w:rPr>
        <w:t>,</w:t>
      </w:r>
      <w:r w:rsidR="00074505">
        <w:rPr>
          <w:rFonts w:cs="Arial"/>
        </w:rPr>
        <w:t>2</w:t>
      </w:r>
      <w:r w:rsidRPr="0057782C">
        <w:rPr>
          <w:rFonts w:cs="Arial"/>
        </w:rPr>
        <w:t xml:space="preserve"> % v 1. čtvrtletí 201</w:t>
      </w:r>
      <w:r w:rsidR="00074505">
        <w:rPr>
          <w:rFonts w:cs="Arial"/>
        </w:rPr>
        <w:t>4</w:t>
      </w:r>
      <w:r w:rsidRPr="0057782C">
        <w:rPr>
          <w:rFonts w:cs="Arial"/>
        </w:rPr>
        <w:t>.</w:t>
      </w:r>
    </w:p>
    <w:p w:rsidR="00074505" w:rsidRDefault="00074505" w:rsidP="00074505">
      <w:pPr>
        <w:rPr>
          <w:rFonts w:cs="Arial"/>
        </w:rPr>
      </w:pPr>
    </w:p>
    <w:p w:rsidR="00074505" w:rsidRDefault="00074505" w:rsidP="00074505">
      <w:pPr>
        <w:rPr>
          <w:rFonts w:cs="Arial"/>
        </w:rPr>
      </w:pPr>
    </w:p>
    <w:p w:rsidR="00074505" w:rsidRDefault="00DA532B" w:rsidP="00074505">
      <w:pPr>
        <w:rPr>
          <w:rFonts w:cs="Arial"/>
        </w:rPr>
      </w:pPr>
      <w:r w:rsidRPr="00CB59B4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239.4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074505" w:rsidRDefault="00074505" w:rsidP="00074505">
      <w:pPr>
        <w:rPr>
          <w:rFonts w:cs="Arial"/>
        </w:rPr>
      </w:pPr>
    </w:p>
    <w:p w:rsidR="00074505" w:rsidRDefault="00074505" w:rsidP="00074505">
      <w:pPr>
        <w:rPr>
          <w:rFonts w:cs="Arial"/>
        </w:rPr>
      </w:pPr>
    </w:p>
    <w:p w:rsidR="00074505" w:rsidRDefault="00074505" w:rsidP="00074505">
      <w:pPr>
        <w:rPr>
          <w:rFonts w:cs="Arial"/>
        </w:rPr>
      </w:pPr>
    </w:p>
    <w:p w:rsidR="00074505" w:rsidRDefault="00074505" w:rsidP="00074505">
      <w:pPr>
        <w:rPr>
          <w:rFonts w:cs="Arial"/>
        </w:rPr>
      </w:pPr>
    </w:p>
    <w:p w:rsidR="00074505" w:rsidRDefault="00074505" w:rsidP="00074505">
      <w:pPr>
        <w:rPr>
          <w:rFonts w:cs="Arial"/>
        </w:rPr>
      </w:pPr>
    </w:p>
    <w:p w:rsidR="00074505" w:rsidRDefault="00074505" w:rsidP="00074505">
      <w:pPr>
        <w:rPr>
          <w:rFonts w:cs="Arial"/>
        </w:rPr>
      </w:pPr>
    </w:p>
    <w:p w:rsidR="00074505" w:rsidRDefault="00074505" w:rsidP="00074505">
      <w:pPr>
        <w:rPr>
          <w:rFonts w:cs="Arial"/>
        </w:rPr>
      </w:pPr>
    </w:p>
    <w:p w:rsidR="00074505" w:rsidRDefault="00074505" w:rsidP="00074505">
      <w:pPr>
        <w:rPr>
          <w:rFonts w:cs="Arial"/>
        </w:rPr>
      </w:pPr>
    </w:p>
    <w:p w:rsidR="00074505" w:rsidRDefault="00074505" w:rsidP="00074505">
      <w:pPr>
        <w:rPr>
          <w:rFonts w:cs="Arial"/>
        </w:rPr>
      </w:pPr>
    </w:p>
    <w:p w:rsidR="00074505" w:rsidRDefault="00074505" w:rsidP="00074505">
      <w:pPr>
        <w:rPr>
          <w:rFonts w:cs="Arial"/>
        </w:rPr>
      </w:pPr>
    </w:p>
    <w:p w:rsidR="00074505" w:rsidRDefault="00074505" w:rsidP="00074505">
      <w:pPr>
        <w:rPr>
          <w:rFonts w:cs="Arial"/>
        </w:rPr>
      </w:pPr>
    </w:p>
    <w:p w:rsidR="00074505" w:rsidRDefault="00074505" w:rsidP="00074505">
      <w:pPr>
        <w:rPr>
          <w:rFonts w:cs="Arial"/>
        </w:rPr>
      </w:pPr>
    </w:p>
    <w:p w:rsidR="00074505" w:rsidRPr="00A93CBE" w:rsidRDefault="00420283" w:rsidP="00074505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 xml:space="preserve">Pokles regulovaných cen způsobilo zejména snížení cen v oddílech </w:t>
      </w:r>
      <w:r w:rsidRPr="005E7E87">
        <w:rPr>
          <w:rFonts w:ascii="Arial" w:hAnsi="Arial" w:cs="Arial"/>
          <w:sz w:val="20"/>
          <w:szCs w:val="20"/>
        </w:rPr>
        <w:t>bydlení</w:t>
      </w:r>
      <w:r>
        <w:rPr>
          <w:rFonts w:ascii="Arial" w:hAnsi="Arial" w:cs="Arial"/>
          <w:b w:val="0"/>
          <w:sz w:val="20"/>
          <w:szCs w:val="20"/>
        </w:rPr>
        <w:t xml:space="preserve"> a </w:t>
      </w:r>
      <w:r w:rsidRPr="005E7E87">
        <w:rPr>
          <w:rFonts w:ascii="Arial" w:hAnsi="Arial" w:cs="Arial"/>
          <w:sz w:val="20"/>
          <w:szCs w:val="20"/>
        </w:rPr>
        <w:t>zdraví</w:t>
      </w:r>
      <w:r w:rsidR="005E7E87">
        <w:rPr>
          <w:rFonts w:ascii="Arial" w:hAnsi="Arial" w:cs="Arial"/>
          <w:b w:val="0"/>
          <w:sz w:val="20"/>
          <w:szCs w:val="20"/>
        </w:rPr>
        <w:t xml:space="preserve">, které nastalo od ledna 2014 v důsledku poklesu cen energií a </w:t>
      </w:r>
      <w:r w:rsidR="005E7E87" w:rsidRPr="005E7E87">
        <w:rPr>
          <w:rFonts w:ascii="Arial" w:hAnsi="Arial" w:cs="Arial"/>
          <w:b w:val="0"/>
          <w:sz w:val="20"/>
          <w:szCs w:val="20"/>
        </w:rPr>
        <w:t>zrušení regulačního poplatku za pobyt v</w:t>
      </w:r>
      <w:r w:rsidR="00EC50AE">
        <w:rPr>
          <w:rFonts w:ascii="Arial" w:hAnsi="Arial" w:cs="Arial"/>
          <w:b w:val="0"/>
          <w:sz w:val="20"/>
          <w:szCs w:val="20"/>
        </w:rPr>
        <w:t> </w:t>
      </w:r>
      <w:r w:rsidR="005E7E87" w:rsidRPr="005E7E87">
        <w:rPr>
          <w:rFonts w:ascii="Arial" w:hAnsi="Arial" w:cs="Arial"/>
          <w:b w:val="0"/>
          <w:sz w:val="20"/>
          <w:szCs w:val="20"/>
        </w:rPr>
        <w:t>nemocnici</w:t>
      </w:r>
      <w:r w:rsidR="00EC50AE">
        <w:rPr>
          <w:rFonts w:ascii="Arial" w:hAnsi="Arial" w:cs="Arial"/>
          <w:b w:val="0"/>
          <w:sz w:val="20"/>
          <w:szCs w:val="20"/>
        </w:rPr>
        <w:t xml:space="preserve">. </w:t>
      </w:r>
      <w:r w:rsidR="005E7E87">
        <w:rPr>
          <w:rFonts w:ascii="Arial" w:hAnsi="Arial" w:cs="Arial"/>
          <w:b w:val="0"/>
          <w:sz w:val="20"/>
          <w:szCs w:val="20"/>
        </w:rPr>
        <w:t xml:space="preserve">Ve 2. čtvrtletí se pokles cen obou </w:t>
      </w:r>
      <w:r w:rsidR="00EC50AE">
        <w:rPr>
          <w:rFonts w:ascii="Arial" w:hAnsi="Arial" w:cs="Arial"/>
          <w:b w:val="0"/>
          <w:sz w:val="20"/>
          <w:szCs w:val="20"/>
        </w:rPr>
        <w:t>oddílů</w:t>
      </w:r>
      <w:r w:rsidR="005E7E87">
        <w:rPr>
          <w:rFonts w:ascii="Arial" w:hAnsi="Arial" w:cs="Arial"/>
          <w:b w:val="0"/>
          <w:sz w:val="20"/>
          <w:szCs w:val="20"/>
        </w:rPr>
        <w:t xml:space="preserve"> mírně snížil. </w:t>
      </w:r>
      <w:r w:rsidR="008E0C21">
        <w:rPr>
          <w:rFonts w:ascii="Arial" w:hAnsi="Arial" w:cs="Arial"/>
          <w:b w:val="0"/>
          <w:sz w:val="20"/>
          <w:szCs w:val="20"/>
        </w:rPr>
        <w:t xml:space="preserve">V oddíle </w:t>
      </w:r>
      <w:r w:rsidR="005E7E87">
        <w:rPr>
          <w:rFonts w:ascii="Arial" w:hAnsi="Arial" w:cs="Arial"/>
          <w:b w:val="0"/>
          <w:sz w:val="20"/>
          <w:szCs w:val="20"/>
        </w:rPr>
        <w:t>bydlení to bylo způsobeno zmírněním poklesu cen zemního plynu od května, v oddíle zdraví se zvýšily ceny léků a jejich doplatků.</w:t>
      </w:r>
    </w:p>
    <w:p w:rsidR="00EC50AE" w:rsidRDefault="00EC50AE" w:rsidP="006A42AF">
      <w:pPr>
        <w:rPr>
          <w:rFonts w:cs="Arial"/>
          <w:szCs w:val="20"/>
        </w:rPr>
      </w:pPr>
    </w:p>
    <w:p w:rsidR="006A42AF" w:rsidRDefault="006A42AF" w:rsidP="006A42AF">
      <w:pPr>
        <w:rPr>
          <w:rFonts w:cs="Arial"/>
          <w:szCs w:val="20"/>
        </w:rPr>
      </w:pPr>
      <w:r w:rsidRPr="0094376F">
        <w:rPr>
          <w:rFonts w:cs="Arial"/>
          <w:szCs w:val="20"/>
        </w:rPr>
        <w:t xml:space="preserve">Vliv cen položek obsažených v oddíle bydlení dokládá celkový index </w:t>
      </w:r>
      <w:r w:rsidR="0094376F" w:rsidRPr="0094376F">
        <w:rPr>
          <w:rFonts w:cs="Arial"/>
          <w:szCs w:val="20"/>
        </w:rPr>
        <w:t xml:space="preserve">spotřebitelských cen </w:t>
      </w:r>
      <w:r w:rsidR="00700749">
        <w:rPr>
          <w:rFonts w:cs="Arial"/>
          <w:szCs w:val="20"/>
        </w:rPr>
        <w:t>bez </w:t>
      </w:r>
      <w:r w:rsidRPr="0094376F">
        <w:rPr>
          <w:rFonts w:cs="Arial"/>
          <w:szCs w:val="20"/>
        </w:rPr>
        <w:t>bydlení, vody, energie, paliv</w:t>
      </w:r>
      <w:r w:rsidR="0094376F" w:rsidRPr="0094376F">
        <w:rPr>
          <w:rFonts w:cs="Arial"/>
          <w:szCs w:val="20"/>
        </w:rPr>
        <w:t>.</w:t>
      </w:r>
      <w:r w:rsidRPr="0094376F">
        <w:rPr>
          <w:rFonts w:cs="Arial"/>
          <w:szCs w:val="20"/>
        </w:rPr>
        <w:t xml:space="preserve"> V</w:t>
      </w:r>
      <w:r w:rsidR="00EC50AE">
        <w:rPr>
          <w:rFonts w:cs="Arial"/>
          <w:szCs w:val="20"/>
        </w:rPr>
        <w:t>e</w:t>
      </w:r>
      <w:r w:rsidR="00DF1780">
        <w:rPr>
          <w:rFonts w:cs="Arial"/>
          <w:szCs w:val="20"/>
        </w:rPr>
        <w:t xml:space="preserve"> </w:t>
      </w:r>
      <w:r w:rsidR="00EC50AE">
        <w:rPr>
          <w:rFonts w:cs="Arial"/>
          <w:szCs w:val="20"/>
        </w:rPr>
        <w:t>2</w:t>
      </w:r>
      <w:r w:rsidR="0094376F" w:rsidRPr="0094376F">
        <w:rPr>
          <w:rFonts w:cs="Arial"/>
          <w:szCs w:val="20"/>
        </w:rPr>
        <w:t>.</w:t>
      </w:r>
      <w:r w:rsidR="006D67C8">
        <w:rPr>
          <w:rFonts w:cs="Arial"/>
          <w:szCs w:val="20"/>
        </w:rPr>
        <w:t xml:space="preserve"> </w:t>
      </w:r>
      <w:r w:rsidR="0094376F" w:rsidRPr="0094376F">
        <w:rPr>
          <w:rFonts w:cs="Arial"/>
          <w:szCs w:val="20"/>
        </w:rPr>
        <w:t>čtvrtletí</w:t>
      </w:r>
      <w:r w:rsidR="0094376F">
        <w:rPr>
          <w:rFonts w:cs="Arial"/>
          <w:szCs w:val="20"/>
        </w:rPr>
        <w:t xml:space="preserve"> </w:t>
      </w:r>
      <w:r w:rsidRPr="0094376F">
        <w:rPr>
          <w:rFonts w:cs="Arial"/>
          <w:szCs w:val="20"/>
        </w:rPr>
        <w:t>2014 vzrostly spotřebitelské ceny</w:t>
      </w:r>
      <w:r w:rsidR="0094376F" w:rsidRPr="0094376F">
        <w:rPr>
          <w:rFonts w:cs="Arial"/>
          <w:szCs w:val="20"/>
        </w:rPr>
        <w:t xml:space="preserve"> </w:t>
      </w:r>
      <w:r w:rsidR="0094376F" w:rsidRPr="003E2829">
        <w:rPr>
          <w:rFonts w:cs="Arial"/>
          <w:szCs w:val="20"/>
        </w:rPr>
        <w:t xml:space="preserve">celkem </w:t>
      </w:r>
      <w:r w:rsidRPr="003E2829">
        <w:rPr>
          <w:rFonts w:cs="Arial"/>
          <w:szCs w:val="20"/>
        </w:rPr>
        <w:t>o</w:t>
      </w:r>
      <w:r w:rsidR="00087211">
        <w:rPr>
          <w:rFonts w:cs="Arial"/>
          <w:szCs w:val="20"/>
        </w:rPr>
        <w:t> </w:t>
      </w:r>
      <w:r w:rsidR="00EC50AE">
        <w:rPr>
          <w:rFonts w:cs="Arial"/>
          <w:szCs w:val="20"/>
        </w:rPr>
        <w:t>0,2 </w:t>
      </w:r>
      <w:r w:rsidR="0094376F" w:rsidRPr="003E2829">
        <w:rPr>
          <w:rFonts w:cs="Arial"/>
          <w:szCs w:val="20"/>
        </w:rPr>
        <w:t>%</w:t>
      </w:r>
      <w:r w:rsidRPr="003E2829">
        <w:rPr>
          <w:rFonts w:cs="Arial"/>
          <w:szCs w:val="20"/>
        </w:rPr>
        <w:t>,</w:t>
      </w:r>
      <w:r w:rsidRPr="0094376F">
        <w:rPr>
          <w:rFonts w:cs="Arial"/>
          <w:szCs w:val="20"/>
        </w:rPr>
        <w:t xml:space="preserve"> </w:t>
      </w:r>
      <w:r w:rsidR="003D352D">
        <w:rPr>
          <w:rFonts w:cs="Arial"/>
          <w:szCs w:val="20"/>
        </w:rPr>
        <w:t>při </w:t>
      </w:r>
      <w:r w:rsidR="0094376F" w:rsidRPr="0094376F">
        <w:rPr>
          <w:rFonts w:cs="Arial"/>
          <w:szCs w:val="20"/>
        </w:rPr>
        <w:t xml:space="preserve">vyloučení položek </w:t>
      </w:r>
      <w:r w:rsidRPr="0094376F">
        <w:rPr>
          <w:rFonts w:cs="Arial"/>
          <w:szCs w:val="20"/>
        </w:rPr>
        <w:t>bydlení o </w:t>
      </w:r>
      <w:r w:rsidR="00EC50AE">
        <w:rPr>
          <w:rFonts w:cs="Arial"/>
          <w:szCs w:val="20"/>
        </w:rPr>
        <w:t>0,</w:t>
      </w:r>
      <w:r w:rsidR="004D3148">
        <w:rPr>
          <w:rFonts w:cs="Arial"/>
          <w:szCs w:val="20"/>
        </w:rPr>
        <w:t>9</w:t>
      </w:r>
      <w:r w:rsidRPr="00715E98">
        <w:rPr>
          <w:rFonts w:cs="Arial"/>
          <w:szCs w:val="20"/>
        </w:rPr>
        <w:t> %.</w:t>
      </w:r>
    </w:p>
    <w:p w:rsidR="0094376F" w:rsidRDefault="0094376F" w:rsidP="006A42AF">
      <w:pPr>
        <w:rPr>
          <w:rFonts w:cs="Arial"/>
          <w:szCs w:val="20"/>
        </w:rPr>
      </w:pPr>
    </w:p>
    <w:p w:rsidR="00AE1BDA" w:rsidRDefault="00AE1BDA" w:rsidP="00A93CBE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A93CBE" w:rsidRDefault="00DA532B" w:rsidP="00A93CBE">
      <w:pPr>
        <w:rPr>
          <w:rFonts w:cs="Arial"/>
          <w:szCs w:val="20"/>
        </w:rPr>
      </w:pPr>
      <w:r w:rsidRPr="00CB59B4">
        <w:rPr>
          <w:rFonts w:cs="Arial"/>
          <w:szCs w:val="20"/>
        </w:rPr>
        <w:pict>
          <v:shape id="_x0000_i1026" type="#_x0000_t75" style="width:428.4pt;height:293.4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700749" w:rsidRDefault="00700749" w:rsidP="00A93CBE">
      <w:pPr>
        <w:rPr>
          <w:rFonts w:cs="Arial"/>
          <w:szCs w:val="20"/>
        </w:rPr>
      </w:pPr>
    </w:p>
    <w:p w:rsidR="00106391" w:rsidRDefault="00A35701" w:rsidP="00A35701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 w:rsidRPr="00993CE0">
        <w:rPr>
          <w:rFonts w:ascii="Arial" w:hAnsi="Arial" w:cs="Arial"/>
          <w:b w:val="0"/>
          <w:bCs w:val="0"/>
          <w:sz w:val="20"/>
          <w:szCs w:val="20"/>
        </w:rPr>
        <w:t xml:space="preserve">V oddíle </w:t>
      </w:r>
      <w:r w:rsidRPr="00993CE0">
        <w:rPr>
          <w:rFonts w:ascii="Arial" w:hAnsi="Arial" w:cs="Arial"/>
          <w:bCs w:val="0"/>
          <w:sz w:val="20"/>
          <w:szCs w:val="20"/>
        </w:rPr>
        <w:t>potraviny a nealkoholické nápoje</w:t>
      </w:r>
      <w:r w:rsidRPr="00993CE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93CE0" w:rsidRPr="00993CE0">
        <w:rPr>
          <w:rFonts w:ascii="Arial" w:hAnsi="Arial" w:cs="Arial"/>
          <w:b w:val="0"/>
          <w:bCs w:val="0"/>
          <w:sz w:val="20"/>
          <w:szCs w:val="20"/>
        </w:rPr>
        <w:t>ovlivnily</w:t>
      </w:r>
      <w:r w:rsidR="005527BE" w:rsidRPr="00993CE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B043A" w:rsidRPr="00993CE0">
        <w:rPr>
          <w:rFonts w:ascii="Arial" w:hAnsi="Arial" w:cs="Arial"/>
          <w:b w:val="0"/>
          <w:bCs w:val="0"/>
          <w:sz w:val="20"/>
          <w:szCs w:val="20"/>
        </w:rPr>
        <w:t>zpomalení</w:t>
      </w:r>
      <w:r w:rsidRPr="00993CE0">
        <w:rPr>
          <w:rFonts w:ascii="Arial" w:hAnsi="Arial" w:cs="Arial"/>
          <w:b w:val="0"/>
          <w:bCs w:val="0"/>
          <w:sz w:val="20"/>
          <w:szCs w:val="20"/>
        </w:rPr>
        <w:t xml:space="preserve"> meziročního </w:t>
      </w:r>
      <w:r w:rsidR="00993CE0" w:rsidRPr="00993CE0">
        <w:rPr>
          <w:rFonts w:ascii="Arial" w:hAnsi="Arial" w:cs="Arial"/>
          <w:b w:val="0"/>
          <w:bCs w:val="0"/>
          <w:sz w:val="20"/>
          <w:szCs w:val="20"/>
        </w:rPr>
        <w:t xml:space="preserve">cenového </w:t>
      </w:r>
      <w:r w:rsidRPr="00993CE0">
        <w:rPr>
          <w:rFonts w:ascii="Arial" w:hAnsi="Arial" w:cs="Arial"/>
          <w:b w:val="0"/>
          <w:sz w:val="20"/>
          <w:szCs w:val="20"/>
        </w:rPr>
        <w:t>růstu</w:t>
      </w:r>
      <w:r w:rsidR="00993CE0" w:rsidRPr="00993CE0">
        <w:rPr>
          <w:rFonts w:ascii="Arial" w:hAnsi="Arial" w:cs="Arial"/>
          <w:b w:val="0"/>
          <w:sz w:val="20"/>
          <w:szCs w:val="20"/>
        </w:rPr>
        <w:t xml:space="preserve"> ceny ovoce a zeleniny, které přešly z růstu o 2,3 %, resp. o 11,0 % v 1. čtvrtletí v pokles o</w:t>
      </w:r>
      <w:r w:rsidR="00993CE0">
        <w:rPr>
          <w:rFonts w:ascii="Arial" w:hAnsi="Arial" w:cs="Arial"/>
          <w:b w:val="0"/>
          <w:sz w:val="20"/>
          <w:szCs w:val="20"/>
        </w:rPr>
        <w:t> </w:t>
      </w:r>
      <w:r w:rsidR="00993CE0" w:rsidRPr="00993CE0">
        <w:rPr>
          <w:rFonts w:ascii="Arial" w:hAnsi="Arial" w:cs="Arial"/>
          <w:b w:val="0"/>
          <w:sz w:val="20"/>
          <w:szCs w:val="20"/>
        </w:rPr>
        <w:t>1,2 %, resp. o 10,0 % ve</w:t>
      </w:r>
      <w:r w:rsidR="00993CE0">
        <w:rPr>
          <w:rFonts w:ascii="Arial" w:hAnsi="Arial" w:cs="Arial"/>
          <w:b w:val="0"/>
          <w:sz w:val="20"/>
          <w:szCs w:val="20"/>
        </w:rPr>
        <w:t xml:space="preserve"> </w:t>
      </w:r>
      <w:r w:rsidR="00993CE0" w:rsidRPr="00993CE0">
        <w:rPr>
          <w:rFonts w:ascii="Arial" w:hAnsi="Arial" w:cs="Arial"/>
          <w:b w:val="0"/>
          <w:sz w:val="20"/>
          <w:szCs w:val="20"/>
        </w:rPr>
        <w:t>2.</w:t>
      </w:r>
      <w:r w:rsidR="00993CE0">
        <w:rPr>
          <w:rFonts w:ascii="Arial" w:hAnsi="Arial" w:cs="Arial"/>
          <w:b w:val="0"/>
          <w:sz w:val="20"/>
          <w:szCs w:val="20"/>
        </w:rPr>
        <w:t xml:space="preserve"> </w:t>
      </w:r>
      <w:r w:rsidR="00993CE0" w:rsidRPr="00993CE0">
        <w:rPr>
          <w:rFonts w:ascii="Arial" w:hAnsi="Arial" w:cs="Arial"/>
          <w:b w:val="0"/>
          <w:sz w:val="20"/>
          <w:szCs w:val="20"/>
        </w:rPr>
        <w:t>čtvrtletí</w:t>
      </w:r>
      <w:r w:rsidR="007953DB" w:rsidRPr="00993CE0">
        <w:rPr>
          <w:rFonts w:ascii="Arial" w:hAnsi="Arial" w:cs="Arial"/>
          <w:b w:val="0"/>
          <w:sz w:val="20"/>
          <w:szCs w:val="20"/>
        </w:rPr>
        <w:t>.</w:t>
      </w:r>
      <w:r w:rsidR="00AA6F2A" w:rsidRPr="00993CE0">
        <w:rPr>
          <w:rFonts w:ascii="Arial" w:hAnsi="Arial" w:cs="Arial"/>
          <w:b w:val="0"/>
          <w:sz w:val="20"/>
          <w:szCs w:val="20"/>
        </w:rPr>
        <w:t xml:space="preserve"> </w:t>
      </w:r>
      <w:r w:rsidR="00106391">
        <w:rPr>
          <w:rFonts w:ascii="Arial" w:hAnsi="Arial" w:cs="Arial"/>
          <w:b w:val="0"/>
          <w:sz w:val="20"/>
          <w:szCs w:val="20"/>
        </w:rPr>
        <w:t>Důvodem v případě zeleniny byla výrazná změna ve</w:t>
      </w:r>
      <w:r w:rsidR="009D3B0D">
        <w:rPr>
          <w:rFonts w:ascii="Arial" w:hAnsi="Arial" w:cs="Arial"/>
          <w:b w:val="0"/>
          <w:sz w:val="20"/>
          <w:szCs w:val="20"/>
        </w:rPr>
        <w:t> </w:t>
      </w:r>
      <w:r w:rsidR="00106391">
        <w:rPr>
          <w:rFonts w:ascii="Arial" w:hAnsi="Arial" w:cs="Arial"/>
          <w:b w:val="0"/>
          <w:sz w:val="20"/>
          <w:szCs w:val="20"/>
        </w:rPr>
        <w:t>vývoji cen brambor, které byly v 1. čtvrtletí meziročně vyšší o 28,0 % a ve 2. čtvrtletí vlivem jejich poklesu v červnu o 25,6 % nižší</w:t>
      </w:r>
      <w:r w:rsidR="00DE2BB1">
        <w:rPr>
          <w:rFonts w:ascii="Arial" w:hAnsi="Arial" w:cs="Arial"/>
          <w:b w:val="0"/>
          <w:sz w:val="20"/>
          <w:szCs w:val="20"/>
        </w:rPr>
        <w:t>.</w:t>
      </w:r>
    </w:p>
    <w:p w:rsidR="00240CF3" w:rsidRDefault="00DA532B" w:rsidP="00A35701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 w:rsidRPr="00CB59B4">
        <w:rPr>
          <w:rFonts w:ascii="Arial" w:hAnsi="Arial" w:cs="Arial"/>
          <w:b w:val="0"/>
          <w:sz w:val="20"/>
          <w:szCs w:val="20"/>
        </w:rPr>
        <w:lastRenderedPageBreak/>
        <w:pict>
          <v:shape id="_x0000_i1027" type="#_x0000_t75" style="width:465.6pt;height:332.4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240CF3" w:rsidRDefault="00240CF3" w:rsidP="00A35701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AF5459" w:rsidRDefault="00AF5459" w:rsidP="00A35701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BB6E1E" w:rsidRDefault="00BB6E1E" w:rsidP="001F1E26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1F1E26" w:rsidRDefault="001F1E26" w:rsidP="001F1E26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Zpomalení meziročního cenového růstu v oddíle </w:t>
      </w:r>
      <w:r w:rsidRPr="006676EE">
        <w:rPr>
          <w:rFonts w:ascii="Arial" w:hAnsi="Arial" w:cs="Arial"/>
          <w:sz w:val="20"/>
          <w:szCs w:val="20"/>
        </w:rPr>
        <w:t>alkoholické nápoje a tabák</w:t>
      </w:r>
      <w:r w:rsidR="00620EAF">
        <w:rPr>
          <w:rFonts w:ascii="Arial" w:hAnsi="Arial" w:cs="Arial"/>
          <w:sz w:val="20"/>
          <w:szCs w:val="20"/>
        </w:rPr>
        <w:t xml:space="preserve"> </w:t>
      </w:r>
      <w:r w:rsidR="00620EAF">
        <w:rPr>
          <w:rFonts w:ascii="Arial" w:hAnsi="Arial" w:cs="Arial"/>
          <w:b w:val="0"/>
          <w:sz w:val="20"/>
          <w:szCs w:val="20"/>
        </w:rPr>
        <w:t>ovlivnily</w:t>
      </w:r>
      <w:r>
        <w:rPr>
          <w:rFonts w:ascii="Arial" w:hAnsi="Arial" w:cs="Arial"/>
          <w:b w:val="0"/>
          <w:sz w:val="20"/>
          <w:szCs w:val="20"/>
        </w:rPr>
        <w:t xml:space="preserve"> ceny alkoholických nápojů</w:t>
      </w:r>
      <w:r w:rsidR="00620EAF">
        <w:rPr>
          <w:rFonts w:ascii="Arial" w:hAnsi="Arial" w:cs="Arial"/>
          <w:b w:val="0"/>
          <w:sz w:val="20"/>
          <w:szCs w:val="20"/>
        </w:rPr>
        <w:t xml:space="preserve">, které </w:t>
      </w:r>
      <w:r>
        <w:rPr>
          <w:rFonts w:ascii="Arial" w:hAnsi="Arial" w:cs="Arial"/>
          <w:b w:val="0"/>
          <w:sz w:val="20"/>
          <w:szCs w:val="20"/>
        </w:rPr>
        <w:t xml:space="preserve">byly </w:t>
      </w:r>
      <w:r w:rsidR="00EB6BF6">
        <w:rPr>
          <w:rFonts w:ascii="Arial" w:hAnsi="Arial" w:cs="Arial"/>
          <w:b w:val="0"/>
          <w:sz w:val="20"/>
          <w:szCs w:val="20"/>
        </w:rPr>
        <w:t>ve 2. čtvrtletí vyšší o 0,9 % (</w:t>
      </w:r>
      <w:r>
        <w:rPr>
          <w:rFonts w:ascii="Arial" w:hAnsi="Arial" w:cs="Arial"/>
          <w:b w:val="0"/>
          <w:sz w:val="20"/>
          <w:szCs w:val="20"/>
        </w:rPr>
        <w:t>v 1. čtvrtletí 2014 o 3,3 %</w:t>
      </w:r>
      <w:r w:rsidR="00EB6BF6">
        <w:rPr>
          <w:rFonts w:ascii="Arial" w:hAnsi="Arial" w:cs="Arial"/>
          <w:b w:val="0"/>
          <w:sz w:val="20"/>
          <w:szCs w:val="20"/>
        </w:rPr>
        <w:t>).</w:t>
      </w:r>
    </w:p>
    <w:p w:rsidR="00BB6E1E" w:rsidRDefault="00BB6E1E" w:rsidP="001F1E26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741692" w:rsidRDefault="00741692" w:rsidP="00A35701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8C7D0C" w:rsidRDefault="00791C5C" w:rsidP="00AF5459">
      <w:pPr>
        <w:pStyle w:val="Zkladntextodsazen2"/>
        <w:ind w:firstLine="0"/>
        <w:rPr>
          <w:rFonts w:ascii="Arial" w:hAnsi="Arial" w:cs="Arial"/>
          <w:b w:val="0"/>
          <w:bCs w:val="0"/>
          <w:sz w:val="20"/>
          <w:szCs w:val="20"/>
        </w:rPr>
      </w:pPr>
      <w:r w:rsidRPr="00791C5C">
        <w:rPr>
          <w:rFonts w:ascii="Arial" w:hAnsi="Arial" w:cs="Arial"/>
          <w:b w:val="0"/>
          <w:sz w:val="20"/>
          <w:szCs w:val="20"/>
        </w:rPr>
        <w:t>V oddíle</w:t>
      </w:r>
      <w:r>
        <w:rPr>
          <w:rFonts w:ascii="Arial" w:hAnsi="Arial" w:cs="Arial"/>
          <w:sz w:val="20"/>
          <w:szCs w:val="20"/>
        </w:rPr>
        <w:t xml:space="preserve"> </w:t>
      </w:r>
      <w:r w:rsidR="008C7D0C" w:rsidRPr="005D4D9E">
        <w:rPr>
          <w:rFonts w:ascii="Arial" w:hAnsi="Arial" w:cs="Arial"/>
          <w:sz w:val="20"/>
          <w:szCs w:val="20"/>
        </w:rPr>
        <w:t>doprava</w:t>
      </w:r>
      <w:r w:rsidR="008C7D0C" w:rsidRPr="005D4D9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B6BF6">
        <w:rPr>
          <w:rFonts w:ascii="Arial" w:hAnsi="Arial" w:cs="Arial"/>
          <w:b w:val="0"/>
          <w:bCs w:val="0"/>
          <w:sz w:val="20"/>
          <w:szCs w:val="20"/>
        </w:rPr>
        <w:t>se ve 2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 čtvrtletí </w:t>
      </w:r>
      <w:r w:rsidR="00EB6BF6">
        <w:rPr>
          <w:rFonts w:ascii="Arial" w:hAnsi="Arial" w:cs="Arial"/>
          <w:b w:val="0"/>
          <w:bCs w:val="0"/>
          <w:sz w:val="20"/>
          <w:szCs w:val="20"/>
        </w:rPr>
        <w:t>růst cen mírně zvýšil</w:t>
      </w:r>
      <w:r w:rsidR="00BB6E1E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Důvodem byly především ceny pohonných hmot, </w:t>
      </w:r>
      <w:r w:rsidR="006676EE">
        <w:rPr>
          <w:rFonts w:ascii="Arial" w:hAnsi="Arial" w:cs="Arial"/>
          <w:b w:val="0"/>
          <w:bCs w:val="0"/>
          <w:sz w:val="20"/>
          <w:szCs w:val="20"/>
        </w:rPr>
        <w:t xml:space="preserve">které </w:t>
      </w:r>
      <w:r w:rsidR="00BB6E1E">
        <w:rPr>
          <w:rFonts w:ascii="Arial" w:hAnsi="Arial" w:cs="Arial"/>
          <w:b w:val="0"/>
          <w:bCs w:val="0"/>
          <w:sz w:val="20"/>
          <w:szCs w:val="20"/>
        </w:rPr>
        <w:t>vzrostly o 1,0 % (v 1. čtvrtletí o 0,3 %) vlivem jejich zvyšování v květnu a</w:t>
      </w:r>
      <w:r w:rsidR="00F21ECC">
        <w:rPr>
          <w:rFonts w:ascii="Arial" w:hAnsi="Arial" w:cs="Arial"/>
          <w:b w:val="0"/>
          <w:bCs w:val="0"/>
          <w:sz w:val="20"/>
          <w:szCs w:val="20"/>
        </w:rPr>
        <w:t> </w:t>
      </w:r>
      <w:r w:rsidR="00BB6E1E">
        <w:rPr>
          <w:rFonts w:ascii="Arial" w:hAnsi="Arial" w:cs="Arial"/>
          <w:b w:val="0"/>
          <w:bCs w:val="0"/>
          <w:sz w:val="20"/>
          <w:szCs w:val="20"/>
        </w:rPr>
        <w:t>červnu.</w:t>
      </w:r>
      <w:r w:rsidR="00F21EC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C7D0C" w:rsidRPr="005D4D9E">
        <w:rPr>
          <w:rFonts w:ascii="Arial" w:hAnsi="Arial" w:cs="Arial"/>
          <w:b w:val="0"/>
          <w:bCs w:val="0"/>
          <w:sz w:val="20"/>
          <w:szCs w:val="20"/>
        </w:rPr>
        <w:t>Vývoj spotřebitelských cen pohonných hmot ve vztahu k cenám průmyslových výrobců a dovozním cenám ropných výrobků znázorňuje následující graf</w:t>
      </w:r>
      <w:r w:rsidR="008C7D0C" w:rsidRPr="0009756B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2C0F54" w:rsidRDefault="00DA532B" w:rsidP="002C0F54">
      <w:pPr>
        <w:pStyle w:val="Zkladntextodsazen2"/>
        <w:ind w:firstLine="0"/>
        <w:rPr>
          <w:noProof/>
        </w:rPr>
      </w:pPr>
      <w:r>
        <w:rPr>
          <w:noProof/>
        </w:rPr>
        <w:lastRenderedPageBreak/>
        <w:pict>
          <v:shape id="_x0000_i1028" type="#_x0000_t75" style="width:425.4pt;height:304.8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6A42DA" w:rsidRDefault="006A42DA" w:rsidP="008C7D0C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8C7D0C" w:rsidRDefault="008C7D0C" w:rsidP="008C7D0C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V</w:t>
      </w:r>
      <w:r w:rsidRPr="00D91C69">
        <w:rPr>
          <w:rFonts w:ascii="Arial" w:hAnsi="Arial" w:cs="Arial"/>
          <w:b w:val="0"/>
          <w:sz w:val="20"/>
          <w:szCs w:val="20"/>
        </w:rPr>
        <w:t> oddíle</w:t>
      </w:r>
      <w:r w:rsidRPr="00D91C69">
        <w:rPr>
          <w:rFonts w:ascii="Arial" w:hAnsi="Arial" w:cs="Arial"/>
          <w:sz w:val="20"/>
          <w:szCs w:val="20"/>
        </w:rPr>
        <w:t xml:space="preserve"> pošty a telekomunikace </w:t>
      </w:r>
      <w:r w:rsidR="00F956B0" w:rsidRPr="00F956B0">
        <w:rPr>
          <w:rFonts w:ascii="Arial" w:hAnsi="Arial" w:cs="Arial"/>
          <w:b w:val="0"/>
          <w:sz w:val="20"/>
          <w:szCs w:val="20"/>
        </w:rPr>
        <w:t>zvolni</w:t>
      </w:r>
      <w:r w:rsidR="00F956B0">
        <w:rPr>
          <w:rFonts w:ascii="Arial" w:hAnsi="Arial" w:cs="Arial"/>
          <w:b w:val="0"/>
          <w:sz w:val="20"/>
          <w:szCs w:val="20"/>
        </w:rPr>
        <w:t>l</w:t>
      </w:r>
      <w:r w:rsidR="00461369">
        <w:rPr>
          <w:rFonts w:ascii="Arial" w:hAnsi="Arial" w:cs="Arial"/>
          <w:b w:val="0"/>
          <w:sz w:val="20"/>
          <w:szCs w:val="20"/>
        </w:rPr>
        <w:t xml:space="preserve"> </w:t>
      </w:r>
      <w:r w:rsidR="009C3B99" w:rsidRPr="004F13EE">
        <w:rPr>
          <w:rFonts w:ascii="Arial" w:hAnsi="Arial" w:cs="Arial"/>
          <w:b w:val="0"/>
          <w:sz w:val="20"/>
          <w:szCs w:val="20"/>
        </w:rPr>
        <w:t>pokles</w:t>
      </w:r>
      <w:r w:rsidR="009C3B99">
        <w:rPr>
          <w:rFonts w:ascii="Arial" w:hAnsi="Arial" w:cs="Arial"/>
          <w:b w:val="0"/>
          <w:sz w:val="20"/>
          <w:szCs w:val="20"/>
        </w:rPr>
        <w:t xml:space="preserve"> cen telefonických a telefaxových služeb </w:t>
      </w:r>
      <w:r w:rsidR="00F956B0">
        <w:rPr>
          <w:rFonts w:ascii="Arial" w:hAnsi="Arial" w:cs="Arial"/>
          <w:b w:val="0"/>
          <w:sz w:val="20"/>
          <w:szCs w:val="20"/>
        </w:rPr>
        <w:t>na</w:t>
      </w:r>
      <w:r w:rsidR="009D3B0D">
        <w:rPr>
          <w:rFonts w:ascii="Arial" w:hAnsi="Arial" w:cs="Arial"/>
          <w:b w:val="0"/>
          <w:sz w:val="20"/>
          <w:szCs w:val="20"/>
        </w:rPr>
        <w:t> </w:t>
      </w:r>
      <w:r w:rsidR="00467CB7">
        <w:rPr>
          <w:rFonts w:ascii="Arial" w:hAnsi="Arial" w:cs="Arial"/>
          <w:b w:val="0"/>
          <w:sz w:val="20"/>
          <w:szCs w:val="20"/>
        </w:rPr>
        <w:t>5,2</w:t>
      </w:r>
      <w:r w:rsidR="0040413A">
        <w:rPr>
          <w:rFonts w:ascii="Arial" w:hAnsi="Arial" w:cs="Arial"/>
          <w:b w:val="0"/>
          <w:sz w:val="20"/>
          <w:szCs w:val="20"/>
        </w:rPr>
        <w:t> %</w:t>
      </w:r>
      <w:r w:rsidR="00F80FB9">
        <w:rPr>
          <w:rFonts w:ascii="Arial" w:hAnsi="Arial" w:cs="Arial"/>
          <w:b w:val="0"/>
          <w:sz w:val="20"/>
          <w:szCs w:val="20"/>
        </w:rPr>
        <w:t>.</w:t>
      </w:r>
    </w:p>
    <w:p w:rsidR="008C7D0C" w:rsidRDefault="00DA532B" w:rsidP="002C0F54">
      <w:pPr>
        <w:pStyle w:val="Zkladntextodsazen2"/>
        <w:ind w:firstLine="0"/>
        <w:rPr>
          <w:noProof/>
        </w:rPr>
      </w:pPr>
      <w:r>
        <w:rPr>
          <w:noProof/>
        </w:rPr>
        <w:pict>
          <v:shape id="_x0000_i1029" type="#_x0000_t75" style="width:432.6pt;height:250.8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</v:shape>
        </w:pict>
      </w:r>
    </w:p>
    <w:p w:rsidR="008C7D0C" w:rsidRDefault="008C7D0C" w:rsidP="002C0F54">
      <w:pPr>
        <w:pStyle w:val="Zkladntextodsazen2"/>
        <w:ind w:firstLine="0"/>
        <w:rPr>
          <w:noProof/>
        </w:rPr>
      </w:pPr>
    </w:p>
    <w:p w:rsidR="002C0F54" w:rsidRPr="00814FE8" w:rsidRDefault="002C0F54" w:rsidP="002C0F54">
      <w:pPr>
        <w:pStyle w:val="Zkladntextodsazen2"/>
        <w:spacing w:line="276" w:lineRule="auto"/>
        <w:ind w:firstLine="0"/>
        <w:rPr>
          <w:rFonts w:ascii="Arial" w:hAnsi="Arial" w:cs="Arial"/>
          <w:sz w:val="20"/>
          <w:szCs w:val="20"/>
          <w:highlight w:val="yellow"/>
        </w:rPr>
      </w:pPr>
    </w:p>
    <w:p w:rsidR="002C0F54" w:rsidRDefault="0040413A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</w:t>
      </w:r>
      <w:r w:rsidR="002C0F54"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>y</w:t>
      </w:r>
      <w:r w:rsidR="002C0F54" w:rsidRPr="00C044CA">
        <w:rPr>
          <w:rFonts w:ascii="Arial" w:hAnsi="Arial"/>
          <w:sz w:val="20"/>
          <w:szCs w:val="20"/>
        </w:rPr>
        <w:t xml:space="preserve"> </w:t>
      </w:r>
      <w:r w:rsidR="002C0F54" w:rsidRPr="00C044CA">
        <w:rPr>
          <w:rFonts w:ascii="Arial" w:hAnsi="Arial"/>
          <w:b/>
          <w:bCs/>
          <w:sz w:val="20"/>
          <w:szCs w:val="20"/>
        </w:rPr>
        <w:t>zboží úhrnem</w:t>
      </w:r>
      <w:r w:rsidR="002C0F54" w:rsidRPr="00C044C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přešly z růstu o</w:t>
      </w:r>
      <w:r w:rsidR="00A452A1">
        <w:rPr>
          <w:rFonts w:ascii="Arial" w:hAnsi="Arial"/>
          <w:sz w:val="20"/>
          <w:szCs w:val="20"/>
        </w:rPr>
        <w:t> 0</w:t>
      </w:r>
      <w:r w:rsidR="002C0F54" w:rsidRPr="00C044CA">
        <w:rPr>
          <w:rFonts w:ascii="Arial" w:hAnsi="Arial"/>
          <w:sz w:val="20"/>
          <w:szCs w:val="20"/>
        </w:rPr>
        <w:t>,</w:t>
      </w:r>
      <w:r w:rsidR="00ED0E42">
        <w:rPr>
          <w:rFonts w:ascii="Arial" w:hAnsi="Arial"/>
          <w:sz w:val="20"/>
          <w:szCs w:val="20"/>
        </w:rPr>
        <w:t>3</w:t>
      </w:r>
      <w:r w:rsidR="00440D14">
        <w:rPr>
          <w:rFonts w:ascii="Arial" w:hAnsi="Arial"/>
          <w:sz w:val="20"/>
          <w:szCs w:val="20"/>
        </w:rPr>
        <w:t> </w:t>
      </w:r>
      <w:r w:rsidR="00ED0E42">
        <w:rPr>
          <w:rFonts w:ascii="Arial" w:hAnsi="Arial"/>
          <w:sz w:val="20"/>
          <w:szCs w:val="20"/>
        </w:rPr>
        <w:t>%</w:t>
      </w:r>
      <w:r w:rsidR="00440D1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 1. čtvrtletí v pokles o 0,1 % ve 2</w:t>
      </w:r>
      <w:r w:rsidR="00A452A1">
        <w:rPr>
          <w:rFonts w:ascii="Arial" w:hAnsi="Arial"/>
          <w:sz w:val="20"/>
          <w:szCs w:val="20"/>
        </w:rPr>
        <w:t>. č</w:t>
      </w:r>
      <w:r w:rsidR="002C0F54">
        <w:rPr>
          <w:rFonts w:ascii="Arial" w:hAnsi="Arial"/>
          <w:sz w:val="20"/>
          <w:szCs w:val="20"/>
        </w:rPr>
        <w:t>tvrtletí</w:t>
      </w:r>
      <w:r>
        <w:rPr>
          <w:rFonts w:ascii="Arial" w:hAnsi="Arial"/>
          <w:sz w:val="20"/>
          <w:szCs w:val="20"/>
        </w:rPr>
        <w:t xml:space="preserve"> 2014</w:t>
      </w:r>
      <w:r w:rsidR="002C0F54">
        <w:rPr>
          <w:rFonts w:ascii="Arial" w:hAnsi="Arial"/>
          <w:sz w:val="20"/>
          <w:szCs w:val="20"/>
        </w:rPr>
        <w:t xml:space="preserve"> a</w:t>
      </w:r>
      <w:r w:rsidR="00DF1780">
        <w:rPr>
          <w:rFonts w:ascii="Arial" w:hAnsi="Arial"/>
          <w:sz w:val="20"/>
          <w:szCs w:val="20"/>
        </w:rPr>
        <w:t xml:space="preserve"> </w:t>
      </w:r>
      <w:r w:rsidR="002C0F54"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sz w:val="20"/>
          <w:szCs w:val="20"/>
        </w:rPr>
        <w:t>y</w:t>
      </w:r>
      <w:r w:rsidR="002C0F54" w:rsidRPr="00C044CA">
        <w:rPr>
          <w:rFonts w:ascii="Arial" w:hAnsi="Arial"/>
          <w:sz w:val="20"/>
          <w:szCs w:val="20"/>
        </w:rPr>
        <w:t xml:space="preserve"> </w:t>
      </w:r>
      <w:r w:rsidR="002C0F54" w:rsidRPr="00C044CA">
        <w:rPr>
          <w:rFonts w:ascii="Arial" w:hAnsi="Arial"/>
          <w:b/>
          <w:bCs/>
          <w:sz w:val="20"/>
          <w:szCs w:val="20"/>
        </w:rPr>
        <w:t xml:space="preserve">služeb </w:t>
      </w:r>
      <w:r w:rsidRPr="0040413A">
        <w:rPr>
          <w:rFonts w:ascii="Arial" w:hAnsi="Arial"/>
          <w:bCs/>
          <w:sz w:val="20"/>
          <w:szCs w:val="20"/>
        </w:rPr>
        <w:t>zrychlily z</w:t>
      </w:r>
      <w:r>
        <w:rPr>
          <w:rFonts w:ascii="Arial" w:hAnsi="Arial"/>
          <w:b/>
          <w:bCs/>
          <w:sz w:val="20"/>
          <w:szCs w:val="20"/>
        </w:rPr>
        <w:t> </w:t>
      </w:r>
      <w:r w:rsidR="008E431F">
        <w:rPr>
          <w:rFonts w:ascii="Arial" w:hAnsi="Arial"/>
          <w:sz w:val="20"/>
          <w:szCs w:val="20"/>
        </w:rPr>
        <w:t>nulov</w:t>
      </w:r>
      <w:r>
        <w:rPr>
          <w:rFonts w:ascii="Arial" w:hAnsi="Arial"/>
          <w:sz w:val="20"/>
          <w:szCs w:val="20"/>
        </w:rPr>
        <w:t>ého růstu na 0,6 %</w:t>
      </w:r>
      <w:r w:rsidR="00927C13">
        <w:rPr>
          <w:rFonts w:ascii="Arial" w:hAnsi="Arial"/>
          <w:sz w:val="20"/>
          <w:szCs w:val="20"/>
        </w:rPr>
        <w:t xml:space="preserve"> </w:t>
      </w:r>
      <w:r w:rsidR="00A452A1">
        <w:rPr>
          <w:rFonts w:ascii="Arial" w:hAnsi="Arial"/>
          <w:sz w:val="20"/>
          <w:szCs w:val="20"/>
        </w:rPr>
        <w:t>v</w:t>
      </w:r>
      <w:r w:rsidR="00927C13">
        <w:rPr>
          <w:rFonts w:ascii="Arial" w:hAnsi="Arial"/>
          <w:sz w:val="20"/>
          <w:szCs w:val="20"/>
        </w:rPr>
        <w:t>e 2</w:t>
      </w:r>
      <w:r w:rsidR="00A452A1">
        <w:rPr>
          <w:rFonts w:ascii="Arial" w:hAnsi="Arial"/>
          <w:sz w:val="20"/>
          <w:szCs w:val="20"/>
        </w:rPr>
        <w:t xml:space="preserve">. </w:t>
      </w:r>
      <w:r w:rsidR="008C3EAC">
        <w:rPr>
          <w:rFonts w:ascii="Arial" w:hAnsi="Arial"/>
          <w:sz w:val="20"/>
          <w:szCs w:val="20"/>
        </w:rPr>
        <w:t>č</w:t>
      </w:r>
      <w:r w:rsidR="00927C13">
        <w:rPr>
          <w:rFonts w:ascii="Arial" w:hAnsi="Arial"/>
          <w:sz w:val="20"/>
          <w:szCs w:val="20"/>
        </w:rPr>
        <w:t>tvrtletí 2014</w:t>
      </w:r>
      <w:r w:rsidR="009C3B99">
        <w:rPr>
          <w:rFonts w:ascii="Arial" w:hAnsi="Arial"/>
          <w:sz w:val="20"/>
          <w:szCs w:val="20"/>
        </w:rPr>
        <w:t>.</w:t>
      </w:r>
    </w:p>
    <w:p w:rsidR="002C0F54" w:rsidRDefault="00DA532B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CB59B4">
        <w:rPr>
          <w:rFonts w:ascii="Arial" w:hAnsi="Arial"/>
          <w:sz w:val="20"/>
          <w:szCs w:val="20"/>
        </w:rPr>
        <w:pict>
          <v:shape id="_x0000_i1030" type="#_x0000_t75" style="width:419.4pt;height:249.6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2C0F54" w:rsidRDefault="002C0F54" w:rsidP="002C0F54">
      <w:pPr>
        <w:pStyle w:val="Zkladntext"/>
        <w:rPr>
          <w:rFonts w:ascii="Arial" w:hAnsi="Arial" w:cs="Arial"/>
        </w:rPr>
      </w:pPr>
    </w:p>
    <w:p w:rsidR="002C0F54" w:rsidRDefault="002C0F54" w:rsidP="002C0F54">
      <w:pPr>
        <w:pStyle w:val="Zkladntext"/>
        <w:rPr>
          <w:rFonts w:ascii="Arial" w:hAnsi="Arial" w:cs="Arial"/>
        </w:rPr>
      </w:pPr>
    </w:p>
    <w:p w:rsidR="002C0F54" w:rsidRPr="00FF2F4D" w:rsidRDefault="0013480D" w:rsidP="002C0F54">
      <w:pPr>
        <w:pStyle w:val="Nadpis3"/>
      </w:pPr>
      <w:r w:rsidRPr="004B4C91">
        <w:t>H</w:t>
      </w:r>
      <w:r w:rsidR="002C0F54" w:rsidRPr="004B4C91">
        <w:t>armonizovaný index spotřebitelských cen v zóně EU28</w:t>
      </w:r>
    </w:p>
    <w:p w:rsidR="002C0F54" w:rsidRPr="00FF2F4D" w:rsidRDefault="002C0F54" w:rsidP="00C03B5B">
      <w:pPr>
        <w:pStyle w:val="Nadpis3"/>
        <w:jc w:val="both"/>
        <w:rPr>
          <w:rFonts w:cs="Arial"/>
          <w:b w:val="0"/>
          <w:bCs w:val="0"/>
        </w:rPr>
      </w:pPr>
      <w:r w:rsidRPr="00FF2F4D">
        <w:rPr>
          <w:rFonts w:cs="Arial"/>
          <w:b w:val="0"/>
        </w:rPr>
        <w:t xml:space="preserve">Meziroční přírůstek </w:t>
      </w:r>
      <w:r w:rsidRPr="00FF2F4D">
        <w:rPr>
          <w:rFonts w:cs="Arial"/>
          <w:b w:val="0"/>
          <w:bCs w:val="0"/>
        </w:rPr>
        <w:t>harmonizovaného indexu spotřebitelských cen</w:t>
      </w:r>
      <w:r w:rsidRPr="00FF2F4D">
        <w:rPr>
          <w:rFonts w:cs="Arial"/>
          <w:b w:val="0"/>
        </w:rPr>
        <w:t xml:space="preserve"> (HICP) 28 členských zemí EU byl podle údajů </w:t>
      </w:r>
      <w:proofErr w:type="spellStart"/>
      <w:r w:rsidRPr="00FF2F4D">
        <w:rPr>
          <w:rFonts w:cs="Arial"/>
          <w:b w:val="0"/>
        </w:rPr>
        <w:t>Eurostatu</w:t>
      </w:r>
      <w:proofErr w:type="spellEnd"/>
      <w:r w:rsidRPr="00FF2F4D">
        <w:rPr>
          <w:rFonts w:cs="Arial"/>
          <w:b w:val="0"/>
        </w:rPr>
        <w:t xml:space="preserve"> </w:t>
      </w:r>
      <w:r w:rsidRPr="00FF2F4D">
        <w:rPr>
          <w:rFonts w:cs="Arial"/>
          <w:bCs w:val="0"/>
        </w:rPr>
        <w:t>v </w:t>
      </w:r>
      <w:r w:rsidR="00927C13">
        <w:rPr>
          <w:rFonts w:cs="Arial"/>
          <w:bCs w:val="0"/>
        </w:rPr>
        <w:t>dubnu</w:t>
      </w:r>
      <w:r w:rsidR="00927C13">
        <w:rPr>
          <w:rFonts w:cs="Arial"/>
          <w:b w:val="0"/>
          <w:bCs w:val="0"/>
        </w:rPr>
        <w:t xml:space="preserve"> 0,8</w:t>
      </w:r>
      <w:r w:rsidRPr="00FF2F4D">
        <w:rPr>
          <w:rFonts w:cs="Arial"/>
          <w:b w:val="0"/>
          <w:bCs w:val="0"/>
        </w:rPr>
        <w:t xml:space="preserve"> % a </w:t>
      </w:r>
      <w:r w:rsidRPr="00FF2F4D">
        <w:rPr>
          <w:rFonts w:cs="Arial"/>
          <w:bCs w:val="0"/>
        </w:rPr>
        <w:t>v</w:t>
      </w:r>
      <w:r w:rsidR="0013480D">
        <w:rPr>
          <w:rFonts w:cs="Arial"/>
          <w:bCs w:val="0"/>
        </w:rPr>
        <w:t> </w:t>
      </w:r>
      <w:r w:rsidR="00927C13">
        <w:rPr>
          <w:rFonts w:cs="Arial"/>
          <w:bCs w:val="0"/>
        </w:rPr>
        <w:t>květnu</w:t>
      </w:r>
      <w:r w:rsidR="0013480D">
        <w:rPr>
          <w:rFonts w:cs="Arial"/>
          <w:bCs w:val="0"/>
        </w:rPr>
        <w:t xml:space="preserve"> </w:t>
      </w:r>
      <w:r w:rsidR="003B45CC" w:rsidRPr="003B45CC">
        <w:rPr>
          <w:rFonts w:cs="Arial"/>
          <w:b w:val="0"/>
          <w:bCs w:val="0"/>
        </w:rPr>
        <w:t>0,</w:t>
      </w:r>
      <w:r w:rsidR="00927C13">
        <w:rPr>
          <w:rFonts w:cs="Arial"/>
          <w:b w:val="0"/>
          <w:bCs w:val="0"/>
        </w:rPr>
        <w:t>6</w:t>
      </w:r>
      <w:r w:rsidRPr="00FF2F4D">
        <w:rPr>
          <w:rFonts w:cs="Arial"/>
          <w:b w:val="0"/>
          <w:bCs w:val="0"/>
        </w:rPr>
        <w:t> %.</w:t>
      </w:r>
      <w:r w:rsidRPr="00FF2F4D">
        <w:rPr>
          <w:rFonts w:cs="Arial"/>
          <w:b w:val="0"/>
        </w:rPr>
        <w:t xml:space="preserve"> V ČR byly mezir</w:t>
      </w:r>
      <w:r w:rsidR="0013480D">
        <w:rPr>
          <w:rFonts w:cs="Arial"/>
          <w:b w:val="0"/>
        </w:rPr>
        <w:t xml:space="preserve">oční hodnoty v těchto měsících </w:t>
      </w:r>
      <w:r w:rsidR="00927C13">
        <w:rPr>
          <w:rFonts w:cs="Arial"/>
          <w:b w:val="0"/>
        </w:rPr>
        <w:t>0,2</w:t>
      </w:r>
      <w:r w:rsidRPr="00FF2F4D">
        <w:rPr>
          <w:rFonts w:cs="Arial"/>
          <w:b w:val="0"/>
        </w:rPr>
        <w:t> %</w:t>
      </w:r>
      <w:r w:rsidR="00927C13">
        <w:rPr>
          <w:rFonts w:cs="Arial"/>
          <w:b w:val="0"/>
        </w:rPr>
        <w:t>, resp. 0,5 %.</w:t>
      </w:r>
      <w:r w:rsidRPr="00FF2F4D">
        <w:rPr>
          <w:rFonts w:cs="Arial"/>
          <w:b w:val="0"/>
        </w:rPr>
        <w:t xml:space="preserve"> Podle předběžných údajů </w:t>
      </w:r>
      <w:r w:rsidR="00927C13">
        <w:rPr>
          <w:rFonts w:cs="Arial"/>
          <w:b w:val="0"/>
        </w:rPr>
        <w:t xml:space="preserve">byla změna </w:t>
      </w:r>
      <w:r w:rsidRPr="00FF2F4D">
        <w:rPr>
          <w:rFonts w:cs="Arial"/>
          <w:b w:val="0"/>
        </w:rPr>
        <w:t>HICP v</w:t>
      </w:r>
      <w:r w:rsidR="0013480D">
        <w:rPr>
          <w:rFonts w:cs="Arial"/>
          <w:b w:val="0"/>
        </w:rPr>
        <w:t> </w:t>
      </w:r>
      <w:r w:rsidRPr="00FF2F4D">
        <w:rPr>
          <w:rFonts w:cs="Arial"/>
          <w:b w:val="0"/>
        </w:rPr>
        <w:t>ČR</w:t>
      </w:r>
      <w:r w:rsidR="0013480D">
        <w:rPr>
          <w:rFonts w:cs="Arial"/>
          <w:b w:val="0"/>
        </w:rPr>
        <w:t xml:space="preserve"> </w:t>
      </w:r>
      <w:r w:rsidR="00927C13">
        <w:rPr>
          <w:rFonts w:cs="Arial"/>
          <w:b w:val="0"/>
        </w:rPr>
        <w:t>v </w:t>
      </w:r>
      <w:r w:rsidR="00927C13" w:rsidRPr="00927C13">
        <w:rPr>
          <w:rFonts w:cs="Arial"/>
        </w:rPr>
        <w:t>červnu</w:t>
      </w:r>
      <w:r w:rsidR="00927C13">
        <w:rPr>
          <w:rFonts w:cs="Arial"/>
          <w:b w:val="0"/>
        </w:rPr>
        <w:t xml:space="preserve"> 0,0 %.</w:t>
      </w:r>
      <w:r w:rsidRPr="00FF2F4D">
        <w:rPr>
          <w:rFonts w:cs="Arial"/>
          <w:b w:val="0"/>
        </w:rPr>
        <w:t xml:space="preserve"> Z níže uvedeného grafu je zřejmé, </w:t>
      </w:r>
      <w:r w:rsidR="003B45CC">
        <w:rPr>
          <w:rFonts w:cs="Arial"/>
          <w:b w:val="0"/>
        </w:rPr>
        <w:t xml:space="preserve">že k postupnému snižování meziroční inflace došlo i v rámci zemí EU. </w:t>
      </w:r>
      <w:r w:rsidR="009443AE">
        <w:rPr>
          <w:rFonts w:cs="Arial"/>
          <w:b w:val="0"/>
        </w:rPr>
        <w:t>M</w:t>
      </w:r>
      <w:r w:rsidRPr="00FF2F4D">
        <w:rPr>
          <w:rFonts w:cs="Arial"/>
          <w:b w:val="0"/>
        </w:rPr>
        <w:t>ez</w:t>
      </w:r>
      <w:r w:rsidR="0013480D">
        <w:rPr>
          <w:rFonts w:cs="Arial"/>
          <w:b w:val="0"/>
        </w:rPr>
        <w:t>iroční HICP v ČR byl v roce 2012</w:t>
      </w:r>
      <w:r w:rsidRPr="00FF2F4D">
        <w:rPr>
          <w:rFonts w:cs="Arial"/>
          <w:b w:val="0"/>
        </w:rPr>
        <w:t xml:space="preserve"> </w:t>
      </w:r>
      <w:r w:rsidR="0013480D">
        <w:rPr>
          <w:rFonts w:cs="Arial"/>
          <w:b w:val="0"/>
        </w:rPr>
        <w:t xml:space="preserve">vyšší </w:t>
      </w:r>
      <w:r>
        <w:rPr>
          <w:rFonts w:cs="Arial"/>
          <w:b w:val="0"/>
        </w:rPr>
        <w:t>než průměrný HICP ve 28</w:t>
      </w:r>
      <w:r w:rsidRPr="00FF2F4D">
        <w:rPr>
          <w:rFonts w:cs="Arial"/>
          <w:b w:val="0"/>
        </w:rPr>
        <w:t xml:space="preserve"> členských zemích </w:t>
      </w:r>
      <w:r w:rsidRPr="00FF2F4D">
        <w:rPr>
          <w:rFonts w:cs="Arial"/>
          <w:b w:val="0"/>
          <w:bCs w:val="0"/>
        </w:rPr>
        <w:t>EU. V posledních měsících roku 2012 se tento rozdíl začal snižovat</w:t>
      </w:r>
      <w:r w:rsidR="003D352D">
        <w:rPr>
          <w:rFonts w:cs="Arial"/>
          <w:b w:val="0"/>
          <w:bCs w:val="0"/>
        </w:rPr>
        <w:t xml:space="preserve"> a </w:t>
      </w:r>
      <w:r>
        <w:rPr>
          <w:rFonts w:cs="Arial"/>
          <w:b w:val="0"/>
          <w:bCs w:val="0"/>
        </w:rPr>
        <w:t>v</w:t>
      </w:r>
      <w:r w:rsidRPr="00FF2F4D">
        <w:rPr>
          <w:rFonts w:cs="Arial"/>
          <w:b w:val="0"/>
          <w:bCs w:val="0"/>
        </w:rPr>
        <w:t> roce 2013 se tyto hodnoty přiblížily</w:t>
      </w:r>
      <w:r w:rsidR="009443AE">
        <w:rPr>
          <w:rFonts w:cs="Arial"/>
          <w:b w:val="0"/>
          <w:bCs w:val="0"/>
        </w:rPr>
        <w:t>.</w:t>
      </w:r>
      <w:r w:rsidR="004620A4">
        <w:rPr>
          <w:rFonts w:cs="Arial"/>
          <w:b w:val="0"/>
          <w:bCs w:val="0"/>
        </w:rPr>
        <w:t xml:space="preserve"> </w:t>
      </w:r>
      <w:r w:rsidR="00E16B08">
        <w:rPr>
          <w:rFonts w:cs="Arial"/>
          <w:b w:val="0"/>
          <w:bCs w:val="0"/>
        </w:rPr>
        <w:t xml:space="preserve">Od počátku roku </w:t>
      </w:r>
      <w:r w:rsidR="009443AE">
        <w:rPr>
          <w:rFonts w:cs="Arial"/>
          <w:b w:val="0"/>
          <w:bCs w:val="0"/>
        </w:rPr>
        <w:t>2014</w:t>
      </w:r>
      <w:r w:rsidR="009443AE" w:rsidRPr="009443AE">
        <w:rPr>
          <w:rFonts w:cs="Arial"/>
          <w:b w:val="0"/>
          <w:bCs w:val="0"/>
        </w:rPr>
        <w:t xml:space="preserve"> </w:t>
      </w:r>
      <w:r w:rsidR="009443AE">
        <w:rPr>
          <w:rFonts w:cs="Arial"/>
          <w:b w:val="0"/>
          <w:bCs w:val="0"/>
        </w:rPr>
        <w:t xml:space="preserve">však přírůstek HICP v ČR </w:t>
      </w:r>
      <w:r w:rsidR="00E16B08">
        <w:rPr>
          <w:rFonts w:cs="Arial"/>
          <w:b w:val="0"/>
          <w:bCs w:val="0"/>
        </w:rPr>
        <w:t>klesal výrazněji</w:t>
      </w:r>
      <w:r w:rsidR="009443AE">
        <w:rPr>
          <w:rFonts w:cs="Arial"/>
          <w:b w:val="0"/>
          <w:bCs w:val="0"/>
        </w:rPr>
        <w:t xml:space="preserve"> než </w:t>
      </w:r>
      <w:r w:rsidR="004620A4">
        <w:rPr>
          <w:rFonts w:cs="Arial"/>
          <w:b w:val="0"/>
          <w:bCs w:val="0"/>
        </w:rPr>
        <w:t>přírůstek HICP EU28</w:t>
      </w:r>
      <w:r w:rsidR="009443AE">
        <w:rPr>
          <w:rFonts w:cs="Arial"/>
          <w:b w:val="0"/>
          <w:bCs w:val="0"/>
        </w:rPr>
        <w:t>.</w:t>
      </w:r>
    </w:p>
    <w:p w:rsidR="002C0F54" w:rsidRPr="00E70AC8" w:rsidRDefault="002C0F54" w:rsidP="002C0F54">
      <w:pPr>
        <w:rPr>
          <w:highlight w:val="yellow"/>
        </w:rPr>
      </w:pPr>
    </w:p>
    <w:p w:rsidR="002C0F54" w:rsidRDefault="00DA532B" w:rsidP="002C0F54">
      <w:r>
        <w:lastRenderedPageBreak/>
        <w:pict>
          <v:shape id="_x0000_i1031" type="#_x0000_t75" style="width:415.8pt;height:271.8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</w:p>
    <w:p w:rsidR="002C0F54" w:rsidRDefault="002C0F54" w:rsidP="002C0F54"/>
    <w:p w:rsidR="002C0F54" w:rsidRDefault="002C0F54" w:rsidP="002C0F54">
      <w:pPr>
        <w:rPr>
          <w:noProof/>
        </w:rPr>
      </w:pPr>
    </w:p>
    <w:p w:rsidR="002C0F54" w:rsidRDefault="002C0F54" w:rsidP="002C0F54">
      <w:pPr>
        <w:rPr>
          <w:noProof/>
        </w:rPr>
      </w:pPr>
    </w:p>
    <w:p w:rsidR="002C0F54" w:rsidRDefault="002C0F54" w:rsidP="002C0F54">
      <w:pPr>
        <w:rPr>
          <w:rFonts w:cs="Arial"/>
          <w:bCs/>
        </w:rPr>
      </w:pPr>
    </w:p>
    <w:p w:rsidR="00085B3E" w:rsidRPr="00F9280C" w:rsidRDefault="00085B3E" w:rsidP="00EE42B8">
      <w:pPr>
        <w:pStyle w:val="Zkladntextodsazen3"/>
        <w:spacing w:line="276" w:lineRule="auto"/>
        <w:ind w:firstLine="0"/>
        <w:rPr>
          <w:rFonts w:cs="Arial"/>
          <w:szCs w:val="20"/>
        </w:rPr>
      </w:pPr>
    </w:p>
    <w:p w:rsidR="00EE42B8" w:rsidRDefault="00EE42B8" w:rsidP="00EE42B8">
      <w:pPr>
        <w:pStyle w:val="Zkladntextodsazen3"/>
        <w:ind w:firstLine="0"/>
        <w:rPr>
          <w:rFonts w:cs="Arial"/>
        </w:rPr>
      </w:pPr>
    </w:p>
    <w:p w:rsidR="0022016B" w:rsidRDefault="0022016B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414D7" w:rsidRDefault="001414D7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414D7" w:rsidRDefault="001414D7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414D7" w:rsidRDefault="001414D7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C5B0D" w:rsidRDefault="00DA532B" w:rsidP="002C0F54">
      <w:pPr>
        <w:pStyle w:val="Zkladntext"/>
        <w:spacing w:line="276" w:lineRule="auto"/>
        <w:jc w:val="left"/>
      </w:pPr>
      <w:r>
        <w:lastRenderedPageBreak/>
        <w:pict>
          <v:shape id="_x0000_i1032" type="#_x0000_t75" style="width:424.8pt;height:424.2pt">
            <v:imagedata r:id="rId14" o:title=""/>
          </v:shape>
        </w:pict>
      </w:r>
    </w:p>
    <w:p w:rsidR="00DB128A" w:rsidRDefault="00DB128A" w:rsidP="002C0F54">
      <w:pPr>
        <w:pStyle w:val="Zkladntext"/>
        <w:spacing w:line="276" w:lineRule="auto"/>
        <w:jc w:val="left"/>
      </w:pPr>
    </w:p>
    <w:p w:rsidR="00DB128A" w:rsidRDefault="00DB128A" w:rsidP="002C0F54">
      <w:pPr>
        <w:pStyle w:val="Zkladntext"/>
        <w:spacing w:line="276" w:lineRule="auto"/>
        <w:jc w:val="left"/>
      </w:pPr>
    </w:p>
    <w:p w:rsidR="001414D7" w:rsidRDefault="001414D7" w:rsidP="002C0F54">
      <w:pPr>
        <w:pStyle w:val="Zkladntext"/>
        <w:spacing w:line="276" w:lineRule="auto"/>
        <w:jc w:val="left"/>
        <w:rPr>
          <w:szCs w:val="20"/>
        </w:rPr>
      </w:pP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>Zpracovali: pracovníci Oddělení spotřebitelských cen ČSÚ</w:t>
      </w: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Ing. Jiří </w:t>
      </w:r>
      <w:proofErr w:type="spellStart"/>
      <w:r>
        <w:rPr>
          <w:rFonts w:ascii="Arial" w:hAnsi="Arial" w:cs="Arial"/>
        </w:rPr>
        <w:t>Trexler</w:t>
      </w:r>
      <w:proofErr w:type="spellEnd"/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>Oddělení spotřebitelských cen ČSÚ</w:t>
      </w:r>
    </w:p>
    <w:p w:rsidR="002C0F54" w:rsidRPr="00A47029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A47029">
        <w:rPr>
          <w:rFonts w:ascii="Arial" w:hAnsi="Arial" w:cs="Arial"/>
          <w:color w:val="0000FF"/>
          <w:u w:val="single"/>
        </w:rPr>
        <w:t>jiri.trexler@czso.cz</w:t>
      </w: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 w:rsidRPr="00A47029">
        <w:rPr>
          <w:rFonts w:ascii="Arial" w:hAnsi="Arial" w:cs="Arial"/>
        </w:rPr>
        <w:t>Tel.: 274 054</w:t>
      </w:r>
      <w:r w:rsidR="00AE24AD">
        <w:rPr>
          <w:rFonts w:ascii="Arial" w:hAnsi="Arial" w:cs="Arial"/>
        </w:rPr>
        <w:t> </w:t>
      </w:r>
      <w:r w:rsidRPr="00A47029">
        <w:rPr>
          <w:rFonts w:ascii="Arial" w:hAnsi="Arial" w:cs="Arial"/>
        </w:rPr>
        <w:t xml:space="preserve">137 </w:t>
      </w:r>
    </w:p>
    <w:p w:rsidR="00AE24AD" w:rsidRDefault="00AE24AD" w:rsidP="002C0F54">
      <w:pPr>
        <w:pStyle w:val="Zkladntextodsazen3"/>
        <w:ind w:firstLine="0"/>
        <w:rPr>
          <w:rFonts w:ascii="Arial" w:hAnsi="Arial" w:cs="Arial"/>
        </w:rPr>
      </w:pPr>
    </w:p>
    <w:p w:rsidR="00AE24AD" w:rsidRDefault="00AE24AD" w:rsidP="002C0F54">
      <w:pPr>
        <w:pStyle w:val="Zkladntextodsazen3"/>
        <w:ind w:firstLine="0"/>
        <w:rPr>
          <w:rFonts w:ascii="Arial" w:hAnsi="Arial" w:cs="Arial"/>
        </w:rPr>
      </w:pPr>
    </w:p>
    <w:p w:rsidR="00AE24AD" w:rsidRDefault="00AE24AD" w:rsidP="002C0F54">
      <w:pPr>
        <w:pStyle w:val="Zkladntextodsazen3"/>
        <w:ind w:firstLine="0"/>
        <w:rPr>
          <w:rFonts w:ascii="Arial" w:hAnsi="Arial" w:cs="Arial"/>
        </w:rPr>
      </w:pPr>
      <w:bookmarkStart w:id="0" w:name="_GoBack"/>
      <w:bookmarkEnd w:id="0"/>
    </w:p>
    <w:sectPr w:rsidR="00AE24AD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02A" w:rsidRDefault="001D402A" w:rsidP="00BA6370">
      <w:r>
        <w:separator/>
      </w:r>
    </w:p>
  </w:endnote>
  <w:endnote w:type="continuationSeparator" w:id="0">
    <w:p w:rsidR="001D402A" w:rsidRDefault="001D402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BA" w:rsidRDefault="00CB59B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6F58BA" w:rsidRPr="001404AB" w:rsidRDefault="006F58BA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6F58BA" w:rsidRPr="00A81EB3" w:rsidRDefault="006F58BA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B59B4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B59B4" w:rsidRPr="004E479E">
                  <w:rPr>
                    <w:rFonts w:cs="Arial"/>
                    <w:szCs w:val="15"/>
                  </w:rPr>
                  <w:fldChar w:fldCharType="separate"/>
                </w:r>
                <w:r w:rsidR="00DA532B">
                  <w:rPr>
                    <w:rFonts w:cs="Arial"/>
                    <w:noProof/>
                    <w:szCs w:val="15"/>
                  </w:rPr>
                  <w:t>1</w:t>
                </w:r>
                <w:r w:rsidR="00CB59B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02A" w:rsidRDefault="001D402A" w:rsidP="00BA6370">
      <w:r>
        <w:separator/>
      </w:r>
    </w:p>
  </w:footnote>
  <w:footnote w:type="continuationSeparator" w:id="0">
    <w:p w:rsidR="001D402A" w:rsidRDefault="001D402A" w:rsidP="00BA6370">
      <w:r>
        <w:continuationSeparator/>
      </w:r>
    </w:p>
  </w:footnote>
  <w:footnote w:id="1">
    <w:p w:rsidR="0057782C" w:rsidRDefault="0057782C" w:rsidP="0057782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 w:rsidRPr="004B3315">
        <w:rPr>
          <w:rFonts w:ascii="Arial" w:hAnsi="Arial" w:cs="Arial"/>
          <w:bCs/>
          <w:i/>
          <w:sz w:val="18"/>
          <w:szCs w:val="18"/>
        </w:rPr>
        <w:t>ceny, které jsou úplně nebo částečně regulovány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BA" w:rsidRDefault="00CB59B4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59"/>
    <w:rsid w:val="000000C8"/>
    <w:rsid w:val="00016300"/>
    <w:rsid w:val="00025EF7"/>
    <w:rsid w:val="000275AF"/>
    <w:rsid w:val="00032FD4"/>
    <w:rsid w:val="000404BA"/>
    <w:rsid w:val="00041F98"/>
    <w:rsid w:val="00043BF4"/>
    <w:rsid w:val="000545E6"/>
    <w:rsid w:val="0007131A"/>
    <w:rsid w:val="00074505"/>
    <w:rsid w:val="00075CEE"/>
    <w:rsid w:val="00083171"/>
    <w:rsid w:val="000843A5"/>
    <w:rsid w:val="00085B3E"/>
    <w:rsid w:val="00087211"/>
    <w:rsid w:val="00093781"/>
    <w:rsid w:val="000B0EE7"/>
    <w:rsid w:val="000B6F63"/>
    <w:rsid w:val="000E06A0"/>
    <w:rsid w:val="000E07CF"/>
    <w:rsid w:val="000F1647"/>
    <w:rsid w:val="000F5B28"/>
    <w:rsid w:val="000F5B7B"/>
    <w:rsid w:val="001013B6"/>
    <w:rsid w:val="00106391"/>
    <w:rsid w:val="00110D00"/>
    <w:rsid w:val="0011383C"/>
    <w:rsid w:val="00127216"/>
    <w:rsid w:val="00133FA8"/>
    <w:rsid w:val="0013480D"/>
    <w:rsid w:val="00135459"/>
    <w:rsid w:val="001404AB"/>
    <w:rsid w:val="001414D7"/>
    <w:rsid w:val="00154E51"/>
    <w:rsid w:val="001658A9"/>
    <w:rsid w:val="0017231D"/>
    <w:rsid w:val="0017365F"/>
    <w:rsid w:val="00175ABA"/>
    <w:rsid w:val="00176F24"/>
    <w:rsid w:val="001810DC"/>
    <w:rsid w:val="001907D4"/>
    <w:rsid w:val="001A2794"/>
    <w:rsid w:val="001A59BF"/>
    <w:rsid w:val="001A6497"/>
    <w:rsid w:val="001B607F"/>
    <w:rsid w:val="001C3AF2"/>
    <w:rsid w:val="001D369A"/>
    <w:rsid w:val="001D402A"/>
    <w:rsid w:val="001E06E8"/>
    <w:rsid w:val="001F1E26"/>
    <w:rsid w:val="001F3FE9"/>
    <w:rsid w:val="001F6C45"/>
    <w:rsid w:val="00204F67"/>
    <w:rsid w:val="002070FB"/>
    <w:rsid w:val="00213729"/>
    <w:rsid w:val="0022016B"/>
    <w:rsid w:val="0022460B"/>
    <w:rsid w:val="002277B3"/>
    <w:rsid w:val="00235DB9"/>
    <w:rsid w:val="002406FA"/>
    <w:rsid w:val="00240CF3"/>
    <w:rsid w:val="00241F15"/>
    <w:rsid w:val="00263855"/>
    <w:rsid w:val="00266C9D"/>
    <w:rsid w:val="002A0403"/>
    <w:rsid w:val="002B0094"/>
    <w:rsid w:val="002B0D87"/>
    <w:rsid w:val="002B2E47"/>
    <w:rsid w:val="002C0862"/>
    <w:rsid w:val="002C0F54"/>
    <w:rsid w:val="002D4FB6"/>
    <w:rsid w:val="002D6A6C"/>
    <w:rsid w:val="003301A3"/>
    <w:rsid w:val="00336F63"/>
    <w:rsid w:val="00342C58"/>
    <w:rsid w:val="00362C5B"/>
    <w:rsid w:val="0036777B"/>
    <w:rsid w:val="0038282A"/>
    <w:rsid w:val="00386C64"/>
    <w:rsid w:val="00397580"/>
    <w:rsid w:val="003A00CB"/>
    <w:rsid w:val="003A1794"/>
    <w:rsid w:val="003A45C8"/>
    <w:rsid w:val="003A7EF1"/>
    <w:rsid w:val="003B043A"/>
    <w:rsid w:val="003B45CC"/>
    <w:rsid w:val="003C2DCF"/>
    <w:rsid w:val="003C7FE7"/>
    <w:rsid w:val="003D0499"/>
    <w:rsid w:val="003D352D"/>
    <w:rsid w:val="003D4494"/>
    <w:rsid w:val="003E2829"/>
    <w:rsid w:val="003F0E5B"/>
    <w:rsid w:val="003F526A"/>
    <w:rsid w:val="0040413A"/>
    <w:rsid w:val="00405244"/>
    <w:rsid w:val="00420283"/>
    <w:rsid w:val="00430C37"/>
    <w:rsid w:val="00440D14"/>
    <w:rsid w:val="004436EE"/>
    <w:rsid w:val="0045547F"/>
    <w:rsid w:val="00461369"/>
    <w:rsid w:val="00461AA0"/>
    <w:rsid w:val="004620A4"/>
    <w:rsid w:val="00467CB7"/>
    <w:rsid w:val="004920AD"/>
    <w:rsid w:val="004A43B2"/>
    <w:rsid w:val="004A583A"/>
    <w:rsid w:val="004A5AB6"/>
    <w:rsid w:val="004B0D3E"/>
    <w:rsid w:val="004B4C91"/>
    <w:rsid w:val="004B5A05"/>
    <w:rsid w:val="004B7759"/>
    <w:rsid w:val="004B7FC6"/>
    <w:rsid w:val="004D05B3"/>
    <w:rsid w:val="004D3148"/>
    <w:rsid w:val="004E479E"/>
    <w:rsid w:val="004E510E"/>
    <w:rsid w:val="004F13EE"/>
    <w:rsid w:val="004F78E6"/>
    <w:rsid w:val="00506649"/>
    <w:rsid w:val="00512D99"/>
    <w:rsid w:val="00531DBB"/>
    <w:rsid w:val="005320B3"/>
    <w:rsid w:val="005527BE"/>
    <w:rsid w:val="00553DAA"/>
    <w:rsid w:val="00557711"/>
    <w:rsid w:val="005646B3"/>
    <w:rsid w:val="0057782C"/>
    <w:rsid w:val="005816D4"/>
    <w:rsid w:val="005A1398"/>
    <w:rsid w:val="005B6091"/>
    <w:rsid w:val="005C5312"/>
    <w:rsid w:val="005D2883"/>
    <w:rsid w:val="005E7E87"/>
    <w:rsid w:val="005F699D"/>
    <w:rsid w:val="005F79FB"/>
    <w:rsid w:val="00604406"/>
    <w:rsid w:val="00605F4A"/>
    <w:rsid w:val="00607822"/>
    <w:rsid w:val="006103AA"/>
    <w:rsid w:val="00611C91"/>
    <w:rsid w:val="00613BBF"/>
    <w:rsid w:val="0061630E"/>
    <w:rsid w:val="00616FC8"/>
    <w:rsid w:val="00617BC1"/>
    <w:rsid w:val="00620EAF"/>
    <w:rsid w:val="00622B80"/>
    <w:rsid w:val="00630D0E"/>
    <w:rsid w:val="0064139A"/>
    <w:rsid w:val="006427B1"/>
    <w:rsid w:val="00664B17"/>
    <w:rsid w:val="006676EE"/>
    <w:rsid w:val="00674A6D"/>
    <w:rsid w:val="0069502E"/>
    <w:rsid w:val="006977CE"/>
    <w:rsid w:val="006A0851"/>
    <w:rsid w:val="006A42AF"/>
    <w:rsid w:val="006A42DA"/>
    <w:rsid w:val="006B770A"/>
    <w:rsid w:val="006C09DD"/>
    <w:rsid w:val="006D67C8"/>
    <w:rsid w:val="006E024F"/>
    <w:rsid w:val="006E134C"/>
    <w:rsid w:val="006E4E81"/>
    <w:rsid w:val="006E6506"/>
    <w:rsid w:val="006F58BA"/>
    <w:rsid w:val="0070062E"/>
    <w:rsid w:val="00700749"/>
    <w:rsid w:val="00707F7D"/>
    <w:rsid w:val="00715E98"/>
    <w:rsid w:val="00717EC5"/>
    <w:rsid w:val="00737B80"/>
    <w:rsid w:val="00741692"/>
    <w:rsid w:val="00763144"/>
    <w:rsid w:val="00765549"/>
    <w:rsid w:val="00770A80"/>
    <w:rsid w:val="00774F04"/>
    <w:rsid w:val="00775B7B"/>
    <w:rsid w:val="00786B2F"/>
    <w:rsid w:val="00791C5C"/>
    <w:rsid w:val="00794A69"/>
    <w:rsid w:val="007953DB"/>
    <w:rsid w:val="007A02CC"/>
    <w:rsid w:val="007A0E1A"/>
    <w:rsid w:val="007A57F2"/>
    <w:rsid w:val="007B1333"/>
    <w:rsid w:val="007E23A3"/>
    <w:rsid w:val="007E445D"/>
    <w:rsid w:val="007E7626"/>
    <w:rsid w:val="007F4AEB"/>
    <w:rsid w:val="007F75B2"/>
    <w:rsid w:val="008035A9"/>
    <w:rsid w:val="008043C4"/>
    <w:rsid w:val="008048DA"/>
    <w:rsid w:val="00810380"/>
    <w:rsid w:val="00815588"/>
    <w:rsid w:val="00816D50"/>
    <w:rsid w:val="00830309"/>
    <w:rsid w:val="00831B1B"/>
    <w:rsid w:val="00834EA0"/>
    <w:rsid w:val="008449F0"/>
    <w:rsid w:val="0085404D"/>
    <w:rsid w:val="00855270"/>
    <w:rsid w:val="008575EE"/>
    <w:rsid w:val="00861D0E"/>
    <w:rsid w:val="00863921"/>
    <w:rsid w:val="00867569"/>
    <w:rsid w:val="00884BBA"/>
    <w:rsid w:val="00891BFE"/>
    <w:rsid w:val="008936FE"/>
    <w:rsid w:val="0089442D"/>
    <w:rsid w:val="00894903"/>
    <w:rsid w:val="008A18A9"/>
    <w:rsid w:val="008A750A"/>
    <w:rsid w:val="008B4CFD"/>
    <w:rsid w:val="008B66B9"/>
    <w:rsid w:val="008C384C"/>
    <w:rsid w:val="008C3EAC"/>
    <w:rsid w:val="008C7D0C"/>
    <w:rsid w:val="008D0F11"/>
    <w:rsid w:val="008E0C21"/>
    <w:rsid w:val="008E2411"/>
    <w:rsid w:val="008E2E32"/>
    <w:rsid w:val="008E431F"/>
    <w:rsid w:val="008F73B4"/>
    <w:rsid w:val="008F7BE7"/>
    <w:rsid w:val="009064DD"/>
    <w:rsid w:val="0090741A"/>
    <w:rsid w:val="00914CA3"/>
    <w:rsid w:val="00915613"/>
    <w:rsid w:val="009158EA"/>
    <w:rsid w:val="00927C13"/>
    <w:rsid w:val="00931A52"/>
    <w:rsid w:val="009370CC"/>
    <w:rsid w:val="009417E9"/>
    <w:rsid w:val="0094376F"/>
    <w:rsid w:val="009443AE"/>
    <w:rsid w:val="0095340F"/>
    <w:rsid w:val="00954966"/>
    <w:rsid w:val="00956008"/>
    <w:rsid w:val="0097322B"/>
    <w:rsid w:val="009844FB"/>
    <w:rsid w:val="00993CE0"/>
    <w:rsid w:val="009A1C53"/>
    <w:rsid w:val="009A1FFC"/>
    <w:rsid w:val="009B55B1"/>
    <w:rsid w:val="009C3B99"/>
    <w:rsid w:val="009C4976"/>
    <w:rsid w:val="009C4F07"/>
    <w:rsid w:val="009D3B0D"/>
    <w:rsid w:val="009D5FF6"/>
    <w:rsid w:val="00A24CC5"/>
    <w:rsid w:val="00A31B8C"/>
    <w:rsid w:val="00A31CF0"/>
    <w:rsid w:val="00A32E70"/>
    <w:rsid w:val="00A35701"/>
    <w:rsid w:val="00A36C1B"/>
    <w:rsid w:val="00A37C8D"/>
    <w:rsid w:val="00A41DE1"/>
    <w:rsid w:val="00A4343D"/>
    <w:rsid w:val="00A452A1"/>
    <w:rsid w:val="00A47188"/>
    <w:rsid w:val="00A502F1"/>
    <w:rsid w:val="00A56C80"/>
    <w:rsid w:val="00A57F71"/>
    <w:rsid w:val="00A63471"/>
    <w:rsid w:val="00A655F4"/>
    <w:rsid w:val="00A70A83"/>
    <w:rsid w:val="00A81EB3"/>
    <w:rsid w:val="00A82330"/>
    <w:rsid w:val="00A92274"/>
    <w:rsid w:val="00A93CBE"/>
    <w:rsid w:val="00AA6F2A"/>
    <w:rsid w:val="00AB1B2F"/>
    <w:rsid w:val="00AE1BDA"/>
    <w:rsid w:val="00AE24AD"/>
    <w:rsid w:val="00AE5A0E"/>
    <w:rsid w:val="00AF5459"/>
    <w:rsid w:val="00AF6DA2"/>
    <w:rsid w:val="00B00C1D"/>
    <w:rsid w:val="00B16C97"/>
    <w:rsid w:val="00B16D61"/>
    <w:rsid w:val="00B207FF"/>
    <w:rsid w:val="00B27413"/>
    <w:rsid w:val="00B33194"/>
    <w:rsid w:val="00B35EB2"/>
    <w:rsid w:val="00B41E82"/>
    <w:rsid w:val="00B51D2E"/>
    <w:rsid w:val="00B54AC0"/>
    <w:rsid w:val="00B6207E"/>
    <w:rsid w:val="00B62B32"/>
    <w:rsid w:val="00B871B3"/>
    <w:rsid w:val="00B94843"/>
    <w:rsid w:val="00B96EC0"/>
    <w:rsid w:val="00BA05F0"/>
    <w:rsid w:val="00BA439F"/>
    <w:rsid w:val="00BA6370"/>
    <w:rsid w:val="00BB6E1E"/>
    <w:rsid w:val="00BC748B"/>
    <w:rsid w:val="00BD7B22"/>
    <w:rsid w:val="00BF38BB"/>
    <w:rsid w:val="00BF47FD"/>
    <w:rsid w:val="00C03B5B"/>
    <w:rsid w:val="00C05A6D"/>
    <w:rsid w:val="00C06636"/>
    <w:rsid w:val="00C23FAB"/>
    <w:rsid w:val="00C24A32"/>
    <w:rsid w:val="00C25A7C"/>
    <w:rsid w:val="00C269D4"/>
    <w:rsid w:val="00C4160D"/>
    <w:rsid w:val="00C560D6"/>
    <w:rsid w:val="00C601E4"/>
    <w:rsid w:val="00C63469"/>
    <w:rsid w:val="00C70396"/>
    <w:rsid w:val="00C8406E"/>
    <w:rsid w:val="00C84C4E"/>
    <w:rsid w:val="00C953D6"/>
    <w:rsid w:val="00CB229B"/>
    <w:rsid w:val="00CB2709"/>
    <w:rsid w:val="00CB59B4"/>
    <w:rsid w:val="00CB69D2"/>
    <w:rsid w:val="00CB6F89"/>
    <w:rsid w:val="00CB708A"/>
    <w:rsid w:val="00CB7959"/>
    <w:rsid w:val="00CC163E"/>
    <w:rsid w:val="00CE228C"/>
    <w:rsid w:val="00CF545B"/>
    <w:rsid w:val="00D02B36"/>
    <w:rsid w:val="00D251B2"/>
    <w:rsid w:val="00D27D69"/>
    <w:rsid w:val="00D3587A"/>
    <w:rsid w:val="00D37961"/>
    <w:rsid w:val="00D448C2"/>
    <w:rsid w:val="00D52D57"/>
    <w:rsid w:val="00D60D5B"/>
    <w:rsid w:val="00D666C3"/>
    <w:rsid w:val="00D87442"/>
    <w:rsid w:val="00DA4EC8"/>
    <w:rsid w:val="00DA532B"/>
    <w:rsid w:val="00DB128A"/>
    <w:rsid w:val="00DB4278"/>
    <w:rsid w:val="00DC07A8"/>
    <w:rsid w:val="00DC4165"/>
    <w:rsid w:val="00DC5B0D"/>
    <w:rsid w:val="00DD1EAE"/>
    <w:rsid w:val="00DD36D9"/>
    <w:rsid w:val="00DD6797"/>
    <w:rsid w:val="00DE2BB1"/>
    <w:rsid w:val="00DF1780"/>
    <w:rsid w:val="00DF47FE"/>
    <w:rsid w:val="00DF7D54"/>
    <w:rsid w:val="00E152A9"/>
    <w:rsid w:val="00E16B08"/>
    <w:rsid w:val="00E26704"/>
    <w:rsid w:val="00E31980"/>
    <w:rsid w:val="00E36412"/>
    <w:rsid w:val="00E42E00"/>
    <w:rsid w:val="00E47CB1"/>
    <w:rsid w:val="00E5030E"/>
    <w:rsid w:val="00E62B6E"/>
    <w:rsid w:val="00E6423C"/>
    <w:rsid w:val="00E73350"/>
    <w:rsid w:val="00E86B75"/>
    <w:rsid w:val="00E92741"/>
    <w:rsid w:val="00E92A44"/>
    <w:rsid w:val="00E92F39"/>
    <w:rsid w:val="00E93830"/>
    <w:rsid w:val="00E93E0E"/>
    <w:rsid w:val="00E95D3E"/>
    <w:rsid w:val="00EA18FD"/>
    <w:rsid w:val="00EA633F"/>
    <w:rsid w:val="00EA7B94"/>
    <w:rsid w:val="00EB1ED3"/>
    <w:rsid w:val="00EB6BF6"/>
    <w:rsid w:val="00EC2D51"/>
    <w:rsid w:val="00EC50AE"/>
    <w:rsid w:val="00ED0E42"/>
    <w:rsid w:val="00ED7B69"/>
    <w:rsid w:val="00EE42B8"/>
    <w:rsid w:val="00EF6997"/>
    <w:rsid w:val="00F13564"/>
    <w:rsid w:val="00F16F82"/>
    <w:rsid w:val="00F21ECC"/>
    <w:rsid w:val="00F26395"/>
    <w:rsid w:val="00F32D71"/>
    <w:rsid w:val="00F32DA4"/>
    <w:rsid w:val="00F57FEF"/>
    <w:rsid w:val="00F744A0"/>
    <w:rsid w:val="00F80FB9"/>
    <w:rsid w:val="00F948C4"/>
    <w:rsid w:val="00F956B0"/>
    <w:rsid w:val="00F96AC5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2C0F5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rsid w:val="002C0F54"/>
    <w:pPr>
      <w:spacing w:line="240" w:lineRule="auto"/>
      <w:ind w:firstLine="708"/>
    </w:pPr>
    <w:rPr>
      <w:rFonts w:ascii="Times New Roman" w:eastAsia="Times New Roman" w:hAnsi="Times New Roman"/>
      <w:szCs w:val="24"/>
      <w:lang/>
    </w:rPr>
  </w:style>
  <w:style w:type="character" w:customStyle="1" w:styleId="Zkladntextodsazen3Char">
    <w:name w:val="Základní text odsazený 3 Char"/>
    <w:link w:val="Zkladntextodsazen3"/>
    <w:rsid w:val="002C0F54"/>
    <w:rPr>
      <w:rFonts w:ascii="Times New Roman" w:eastAsia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rsid w:val="002C0F54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2C0F54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2C0F54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2C0F5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2C0F54"/>
    <w:pPr>
      <w:spacing w:line="240" w:lineRule="auto"/>
      <w:jc w:val="left"/>
    </w:pPr>
    <w:rPr>
      <w:rFonts w:ascii="Times New Roman" w:eastAsia="Times New Roman" w:hAnsi="Times New Roman"/>
      <w:szCs w:val="20"/>
      <w:lang/>
    </w:rPr>
  </w:style>
  <w:style w:type="character" w:customStyle="1" w:styleId="TextpoznpodarouChar">
    <w:name w:val="Text pozn. pod čarou Char"/>
    <w:link w:val="Textpoznpodarou"/>
    <w:semiHidden/>
    <w:rsid w:val="002C0F54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2C0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521F-C7DF-4FB9-AB77-EA776A5F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8</TotalTime>
  <Pages>8</Pages>
  <Words>830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5716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5</cp:revision>
  <cp:lastPrinted>2014-07-07T08:43:00Z</cp:lastPrinted>
  <dcterms:created xsi:type="dcterms:W3CDTF">2014-07-07T10:53:00Z</dcterms:created>
  <dcterms:modified xsi:type="dcterms:W3CDTF">2014-07-07T12:59:00Z</dcterms:modified>
</cp:coreProperties>
</file>