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075CEE" w:rsidP="002C0F54">
      <w:pPr>
        <w:pStyle w:val="datum0"/>
        <w:rPr>
          <w:lang w:val="cs-CZ"/>
        </w:rPr>
      </w:pPr>
      <w:r>
        <w:rPr>
          <w:lang w:val="cs-CZ"/>
        </w:rPr>
        <w:t>9. 4</w:t>
      </w:r>
      <w:r w:rsidR="002C0F54" w:rsidRPr="00D374C8">
        <w:rPr>
          <w:lang w:val="cs-CZ"/>
        </w:rPr>
        <w:t>. 201</w:t>
      </w:r>
      <w:r w:rsidR="00241F15">
        <w:rPr>
          <w:lang w:val="cs-CZ"/>
        </w:rPr>
        <w:t>4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 1. čtvrtletí 2014</w:t>
      </w:r>
      <w:r w:rsidR="00D3587A">
        <w:rPr>
          <w:rFonts w:cs="Arial"/>
        </w:rPr>
        <w:t xml:space="preserve"> </w:t>
      </w:r>
    </w:p>
    <w:p w:rsidR="002C0F54" w:rsidRDefault="002C0F54" w:rsidP="00794A69">
      <w:pPr>
        <w:pStyle w:val="Perex"/>
      </w:pPr>
      <w:r>
        <w:t xml:space="preserve">Celková hladina spotřebitelských cen </w:t>
      </w:r>
      <w:r w:rsidR="009844FB">
        <w:t>vzrostla</w:t>
      </w:r>
      <w:r>
        <w:t xml:space="preserve"> </w:t>
      </w:r>
      <w:r w:rsidRPr="00533ACB">
        <w:t>v </w:t>
      </w:r>
      <w:r w:rsidR="009844FB">
        <w:t>1. čtvrtletí 2014 proti 4. čtvrtletí 2013 o 0,4</w:t>
      </w:r>
      <w:r>
        <w:t xml:space="preserve"> %. </w:t>
      </w:r>
      <w:r w:rsidRPr="00533ACB">
        <w:t>Meziročn</w:t>
      </w:r>
      <w:r>
        <w:t>ě v</w:t>
      </w:r>
      <w:r w:rsidR="00674A6D">
        <w:t>zrostly spotřebitelské ceny v</w:t>
      </w:r>
      <w:r w:rsidR="009844FB">
        <w:t> 1. čtvrtletí 2014</w:t>
      </w:r>
      <w:r w:rsidRPr="00533ACB">
        <w:t xml:space="preserve"> o </w:t>
      </w:r>
      <w:r w:rsidR="00B27413">
        <w:t>0,2</w:t>
      </w:r>
      <w:r w:rsidRPr="00533ACB">
        <w:t> %,</w:t>
      </w:r>
      <w:r w:rsidR="00B27413">
        <w:t xml:space="preserve"> což bylo o 0,9</w:t>
      </w:r>
      <w:r>
        <w:t> procent</w:t>
      </w:r>
      <w:r w:rsidR="00B27413">
        <w:t>ního bodu méně než ve 4</w:t>
      </w:r>
      <w:r>
        <w:t>. čtvrtletí 2013.</w:t>
      </w:r>
    </w:p>
    <w:p w:rsidR="00D87442" w:rsidRDefault="002C0F54" w:rsidP="00C24A32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Cs w:val="0"/>
          <w:sz w:val="20"/>
          <w:szCs w:val="20"/>
        </w:rPr>
        <w:t>M</w:t>
      </w:r>
      <w:r w:rsidRPr="00D47C23">
        <w:rPr>
          <w:rFonts w:ascii="Arial" w:hAnsi="Arial" w:cs="Arial"/>
          <w:bCs w:val="0"/>
          <w:sz w:val="20"/>
          <w:szCs w:val="20"/>
        </w:rPr>
        <w:t>ezičtvrtletní</w:t>
      </w:r>
      <w:proofErr w:type="spellEnd"/>
      <w:r w:rsidRPr="00D47C2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27413">
        <w:rPr>
          <w:rFonts w:ascii="Arial" w:hAnsi="Arial" w:cs="Arial"/>
          <w:b w:val="0"/>
          <w:bCs w:val="0"/>
          <w:sz w:val="20"/>
          <w:szCs w:val="20"/>
        </w:rPr>
        <w:t>zvýšení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47C23">
        <w:rPr>
          <w:rFonts w:ascii="Arial" w:hAnsi="Arial" w:cs="Arial"/>
          <w:b w:val="0"/>
          <w:bCs w:val="0"/>
          <w:sz w:val="20"/>
          <w:szCs w:val="20"/>
        </w:rPr>
        <w:t>cenové hladiny</w:t>
      </w:r>
      <w:r w:rsidR="00B27413">
        <w:rPr>
          <w:rFonts w:ascii="Arial" w:hAnsi="Arial" w:cs="Arial"/>
          <w:b w:val="0"/>
          <w:bCs w:val="0"/>
          <w:sz w:val="20"/>
          <w:szCs w:val="20"/>
        </w:rPr>
        <w:t xml:space="preserve"> v 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 čtvrtletí </w:t>
      </w:r>
      <w:r w:rsidR="004A583A">
        <w:rPr>
          <w:rFonts w:ascii="Arial" w:hAnsi="Arial" w:cs="Arial"/>
          <w:b w:val="0"/>
          <w:bCs w:val="0"/>
          <w:sz w:val="20"/>
          <w:szCs w:val="20"/>
        </w:rPr>
        <w:t>2014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ovlivnil</w:t>
      </w:r>
      <w:r w:rsidR="004A583A">
        <w:rPr>
          <w:rFonts w:ascii="Arial" w:hAnsi="Arial" w:cs="Arial"/>
          <w:b w:val="0"/>
          <w:bCs w:val="0"/>
          <w:sz w:val="20"/>
          <w:szCs w:val="20"/>
        </w:rPr>
        <w:t xml:space="preserve">o </w:t>
      </w:r>
      <w:r w:rsidR="00430C37">
        <w:rPr>
          <w:rFonts w:ascii="Arial" w:hAnsi="Arial" w:cs="Arial"/>
          <w:b w:val="0"/>
          <w:bCs w:val="0"/>
          <w:sz w:val="20"/>
          <w:szCs w:val="20"/>
        </w:rPr>
        <w:t xml:space="preserve">především </w:t>
      </w:r>
      <w:r w:rsidR="004A583A">
        <w:rPr>
          <w:rFonts w:ascii="Arial" w:hAnsi="Arial" w:cs="Arial"/>
          <w:b w:val="0"/>
          <w:bCs w:val="0"/>
          <w:sz w:val="20"/>
          <w:szCs w:val="20"/>
        </w:rPr>
        <w:t>zvýšení cen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30C37">
        <w:rPr>
          <w:rFonts w:ascii="Arial" w:hAnsi="Arial" w:cs="Arial"/>
          <w:b w:val="0"/>
          <w:bCs w:val="0"/>
          <w:sz w:val="20"/>
          <w:szCs w:val="20"/>
        </w:rPr>
        <w:t>potravin a nealkoholických</w:t>
      </w:r>
      <w:r w:rsidR="00C953D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30C37">
        <w:rPr>
          <w:rFonts w:ascii="Arial" w:hAnsi="Arial" w:cs="Arial"/>
          <w:b w:val="0"/>
          <w:bCs w:val="0"/>
          <w:sz w:val="20"/>
          <w:szCs w:val="20"/>
        </w:rPr>
        <w:t xml:space="preserve">nápojů. </w:t>
      </w:r>
      <w:r w:rsidR="00C953D6">
        <w:rPr>
          <w:rFonts w:ascii="Arial" w:hAnsi="Arial" w:cs="Arial"/>
          <w:b w:val="0"/>
          <w:bCs w:val="0"/>
          <w:sz w:val="20"/>
          <w:szCs w:val="20"/>
        </w:rPr>
        <w:t>Toto zvýšení bylo způsobeno hlavně vyššími sezónními cenami ovoce a zeleniny</w:t>
      </w:r>
      <w:r w:rsidR="00AB1B2F">
        <w:rPr>
          <w:rFonts w:ascii="Arial" w:hAnsi="Arial" w:cs="Arial"/>
          <w:b w:val="0"/>
          <w:bCs w:val="0"/>
          <w:sz w:val="20"/>
          <w:szCs w:val="20"/>
        </w:rPr>
        <w:t xml:space="preserve"> (o </w:t>
      </w:r>
      <w:r w:rsidR="008048DA">
        <w:rPr>
          <w:rFonts w:ascii="Arial" w:hAnsi="Arial" w:cs="Arial"/>
          <w:b w:val="0"/>
          <w:bCs w:val="0"/>
          <w:sz w:val="20"/>
          <w:szCs w:val="20"/>
        </w:rPr>
        <w:t>13,9 % resp. 11,6 %),</w:t>
      </w:r>
      <w:r w:rsidR="00C953D6">
        <w:rPr>
          <w:rFonts w:ascii="Arial" w:hAnsi="Arial" w:cs="Arial"/>
          <w:b w:val="0"/>
          <w:bCs w:val="0"/>
          <w:sz w:val="20"/>
          <w:szCs w:val="20"/>
        </w:rPr>
        <w:t xml:space="preserve"> ale zdražení</w:t>
      </w:r>
      <w:r w:rsidR="00AB1B2F">
        <w:rPr>
          <w:rFonts w:ascii="Arial" w:hAnsi="Arial" w:cs="Arial"/>
          <w:b w:val="0"/>
          <w:bCs w:val="0"/>
          <w:sz w:val="20"/>
          <w:szCs w:val="20"/>
        </w:rPr>
        <w:t xml:space="preserve"> v </w:t>
      </w:r>
      <w:r w:rsidR="00BA05F0">
        <w:rPr>
          <w:rFonts w:ascii="Arial" w:hAnsi="Arial" w:cs="Arial"/>
          <w:b w:val="0"/>
          <w:bCs w:val="0"/>
          <w:sz w:val="20"/>
          <w:szCs w:val="20"/>
        </w:rPr>
        <w:t>menší</w:t>
      </w:r>
      <w:r w:rsidR="00AB1B2F">
        <w:rPr>
          <w:rFonts w:ascii="Arial" w:hAnsi="Arial" w:cs="Arial"/>
          <w:b w:val="0"/>
          <w:bCs w:val="0"/>
          <w:sz w:val="20"/>
          <w:szCs w:val="20"/>
        </w:rPr>
        <w:t xml:space="preserve"> míře</w:t>
      </w:r>
      <w:r w:rsidR="003D352D">
        <w:rPr>
          <w:rFonts w:ascii="Arial" w:hAnsi="Arial" w:cs="Arial"/>
          <w:b w:val="0"/>
          <w:bCs w:val="0"/>
          <w:sz w:val="20"/>
          <w:szCs w:val="20"/>
        </w:rPr>
        <w:t xml:space="preserve"> zaznamenala i </w:t>
      </w:r>
      <w:r w:rsidR="00AB1B2F">
        <w:rPr>
          <w:rFonts w:ascii="Arial" w:hAnsi="Arial" w:cs="Arial"/>
          <w:b w:val="0"/>
          <w:bCs w:val="0"/>
          <w:sz w:val="20"/>
          <w:szCs w:val="20"/>
        </w:rPr>
        <w:t xml:space="preserve">většina </w:t>
      </w:r>
      <w:r w:rsidR="00C953D6">
        <w:rPr>
          <w:rFonts w:ascii="Arial" w:hAnsi="Arial" w:cs="Arial"/>
          <w:b w:val="0"/>
          <w:bCs w:val="0"/>
          <w:sz w:val="20"/>
          <w:szCs w:val="20"/>
        </w:rPr>
        <w:t xml:space="preserve">dalších potravin. To se týkalo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především</w:t>
      </w:r>
      <w:r w:rsidR="00C953D6">
        <w:rPr>
          <w:rFonts w:ascii="Arial" w:hAnsi="Arial" w:cs="Arial"/>
          <w:b w:val="0"/>
          <w:bCs w:val="0"/>
          <w:sz w:val="20"/>
          <w:szCs w:val="20"/>
        </w:rPr>
        <w:t xml:space="preserve"> mléka, sýrů, vajec, jogurtů a ostatních mléčných výrobků, jejichž ceny vzrostly v průměru </w:t>
      </w:r>
      <w:r w:rsidR="00C953D6" w:rsidRPr="006A0851">
        <w:rPr>
          <w:rFonts w:ascii="Arial" w:hAnsi="Arial" w:cs="Arial"/>
          <w:b w:val="0"/>
          <w:bCs w:val="0"/>
          <w:sz w:val="20"/>
          <w:szCs w:val="20"/>
        </w:rPr>
        <w:t>o 4,</w:t>
      </w:r>
      <w:r w:rsidR="008936FE">
        <w:rPr>
          <w:rFonts w:ascii="Arial" w:hAnsi="Arial" w:cs="Arial"/>
          <w:b w:val="0"/>
          <w:bCs w:val="0"/>
          <w:sz w:val="20"/>
          <w:szCs w:val="20"/>
        </w:rPr>
        <w:t>4</w:t>
      </w:r>
      <w:r w:rsidR="00C953D6">
        <w:rPr>
          <w:rFonts w:ascii="Arial" w:hAnsi="Arial" w:cs="Arial"/>
          <w:b w:val="0"/>
          <w:bCs w:val="0"/>
          <w:sz w:val="20"/>
          <w:szCs w:val="20"/>
        </w:rPr>
        <w:t> %.</w:t>
      </w:r>
      <w:r w:rsidR="001A2794">
        <w:rPr>
          <w:rFonts w:ascii="Arial" w:hAnsi="Arial" w:cs="Arial"/>
          <w:b w:val="0"/>
          <w:bCs w:val="0"/>
          <w:sz w:val="20"/>
        </w:rPr>
        <w:t xml:space="preserve"> </w:t>
      </w:r>
      <w:r w:rsidR="00C953D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B1B2F">
        <w:rPr>
          <w:rFonts w:ascii="Arial" w:hAnsi="Arial" w:cs="Arial"/>
          <w:b w:val="0"/>
          <w:bCs w:val="0"/>
          <w:sz w:val="20"/>
          <w:szCs w:val="20"/>
        </w:rPr>
        <w:t xml:space="preserve">Pokles cen nastal </w:t>
      </w:r>
      <w:r w:rsidR="008048DA">
        <w:rPr>
          <w:rFonts w:ascii="Arial" w:hAnsi="Arial" w:cs="Arial"/>
          <w:b w:val="0"/>
          <w:bCs w:val="0"/>
          <w:sz w:val="20"/>
          <w:szCs w:val="20"/>
        </w:rPr>
        <w:t xml:space="preserve">zejména </w:t>
      </w:r>
      <w:r w:rsidR="00AB1B2F">
        <w:rPr>
          <w:rFonts w:ascii="Arial" w:hAnsi="Arial" w:cs="Arial"/>
          <w:b w:val="0"/>
          <w:bCs w:val="0"/>
          <w:sz w:val="20"/>
          <w:szCs w:val="20"/>
        </w:rPr>
        <w:t>u kávy a čaje.</w:t>
      </w:r>
      <w:r w:rsidR="008048D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K významnějšímu</w:t>
      </w:r>
      <w:r w:rsidR="008048DA">
        <w:rPr>
          <w:rFonts w:ascii="Arial" w:hAnsi="Arial" w:cs="Arial"/>
          <w:b w:val="0"/>
          <w:bCs w:val="0"/>
          <w:sz w:val="20"/>
          <w:szCs w:val="20"/>
        </w:rPr>
        <w:t xml:space="preserve"> zvýšení cen došlo i v oddíle alkoholické nápoje a tabák vlivem nárůstu cen alkoholických nápojů o 2,9 %.</w:t>
      </w:r>
      <w:r w:rsidR="00B96EC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96EC0">
        <w:rPr>
          <w:rFonts w:ascii="Arial" w:hAnsi="Arial" w:cs="Arial"/>
          <w:b w:val="0"/>
          <w:bCs w:val="0"/>
          <w:sz w:val="20"/>
        </w:rPr>
        <w:t>V oddíle doprava způsobilo mí</w:t>
      </w:r>
      <w:r w:rsidR="000F5B7B">
        <w:rPr>
          <w:rFonts w:ascii="Arial" w:hAnsi="Arial" w:cs="Arial"/>
          <w:b w:val="0"/>
          <w:bCs w:val="0"/>
          <w:sz w:val="20"/>
        </w:rPr>
        <w:t xml:space="preserve">rný </w:t>
      </w:r>
      <w:proofErr w:type="spellStart"/>
      <w:r w:rsidR="000F5B7B">
        <w:rPr>
          <w:rFonts w:ascii="Arial" w:hAnsi="Arial" w:cs="Arial"/>
          <w:b w:val="0"/>
          <w:bCs w:val="0"/>
          <w:sz w:val="20"/>
        </w:rPr>
        <w:t>mezičtvrtletní</w:t>
      </w:r>
      <w:proofErr w:type="spellEnd"/>
      <w:r w:rsidR="000F5B7B">
        <w:rPr>
          <w:rFonts w:ascii="Arial" w:hAnsi="Arial" w:cs="Arial"/>
          <w:b w:val="0"/>
          <w:bCs w:val="0"/>
          <w:sz w:val="20"/>
        </w:rPr>
        <w:t xml:space="preserve"> cenový růst </w:t>
      </w:r>
      <w:r w:rsidR="00B96EC0">
        <w:rPr>
          <w:rFonts w:ascii="Arial" w:hAnsi="Arial" w:cs="Arial"/>
          <w:b w:val="0"/>
          <w:bCs w:val="0"/>
          <w:sz w:val="20"/>
        </w:rPr>
        <w:t>zvýšení</w:t>
      </w:r>
      <w:r w:rsidR="000F5B7B">
        <w:rPr>
          <w:rFonts w:ascii="Arial" w:hAnsi="Arial" w:cs="Arial"/>
          <w:b w:val="0"/>
          <w:bCs w:val="0"/>
          <w:sz w:val="20"/>
        </w:rPr>
        <w:t xml:space="preserve"> cen </w:t>
      </w:r>
      <w:r w:rsidR="00B96EC0">
        <w:rPr>
          <w:rFonts w:ascii="Arial" w:hAnsi="Arial" w:cs="Arial"/>
          <w:b w:val="0"/>
          <w:bCs w:val="0"/>
          <w:sz w:val="20"/>
        </w:rPr>
        <w:t xml:space="preserve">pohonných hmot, </w:t>
      </w:r>
      <w:r w:rsidR="000F5B7B" w:rsidRPr="008936FE">
        <w:rPr>
          <w:rFonts w:ascii="Arial" w:hAnsi="Arial" w:cs="Arial"/>
          <w:b w:val="0"/>
          <w:bCs w:val="0"/>
          <w:sz w:val="20"/>
        </w:rPr>
        <w:t xml:space="preserve">nových </w:t>
      </w:r>
      <w:r w:rsidR="00B96EC0" w:rsidRPr="008936FE">
        <w:rPr>
          <w:rFonts w:ascii="Arial" w:hAnsi="Arial" w:cs="Arial"/>
          <w:b w:val="0"/>
          <w:bCs w:val="0"/>
          <w:sz w:val="20"/>
        </w:rPr>
        <w:t>automobilů</w:t>
      </w:r>
      <w:r w:rsidR="00B96EC0">
        <w:rPr>
          <w:rFonts w:ascii="Arial" w:hAnsi="Arial" w:cs="Arial"/>
          <w:b w:val="0"/>
          <w:bCs w:val="0"/>
          <w:sz w:val="20"/>
        </w:rPr>
        <w:t xml:space="preserve"> a dopravních služeb </w:t>
      </w:r>
      <w:r w:rsidR="008035A9">
        <w:rPr>
          <w:rFonts w:ascii="Arial" w:hAnsi="Arial" w:cs="Arial"/>
          <w:b w:val="0"/>
          <w:bCs w:val="0"/>
          <w:sz w:val="20"/>
        </w:rPr>
        <w:t>(</w:t>
      </w:r>
      <w:r w:rsidR="00B96EC0">
        <w:rPr>
          <w:rFonts w:ascii="Arial" w:hAnsi="Arial" w:cs="Arial"/>
          <w:b w:val="0"/>
          <w:bCs w:val="0"/>
          <w:sz w:val="20"/>
        </w:rPr>
        <w:t>v rozmezí 0,7 až 1,2 %</w:t>
      </w:r>
      <w:r w:rsidR="008035A9">
        <w:rPr>
          <w:rFonts w:ascii="Arial" w:hAnsi="Arial" w:cs="Arial"/>
          <w:b w:val="0"/>
          <w:bCs w:val="0"/>
          <w:sz w:val="20"/>
        </w:rPr>
        <w:t>)</w:t>
      </w:r>
      <w:r w:rsidR="00B96EC0">
        <w:rPr>
          <w:rFonts w:ascii="Arial" w:hAnsi="Arial" w:cs="Arial"/>
          <w:b w:val="0"/>
          <w:bCs w:val="0"/>
          <w:sz w:val="20"/>
        </w:rPr>
        <w:t>.</w:t>
      </w:r>
      <w:r w:rsidR="00032FD4">
        <w:rPr>
          <w:rFonts w:ascii="Arial" w:hAnsi="Arial" w:cs="Arial"/>
          <w:b w:val="0"/>
          <w:bCs w:val="0"/>
          <w:sz w:val="20"/>
        </w:rPr>
        <w:t xml:space="preserve">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Nižší ceny v 1. čtvrtletí 2014 než ve 4. čtvrtletí 2013 měly</w:t>
      </w:r>
      <w:r w:rsidR="000F5B7B">
        <w:rPr>
          <w:rFonts w:ascii="Arial" w:hAnsi="Arial" w:cs="Arial"/>
          <w:b w:val="0"/>
          <w:bCs w:val="0"/>
          <w:sz w:val="20"/>
          <w:szCs w:val="20"/>
        </w:rPr>
        <w:t xml:space="preserve"> čtyři oddíly spotřebního koše.</w:t>
      </w:r>
      <w:r w:rsidR="00336F6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Nejvíce </w:t>
      </w:r>
      <w:r w:rsidR="00D87442">
        <w:rPr>
          <w:rFonts w:ascii="Arial" w:hAnsi="Arial" w:cs="Arial"/>
          <w:b w:val="0"/>
          <w:sz w:val="20"/>
          <w:szCs w:val="20"/>
        </w:rPr>
        <w:t>klesly ceny u</w:t>
      </w:r>
      <w:r w:rsidR="00D87442">
        <w:rPr>
          <w:rFonts w:ascii="Arial" w:hAnsi="Arial" w:cs="Arial"/>
          <w:b w:val="0"/>
          <w:bCs w:val="0"/>
          <w:sz w:val="20"/>
        </w:rPr>
        <w:t xml:space="preserve"> odívání a obuvi v důsledku výprodejových cen v lednu a únoru.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035A9">
        <w:rPr>
          <w:rFonts w:ascii="Arial" w:hAnsi="Arial" w:cs="Arial"/>
          <w:b w:val="0"/>
          <w:sz w:val="20"/>
          <w:szCs w:val="20"/>
        </w:rPr>
        <w:t>Propad cen v oddíle bydlení způsobilo snížení cen zemního plynu a elektřiny.</w:t>
      </w:r>
      <w:r w:rsidR="001A2794">
        <w:rPr>
          <w:rFonts w:ascii="Arial" w:hAnsi="Arial" w:cs="Arial"/>
          <w:b w:val="0"/>
          <w:sz w:val="20"/>
          <w:szCs w:val="20"/>
        </w:rPr>
        <w:t xml:space="preserve"> </w:t>
      </w:r>
      <w:r w:rsidR="00B96EC0">
        <w:rPr>
          <w:rFonts w:ascii="Arial" w:hAnsi="Arial" w:cs="Arial"/>
          <w:b w:val="0"/>
          <w:sz w:val="20"/>
          <w:szCs w:val="20"/>
        </w:rPr>
        <w:t>Příčinou cenového poklesu v oddíle zdraví bylo zrušení regulačního poplatku za pobyt v nemocničních zařízeních.</w:t>
      </w:r>
      <w:r w:rsidR="001A2794" w:rsidRPr="001A2794">
        <w:rPr>
          <w:rFonts w:ascii="Arial" w:hAnsi="Arial" w:cs="Arial"/>
          <w:b w:val="0"/>
          <w:bCs w:val="0"/>
          <w:sz w:val="20"/>
        </w:rPr>
        <w:t xml:space="preserve"> </w:t>
      </w:r>
      <w:r w:rsidR="001A2794">
        <w:rPr>
          <w:rFonts w:ascii="Arial" w:hAnsi="Arial" w:cs="Arial"/>
          <w:b w:val="0"/>
          <w:bCs w:val="0"/>
          <w:sz w:val="20"/>
        </w:rPr>
        <w:t xml:space="preserve">V oddíle </w:t>
      </w:r>
      <w:r w:rsidR="001A2794">
        <w:rPr>
          <w:rFonts w:ascii="Arial" w:hAnsi="Arial" w:cs="Arial"/>
          <w:b w:val="0"/>
          <w:sz w:val="20"/>
          <w:szCs w:val="20"/>
        </w:rPr>
        <w:t>pošty a telekomunikace</w:t>
      </w:r>
      <w:r w:rsidR="001A2794">
        <w:rPr>
          <w:rFonts w:ascii="Arial" w:hAnsi="Arial" w:cs="Arial"/>
          <w:b w:val="0"/>
          <w:bCs w:val="0"/>
          <w:sz w:val="20"/>
        </w:rPr>
        <w:t xml:space="preserve"> p</w:t>
      </w:r>
      <w:r w:rsidR="001A2794" w:rsidRPr="0064462B">
        <w:rPr>
          <w:rFonts w:ascii="Arial" w:hAnsi="Arial" w:cs="Arial"/>
          <w:b w:val="0"/>
          <w:bCs w:val="0"/>
          <w:sz w:val="20"/>
        </w:rPr>
        <w:t>okračoval</w:t>
      </w:r>
      <w:r w:rsidR="001A2794">
        <w:rPr>
          <w:rFonts w:ascii="Arial" w:hAnsi="Arial" w:cs="Arial"/>
          <w:b w:val="0"/>
          <w:bCs w:val="0"/>
          <w:sz w:val="20"/>
        </w:rPr>
        <w:t xml:space="preserve"> </w:t>
      </w:r>
      <w:r w:rsidR="001A2794" w:rsidRPr="0064462B">
        <w:rPr>
          <w:rFonts w:ascii="Arial" w:hAnsi="Arial" w:cs="Arial"/>
          <w:b w:val="0"/>
          <w:bCs w:val="0"/>
          <w:sz w:val="20"/>
        </w:rPr>
        <w:t>pokles cen mobilních telefonů a tele</w:t>
      </w:r>
      <w:r w:rsidR="003D352D">
        <w:rPr>
          <w:rFonts w:ascii="Arial" w:hAnsi="Arial" w:cs="Arial"/>
          <w:b w:val="0"/>
          <w:bCs w:val="0"/>
          <w:sz w:val="20"/>
        </w:rPr>
        <w:t>fonických a </w:t>
      </w:r>
      <w:r w:rsidR="001A2794">
        <w:rPr>
          <w:rFonts w:ascii="Arial" w:hAnsi="Arial" w:cs="Arial"/>
          <w:b w:val="0"/>
          <w:bCs w:val="0"/>
          <w:sz w:val="20"/>
        </w:rPr>
        <w:t>telefaxových služeb.</w:t>
      </w:r>
    </w:p>
    <w:p w:rsidR="00A655F4" w:rsidRDefault="00A655F4" w:rsidP="00C24A32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2C0F54" w:rsidRDefault="002C0F54" w:rsidP="00F32D71">
      <w:pPr>
        <w:pStyle w:val="Zkladntextodsazen2"/>
        <w:ind w:left="720" w:firstLine="720"/>
        <w:rPr>
          <w:rFonts w:ascii="Arial" w:hAnsi="Arial" w:cs="Arial"/>
          <w:sz w:val="20"/>
          <w:szCs w:val="18"/>
        </w:rPr>
      </w:pPr>
      <w:r w:rsidRPr="007A0E1A">
        <w:rPr>
          <w:rFonts w:ascii="Arial" w:hAnsi="Arial" w:cs="Arial"/>
          <w:sz w:val="20"/>
          <w:szCs w:val="18"/>
        </w:rPr>
        <w:t>Indexy spotřebitelských cen</w:t>
      </w:r>
      <w:r w:rsidR="007A0E1A" w:rsidRPr="007A0E1A">
        <w:rPr>
          <w:rFonts w:ascii="Arial" w:hAnsi="Arial" w:cs="Arial"/>
          <w:sz w:val="20"/>
          <w:szCs w:val="18"/>
        </w:rPr>
        <w:t xml:space="preserve"> (</w:t>
      </w:r>
      <w:r w:rsidRPr="007A0E1A">
        <w:rPr>
          <w:rFonts w:ascii="Arial" w:hAnsi="Arial" w:cs="Arial"/>
          <w:sz w:val="20"/>
          <w:szCs w:val="18"/>
        </w:rPr>
        <w:t>předchozí čtvrtletí =</w:t>
      </w:r>
      <w:r w:rsidR="007A0E1A" w:rsidRPr="007A0E1A">
        <w:rPr>
          <w:rFonts w:ascii="Arial" w:hAnsi="Arial" w:cs="Arial"/>
          <w:sz w:val="20"/>
          <w:szCs w:val="18"/>
        </w:rPr>
        <w:t xml:space="preserve"> </w:t>
      </w:r>
      <w:r w:rsidRPr="007A0E1A">
        <w:rPr>
          <w:rFonts w:ascii="Arial" w:hAnsi="Arial" w:cs="Arial"/>
          <w:sz w:val="20"/>
          <w:szCs w:val="18"/>
        </w:rPr>
        <w:t>100</w:t>
      </w:r>
      <w:r w:rsidR="007A0E1A" w:rsidRPr="007A0E1A">
        <w:rPr>
          <w:rFonts w:ascii="Arial" w:hAnsi="Arial" w:cs="Arial"/>
          <w:sz w:val="20"/>
          <w:szCs w:val="18"/>
        </w:rPr>
        <w:t>)</w:t>
      </w:r>
    </w:p>
    <w:p w:rsidR="00235DB9" w:rsidRDefault="00235DB9" w:rsidP="007A0E1A">
      <w:pPr>
        <w:pStyle w:val="Zkladntextodsazen2"/>
        <w:ind w:firstLine="0"/>
        <w:rPr>
          <w:rFonts w:ascii="Arial" w:hAnsi="Arial" w:cs="Arial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1269"/>
        <w:gridCol w:w="1179"/>
        <w:gridCol w:w="1179"/>
        <w:gridCol w:w="1179"/>
        <w:gridCol w:w="1338"/>
      </w:tblGrid>
      <w:tr w:rsidR="002B0D87" w:rsidTr="002B0D87">
        <w:trPr>
          <w:trHeight w:val="355"/>
          <w:jc w:val="center"/>
        </w:trPr>
        <w:tc>
          <w:tcPr>
            <w:tcW w:w="2452" w:type="dxa"/>
            <w:vAlign w:val="center"/>
          </w:tcPr>
          <w:p w:rsidR="002B0D87" w:rsidRDefault="002B0D87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 2013</w:t>
            </w:r>
          </w:p>
        </w:tc>
        <w:tc>
          <w:tcPr>
            <w:tcW w:w="1338" w:type="dxa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rok 2014</w:t>
            </w:r>
          </w:p>
        </w:tc>
      </w:tr>
      <w:tr w:rsidR="002B0D87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2B0D87" w:rsidRDefault="002B0D87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ODDÍL</w:t>
            </w:r>
          </w:p>
        </w:tc>
        <w:tc>
          <w:tcPr>
            <w:tcW w:w="1269" w:type="dxa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1. čtvrtletí </w:t>
            </w:r>
          </w:p>
        </w:tc>
        <w:tc>
          <w:tcPr>
            <w:tcW w:w="1179" w:type="dxa"/>
            <w:vAlign w:val="center"/>
          </w:tcPr>
          <w:p w:rsidR="002B0D87" w:rsidRDefault="00DF7D54" w:rsidP="00DF7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2. čtvrtletí </w:t>
            </w:r>
          </w:p>
        </w:tc>
        <w:tc>
          <w:tcPr>
            <w:tcW w:w="1179" w:type="dxa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3. čtvrtletí</w:t>
            </w:r>
          </w:p>
        </w:tc>
        <w:tc>
          <w:tcPr>
            <w:tcW w:w="1179" w:type="dxa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4. čtvrtletí</w:t>
            </w:r>
          </w:p>
        </w:tc>
        <w:tc>
          <w:tcPr>
            <w:tcW w:w="1338" w:type="dxa"/>
            <w:vAlign w:val="center"/>
          </w:tcPr>
          <w:p w:rsidR="002B0D87" w:rsidRDefault="002B0D87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1. čtvrtletí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ÚHRN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101,4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100,2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99,7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99,9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100,4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Potraviny a nealkoholické nápoje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103,8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101,4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98,9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100,1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103,6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Alkoholické nápoje a tabák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100,7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100,8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100,5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101,1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101,6</w:t>
            </w:r>
          </w:p>
        </w:tc>
      </w:tr>
      <w:tr w:rsidR="00DF7D54" w:rsidTr="002B0D87">
        <w:trPr>
          <w:trHeight w:val="318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Odívání a obuv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94,8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104,3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98,0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104,7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95,7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Bydlení, voda, energie, paliva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102,3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99,5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99,4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100,0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98,6</w:t>
            </w:r>
          </w:p>
        </w:tc>
      </w:tr>
      <w:tr w:rsidR="00DF7D54" w:rsidTr="002B0D87">
        <w:trPr>
          <w:trHeight w:val="582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Bytové vybavení, zařízení domácnosti, opravy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100,1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99,7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99,2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99,4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100,4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Zdraví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101,1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100,4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100,1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99,3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96,9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Doprava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100,2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99,9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100,5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99,2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100,6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Pošty a telekomunikace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99,3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94,9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96,9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98,8</w:t>
            </w:r>
          </w:p>
        </w:tc>
        <w:tc>
          <w:tcPr>
            <w:tcW w:w="1338" w:type="dxa"/>
            <w:vAlign w:val="center"/>
          </w:tcPr>
          <w:p w:rsidR="00DF7D54" w:rsidRDefault="00DF7D54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99,6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Rekreace a kultura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101,3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99,6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102,1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98,0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100,8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Vzdělávání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100,2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100,1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100,3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100,7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100,2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Stravování a ubytování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100,7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100,6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100,5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100,1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100,5</w:t>
            </w:r>
          </w:p>
        </w:tc>
      </w:tr>
      <w:tr w:rsidR="00DF7D54" w:rsidTr="002B0D87">
        <w:trPr>
          <w:trHeight w:val="284"/>
          <w:jc w:val="center"/>
        </w:trPr>
        <w:tc>
          <w:tcPr>
            <w:tcW w:w="2452" w:type="dxa"/>
            <w:vAlign w:val="center"/>
          </w:tcPr>
          <w:p w:rsidR="00DF7D54" w:rsidRDefault="00DF7D5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Ostatní zboží a služby</w:t>
            </w:r>
          </w:p>
        </w:tc>
        <w:tc>
          <w:tcPr>
            <w:tcW w:w="126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100,9</w:t>
            </w:r>
          </w:p>
        </w:tc>
        <w:tc>
          <w:tcPr>
            <w:tcW w:w="1179" w:type="dxa"/>
            <w:vAlign w:val="center"/>
          </w:tcPr>
          <w:p w:rsidR="00DF7D54" w:rsidRDefault="00DF7D54" w:rsidP="00D44C1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100,5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99,4</w:t>
            </w:r>
          </w:p>
        </w:tc>
        <w:tc>
          <w:tcPr>
            <w:tcW w:w="1179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100,0</w:t>
            </w:r>
          </w:p>
        </w:tc>
        <w:tc>
          <w:tcPr>
            <w:tcW w:w="1338" w:type="dxa"/>
            <w:vAlign w:val="center"/>
          </w:tcPr>
          <w:p w:rsidR="00DF7D54" w:rsidRDefault="00DF7D54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100,8</w:t>
            </w:r>
          </w:p>
        </w:tc>
      </w:tr>
    </w:tbl>
    <w:p w:rsidR="009158EA" w:rsidRDefault="002C0F54" w:rsidP="009158EA">
      <w:pPr>
        <w:rPr>
          <w:rFonts w:cs="Arial"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>vzrostly spotřebitelské ceny v</w:t>
      </w:r>
      <w:r w:rsidR="009158EA" w:rsidRPr="009158EA">
        <w:rPr>
          <w:rFonts w:cs="Arial"/>
          <w:szCs w:val="20"/>
        </w:rPr>
        <w:t> 1. čtvrtletí 2014 proti 1</w:t>
      </w:r>
      <w:r w:rsidRPr="009158EA">
        <w:rPr>
          <w:rFonts w:cs="Arial"/>
          <w:szCs w:val="20"/>
        </w:rPr>
        <w:t>. čtvrtletí 201</w:t>
      </w:r>
      <w:r w:rsidR="009158EA" w:rsidRPr="009158EA">
        <w:rPr>
          <w:rFonts w:cs="Arial"/>
          <w:szCs w:val="20"/>
        </w:rPr>
        <w:t>3</w:t>
      </w:r>
      <w:r w:rsidR="006B770A" w:rsidRPr="009158EA">
        <w:rPr>
          <w:rFonts w:cs="Arial"/>
          <w:szCs w:val="20"/>
        </w:rPr>
        <w:t xml:space="preserve"> </w:t>
      </w:r>
      <w:r w:rsidR="009158EA" w:rsidRPr="009158EA">
        <w:rPr>
          <w:rFonts w:cs="Arial"/>
          <w:bCs/>
          <w:szCs w:val="20"/>
        </w:rPr>
        <w:t>pouze o 0,2 %, což bylo o 0,9</w:t>
      </w:r>
      <w:r w:rsidRPr="009158EA">
        <w:rPr>
          <w:rFonts w:cs="Arial"/>
          <w:szCs w:val="20"/>
        </w:rPr>
        <w:t xml:space="preserve"> procentního bodu </w:t>
      </w:r>
      <w:r w:rsidR="009158EA" w:rsidRPr="009158EA">
        <w:rPr>
          <w:rFonts w:cs="Arial"/>
          <w:bCs/>
          <w:szCs w:val="20"/>
        </w:rPr>
        <w:t>méně než ve 4</w:t>
      </w:r>
      <w:r w:rsidRPr="009158EA">
        <w:rPr>
          <w:rFonts w:cs="Arial"/>
          <w:szCs w:val="20"/>
        </w:rPr>
        <w:t xml:space="preserve">. čtvrtletí 2013. </w:t>
      </w:r>
      <w:r w:rsidR="009158EA" w:rsidRPr="009158EA">
        <w:rPr>
          <w:rFonts w:cs="Arial"/>
          <w:bCs/>
          <w:szCs w:val="20"/>
        </w:rPr>
        <w:t>Příčinou tohoto výrazného z</w:t>
      </w:r>
      <w:r w:rsidRPr="009158EA">
        <w:rPr>
          <w:rFonts w:cs="Arial"/>
          <w:szCs w:val="20"/>
        </w:rPr>
        <w:t xml:space="preserve">pomalení meziročního cenového růstu </w:t>
      </w:r>
      <w:r w:rsidR="009158EA" w:rsidRPr="009158EA">
        <w:rPr>
          <w:rFonts w:cs="Arial"/>
          <w:bCs/>
          <w:szCs w:val="20"/>
        </w:rPr>
        <w:t>byl rozdílný meziměsíč</w:t>
      </w:r>
      <w:r w:rsidR="003D352D">
        <w:rPr>
          <w:rFonts w:cs="Arial"/>
          <w:bCs/>
          <w:szCs w:val="20"/>
        </w:rPr>
        <w:t>ní přírůstek cen v lednu 2014 a </w:t>
      </w:r>
      <w:r w:rsidR="009158EA" w:rsidRPr="009158EA">
        <w:rPr>
          <w:rFonts w:cs="Arial"/>
          <w:bCs/>
          <w:szCs w:val="20"/>
        </w:rPr>
        <w:t xml:space="preserve">v lednu 2013. </w:t>
      </w:r>
      <w:r w:rsidR="009158EA" w:rsidRPr="009158EA">
        <w:rPr>
          <w:rFonts w:cs="Arial"/>
          <w:szCs w:val="20"/>
        </w:rPr>
        <w:t xml:space="preserve">V letošním lednu vzrostly ceny pouze o 0,1 %, což byl nejnižší lednový meziměsíční </w:t>
      </w:r>
      <w:r w:rsidR="006D67C8">
        <w:rPr>
          <w:rFonts w:cs="Arial"/>
          <w:szCs w:val="20"/>
        </w:rPr>
        <w:t xml:space="preserve">přírůstek cen od roku 1993. </w:t>
      </w:r>
      <w:r w:rsidR="006D67C8" w:rsidRPr="008936FE">
        <w:rPr>
          <w:rFonts w:cs="Arial"/>
          <w:szCs w:val="20"/>
        </w:rPr>
        <w:t>Při</w:t>
      </w:r>
      <w:r w:rsidR="009158EA" w:rsidRPr="008936FE">
        <w:rPr>
          <w:rFonts w:cs="Arial"/>
          <w:szCs w:val="20"/>
        </w:rPr>
        <w:t>tom</w:t>
      </w:r>
      <w:r w:rsidR="009158EA" w:rsidRPr="009158EA">
        <w:rPr>
          <w:rFonts w:cs="Arial"/>
          <w:szCs w:val="20"/>
        </w:rPr>
        <w:t xml:space="preserve"> v lednu 2</w:t>
      </w:r>
      <w:r w:rsidR="003D352D">
        <w:rPr>
          <w:rFonts w:cs="Arial"/>
          <w:szCs w:val="20"/>
        </w:rPr>
        <w:t>013 vzrostly ceny meziměsíčně o </w:t>
      </w:r>
      <w:r w:rsidR="009158EA" w:rsidRPr="009158EA">
        <w:rPr>
          <w:rFonts w:cs="Arial"/>
          <w:szCs w:val="20"/>
        </w:rPr>
        <w:t>1,3 %, tedy o 1,2 procentního bodu více než v lednu 20</w:t>
      </w:r>
      <w:r w:rsidR="003D352D">
        <w:rPr>
          <w:rFonts w:cs="Arial"/>
          <w:szCs w:val="20"/>
        </w:rPr>
        <w:t>14. Tento rozdíl se projevil ve </w:t>
      </w:r>
      <w:r w:rsidR="009158EA" w:rsidRPr="009158EA">
        <w:rPr>
          <w:rFonts w:cs="Arial"/>
          <w:szCs w:val="20"/>
        </w:rPr>
        <w:t xml:space="preserve">zpomalení meziročního růstu cen v lednu 2014 na </w:t>
      </w:r>
      <w:proofErr w:type="gramStart"/>
      <w:r w:rsidR="009158EA" w:rsidRPr="009158EA">
        <w:rPr>
          <w:rFonts w:cs="Arial"/>
          <w:szCs w:val="20"/>
        </w:rPr>
        <w:t>0,2 % z 1,4</w:t>
      </w:r>
      <w:proofErr w:type="gramEnd"/>
      <w:r w:rsidR="009158EA" w:rsidRPr="009158EA">
        <w:rPr>
          <w:rFonts w:cs="Arial"/>
          <w:szCs w:val="20"/>
        </w:rPr>
        <w:t xml:space="preserve"> % v prosinci 2013. </w:t>
      </w:r>
      <w:r w:rsidR="009158EA" w:rsidRPr="003E58BB">
        <w:rPr>
          <w:rFonts w:cs="Arial"/>
          <w:szCs w:val="20"/>
        </w:rPr>
        <w:t xml:space="preserve">Vliv jednotlivých oddílů spotřebního koše na úhrnný index spotřebitelských cen na přelomu roku 2013 a 2014 </w:t>
      </w:r>
      <w:r w:rsidR="009158EA">
        <w:rPr>
          <w:rFonts w:cs="Arial"/>
          <w:szCs w:val="20"/>
        </w:rPr>
        <w:t>vyčísluje</w:t>
      </w:r>
      <w:r w:rsidR="009158EA" w:rsidRPr="003E58BB">
        <w:rPr>
          <w:rFonts w:cs="Arial"/>
          <w:szCs w:val="20"/>
        </w:rPr>
        <w:t> rozklad úhrnného přírůstku spotřebitelských cen</w:t>
      </w:r>
      <w:r w:rsidR="009158EA">
        <w:t>.</w:t>
      </w:r>
    </w:p>
    <w:p w:rsidR="004B7759" w:rsidRDefault="004B7759" w:rsidP="009158EA">
      <w:pPr>
        <w:jc w:val="center"/>
        <w:rPr>
          <w:rFonts w:cs="Arial"/>
        </w:rPr>
      </w:pPr>
    </w:p>
    <w:p w:rsidR="009158EA" w:rsidRPr="00506649" w:rsidRDefault="009158EA" w:rsidP="009158EA">
      <w:pPr>
        <w:jc w:val="center"/>
        <w:rPr>
          <w:rFonts w:cs="Arial"/>
          <w:b/>
        </w:rPr>
      </w:pPr>
      <w:r w:rsidRPr="00506649">
        <w:rPr>
          <w:rFonts w:cs="Arial"/>
          <w:b/>
        </w:rPr>
        <w:t>Rozklad meziroční změny indexů spotřebitelských cen</w:t>
      </w:r>
    </w:p>
    <w:p w:rsidR="00506649" w:rsidRDefault="00506649" w:rsidP="009158EA">
      <w:pPr>
        <w:jc w:val="center"/>
        <w:rPr>
          <w:rFonts w:cs="Arial"/>
        </w:rPr>
      </w:pPr>
    </w:p>
    <w:p w:rsidR="00DC4165" w:rsidRDefault="00506649" w:rsidP="0069502E">
      <w:pPr>
        <w:jc w:val="left"/>
      </w:pPr>
      <w:r w:rsidRPr="005066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4.8pt;height:186.6pt">
            <v:imagedata r:id="rId7" o:title=""/>
          </v:shape>
        </w:pict>
      </w:r>
    </w:p>
    <w:p w:rsidR="00C63469" w:rsidRDefault="00C63469" w:rsidP="0069502E">
      <w:pPr>
        <w:jc w:val="left"/>
      </w:pPr>
    </w:p>
    <w:p w:rsidR="00765549" w:rsidRDefault="003E2829" w:rsidP="006A42AF">
      <w:pPr>
        <w:rPr>
          <w:rFonts w:cs="Arial"/>
          <w:szCs w:val="20"/>
        </w:rPr>
      </w:pPr>
      <w:r>
        <w:rPr>
          <w:szCs w:val="20"/>
        </w:rPr>
        <w:t>Z tabulky je zřejmé, že na růstu cen v 1. čtv</w:t>
      </w:r>
      <w:r w:rsidR="00240CF3">
        <w:rPr>
          <w:szCs w:val="20"/>
        </w:rPr>
        <w:t>r</w:t>
      </w:r>
      <w:r>
        <w:rPr>
          <w:szCs w:val="20"/>
        </w:rPr>
        <w:t>tletí 2014 se podílely zejména ceny v oddíle potraviny a nealkoholické nápoje a v oddíle alkoholické nápoje a tabák</w:t>
      </w:r>
      <w:r w:rsidR="001E06E8">
        <w:rPr>
          <w:szCs w:val="20"/>
        </w:rPr>
        <w:t xml:space="preserve">. Naopak </w:t>
      </w:r>
      <w:r w:rsidR="00A93CBE">
        <w:rPr>
          <w:szCs w:val="20"/>
        </w:rPr>
        <w:t xml:space="preserve">pokles cen </w:t>
      </w:r>
      <w:r w:rsidR="006A42AF">
        <w:rPr>
          <w:rFonts w:cs="Arial"/>
          <w:szCs w:val="20"/>
        </w:rPr>
        <w:t>v</w:t>
      </w:r>
      <w:r w:rsidR="005A1398">
        <w:rPr>
          <w:rFonts w:cs="Arial"/>
          <w:szCs w:val="20"/>
        </w:rPr>
        <w:t> </w:t>
      </w:r>
      <w:r w:rsidR="006A42AF">
        <w:rPr>
          <w:rFonts w:cs="Arial"/>
          <w:szCs w:val="20"/>
        </w:rPr>
        <w:t>lednu</w:t>
      </w:r>
      <w:r w:rsidR="005A1398">
        <w:rPr>
          <w:rFonts w:cs="Arial"/>
          <w:szCs w:val="20"/>
        </w:rPr>
        <w:t xml:space="preserve"> a tím i v 1. čtvrtletí 2014</w:t>
      </w:r>
      <w:r w:rsidR="006A42AF">
        <w:rPr>
          <w:rFonts w:cs="Arial"/>
          <w:szCs w:val="20"/>
        </w:rPr>
        <w:t xml:space="preserve"> </w:t>
      </w:r>
      <w:r w:rsidR="004B0D3E">
        <w:rPr>
          <w:rFonts w:cs="Arial"/>
          <w:szCs w:val="20"/>
        </w:rPr>
        <w:t>zaznamenaly</w:t>
      </w:r>
      <w:r w:rsidR="006A42AF" w:rsidRPr="003E58BB">
        <w:rPr>
          <w:rFonts w:cs="Arial"/>
          <w:szCs w:val="20"/>
        </w:rPr>
        <w:t xml:space="preserve"> </w:t>
      </w:r>
      <w:r w:rsidR="006A42AF">
        <w:rPr>
          <w:rFonts w:cs="Arial"/>
          <w:szCs w:val="20"/>
        </w:rPr>
        <w:t>(</w:t>
      </w:r>
      <w:r w:rsidR="006A42AF" w:rsidRPr="003E58BB">
        <w:rPr>
          <w:rFonts w:cs="Arial"/>
          <w:szCs w:val="20"/>
        </w:rPr>
        <w:t>poprvé od vzniku samostatné ČR</w:t>
      </w:r>
      <w:r w:rsidR="006A42AF">
        <w:rPr>
          <w:rFonts w:cs="Arial"/>
          <w:szCs w:val="20"/>
        </w:rPr>
        <w:t>)</w:t>
      </w:r>
      <w:r w:rsidR="006A42AF" w:rsidRPr="003E58BB">
        <w:rPr>
          <w:rFonts w:cs="Arial"/>
          <w:szCs w:val="20"/>
        </w:rPr>
        <w:t xml:space="preserve"> ceny </w:t>
      </w:r>
      <w:r w:rsidR="006A42AF">
        <w:rPr>
          <w:rFonts w:cs="Arial"/>
          <w:szCs w:val="20"/>
        </w:rPr>
        <w:t xml:space="preserve">v oddíle </w:t>
      </w:r>
      <w:r w:rsidR="006A42AF" w:rsidRPr="004B0D3E">
        <w:rPr>
          <w:rFonts w:cs="Arial"/>
          <w:szCs w:val="20"/>
        </w:rPr>
        <w:t>bydlení</w:t>
      </w:r>
      <w:r w:rsidR="004B0D3E">
        <w:rPr>
          <w:rFonts w:cs="Arial"/>
          <w:szCs w:val="20"/>
        </w:rPr>
        <w:t xml:space="preserve"> vlivem </w:t>
      </w:r>
      <w:r w:rsidR="00A93CBE">
        <w:rPr>
          <w:rFonts w:cs="Arial"/>
          <w:szCs w:val="20"/>
        </w:rPr>
        <w:t xml:space="preserve">snížení </w:t>
      </w:r>
      <w:r w:rsidR="004B0D3E">
        <w:rPr>
          <w:rFonts w:cs="Arial"/>
          <w:szCs w:val="20"/>
        </w:rPr>
        <w:t>cen energií.</w:t>
      </w:r>
    </w:p>
    <w:p w:rsidR="004B0D3E" w:rsidRDefault="004B0D3E" w:rsidP="006A42AF">
      <w:pPr>
        <w:rPr>
          <w:rFonts w:cs="Arial"/>
          <w:szCs w:val="20"/>
        </w:rPr>
      </w:pPr>
    </w:p>
    <w:p w:rsidR="006A42AF" w:rsidRDefault="006A42AF" w:rsidP="006A42AF">
      <w:pPr>
        <w:rPr>
          <w:rFonts w:cs="Arial"/>
          <w:szCs w:val="20"/>
        </w:rPr>
      </w:pPr>
      <w:r w:rsidRPr="0094376F">
        <w:rPr>
          <w:rFonts w:cs="Arial"/>
          <w:szCs w:val="20"/>
        </w:rPr>
        <w:t xml:space="preserve">Vliv cen položek obsažených v oddíle bydlení dokládá celkový index </w:t>
      </w:r>
      <w:r w:rsidR="0094376F" w:rsidRPr="0094376F">
        <w:rPr>
          <w:rFonts w:cs="Arial"/>
          <w:szCs w:val="20"/>
        </w:rPr>
        <w:t xml:space="preserve">spotřebitelských cen </w:t>
      </w:r>
      <w:r w:rsidR="00700749">
        <w:rPr>
          <w:rFonts w:cs="Arial"/>
          <w:szCs w:val="20"/>
        </w:rPr>
        <w:t>bez </w:t>
      </w:r>
      <w:r w:rsidRPr="0094376F">
        <w:rPr>
          <w:rFonts w:cs="Arial"/>
          <w:szCs w:val="20"/>
        </w:rPr>
        <w:t>bydlení, vody, energie, paliv</w:t>
      </w:r>
      <w:r w:rsidR="0094376F" w:rsidRPr="0094376F">
        <w:rPr>
          <w:rFonts w:cs="Arial"/>
          <w:szCs w:val="20"/>
        </w:rPr>
        <w:t>.</w:t>
      </w:r>
      <w:r w:rsidRPr="0094376F">
        <w:rPr>
          <w:rFonts w:cs="Arial"/>
          <w:szCs w:val="20"/>
        </w:rPr>
        <w:t xml:space="preserve"> V</w:t>
      </w:r>
      <w:r w:rsidR="0094376F">
        <w:rPr>
          <w:rFonts w:cs="Arial"/>
          <w:szCs w:val="20"/>
        </w:rPr>
        <w:t> 1</w:t>
      </w:r>
      <w:r w:rsidR="0094376F" w:rsidRPr="0094376F">
        <w:rPr>
          <w:rFonts w:cs="Arial"/>
          <w:szCs w:val="20"/>
        </w:rPr>
        <w:t>.</w:t>
      </w:r>
      <w:r w:rsidR="006D67C8">
        <w:rPr>
          <w:rFonts w:cs="Arial"/>
          <w:szCs w:val="20"/>
        </w:rPr>
        <w:t xml:space="preserve"> </w:t>
      </w:r>
      <w:r w:rsidR="0094376F" w:rsidRPr="0094376F">
        <w:rPr>
          <w:rFonts w:cs="Arial"/>
          <w:szCs w:val="20"/>
        </w:rPr>
        <w:t>čtvrtletí</w:t>
      </w:r>
      <w:r w:rsidR="0094376F">
        <w:rPr>
          <w:rFonts w:cs="Arial"/>
          <w:szCs w:val="20"/>
        </w:rPr>
        <w:t xml:space="preserve"> </w:t>
      </w:r>
      <w:r w:rsidRPr="0094376F">
        <w:rPr>
          <w:rFonts w:cs="Arial"/>
          <w:szCs w:val="20"/>
        </w:rPr>
        <w:t>2014 vzrostly spotřebitelské ceny</w:t>
      </w:r>
      <w:r w:rsidR="0094376F" w:rsidRPr="0094376F">
        <w:rPr>
          <w:rFonts w:cs="Arial"/>
          <w:szCs w:val="20"/>
        </w:rPr>
        <w:t xml:space="preserve"> </w:t>
      </w:r>
      <w:r w:rsidR="0094376F" w:rsidRPr="003E2829">
        <w:rPr>
          <w:rFonts w:cs="Arial"/>
          <w:szCs w:val="20"/>
        </w:rPr>
        <w:t xml:space="preserve">celkem </w:t>
      </w:r>
      <w:r w:rsidRPr="003E2829">
        <w:rPr>
          <w:rFonts w:cs="Arial"/>
          <w:szCs w:val="20"/>
        </w:rPr>
        <w:t>o</w:t>
      </w:r>
      <w:r w:rsidR="00087211">
        <w:rPr>
          <w:rFonts w:cs="Arial"/>
          <w:szCs w:val="20"/>
        </w:rPr>
        <w:t> </w:t>
      </w:r>
      <w:r w:rsidRPr="003E2829">
        <w:rPr>
          <w:rFonts w:cs="Arial"/>
          <w:szCs w:val="20"/>
        </w:rPr>
        <w:t>0,2</w:t>
      </w:r>
      <w:r w:rsidR="00087211">
        <w:rPr>
          <w:rFonts w:cs="Arial"/>
          <w:szCs w:val="20"/>
        </w:rPr>
        <w:t> </w:t>
      </w:r>
      <w:r w:rsidR="0094376F" w:rsidRPr="003E2829">
        <w:rPr>
          <w:rFonts w:cs="Arial"/>
          <w:szCs w:val="20"/>
        </w:rPr>
        <w:t>%</w:t>
      </w:r>
      <w:r w:rsidRPr="003E2829">
        <w:rPr>
          <w:rFonts w:cs="Arial"/>
          <w:szCs w:val="20"/>
        </w:rPr>
        <w:t>,</w:t>
      </w:r>
      <w:r w:rsidRPr="0094376F">
        <w:rPr>
          <w:rFonts w:cs="Arial"/>
          <w:szCs w:val="20"/>
        </w:rPr>
        <w:t xml:space="preserve"> </w:t>
      </w:r>
      <w:r w:rsidR="003D352D">
        <w:rPr>
          <w:rFonts w:cs="Arial"/>
          <w:szCs w:val="20"/>
        </w:rPr>
        <w:t>při </w:t>
      </w:r>
      <w:r w:rsidR="0094376F" w:rsidRPr="0094376F">
        <w:rPr>
          <w:rFonts w:cs="Arial"/>
          <w:szCs w:val="20"/>
        </w:rPr>
        <w:t xml:space="preserve">vyloučení položek </w:t>
      </w:r>
      <w:r w:rsidRPr="0094376F">
        <w:rPr>
          <w:rFonts w:cs="Arial"/>
          <w:szCs w:val="20"/>
        </w:rPr>
        <w:t>bydlení o </w:t>
      </w:r>
      <w:r w:rsidRPr="00715E98">
        <w:rPr>
          <w:rFonts w:cs="Arial"/>
          <w:szCs w:val="20"/>
        </w:rPr>
        <w:t>1,2 %.</w:t>
      </w:r>
    </w:p>
    <w:p w:rsidR="0094376F" w:rsidRDefault="0094376F" w:rsidP="006A42AF">
      <w:pPr>
        <w:rPr>
          <w:rFonts w:cs="Arial"/>
          <w:szCs w:val="20"/>
        </w:rPr>
      </w:pPr>
    </w:p>
    <w:p w:rsidR="0094376F" w:rsidRDefault="0094376F" w:rsidP="006A42AF">
      <w:pPr>
        <w:rPr>
          <w:rFonts w:cs="Arial"/>
          <w:szCs w:val="20"/>
        </w:rPr>
      </w:pPr>
      <w:r>
        <w:rPr>
          <w:rFonts w:cs="Arial"/>
          <w:szCs w:val="20"/>
        </w:rPr>
        <w:t>Na zpomalení meziročního cenového růstu se podílel i pokles cen</w:t>
      </w:r>
      <w:r w:rsidR="00C23FAB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oddíl</w:t>
      </w:r>
      <w:r w:rsidR="00C23FAB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Pr="0094376F">
        <w:rPr>
          <w:rFonts w:cs="Arial"/>
          <w:b/>
          <w:szCs w:val="20"/>
        </w:rPr>
        <w:t>zdraví</w:t>
      </w:r>
      <w:r>
        <w:rPr>
          <w:rFonts w:cs="Arial"/>
          <w:szCs w:val="20"/>
        </w:rPr>
        <w:t xml:space="preserve"> v důsledku zrušení regulačního poplatk</w:t>
      </w:r>
      <w:r w:rsidR="001E06E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za pobyt v nemocnici.</w:t>
      </w:r>
    </w:p>
    <w:p w:rsidR="0094376F" w:rsidRPr="00885EA7" w:rsidRDefault="0094376F" w:rsidP="006A42AF">
      <w:pPr>
        <w:rPr>
          <w:rFonts w:cs="Arial"/>
          <w:szCs w:val="20"/>
        </w:rPr>
      </w:pPr>
    </w:p>
    <w:p w:rsidR="00765549" w:rsidRPr="00885EA7" w:rsidRDefault="00765549" w:rsidP="00765549">
      <w:pPr>
        <w:rPr>
          <w:rFonts w:cs="Arial"/>
          <w:szCs w:val="20"/>
        </w:rPr>
      </w:pPr>
      <w:r>
        <w:rPr>
          <w:rFonts w:cs="Arial"/>
          <w:szCs w:val="20"/>
        </w:rPr>
        <w:t xml:space="preserve">Vliv </w:t>
      </w:r>
      <w:r w:rsidR="008E2E32">
        <w:rPr>
          <w:rFonts w:cs="Arial"/>
          <w:szCs w:val="20"/>
        </w:rPr>
        <w:t xml:space="preserve">poklesu </w:t>
      </w:r>
      <w:r>
        <w:rPr>
          <w:rFonts w:cs="Arial"/>
          <w:szCs w:val="20"/>
        </w:rPr>
        <w:t xml:space="preserve">cen energií a </w:t>
      </w:r>
      <w:r w:rsidR="008E2E32">
        <w:rPr>
          <w:rFonts w:cs="Arial"/>
          <w:szCs w:val="20"/>
        </w:rPr>
        <w:t xml:space="preserve">zrušení </w:t>
      </w:r>
      <w:r>
        <w:rPr>
          <w:rFonts w:cs="Arial"/>
          <w:szCs w:val="20"/>
        </w:rPr>
        <w:t>r</w:t>
      </w:r>
      <w:r w:rsidR="001E06E8">
        <w:rPr>
          <w:rFonts w:cs="Arial"/>
          <w:szCs w:val="20"/>
        </w:rPr>
        <w:t xml:space="preserve">egulačního poplatku se projevil </w:t>
      </w:r>
      <w:r>
        <w:rPr>
          <w:rFonts w:cs="Arial"/>
          <w:szCs w:val="20"/>
        </w:rPr>
        <w:t>v hodnotách indexu reg</w:t>
      </w:r>
      <w:r w:rsidR="003E2829">
        <w:rPr>
          <w:rFonts w:cs="Arial"/>
          <w:szCs w:val="20"/>
        </w:rPr>
        <w:t>ulovaných spotřebitelských cen</w:t>
      </w:r>
      <w:r w:rsidR="001E06E8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indexu tržních spotřebitelských cen. V</w:t>
      </w:r>
      <w:r w:rsidR="001E06E8">
        <w:rPr>
          <w:rFonts w:cs="Arial"/>
          <w:szCs w:val="20"/>
        </w:rPr>
        <w:t> 1.</w:t>
      </w:r>
      <w:r w:rsidR="006D67C8">
        <w:rPr>
          <w:rFonts w:cs="Arial"/>
          <w:szCs w:val="20"/>
        </w:rPr>
        <w:t xml:space="preserve"> čtvrtletí </w:t>
      </w:r>
      <w:r w:rsidR="001E06E8">
        <w:rPr>
          <w:rFonts w:cs="Arial"/>
          <w:szCs w:val="20"/>
        </w:rPr>
        <w:t>2014</w:t>
      </w:r>
      <w:r>
        <w:rPr>
          <w:rFonts w:cs="Arial"/>
          <w:szCs w:val="20"/>
        </w:rPr>
        <w:t xml:space="preserve"> vz</w:t>
      </w:r>
      <w:r w:rsidR="001E06E8">
        <w:rPr>
          <w:rFonts w:cs="Arial"/>
          <w:szCs w:val="20"/>
        </w:rPr>
        <w:t xml:space="preserve">rostly meziročně </w:t>
      </w:r>
      <w:r>
        <w:rPr>
          <w:rFonts w:cs="Arial"/>
          <w:szCs w:val="20"/>
        </w:rPr>
        <w:t xml:space="preserve">spotřebitelské ceny </w:t>
      </w:r>
      <w:r w:rsidRPr="00025EF7">
        <w:rPr>
          <w:rFonts w:cs="Arial"/>
          <w:szCs w:val="20"/>
        </w:rPr>
        <w:t>o 0,2</w:t>
      </w:r>
      <w:r w:rsidR="006D67C8" w:rsidRPr="00025EF7">
        <w:rPr>
          <w:rFonts w:cs="Arial"/>
          <w:szCs w:val="20"/>
        </w:rPr>
        <w:t xml:space="preserve"> %</w:t>
      </w:r>
      <w:r w:rsidRPr="00025EF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 toho </w:t>
      </w:r>
      <w:r w:rsidR="004B0D3E">
        <w:rPr>
          <w:rFonts w:cs="Arial"/>
          <w:szCs w:val="20"/>
        </w:rPr>
        <w:t>tržní</w:t>
      </w:r>
      <w:r>
        <w:rPr>
          <w:rFonts w:cs="Arial"/>
          <w:szCs w:val="20"/>
        </w:rPr>
        <w:t xml:space="preserve"> cen</w:t>
      </w:r>
      <w:r w:rsidR="004B0D3E">
        <w:rPr>
          <w:rFonts w:cs="Arial"/>
          <w:szCs w:val="20"/>
        </w:rPr>
        <w:t>y o</w:t>
      </w:r>
      <w:r>
        <w:rPr>
          <w:rFonts w:cs="Arial"/>
          <w:szCs w:val="20"/>
        </w:rPr>
        <w:t> </w:t>
      </w:r>
      <w:r w:rsidRPr="003A7EF1">
        <w:rPr>
          <w:rFonts w:cs="Arial"/>
          <w:szCs w:val="20"/>
        </w:rPr>
        <w:t>1,2 %</w:t>
      </w:r>
      <w:r w:rsidR="004B0D3E" w:rsidRPr="003A7EF1">
        <w:rPr>
          <w:rFonts w:cs="Arial"/>
          <w:szCs w:val="20"/>
        </w:rPr>
        <w:t xml:space="preserve">, zatímco </w:t>
      </w:r>
      <w:r w:rsidRPr="003A7EF1">
        <w:rPr>
          <w:rFonts w:cs="Arial"/>
          <w:szCs w:val="20"/>
        </w:rPr>
        <w:t xml:space="preserve">regulované ceny </w:t>
      </w:r>
      <w:r w:rsidR="004B0D3E" w:rsidRPr="003A7EF1">
        <w:rPr>
          <w:rFonts w:cs="Arial"/>
          <w:szCs w:val="20"/>
        </w:rPr>
        <w:t xml:space="preserve">klesly </w:t>
      </w:r>
      <w:r w:rsidRPr="003A7EF1">
        <w:rPr>
          <w:rFonts w:cs="Arial"/>
          <w:szCs w:val="20"/>
        </w:rPr>
        <w:t>o 4,2</w:t>
      </w:r>
      <w:r>
        <w:rPr>
          <w:rFonts w:cs="Arial"/>
          <w:szCs w:val="20"/>
        </w:rPr>
        <w:t> %.</w:t>
      </w:r>
    </w:p>
    <w:p w:rsidR="009158EA" w:rsidRDefault="00611C91" w:rsidP="009158EA">
      <w:r>
        <w:lastRenderedPageBreak/>
        <w:pict>
          <v:shape id="_x0000_i1025" type="#_x0000_t75" style="width:424.2pt;height:225pt">
            <v:imagedata r:id="rId8" o:title=""/>
          </v:shape>
        </w:pict>
      </w:r>
    </w:p>
    <w:p w:rsidR="00AE1BDA" w:rsidRDefault="00AE1BDA" w:rsidP="00A93CB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3CBE" w:rsidRPr="00A93CBE" w:rsidRDefault="00A93CBE" w:rsidP="00A93CB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A93CBE">
        <w:rPr>
          <w:rFonts w:ascii="Arial" w:hAnsi="Arial" w:cs="Arial"/>
          <w:b w:val="0"/>
          <w:sz w:val="20"/>
          <w:szCs w:val="20"/>
        </w:rPr>
        <w:t xml:space="preserve">Obrat v meziročním vývoji cen </w:t>
      </w:r>
      <w:r w:rsidR="00894903">
        <w:rPr>
          <w:rFonts w:ascii="Arial" w:hAnsi="Arial" w:cs="Arial"/>
          <w:b w:val="0"/>
          <w:sz w:val="20"/>
          <w:szCs w:val="20"/>
        </w:rPr>
        <w:t xml:space="preserve">nastal </w:t>
      </w:r>
      <w:r w:rsidRPr="00A93CBE">
        <w:rPr>
          <w:rFonts w:ascii="Arial" w:hAnsi="Arial" w:cs="Arial"/>
          <w:b w:val="0"/>
          <w:sz w:val="20"/>
          <w:szCs w:val="20"/>
        </w:rPr>
        <w:t>v</w:t>
      </w:r>
      <w:r w:rsidR="004B0D3E" w:rsidRPr="00A93CBE">
        <w:rPr>
          <w:rFonts w:ascii="Arial" w:hAnsi="Arial" w:cs="Arial"/>
          <w:b w:val="0"/>
          <w:sz w:val="20"/>
          <w:szCs w:val="20"/>
        </w:rPr>
        <w:t xml:space="preserve"> oddíle </w:t>
      </w:r>
      <w:r w:rsidR="004B0D3E" w:rsidRPr="00AE1BDA">
        <w:rPr>
          <w:rFonts w:ascii="Arial" w:hAnsi="Arial" w:cs="Arial"/>
          <w:sz w:val="20"/>
          <w:szCs w:val="20"/>
        </w:rPr>
        <w:t>bydlení</w:t>
      </w:r>
      <w:r w:rsidRPr="00A93CBE">
        <w:rPr>
          <w:rFonts w:ascii="Arial" w:hAnsi="Arial" w:cs="Arial"/>
          <w:b w:val="0"/>
          <w:sz w:val="20"/>
          <w:szCs w:val="20"/>
        </w:rPr>
        <w:t xml:space="preserve">, které v předcházejících </w:t>
      </w:r>
      <w:r w:rsidRPr="00025EF7">
        <w:rPr>
          <w:rFonts w:ascii="Arial" w:hAnsi="Arial" w:cs="Arial"/>
          <w:b w:val="0"/>
          <w:sz w:val="20"/>
          <w:szCs w:val="20"/>
        </w:rPr>
        <w:t>letech byl</w:t>
      </w:r>
      <w:r w:rsidR="000F5B7B" w:rsidRPr="00025EF7">
        <w:rPr>
          <w:rFonts w:ascii="Arial" w:hAnsi="Arial" w:cs="Arial"/>
          <w:b w:val="0"/>
          <w:sz w:val="20"/>
          <w:szCs w:val="20"/>
        </w:rPr>
        <w:t>o</w:t>
      </w:r>
      <w:r w:rsidRPr="00A93CBE">
        <w:rPr>
          <w:rFonts w:ascii="Arial" w:hAnsi="Arial" w:cs="Arial"/>
          <w:b w:val="0"/>
          <w:sz w:val="20"/>
          <w:szCs w:val="20"/>
        </w:rPr>
        <w:t xml:space="preserve"> jedním z hlavních faktorů zvyšování inflace</w:t>
      </w:r>
      <w:r w:rsidR="000F5B7B">
        <w:rPr>
          <w:rFonts w:ascii="Arial" w:hAnsi="Arial" w:cs="Arial"/>
          <w:b w:val="0"/>
          <w:sz w:val="20"/>
          <w:szCs w:val="20"/>
        </w:rPr>
        <w:t xml:space="preserve">. </w:t>
      </w:r>
      <w:r w:rsidR="000F5B7B" w:rsidRPr="00025EF7">
        <w:rPr>
          <w:rFonts w:ascii="Arial" w:hAnsi="Arial" w:cs="Arial"/>
          <w:b w:val="0"/>
          <w:sz w:val="20"/>
          <w:szCs w:val="20"/>
        </w:rPr>
        <w:t>Tento obrat</w:t>
      </w:r>
      <w:r w:rsidRPr="00A93CBE">
        <w:rPr>
          <w:rFonts w:ascii="Arial" w:hAnsi="Arial" w:cs="Arial"/>
          <w:b w:val="0"/>
          <w:sz w:val="20"/>
          <w:szCs w:val="20"/>
        </w:rPr>
        <w:t xml:space="preserve"> způsobilo snížení cen elektřiny o 10,5 % a zemního plynu o 9,1 %. Ceny čistého nájemného p</w:t>
      </w:r>
      <w:r w:rsidR="00E92F39">
        <w:rPr>
          <w:rFonts w:ascii="Arial" w:hAnsi="Arial" w:cs="Arial"/>
          <w:b w:val="0"/>
          <w:sz w:val="20"/>
          <w:szCs w:val="20"/>
        </w:rPr>
        <w:t>řes jejich úplnou deregulaci na </w:t>
      </w:r>
      <w:r w:rsidRPr="00A93CBE">
        <w:rPr>
          <w:rFonts w:ascii="Arial" w:hAnsi="Arial" w:cs="Arial"/>
          <w:b w:val="0"/>
          <w:sz w:val="20"/>
          <w:szCs w:val="20"/>
        </w:rPr>
        <w:t>celém území ČR vzrostly jen o 1,1 %. Zmírnění cenového růstu nastalo u vodného na 3,4 %</w:t>
      </w:r>
      <w:r w:rsidR="000F5B7B">
        <w:rPr>
          <w:rFonts w:ascii="Arial" w:hAnsi="Arial" w:cs="Arial"/>
          <w:b w:val="0"/>
          <w:sz w:val="20"/>
          <w:szCs w:val="20"/>
        </w:rPr>
        <w:t xml:space="preserve"> (</w:t>
      </w:r>
      <w:proofErr w:type="gramStart"/>
      <w:r w:rsidRPr="00A93CBE">
        <w:rPr>
          <w:rFonts w:ascii="Arial" w:hAnsi="Arial" w:cs="Arial"/>
          <w:b w:val="0"/>
          <w:sz w:val="20"/>
          <w:szCs w:val="20"/>
        </w:rPr>
        <w:t>ze</w:t>
      </w:r>
      <w:proofErr w:type="gramEnd"/>
      <w:r w:rsidRPr="00A93CBE">
        <w:rPr>
          <w:rFonts w:ascii="Arial" w:hAnsi="Arial" w:cs="Arial"/>
          <w:b w:val="0"/>
          <w:sz w:val="20"/>
          <w:szCs w:val="20"/>
        </w:rPr>
        <w:t xml:space="preserve"> 6,6 % ve 4. čtvrtletí 2013) a stočného na 3,2 % (ze 7,0 % ve 4. </w:t>
      </w:r>
      <w:r w:rsidR="006D67C8">
        <w:rPr>
          <w:rFonts w:ascii="Arial" w:hAnsi="Arial" w:cs="Arial"/>
          <w:b w:val="0"/>
          <w:sz w:val="20"/>
          <w:szCs w:val="20"/>
        </w:rPr>
        <w:t>č</w:t>
      </w:r>
      <w:r w:rsidRPr="00A93CBE">
        <w:rPr>
          <w:rFonts w:ascii="Arial" w:hAnsi="Arial" w:cs="Arial"/>
          <w:b w:val="0"/>
          <w:sz w:val="20"/>
          <w:szCs w:val="20"/>
        </w:rPr>
        <w:t>tvrtletí</w:t>
      </w:r>
      <w:r w:rsidR="006D67C8">
        <w:rPr>
          <w:rFonts w:ascii="Arial" w:hAnsi="Arial" w:cs="Arial"/>
          <w:b w:val="0"/>
          <w:sz w:val="20"/>
          <w:szCs w:val="20"/>
        </w:rPr>
        <w:t xml:space="preserve"> </w:t>
      </w:r>
      <w:r w:rsidR="006D67C8" w:rsidRPr="00025EF7">
        <w:rPr>
          <w:rFonts w:ascii="Arial" w:hAnsi="Arial" w:cs="Arial"/>
          <w:b w:val="0"/>
          <w:sz w:val="20"/>
          <w:szCs w:val="20"/>
        </w:rPr>
        <w:t>2013</w:t>
      </w:r>
      <w:r w:rsidRPr="00025EF7">
        <w:rPr>
          <w:rFonts w:ascii="Arial" w:hAnsi="Arial" w:cs="Arial"/>
          <w:b w:val="0"/>
          <w:sz w:val="20"/>
          <w:szCs w:val="20"/>
        </w:rPr>
        <w:t>).</w:t>
      </w:r>
      <w:r w:rsidR="003D352D">
        <w:rPr>
          <w:rFonts w:ascii="Arial" w:hAnsi="Arial" w:cs="Arial"/>
          <w:b w:val="0"/>
          <w:sz w:val="20"/>
          <w:szCs w:val="20"/>
        </w:rPr>
        <w:t xml:space="preserve"> Ceny tepla a </w:t>
      </w:r>
      <w:r w:rsidRPr="00A93CBE">
        <w:rPr>
          <w:rFonts w:ascii="Arial" w:hAnsi="Arial" w:cs="Arial"/>
          <w:b w:val="0"/>
          <w:sz w:val="20"/>
          <w:szCs w:val="20"/>
        </w:rPr>
        <w:t>teplé vody byly vyšší jen o 0,9 %.</w:t>
      </w:r>
    </w:p>
    <w:p w:rsidR="00A93CBE" w:rsidRDefault="00611C91" w:rsidP="00A93CBE">
      <w:pPr>
        <w:rPr>
          <w:rFonts w:cs="Arial"/>
          <w:szCs w:val="20"/>
        </w:rPr>
      </w:pPr>
      <w:r w:rsidRPr="00611C91">
        <w:rPr>
          <w:szCs w:val="20"/>
        </w:rPr>
        <w:pict>
          <v:shape id="_x0000_i1026" type="#_x0000_t75" style="width:425.4pt;height:237.6pt">
            <v:imagedata r:id="rId9" o:title=""/>
          </v:shape>
        </w:pict>
      </w:r>
    </w:p>
    <w:p w:rsidR="00700749" w:rsidRDefault="00700749" w:rsidP="00A93CBE">
      <w:pPr>
        <w:rPr>
          <w:rFonts w:cs="Arial"/>
          <w:szCs w:val="20"/>
        </w:rPr>
      </w:pPr>
    </w:p>
    <w:p w:rsidR="00700749" w:rsidRDefault="00700749" w:rsidP="00A93CBE">
      <w:pPr>
        <w:rPr>
          <w:rFonts w:cs="Arial"/>
          <w:szCs w:val="20"/>
        </w:rPr>
      </w:pPr>
    </w:p>
    <w:p w:rsidR="00A35701" w:rsidRDefault="00A35701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FA43BF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V oddíle </w:t>
      </w:r>
      <w:r w:rsidRPr="00F3682E">
        <w:rPr>
          <w:rFonts w:ascii="Arial" w:hAnsi="Arial" w:cs="Arial"/>
          <w:bCs w:val="0"/>
          <w:sz w:val="20"/>
          <w:szCs w:val="20"/>
        </w:rPr>
        <w:t>potraviny a nealkoholické nápoje</w:t>
      </w:r>
      <w:r w:rsidRPr="00FA43BF">
        <w:rPr>
          <w:rFonts w:ascii="Arial" w:hAnsi="Arial" w:cs="Arial"/>
          <w:b w:val="0"/>
          <w:bCs w:val="0"/>
          <w:sz w:val="20"/>
          <w:szCs w:val="20"/>
        </w:rPr>
        <w:t xml:space="preserve"> bylo </w:t>
      </w:r>
      <w:r w:rsidR="00894903">
        <w:rPr>
          <w:rFonts w:ascii="Arial" w:hAnsi="Arial" w:cs="Arial"/>
          <w:b w:val="0"/>
          <w:bCs w:val="0"/>
          <w:sz w:val="20"/>
          <w:szCs w:val="20"/>
        </w:rPr>
        <w:t xml:space="preserve">mírné </w:t>
      </w:r>
      <w:r>
        <w:rPr>
          <w:rFonts w:ascii="Arial" w:hAnsi="Arial" w:cs="Arial"/>
          <w:b w:val="0"/>
          <w:bCs w:val="0"/>
          <w:sz w:val="20"/>
          <w:szCs w:val="20"/>
        </w:rPr>
        <w:t>snížení</w:t>
      </w:r>
      <w:r w:rsidRPr="00FA43BF">
        <w:rPr>
          <w:rFonts w:ascii="Arial" w:hAnsi="Arial" w:cs="Arial"/>
          <w:b w:val="0"/>
          <w:bCs w:val="0"/>
          <w:sz w:val="20"/>
          <w:szCs w:val="20"/>
        </w:rPr>
        <w:t xml:space="preserve"> meziročního </w:t>
      </w:r>
      <w:r w:rsidRPr="00FA43BF">
        <w:rPr>
          <w:rFonts w:ascii="Arial" w:hAnsi="Arial" w:cs="Arial"/>
          <w:b w:val="0"/>
          <w:sz w:val="20"/>
          <w:szCs w:val="20"/>
        </w:rPr>
        <w:t xml:space="preserve">růstu </w:t>
      </w:r>
      <w:r w:rsidR="00AA6F2A">
        <w:rPr>
          <w:rFonts w:ascii="Arial" w:hAnsi="Arial" w:cs="Arial"/>
          <w:b w:val="0"/>
          <w:sz w:val="20"/>
          <w:szCs w:val="20"/>
        </w:rPr>
        <w:t>cen výsledkem z</w:t>
      </w:r>
      <w:r>
        <w:rPr>
          <w:rFonts w:ascii="Arial" w:hAnsi="Arial" w:cs="Arial"/>
          <w:b w:val="0"/>
          <w:sz w:val="20"/>
          <w:szCs w:val="20"/>
        </w:rPr>
        <w:t xml:space="preserve">pomalení </w:t>
      </w:r>
      <w:r w:rsidR="00F96AC5">
        <w:rPr>
          <w:rFonts w:ascii="Arial" w:hAnsi="Arial" w:cs="Arial"/>
          <w:b w:val="0"/>
          <w:sz w:val="20"/>
          <w:szCs w:val="20"/>
        </w:rPr>
        <w:t xml:space="preserve">cenového růstu </w:t>
      </w:r>
      <w:r w:rsidR="007953DB">
        <w:rPr>
          <w:rFonts w:ascii="Arial" w:hAnsi="Arial" w:cs="Arial"/>
          <w:b w:val="0"/>
          <w:sz w:val="20"/>
          <w:szCs w:val="20"/>
        </w:rPr>
        <w:t>pekárenských výrobků a obilovin,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7953DB">
        <w:rPr>
          <w:rFonts w:ascii="Arial" w:hAnsi="Arial" w:cs="Arial"/>
          <w:b w:val="0"/>
          <w:sz w:val="20"/>
          <w:szCs w:val="20"/>
        </w:rPr>
        <w:t>olejů a tuků</w:t>
      </w:r>
      <w:r w:rsidR="000F1647">
        <w:rPr>
          <w:rFonts w:ascii="Arial" w:hAnsi="Arial" w:cs="Arial"/>
          <w:b w:val="0"/>
          <w:sz w:val="20"/>
          <w:szCs w:val="20"/>
        </w:rPr>
        <w:t xml:space="preserve"> </w:t>
      </w:r>
      <w:r w:rsidR="007953DB">
        <w:rPr>
          <w:rFonts w:ascii="Arial" w:hAnsi="Arial" w:cs="Arial"/>
          <w:b w:val="0"/>
          <w:sz w:val="20"/>
          <w:szCs w:val="20"/>
        </w:rPr>
        <w:t xml:space="preserve">a poklesu cen </w:t>
      </w:r>
      <w:r w:rsidR="00240CF3">
        <w:rPr>
          <w:rFonts w:ascii="Arial" w:hAnsi="Arial" w:cs="Arial"/>
          <w:b w:val="0"/>
          <w:sz w:val="20"/>
          <w:szCs w:val="20"/>
        </w:rPr>
        <w:t xml:space="preserve">cukru, </w:t>
      </w:r>
      <w:r w:rsidR="007953DB">
        <w:rPr>
          <w:rFonts w:ascii="Arial" w:hAnsi="Arial" w:cs="Arial"/>
          <w:b w:val="0"/>
          <w:sz w:val="20"/>
          <w:szCs w:val="20"/>
        </w:rPr>
        <w:t>nealkoholických nápojů.</w:t>
      </w:r>
      <w:r w:rsidR="00AA6F2A">
        <w:rPr>
          <w:rFonts w:ascii="Arial" w:hAnsi="Arial" w:cs="Arial"/>
          <w:b w:val="0"/>
          <w:sz w:val="20"/>
          <w:szCs w:val="20"/>
        </w:rPr>
        <w:t xml:space="preserve"> </w:t>
      </w:r>
      <w:r w:rsidR="00F96AC5">
        <w:rPr>
          <w:rFonts w:ascii="Arial" w:hAnsi="Arial" w:cs="Arial"/>
          <w:b w:val="0"/>
          <w:sz w:val="20"/>
          <w:szCs w:val="20"/>
        </w:rPr>
        <w:t>Výrazně se snížil</w:t>
      </w:r>
      <w:r w:rsidR="000F1647">
        <w:rPr>
          <w:rFonts w:ascii="Arial" w:hAnsi="Arial" w:cs="Arial"/>
          <w:b w:val="0"/>
          <w:sz w:val="20"/>
          <w:szCs w:val="20"/>
        </w:rPr>
        <w:t xml:space="preserve"> růst cen brambor (ze 71,8 % ve 4. čtvrtletí 2013 na 28,0 % v 1. čtvrtletí 2014). </w:t>
      </w:r>
      <w:r>
        <w:rPr>
          <w:rFonts w:ascii="Arial" w:hAnsi="Arial" w:cs="Arial"/>
          <w:b w:val="0"/>
          <w:sz w:val="20"/>
          <w:szCs w:val="20"/>
        </w:rPr>
        <w:t xml:space="preserve">Naopak </w:t>
      </w:r>
      <w:r w:rsidR="00F96AC5">
        <w:rPr>
          <w:rFonts w:ascii="Arial" w:hAnsi="Arial" w:cs="Arial"/>
          <w:b w:val="0"/>
          <w:sz w:val="20"/>
          <w:szCs w:val="20"/>
        </w:rPr>
        <w:t>rychleji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96AC5">
        <w:rPr>
          <w:rFonts w:ascii="Arial" w:hAnsi="Arial" w:cs="Arial"/>
          <w:b w:val="0"/>
          <w:sz w:val="20"/>
          <w:szCs w:val="20"/>
        </w:rPr>
        <w:t>rostly</w:t>
      </w:r>
      <w:r>
        <w:rPr>
          <w:rFonts w:ascii="Arial" w:hAnsi="Arial" w:cs="Arial"/>
          <w:b w:val="0"/>
          <w:sz w:val="20"/>
          <w:szCs w:val="20"/>
        </w:rPr>
        <w:t xml:space="preserve"> cen</w:t>
      </w:r>
      <w:r w:rsidR="00F96AC5">
        <w:rPr>
          <w:rFonts w:ascii="Arial" w:hAnsi="Arial" w:cs="Arial"/>
          <w:b w:val="0"/>
          <w:sz w:val="20"/>
          <w:szCs w:val="20"/>
        </w:rPr>
        <w:t>y</w:t>
      </w:r>
      <w:r>
        <w:rPr>
          <w:rFonts w:ascii="Arial" w:hAnsi="Arial" w:cs="Arial"/>
          <w:b w:val="0"/>
          <w:sz w:val="20"/>
          <w:szCs w:val="20"/>
        </w:rPr>
        <w:t xml:space="preserve"> sýrů, </w:t>
      </w:r>
      <w:r w:rsidR="00342C58">
        <w:rPr>
          <w:rFonts w:ascii="Arial" w:hAnsi="Arial" w:cs="Arial"/>
          <w:b w:val="0"/>
          <w:sz w:val="20"/>
          <w:szCs w:val="20"/>
        </w:rPr>
        <w:t xml:space="preserve">jogurtů a </w:t>
      </w:r>
      <w:r w:rsidR="00AA6F2A">
        <w:rPr>
          <w:rFonts w:ascii="Arial" w:hAnsi="Arial" w:cs="Arial"/>
          <w:b w:val="0"/>
          <w:sz w:val="20"/>
          <w:szCs w:val="20"/>
        </w:rPr>
        <w:t>ostatních mléčných výrobků</w:t>
      </w:r>
      <w:r w:rsidR="00240CF3">
        <w:rPr>
          <w:rFonts w:ascii="Arial" w:hAnsi="Arial" w:cs="Arial"/>
          <w:b w:val="0"/>
          <w:sz w:val="20"/>
          <w:szCs w:val="20"/>
        </w:rPr>
        <w:t>, ovoce.</w:t>
      </w:r>
    </w:p>
    <w:p w:rsidR="00240CF3" w:rsidRDefault="00240CF3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240CF3" w:rsidRDefault="00611C91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611C91">
        <w:rPr>
          <w:szCs w:val="20"/>
        </w:rPr>
        <w:pict>
          <v:shape id="_x0000_i1027" type="#_x0000_t75" style="width:424.2pt;height:303pt">
            <v:imagedata r:id="rId10" o:title=""/>
          </v:shape>
        </w:pict>
      </w:r>
    </w:p>
    <w:p w:rsidR="00240CF3" w:rsidRDefault="00240CF3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AF5459" w:rsidRDefault="00AF5459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AF5459" w:rsidRDefault="00AF5459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Zrychlení meziročního cenového růstu se projevilo v oddíle </w:t>
      </w:r>
      <w:r w:rsidRPr="006676EE">
        <w:rPr>
          <w:rFonts w:ascii="Arial" w:hAnsi="Arial" w:cs="Arial"/>
          <w:sz w:val="20"/>
          <w:szCs w:val="20"/>
        </w:rPr>
        <w:t>alkoholické nápoje a tabák</w:t>
      </w:r>
      <w:r>
        <w:rPr>
          <w:rFonts w:ascii="Arial" w:hAnsi="Arial" w:cs="Arial"/>
          <w:b w:val="0"/>
          <w:sz w:val="20"/>
          <w:szCs w:val="20"/>
        </w:rPr>
        <w:t xml:space="preserve">, kde ceny </w:t>
      </w:r>
      <w:r w:rsidR="00791C5C">
        <w:rPr>
          <w:rFonts w:ascii="Arial" w:hAnsi="Arial" w:cs="Arial"/>
          <w:b w:val="0"/>
          <w:sz w:val="20"/>
          <w:szCs w:val="20"/>
        </w:rPr>
        <w:t>alkoholických nápojů byly v 1. čtvrtletí 2014 vyšší o 3,3 % (</w:t>
      </w:r>
      <w:r w:rsidR="003D352D">
        <w:rPr>
          <w:rFonts w:ascii="Arial" w:hAnsi="Arial" w:cs="Arial"/>
          <w:b w:val="0"/>
          <w:sz w:val="20"/>
          <w:szCs w:val="20"/>
        </w:rPr>
        <w:t>ve 4. čtvrtletí 2013 o 1,6 %) a </w:t>
      </w:r>
      <w:r w:rsidR="00791C5C">
        <w:rPr>
          <w:rFonts w:ascii="Arial" w:hAnsi="Arial" w:cs="Arial"/>
          <w:b w:val="0"/>
          <w:sz w:val="20"/>
          <w:szCs w:val="20"/>
        </w:rPr>
        <w:t>ceny tabákových výrobků o 5,1 % (ve 4. čtvrtletí 2013 o 4,8 %).</w:t>
      </w:r>
    </w:p>
    <w:p w:rsidR="00741692" w:rsidRDefault="00741692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741692" w:rsidRDefault="00741692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Také v oddíle </w:t>
      </w:r>
      <w:r w:rsidRPr="0061630E">
        <w:rPr>
          <w:rFonts w:ascii="Arial" w:hAnsi="Arial" w:cs="Arial"/>
          <w:sz w:val="20"/>
          <w:szCs w:val="20"/>
        </w:rPr>
        <w:t>odívání a obuv</w:t>
      </w:r>
      <w:r>
        <w:rPr>
          <w:rFonts w:ascii="Arial" w:hAnsi="Arial" w:cs="Arial"/>
          <w:b w:val="0"/>
          <w:sz w:val="20"/>
          <w:szCs w:val="20"/>
        </w:rPr>
        <w:t xml:space="preserve"> zrychlil v 1. čtvrtletí 2014 </w:t>
      </w:r>
      <w:r w:rsidR="0061630E">
        <w:rPr>
          <w:rFonts w:ascii="Arial" w:hAnsi="Arial" w:cs="Arial"/>
          <w:b w:val="0"/>
          <w:sz w:val="20"/>
          <w:szCs w:val="20"/>
        </w:rPr>
        <w:t xml:space="preserve">meziroční </w:t>
      </w:r>
      <w:r>
        <w:rPr>
          <w:rFonts w:ascii="Arial" w:hAnsi="Arial" w:cs="Arial"/>
          <w:b w:val="0"/>
          <w:sz w:val="20"/>
          <w:szCs w:val="20"/>
        </w:rPr>
        <w:t xml:space="preserve">růst cen </w:t>
      </w:r>
      <w:r w:rsidR="0061630E">
        <w:rPr>
          <w:rFonts w:ascii="Arial" w:hAnsi="Arial" w:cs="Arial"/>
          <w:b w:val="0"/>
          <w:sz w:val="20"/>
          <w:szCs w:val="20"/>
        </w:rPr>
        <w:t xml:space="preserve">vlivem </w:t>
      </w:r>
      <w:r w:rsidR="00557711">
        <w:rPr>
          <w:rFonts w:ascii="Arial" w:hAnsi="Arial" w:cs="Arial"/>
          <w:b w:val="0"/>
          <w:sz w:val="20"/>
          <w:szCs w:val="20"/>
        </w:rPr>
        <w:t>cen oděvů, které vzrostly o 0,8 %</w:t>
      </w:r>
      <w:r w:rsidR="00154E51">
        <w:rPr>
          <w:rFonts w:ascii="Arial" w:hAnsi="Arial" w:cs="Arial"/>
          <w:b w:val="0"/>
          <w:sz w:val="20"/>
          <w:szCs w:val="20"/>
        </w:rPr>
        <w:t>, zatímco ve 4. čtvrtletí 2013 byly nižší o 1,3 %. Ceny obuvi se zvýšily o 7,4 %.</w:t>
      </w:r>
    </w:p>
    <w:p w:rsidR="00AF5459" w:rsidRDefault="00AF5459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8C7D0C" w:rsidRDefault="00791C5C" w:rsidP="00AF5459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791C5C">
        <w:rPr>
          <w:rFonts w:ascii="Arial" w:hAnsi="Arial" w:cs="Arial"/>
          <w:b w:val="0"/>
          <w:sz w:val="20"/>
          <w:szCs w:val="20"/>
        </w:rPr>
        <w:t>V oddíle</w:t>
      </w:r>
      <w:r>
        <w:rPr>
          <w:rFonts w:ascii="Arial" w:hAnsi="Arial" w:cs="Arial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sz w:val="20"/>
          <w:szCs w:val="20"/>
        </w:rPr>
        <w:t>doprava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přešly c</w:t>
      </w:r>
      <w:r w:rsidR="00083171">
        <w:rPr>
          <w:rFonts w:ascii="Arial" w:hAnsi="Arial" w:cs="Arial"/>
          <w:b w:val="0"/>
          <w:bCs w:val="0"/>
          <w:sz w:val="20"/>
          <w:szCs w:val="20"/>
        </w:rPr>
        <w:t xml:space="preserve">eny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z mírného poklesu ve 4. čtvrtletí </w:t>
      </w:r>
      <w:r w:rsidR="00A47188">
        <w:rPr>
          <w:rFonts w:ascii="Arial" w:hAnsi="Arial" w:cs="Arial"/>
          <w:b w:val="0"/>
          <w:bCs w:val="0"/>
          <w:sz w:val="20"/>
          <w:szCs w:val="20"/>
        </w:rPr>
        <w:t xml:space="preserve">2013 </w:t>
      </w:r>
      <w:r>
        <w:rPr>
          <w:rFonts w:ascii="Arial" w:hAnsi="Arial" w:cs="Arial"/>
          <w:b w:val="0"/>
          <w:bCs w:val="0"/>
          <w:sz w:val="20"/>
          <w:szCs w:val="20"/>
        </w:rPr>
        <w:t>do mírného růstu v 1.</w:t>
      </w:r>
      <w:r w:rsidR="00A47188">
        <w:rPr>
          <w:rFonts w:ascii="Arial" w:hAnsi="Arial" w:cs="Arial"/>
          <w:b w:val="0"/>
          <w:bCs w:val="0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čtvrtletí </w:t>
      </w:r>
      <w:r w:rsidR="00A47188">
        <w:rPr>
          <w:rFonts w:ascii="Arial" w:hAnsi="Arial" w:cs="Arial"/>
          <w:b w:val="0"/>
          <w:bCs w:val="0"/>
          <w:sz w:val="20"/>
          <w:szCs w:val="20"/>
        </w:rPr>
        <w:t>2014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Důvodem byly především ceny pohonných hmot, </w:t>
      </w:r>
      <w:r w:rsidR="006676EE">
        <w:rPr>
          <w:rFonts w:ascii="Arial" w:hAnsi="Arial" w:cs="Arial"/>
          <w:b w:val="0"/>
          <w:bCs w:val="0"/>
          <w:sz w:val="20"/>
          <w:szCs w:val="20"/>
        </w:rPr>
        <w:t>které měly podobný trend.</w:t>
      </w:r>
      <w:r w:rsidR="0008317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54E51">
        <w:rPr>
          <w:rFonts w:ascii="Arial" w:hAnsi="Arial" w:cs="Arial"/>
          <w:b w:val="0"/>
          <w:bCs w:val="0"/>
          <w:sz w:val="20"/>
          <w:szCs w:val="20"/>
        </w:rPr>
        <w:t>Ceny pohonných hmot se meziročně výrazně zvýšily</w:t>
      </w:r>
      <w:r w:rsidR="007A02CC">
        <w:rPr>
          <w:rFonts w:ascii="Arial" w:hAnsi="Arial" w:cs="Arial"/>
          <w:b w:val="0"/>
          <w:bCs w:val="0"/>
          <w:sz w:val="20"/>
          <w:szCs w:val="20"/>
        </w:rPr>
        <w:t xml:space="preserve"> v</w:t>
      </w:r>
      <w:r w:rsidR="00154E51">
        <w:rPr>
          <w:rFonts w:ascii="Arial" w:hAnsi="Arial" w:cs="Arial"/>
          <w:b w:val="0"/>
          <w:bCs w:val="0"/>
          <w:sz w:val="20"/>
          <w:szCs w:val="20"/>
        </w:rPr>
        <w:t xml:space="preserve"> lednu, v únoru </w:t>
      </w:r>
      <w:r w:rsidR="008E431F" w:rsidRPr="00025EF7">
        <w:rPr>
          <w:rFonts w:ascii="Arial" w:hAnsi="Arial" w:cs="Arial"/>
          <w:b w:val="0"/>
          <w:bCs w:val="0"/>
          <w:sz w:val="20"/>
          <w:szCs w:val="20"/>
        </w:rPr>
        <w:t>stagnovaly</w:t>
      </w:r>
      <w:r w:rsidR="008E431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54E51">
        <w:rPr>
          <w:rFonts w:ascii="Arial" w:hAnsi="Arial" w:cs="Arial"/>
          <w:b w:val="0"/>
          <w:bCs w:val="0"/>
          <w:sz w:val="20"/>
          <w:szCs w:val="20"/>
        </w:rPr>
        <w:t>a</w:t>
      </w:r>
      <w:r w:rsidR="008E431F">
        <w:rPr>
          <w:rFonts w:ascii="Arial" w:hAnsi="Arial" w:cs="Arial"/>
          <w:b w:val="0"/>
          <w:bCs w:val="0"/>
          <w:sz w:val="20"/>
          <w:szCs w:val="20"/>
        </w:rPr>
        <w:t xml:space="preserve"> v</w:t>
      </w:r>
      <w:r w:rsidR="00154E51">
        <w:rPr>
          <w:rFonts w:ascii="Arial" w:hAnsi="Arial" w:cs="Arial"/>
          <w:b w:val="0"/>
          <w:bCs w:val="0"/>
          <w:sz w:val="20"/>
          <w:szCs w:val="20"/>
        </w:rPr>
        <w:t xml:space="preserve"> březnu</w:t>
      </w:r>
      <w:r w:rsidR="007A02CC">
        <w:rPr>
          <w:rFonts w:ascii="Arial" w:hAnsi="Arial" w:cs="Arial"/>
          <w:b w:val="0"/>
          <w:bCs w:val="0"/>
          <w:sz w:val="20"/>
          <w:szCs w:val="20"/>
        </w:rPr>
        <w:t xml:space="preserve"> se sn</w:t>
      </w:r>
      <w:r w:rsidR="008E431F">
        <w:rPr>
          <w:rFonts w:ascii="Arial" w:hAnsi="Arial" w:cs="Arial"/>
          <w:b w:val="0"/>
          <w:bCs w:val="0"/>
          <w:sz w:val="20"/>
          <w:szCs w:val="20"/>
        </w:rPr>
        <w:t>íži</w:t>
      </w:r>
      <w:r w:rsidR="007A02CC">
        <w:rPr>
          <w:rFonts w:ascii="Arial" w:hAnsi="Arial" w:cs="Arial"/>
          <w:b w:val="0"/>
          <w:bCs w:val="0"/>
          <w:sz w:val="20"/>
          <w:szCs w:val="20"/>
        </w:rPr>
        <w:t>ly.</w:t>
      </w:r>
      <w:r w:rsidR="00154E5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>Vývoj spotřebitelských cen pohonných hmot ve vztahu k cenám průmyslových výrobců a dovozním cenám ropných výrobků znázorňuje následující graf</w:t>
      </w:r>
      <w:r w:rsidR="008C7D0C" w:rsidRPr="0009756B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C0F54" w:rsidRDefault="00611C91" w:rsidP="002C0F54">
      <w:pPr>
        <w:pStyle w:val="Zkladntextodsazen2"/>
        <w:ind w:firstLine="0"/>
        <w:rPr>
          <w:noProof/>
        </w:rPr>
      </w:pPr>
      <w:r>
        <w:lastRenderedPageBreak/>
        <w:pict>
          <v:shape id="_x0000_i1028" type="#_x0000_t75" style="width:424.2pt;height:271.8pt">
            <v:imagedata r:id="rId11" o:title=""/>
          </v:shape>
        </w:pic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AF5459" w:rsidRDefault="00AF5459" w:rsidP="002C0F54">
      <w:pPr>
        <w:pStyle w:val="Zkladntextodsazen2"/>
        <w:ind w:firstLine="0"/>
        <w:rPr>
          <w:noProof/>
        </w:rPr>
      </w:pPr>
    </w:p>
    <w:p w:rsidR="008C7D0C" w:rsidRDefault="008C7D0C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</w:t>
      </w:r>
      <w:r w:rsidRPr="00D91C69">
        <w:rPr>
          <w:rFonts w:ascii="Arial" w:hAnsi="Arial" w:cs="Arial"/>
          <w:b w:val="0"/>
          <w:sz w:val="20"/>
          <w:szCs w:val="20"/>
        </w:rPr>
        <w:t> oddíle</w:t>
      </w:r>
      <w:r w:rsidRPr="00D91C69">
        <w:rPr>
          <w:rFonts w:ascii="Arial" w:hAnsi="Arial" w:cs="Arial"/>
          <w:sz w:val="20"/>
          <w:szCs w:val="20"/>
        </w:rPr>
        <w:t xml:space="preserve"> pošty a telekomunikace </w:t>
      </w:r>
      <w:r w:rsidRPr="00283BF8">
        <w:rPr>
          <w:rFonts w:ascii="Arial" w:hAnsi="Arial" w:cs="Arial"/>
          <w:b w:val="0"/>
          <w:sz w:val="20"/>
          <w:szCs w:val="20"/>
        </w:rPr>
        <w:t>pokračoval</w:t>
      </w:r>
      <w:r w:rsidR="00461369">
        <w:rPr>
          <w:rFonts w:ascii="Arial" w:hAnsi="Arial" w:cs="Arial"/>
          <w:b w:val="0"/>
          <w:sz w:val="20"/>
          <w:szCs w:val="20"/>
        </w:rPr>
        <w:t xml:space="preserve"> </w:t>
      </w:r>
      <w:r w:rsidR="009C3B99" w:rsidRPr="004F13EE">
        <w:rPr>
          <w:rFonts w:ascii="Arial" w:hAnsi="Arial" w:cs="Arial"/>
          <w:b w:val="0"/>
          <w:sz w:val="20"/>
          <w:szCs w:val="20"/>
        </w:rPr>
        <w:t>pokles</w:t>
      </w:r>
      <w:r w:rsidR="009C3B99">
        <w:rPr>
          <w:rFonts w:ascii="Arial" w:hAnsi="Arial" w:cs="Arial"/>
          <w:b w:val="0"/>
          <w:sz w:val="20"/>
          <w:szCs w:val="20"/>
        </w:rPr>
        <w:t xml:space="preserve"> cen telefonických a telefaxových služeb </w:t>
      </w:r>
      <w:r w:rsidR="00461369">
        <w:rPr>
          <w:rFonts w:ascii="Arial" w:hAnsi="Arial" w:cs="Arial"/>
          <w:b w:val="0"/>
          <w:sz w:val="20"/>
          <w:szCs w:val="20"/>
        </w:rPr>
        <w:t xml:space="preserve">zhruba na stejné </w:t>
      </w:r>
      <w:r w:rsidR="007A02CC">
        <w:rPr>
          <w:rFonts w:ascii="Arial" w:hAnsi="Arial" w:cs="Arial"/>
          <w:b w:val="0"/>
          <w:sz w:val="20"/>
          <w:szCs w:val="20"/>
        </w:rPr>
        <w:t xml:space="preserve">úrovni </w:t>
      </w:r>
      <w:r w:rsidR="00461369">
        <w:rPr>
          <w:rFonts w:ascii="Arial" w:hAnsi="Arial" w:cs="Arial"/>
          <w:b w:val="0"/>
          <w:sz w:val="20"/>
          <w:szCs w:val="20"/>
        </w:rPr>
        <w:t>jako ve 4.</w:t>
      </w:r>
      <w:r w:rsidR="008E431F">
        <w:rPr>
          <w:rFonts w:ascii="Arial" w:hAnsi="Arial" w:cs="Arial"/>
          <w:b w:val="0"/>
          <w:sz w:val="20"/>
          <w:szCs w:val="20"/>
        </w:rPr>
        <w:t xml:space="preserve"> </w:t>
      </w:r>
      <w:r w:rsidR="00461369">
        <w:rPr>
          <w:rFonts w:ascii="Arial" w:hAnsi="Arial" w:cs="Arial"/>
          <w:b w:val="0"/>
          <w:sz w:val="20"/>
          <w:szCs w:val="20"/>
        </w:rPr>
        <w:t>čtvrtletí 2013</w:t>
      </w:r>
      <w:r w:rsidR="00F80FB9">
        <w:rPr>
          <w:rFonts w:ascii="Arial" w:hAnsi="Arial" w:cs="Arial"/>
          <w:b w:val="0"/>
          <w:sz w:val="20"/>
          <w:szCs w:val="20"/>
        </w:rPr>
        <w:t>.</w: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8C7D0C" w:rsidRDefault="00611C91" w:rsidP="002C0F54">
      <w:pPr>
        <w:pStyle w:val="Zkladntextodsazen2"/>
        <w:ind w:firstLine="0"/>
        <w:rPr>
          <w:noProof/>
        </w:rPr>
      </w:pPr>
      <w:r>
        <w:pict>
          <v:shape id="_x0000_i1029" type="#_x0000_t75" style="width:424.2pt;height:245.4pt">
            <v:imagedata r:id="rId12" o:title=""/>
          </v:shape>
        </w:pic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2C0F54" w:rsidRPr="00F3682E" w:rsidRDefault="002C0F54" w:rsidP="002C0F5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F3682E">
        <w:rPr>
          <w:rFonts w:ascii="Arial" w:hAnsi="Arial" w:cs="Arial"/>
          <w:bCs w:val="0"/>
          <w:sz w:val="20"/>
          <w:szCs w:val="20"/>
        </w:rPr>
        <w:lastRenderedPageBreak/>
        <w:t>Meziroční pokles</w:t>
      </w:r>
      <w:r w:rsidRPr="00F3682E">
        <w:rPr>
          <w:rFonts w:ascii="Arial" w:hAnsi="Arial" w:cs="Arial"/>
          <w:sz w:val="20"/>
          <w:szCs w:val="20"/>
        </w:rPr>
        <w:t xml:space="preserve"> </w:t>
      </w:r>
      <w:r w:rsidRPr="00F3682E">
        <w:rPr>
          <w:rFonts w:ascii="Arial" w:hAnsi="Arial" w:cs="Arial"/>
          <w:b w:val="0"/>
          <w:sz w:val="20"/>
          <w:szCs w:val="20"/>
        </w:rPr>
        <w:t>cen pokračoval v</w:t>
      </w:r>
      <w:r w:rsidR="00C601E4">
        <w:rPr>
          <w:rFonts w:ascii="Arial" w:hAnsi="Arial" w:cs="Arial"/>
          <w:b w:val="0"/>
          <w:sz w:val="20"/>
          <w:szCs w:val="20"/>
        </w:rPr>
        <w:t> </w:t>
      </w:r>
      <w:r w:rsidR="007A02CC">
        <w:rPr>
          <w:rFonts w:ascii="Arial" w:hAnsi="Arial" w:cs="Arial"/>
          <w:b w:val="0"/>
          <w:sz w:val="20"/>
          <w:szCs w:val="20"/>
        </w:rPr>
        <w:t>1. čtvrtletí 2014</w:t>
      </w:r>
      <w:r w:rsidRPr="00F3682E">
        <w:rPr>
          <w:rFonts w:ascii="Arial" w:hAnsi="Arial" w:cs="Arial"/>
          <w:b w:val="0"/>
          <w:sz w:val="20"/>
          <w:szCs w:val="20"/>
        </w:rPr>
        <w:t xml:space="preserve"> </w:t>
      </w:r>
      <w:r w:rsidR="0070062E">
        <w:rPr>
          <w:rFonts w:ascii="Arial" w:hAnsi="Arial" w:cs="Arial"/>
          <w:b w:val="0"/>
          <w:sz w:val="20"/>
          <w:szCs w:val="20"/>
        </w:rPr>
        <w:t xml:space="preserve">i </w:t>
      </w:r>
      <w:r w:rsidRPr="00F3682E">
        <w:rPr>
          <w:rFonts w:ascii="Arial" w:hAnsi="Arial" w:cs="Arial"/>
          <w:b w:val="0"/>
          <w:sz w:val="20"/>
          <w:szCs w:val="20"/>
        </w:rPr>
        <w:t>u spotřebičů pro domácnost, mobilních telefonů, zařízení pro příjem, záznam a reprodukci obrazu a zvuku.</w:t>
      </w:r>
    </w:p>
    <w:p w:rsidR="002C0F54" w:rsidRPr="00814FE8" w:rsidRDefault="002C0F54" w:rsidP="002C0F54">
      <w:pPr>
        <w:pStyle w:val="Zkladntextodsazen2"/>
        <w:spacing w:line="276" w:lineRule="auto"/>
        <w:ind w:firstLine="0"/>
        <w:rPr>
          <w:rFonts w:ascii="Arial" w:hAnsi="Arial" w:cs="Arial"/>
          <w:sz w:val="20"/>
          <w:szCs w:val="20"/>
          <w:highlight w:val="yellow"/>
        </w:rPr>
      </w:pPr>
    </w:p>
    <w:p w:rsidR="002C0F54" w:rsidRDefault="002C0F54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Růst cen</w:t>
      </w:r>
      <w:r w:rsidRPr="00C044CA">
        <w:rPr>
          <w:rFonts w:ascii="Arial" w:hAnsi="Arial"/>
          <w:sz w:val="20"/>
          <w:szCs w:val="20"/>
        </w:rPr>
        <w:t xml:space="preserve"> </w:t>
      </w:r>
      <w:r w:rsidRPr="00C044CA">
        <w:rPr>
          <w:rFonts w:ascii="Arial" w:hAnsi="Arial"/>
          <w:b/>
          <w:bCs/>
          <w:sz w:val="20"/>
          <w:szCs w:val="20"/>
        </w:rPr>
        <w:t>zboží úhrnem</w:t>
      </w:r>
      <w:r w:rsidRPr="00C044CA">
        <w:rPr>
          <w:rFonts w:ascii="Arial" w:hAnsi="Arial"/>
          <w:sz w:val="20"/>
          <w:szCs w:val="20"/>
        </w:rPr>
        <w:t xml:space="preserve"> </w:t>
      </w:r>
      <w:r w:rsidR="00A452A1">
        <w:rPr>
          <w:rFonts w:ascii="Arial" w:hAnsi="Arial"/>
          <w:sz w:val="20"/>
          <w:szCs w:val="20"/>
        </w:rPr>
        <w:t>zpomalil v 1</w:t>
      </w:r>
      <w:r>
        <w:rPr>
          <w:rFonts w:ascii="Arial" w:hAnsi="Arial"/>
          <w:sz w:val="20"/>
          <w:szCs w:val="20"/>
        </w:rPr>
        <w:t xml:space="preserve">. čtvrtletí </w:t>
      </w:r>
      <w:r w:rsidR="00A452A1">
        <w:rPr>
          <w:rFonts w:ascii="Arial" w:hAnsi="Arial"/>
          <w:sz w:val="20"/>
          <w:szCs w:val="20"/>
        </w:rPr>
        <w:t xml:space="preserve">2014 </w:t>
      </w:r>
      <w:r>
        <w:rPr>
          <w:rFonts w:ascii="Arial" w:hAnsi="Arial"/>
          <w:sz w:val="20"/>
          <w:szCs w:val="20"/>
        </w:rPr>
        <w:t>na</w:t>
      </w:r>
      <w:r w:rsidR="00A452A1">
        <w:rPr>
          <w:rFonts w:ascii="Arial" w:hAnsi="Arial"/>
          <w:sz w:val="20"/>
          <w:szCs w:val="20"/>
        </w:rPr>
        <w:t> 0</w:t>
      </w:r>
      <w:r w:rsidRPr="00C044CA">
        <w:rPr>
          <w:rFonts w:ascii="Arial" w:hAnsi="Arial"/>
          <w:sz w:val="20"/>
          <w:szCs w:val="20"/>
        </w:rPr>
        <w:t>,</w:t>
      </w:r>
      <w:r w:rsidR="00ED0E42">
        <w:rPr>
          <w:rFonts w:ascii="Arial" w:hAnsi="Arial"/>
          <w:sz w:val="20"/>
          <w:szCs w:val="20"/>
        </w:rPr>
        <w:t>3</w:t>
      </w:r>
      <w:r w:rsidR="00440D14">
        <w:rPr>
          <w:rFonts w:ascii="Arial" w:hAnsi="Arial"/>
          <w:sz w:val="20"/>
          <w:szCs w:val="20"/>
        </w:rPr>
        <w:t> </w:t>
      </w:r>
      <w:r w:rsidR="00ED0E42">
        <w:rPr>
          <w:rFonts w:ascii="Arial" w:hAnsi="Arial"/>
          <w:sz w:val="20"/>
          <w:szCs w:val="20"/>
        </w:rPr>
        <w:t>%</w:t>
      </w:r>
      <w:r w:rsidR="00440D14">
        <w:rPr>
          <w:rFonts w:ascii="Arial" w:hAnsi="Arial"/>
          <w:sz w:val="20"/>
          <w:szCs w:val="20"/>
        </w:rPr>
        <w:t xml:space="preserve"> </w:t>
      </w:r>
      <w:r w:rsidR="00ED0E42">
        <w:rPr>
          <w:rFonts w:ascii="Arial" w:hAnsi="Arial"/>
          <w:sz w:val="20"/>
          <w:szCs w:val="20"/>
        </w:rPr>
        <w:t>(z 1,</w:t>
      </w:r>
      <w:r w:rsidR="00A452A1">
        <w:rPr>
          <w:rFonts w:ascii="Arial" w:hAnsi="Arial"/>
          <w:sz w:val="20"/>
          <w:szCs w:val="20"/>
        </w:rPr>
        <w:t>3 % ve 4. č</w:t>
      </w:r>
      <w:r>
        <w:rPr>
          <w:rFonts w:ascii="Arial" w:hAnsi="Arial"/>
          <w:sz w:val="20"/>
          <w:szCs w:val="20"/>
        </w:rPr>
        <w:t>tvrtletí</w:t>
      </w:r>
      <w:r w:rsidR="00A452A1">
        <w:rPr>
          <w:rFonts w:ascii="Arial" w:hAnsi="Arial"/>
          <w:sz w:val="20"/>
          <w:szCs w:val="20"/>
        </w:rPr>
        <w:t xml:space="preserve"> 2013</w:t>
      </w:r>
      <w:r>
        <w:rPr>
          <w:rFonts w:ascii="Arial" w:hAnsi="Arial"/>
          <w:sz w:val="20"/>
          <w:szCs w:val="20"/>
        </w:rPr>
        <w:t>) a</w:t>
      </w:r>
      <w:r w:rsidR="003D352D">
        <w:rPr>
          <w:rFonts w:ascii="Arial" w:hAnsi="Arial"/>
          <w:sz w:val="20"/>
          <w:szCs w:val="20"/>
        </w:rPr>
        <w:t> u </w:t>
      </w:r>
      <w:r>
        <w:rPr>
          <w:rFonts w:ascii="Arial" w:hAnsi="Arial"/>
          <w:sz w:val="20"/>
          <w:szCs w:val="20"/>
        </w:rPr>
        <w:t>cen</w:t>
      </w:r>
      <w:r w:rsidRPr="00C044CA">
        <w:rPr>
          <w:rFonts w:ascii="Arial" w:hAnsi="Arial"/>
          <w:sz w:val="20"/>
          <w:szCs w:val="20"/>
        </w:rPr>
        <w:t xml:space="preserve"> </w:t>
      </w:r>
      <w:r w:rsidRPr="00C044CA">
        <w:rPr>
          <w:rFonts w:ascii="Arial" w:hAnsi="Arial"/>
          <w:b/>
          <w:bCs/>
          <w:sz w:val="20"/>
          <w:szCs w:val="20"/>
        </w:rPr>
        <w:t xml:space="preserve">služeb </w:t>
      </w:r>
      <w:r w:rsidR="00A452A1">
        <w:rPr>
          <w:rFonts w:ascii="Arial" w:hAnsi="Arial"/>
          <w:sz w:val="20"/>
          <w:szCs w:val="20"/>
        </w:rPr>
        <w:t>zpomalil</w:t>
      </w:r>
      <w:r w:rsidR="008C3EAC">
        <w:rPr>
          <w:rFonts w:ascii="Arial" w:hAnsi="Arial"/>
          <w:sz w:val="20"/>
          <w:szCs w:val="20"/>
        </w:rPr>
        <w:t xml:space="preserve"> na </w:t>
      </w:r>
      <w:proofErr w:type="gramStart"/>
      <w:r w:rsidR="008E431F">
        <w:rPr>
          <w:rFonts w:ascii="Arial" w:hAnsi="Arial"/>
          <w:sz w:val="20"/>
          <w:szCs w:val="20"/>
        </w:rPr>
        <w:t xml:space="preserve">nulový </w:t>
      </w:r>
      <w:r w:rsidR="00A452A1">
        <w:rPr>
          <w:rFonts w:ascii="Arial" w:hAnsi="Arial"/>
          <w:sz w:val="20"/>
          <w:szCs w:val="20"/>
        </w:rPr>
        <w:t>(z 1,0</w:t>
      </w:r>
      <w:proofErr w:type="gramEnd"/>
      <w:r w:rsidR="00A452A1">
        <w:rPr>
          <w:rFonts w:ascii="Arial" w:hAnsi="Arial"/>
          <w:sz w:val="20"/>
          <w:szCs w:val="20"/>
        </w:rPr>
        <w:t xml:space="preserve"> % ve 4. </w:t>
      </w:r>
      <w:r w:rsidR="008C3EAC">
        <w:rPr>
          <w:rFonts w:ascii="Arial" w:hAnsi="Arial"/>
          <w:sz w:val="20"/>
          <w:szCs w:val="20"/>
        </w:rPr>
        <w:t>č</w:t>
      </w:r>
      <w:r w:rsidR="00A452A1">
        <w:rPr>
          <w:rFonts w:ascii="Arial" w:hAnsi="Arial"/>
          <w:sz w:val="20"/>
          <w:szCs w:val="20"/>
        </w:rPr>
        <w:t>tvrtletí 2013</w:t>
      </w:r>
      <w:r w:rsidR="008C3EAC">
        <w:rPr>
          <w:rFonts w:ascii="Arial" w:hAnsi="Arial"/>
          <w:sz w:val="20"/>
          <w:szCs w:val="20"/>
        </w:rPr>
        <w:t>)</w:t>
      </w:r>
      <w:r w:rsidR="009C3B99">
        <w:rPr>
          <w:rFonts w:ascii="Arial" w:hAnsi="Arial"/>
          <w:sz w:val="20"/>
          <w:szCs w:val="20"/>
        </w:rPr>
        <w:t>.</w:t>
      </w:r>
    </w:p>
    <w:p w:rsidR="002C0F54" w:rsidRDefault="00611C91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611C91">
        <w:rPr>
          <w:szCs w:val="20"/>
        </w:rPr>
        <w:pict>
          <v:shape id="_x0000_i1030" type="#_x0000_t75" style="width:424.2pt;height:245.4pt">
            <v:imagedata r:id="rId13" o:title=""/>
          </v:shape>
        </w:pict>
      </w:r>
    </w:p>
    <w:p w:rsidR="002C0F54" w:rsidRDefault="002C0F54" w:rsidP="002C0F54">
      <w:pPr>
        <w:pStyle w:val="Zkladntext"/>
        <w:rPr>
          <w:rFonts w:ascii="Arial" w:hAnsi="Arial" w:cs="Arial"/>
        </w:rPr>
      </w:pPr>
    </w:p>
    <w:p w:rsidR="002C0F54" w:rsidRDefault="002C0F54" w:rsidP="002C0F54">
      <w:pPr>
        <w:pStyle w:val="Zkladntext"/>
        <w:rPr>
          <w:rFonts w:ascii="Arial" w:hAnsi="Arial" w:cs="Arial"/>
        </w:rPr>
      </w:pPr>
    </w:p>
    <w:p w:rsidR="002C0F54" w:rsidRPr="00FF2F4D" w:rsidRDefault="0013480D" w:rsidP="002C0F54">
      <w:pPr>
        <w:pStyle w:val="Nadpis3"/>
      </w:pPr>
      <w:r w:rsidRPr="004B4C91">
        <w:t>H</w:t>
      </w:r>
      <w:r w:rsidR="002C0F54" w:rsidRPr="004B4C91">
        <w:t>armonizovaný index spotřebitelských cen v zóně EU28</w:t>
      </w:r>
    </w:p>
    <w:p w:rsidR="002C0F54" w:rsidRPr="00FF2F4D" w:rsidRDefault="002C0F54" w:rsidP="00C03B5B">
      <w:pPr>
        <w:pStyle w:val="Nadpis3"/>
        <w:jc w:val="both"/>
        <w:rPr>
          <w:rFonts w:cs="Arial"/>
          <w:b w:val="0"/>
          <w:bCs w:val="0"/>
        </w:rPr>
      </w:pPr>
      <w:r w:rsidRPr="00FF2F4D">
        <w:rPr>
          <w:rFonts w:cs="Arial"/>
          <w:b w:val="0"/>
        </w:rPr>
        <w:t xml:space="preserve">Meziroční přírůstek </w:t>
      </w:r>
      <w:r w:rsidRPr="00FF2F4D">
        <w:rPr>
          <w:rFonts w:cs="Arial"/>
          <w:b w:val="0"/>
          <w:bCs w:val="0"/>
        </w:rPr>
        <w:t>harmonizovaného indexu spotřebitelských cen</w:t>
      </w:r>
      <w:r w:rsidRPr="00FF2F4D">
        <w:rPr>
          <w:rFonts w:cs="Arial"/>
          <w:b w:val="0"/>
        </w:rPr>
        <w:t xml:space="preserve"> (HICP) 28 členských zemí EU byl podle údajů </w:t>
      </w:r>
      <w:proofErr w:type="spellStart"/>
      <w:r w:rsidRPr="00FF2F4D">
        <w:rPr>
          <w:rFonts w:cs="Arial"/>
          <w:b w:val="0"/>
        </w:rPr>
        <w:t>Eurostatu</w:t>
      </w:r>
      <w:proofErr w:type="spellEnd"/>
      <w:r w:rsidRPr="00FF2F4D">
        <w:rPr>
          <w:rFonts w:cs="Arial"/>
          <w:b w:val="0"/>
        </w:rPr>
        <w:t xml:space="preserve"> </w:t>
      </w:r>
      <w:r w:rsidRPr="00FF2F4D">
        <w:rPr>
          <w:rFonts w:cs="Arial"/>
          <w:bCs w:val="0"/>
        </w:rPr>
        <w:t>v </w:t>
      </w:r>
      <w:r w:rsidR="00BA05F0">
        <w:rPr>
          <w:rFonts w:cs="Arial"/>
          <w:bCs w:val="0"/>
        </w:rPr>
        <w:t>lednu</w:t>
      </w:r>
      <w:r w:rsidR="0013480D">
        <w:rPr>
          <w:rFonts w:cs="Arial"/>
          <w:b w:val="0"/>
          <w:bCs w:val="0"/>
        </w:rPr>
        <w:t xml:space="preserve"> 0,9</w:t>
      </w:r>
      <w:r w:rsidRPr="00FF2F4D">
        <w:rPr>
          <w:rFonts w:cs="Arial"/>
          <w:b w:val="0"/>
          <w:bCs w:val="0"/>
        </w:rPr>
        <w:t xml:space="preserve"> % a </w:t>
      </w:r>
      <w:r w:rsidRPr="00FF2F4D">
        <w:rPr>
          <w:rFonts w:cs="Arial"/>
          <w:bCs w:val="0"/>
        </w:rPr>
        <w:t>v</w:t>
      </w:r>
      <w:r w:rsidR="0013480D">
        <w:rPr>
          <w:rFonts w:cs="Arial"/>
          <w:bCs w:val="0"/>
        </w:rPr>
        <w:t> </w:t>
      </w:r>
      <w:r w:rsidR="00BA05F0">
        <w:rPr>
          <w:rFonts w:cs="Arial"/>
          <w:bCs w:val="0"/>
        </w:rPr>
        <w:t>únoru</w:t>
      </w:r>
      <w:r w:rsidR="0013480D">
        <w:rPr>
          <w:rFonts w:cs="Arial"/>
          <w:bCs w:val="0"/>
        </w:rPr>
        <w:t xml:space="preserve"> </w:t>
      </w:r>
      <w:r w:rsidR="003B45CC" w:rsidRPr="003B45CC">
        <w:rPr>
          <w:rFonts w:cs="Arial"/>
          <w:b w:val="0"/>
          <w:bCs w:val="0"/>
        </w:rPr>
        <w:t>0,</w:t>
      </w:r>
      <w:r w:rsidR="003B45CC">
        <w:rPr>
          <w:rFonts w:cs="Arial"/>
          <w:b w:val="0"/>
          <w:bCs w:val="0"/>
        </w:rPr>
        <w:t>8</w:t>
      </w:r>
      <w:r w:rsidRPr="00FF2F4D">
        <w:rPr>
          <w:rFonts w:cs="Arial"/>
          <w:b w:val="0"/>
          <w:bCs w:val="0"/>
        </w:rPr>
        <w:t> %.</w:t>
      </w:r>
      <w:r w:rsidRPr="00FF2F4D">
        <w:rPr>
          <w:rFonts w:cs="Arial"/>
          <w:b w:val="0"/>
        </w:rPr>
        <w:t xml:space="preserve"> V ČR byly mezir</w:t>
      </w:r>
      <w:r w:rsidR="0013480D">
        <w:rPr>
          <w:rFonts w:cs="Arial"/>
          <w:b w:val="0"/>
        </w:rPr>
        <w:t xml:space="preserve">oční hodnoty v těchto měsících </w:t>
      </w:r>
      <w:r w:rsidR="003B45CC">
        <w:rPr>
          <w:rFonts w:cs="Arial"/>
          <w:b w:val="0"/>
        </w:rPr>
        <w:t>shodně 0,3</w:t>
      </w:r>
      <w:r w:rsidRPr="00FF2F4D">
        <w:rPr>
          <w:rFonts w:cs="Arial"/>
          <w:b w:val="0"/>
        </w:rPr>
        <w:t xml:space="preserve"> %. Podle předběžných údajů </w:t>
      </w:r>
      <w:r w:rsidR="003B45CC">
        <w:rPr>
          <w:rFonts w:cs="Arial"/>
          <w:b w:val="0"/>
        </w:rPr>
        <w:t>zůstal</w:t>
      </w:r>
      <w:r w:rsidR="0013480D">
        <w:rPr>
          <w:rFonts w:cs="Arial"/>
          <w:b w:val="0"/>
        </w:rPr>
        <w:t xml:space="preserve"> </w:t>
      </w:r>
      <w:r w:rsidRPr="00FF2F4D">
        <w:rPr>
          <w:rFonts w:cs="Arial"/>
          <w:b w:val="0"/>
        </w:rPr>
        <w:t>přírůstek HICP v</w:t>
      </w:r>
      <w:r w:rsidR="0013480D">
        <w:rPr>
          <w:rFonts w:cs="Arial"/>
          <w:b w:val="0"/>
        </w:rPr>
        <w:t> </w:t>
      </w:r>
      <w:r w:rsidRPr="00FF2F4D">
        <w:rPr>
          <w:rFonts w:cs="Arial"/>
          <w:b w:val="0"/>
        </w:rPr>
        <w:t>ČR</w:t>
      </w:r>
      <w:r w:rsidR="0013480D">
        <w:rPr>
          <w:rFonts w:cs="Arial"/>
          <w:b w:val="0"/>
        </w:rPr>
        <w:t xml:space="preserve"> </w:t>
      </w:r>
      <w:r w:rsidR="003B45CC">
        <w:rPr>
          <w:rFonts w:cs="Arial"/>
          <w:b w:val="0"/>
        </w:rPr>
        <w:t xml:space="preserve">na této úrovni i </w:t>
      </w:r>
      <w:r w:rsidRPr="00FF2F4D">
        <w:rPr>
          <w:rFonts w:cs="Arial"/>
        </w:rPr>
        <w:t>v</w:t>
      </w:r>
      <w:r w:rsidR="003B45CC">
        <w:rPr>
          <w:rFonts w:cs="Arial"/>
        </w:rPr>
        <w:t> březnu.</w:t>
      </w:r>
      <w:r w:rsidRPr="00FF2F4D">
        <w:rPr>
          <w:rFonts w:cs="Arial"/>
          <w:b w:val="0"/>
        </w:rPr>
        <w:t xml:space="preserve"> Z níže uvedeného grafu je zřejmé, </w:t>
      </w:r>
      <w:r w:rsidR="003B45CC">
        <w:rPr>
          <w:rFonts w:cs="Arial"/>
          <w:b w:val="0"/>
        </w:rPr>
        <w:t xml:space="preserve">že k postupnému snižování meziroční inflace došlo i v rámci zemí EU. </w:t>
      </w:r>
      <w:r w:rsidR="009443AE">
        <w:rPr>
          <w:rFonts w:cs="Arial"/>
          <w:b w:val="0"/>
        </w:rPr>
        <w:t>M</w:t>
      </w:r>
      <w:r w:rsidRPr="00FF2F4D">
        <w:rPr>
          <w:rFonts w:cs="Arial"/>
          <w:b w:val="0"/>
        </w:rPr>
        <w:t>ez</w:t>
      </w:r>
      <w:r w:rsidR="0013480D">
        <w:rPr>
          <w:rFonts w:cs="Arial"/>
          <w:b w:val="0"/>
        </w:rPr>
        <w:t>iroční HICP v ČR byl v roce 2012</w:t>
      </w:r>
      <w:r w:rsidRPr="00FF2F4D">
        <w:rPr>
          <w:rFonts w:cs="Arial"/>
          <w:b w:val="0"/>
        </w:rPr>
        <w:t xml:space="preserve"> </w:t>
      </w:r>
      <w:r w:rsidR="0013480D">
        <w:rPr>
          <w:rFonts w:cs="Arial"/>
          <w:b w:val="0"/>
        </w:rPr>
        <w:t xml:space="preserve">vyšší </w:t>
      </w:r>
      <w:r>
        <w:rPr>
          <w:rFonts w:cs="Arial"/>
          <w:b w:val="0"/>
        </w:rPr>
        <w:t>než průměrný HICP ve 28</w:t>
      </w:r>
      <w:r w:rsidRPr="00FF2F4D">
        <w:rPr>
          <w:rFonts w:cs="Arial"/>
          <w:b w:val="0"/>
        </w:rPr>
        <w:t xml:space="preserve"> členských zemích </w:t>
      </w:r>
      <w:r w:rsidRPr="00FF2F4D">
        <w:rPr>
          <w:rFonts w:cs="Arial"/>
          <w:b w:val="0"/>
          <w:bCs w:val="0"/>
        </w:rPr>
        <w:t>EU. V posledních měsících roku 2012 se tento rozdíl začal snižovat</w:t>
      </w:r>
      <w:r w:rsidR="003D352D">
        <w:rPr>
          <w:rFonts w:cs="Arial"/>
          <w:b w:val="0"/>
          <w:bCs w:val="0"/>
        </w:rPr>
        <w:t xml:space="preserve"> a </w:t>
      </w:r>
      <w:r>
        <w:rPr>
          <w:rFonts w:cs="Arial"/>
          <w:b w:val="0"/>
          <w:bCs w:val="0"/>
        </w:rPr>
        <w:t>v</w:t>
      </w:r>
      <w:r w:rsidRPr="00FF2F4D">
        <w:rPr>
          <w:rFonts w:cs="Arial"/>
          <w:b w:val="0"/>
          <w:bCs w:val="0"/>
        </w:rPr>
        <w:t> roce 2013 se tyto hodnoty přiblížily</w:t>
      </w:r>
      <w:r w:rsidR="009443AE">
        <w:rPr>
          <w:rFonts w:cs="Arial"/>
          <w:b w:val="0"/>
          <w:bCs w:val="0"/>
        </w:rPr>
        <w:t>.</w:t>
      </w:r>
      <w:r w:rsidR="004620A4">
        <w:rPr>
          <w:rFonts w:cs="Arial"/>
          <w:b w:val="0"/>
          <w:bCs w:val="0"/>
        </w:rPr>
        <w:t xml:space="preserve"> </w:t>
      </w:r>
      <w:r w:rsidR="009443AE">
        <w:rPr>
          <w:rFonts w:cs="Arial"/>
          <w:b w:val="0"/>
          <w:bCs w:val="0"/>
        </w:rPr>
        <w:t>V 1. čtvrtletí 2014</w:t>
      </w:r>
      <w:r w:rsidR="009443AE" w:rsidRPr="009443AE">
        <w:rPr>
          <w:rFonts w:cs="Arial"/>
          <w:b w:val="0"/>
          <w:bCs w:val="0"/>
        </w:rPr>
        <w:t xml:space="preserve"> </w:t>
      </w:r>
      <w:r w:rsidR="009443AE">
        <w:rPr>
          <w:rFonts w:cs="Arial"/>
          <w:b w:val="0"/>
          <w:bCs w:val="0"/>
        </w:rPr>
        <w:t xml:space="preserve">však přírůstek HICP v ČR zaznamenal výraznější pokles než </w:t>
      </w:r>
      <w:r w:rsidR="004620A4">
        <w:rPr>
          <w:rFonts w:cs="Arial"/>
          <w:b w:val="0"/>
          <w:bCs w:val="0"/>
        </w:rPr>
        <w:t>přírůstek HICP EU28</w:t>
      </w:r>
      <w:r w:rsidR="009443AE">
        <w:rPr>
          <w:rFonts w:cs="Arial"/>
          <w:b w:val="0"/>
          <w:bCs w:val="0"/>
        </w:rPr>
        <w:t>.</w:t>
      </w:r>
    </w:p>
    <w:p w:rsidR="002C0F54" w:rsidRPr="00E70AC8" w:rsidRDefault="002C0F54" w:rsidP="002C0F54">
      <w:pPr>
        <w:rPr>
          <w:highlight w:val="yellow"/>
        </w:rPr>
      </w:pPr>
    </w:p>
    <w:p w:rsidR="002C0F54" w:rsidRDefault="00611C91" w:rsidP="002C0F54">
      <w:r>
        <w:lastRenderedPageBreak/>
        <w:pict>
          <v:shape id="_x0000_i1031" type="#_x0000_t75" style="width:424.2pt;height:277.8pt">
            <v:imagedata r:id="rId14" o:title=""/>
          </v:shape>
        </w:pict>
      </w:r>
    </w:p>
    <w:p w:rsidR="002C0F54" w:rsidRDefault="002C0F54" w:rsidP="002C0F54"/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rFonts w:cs="Arial"/>
          <w:bCs/>
        </w:rPr>
      </w:pPr>
    </w:p>
    <w:p w:rsidR="00085B3E" w:rsidRPr="00F9280C" w:rsidRDefault="00085B3E" w:rsidP="00EE42B8">
      <w:pPr>
        <w:pStyle w:val="Zkladntextodsazen3"/>
        <w:spacing w:line="276" w:lineRule="auto"/>
        <w:ind w:firstLine="0"/>
        <w:rPr>
          <w:rFonts w:cs="Arial"/>
          <w:szCs w:val="20"/>
        </w:rPr>
      </w:pP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5B0D" w:rsidRDefault="00611C91" w:rsidP="002C0F54">
      <w:pPr>
        <w:pStyle w:val="Zkladntext"/>
        <w:spacing w:line="276" w:lineRule="auto"/>
        <w:jc w:val="left"/>
        <w:rPr>
          <w:szCs w:val="20"/>
        </w:rPr>
      </w:pPr>
      <w:r w:rsidRPr="00611C91">
        <w:rPr>
          <w:szCs w:val="20"/>
        </w:rPr>
        <w:lastRenderedPageBreak/>
        <w:pict>
          <v:shape id="_x0000_i1032" type="#_x0000_t75" style="width:424.2pt;height:411.6pt">
            <v:imagedata r:id="rId15" o:title=""/>
          </v:shape>
        </w:pict>
      </w:r>
    </w:p>
    <w:p w:rsidR="001414D7" w:rsidRDefault="001414D7" w:rsidP="002C0F54">
      <w:pPr>
        <w:pStyle w:val="Zkladntext"/>
        <w:spacing w:line="276" w:lineRule="auto"/>
        <w:jc w:val="left"/>
        <w:rPr>
          <w:szCs w:val="20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Zpracovali: pracovníci Oddělení 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Oddělení 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  <w:sz w:val="18"/>
          <w:szCs w:val="18"/>
        </w:rPr>
      </w:pPr>
      <w:r w:rsidRPr="00A47029">
        <w:rPr>
          <w:rFonts w:ascii="Arial" w:hAnsi="Arial" w:cs="Arial"/>
        </w:rPr>
        <w:t xml:space="preserve">Tel.: 274 054 137 </w:t>
      </w:r>
    </w:p>
    <w:sectPr w:rsidR="002C0F54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8A" w:rsidRDefault="00CB708A" w:rsidP="00BA6370">
      <w:r>
        <w:separator/>
      </w:r>
    </w:p>
  </w:endnote>
  <w:endnote w:type="continuationSeparator" w:id="0">
    <w:p w:rsidR="00CB708A" w:rsidRDefault="00CB708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611C9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F58BA" w:rsidRPr="001404AB" w:rsidRDefault="006F58BA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F58BA" w:rsidRPr="00A81EB3" w:rsidRDefault="006F58BA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11C9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11C91" w:rsidRPr="004E479E">
                  <w:rPr>
                    <w:rFonts w:cs="Arial"/>
                    <w:szCs w:val="15"/>
                  </w:rPr>
                  <w:fldChar w:fldCharType="separate"/>
                </w:r>
                <w:r w:rsidR="00506649">
                  <w:rPr>
                    <w:rFonts w:cs="Arial"/>
                    <w:noProof/>
                    <w:szCs w:val="15"/>
                  </w:rPr>
                  <w:t>2</w:t>
                </w:r>
                <w:r w:rsidR="00611C9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8A" w:rsidRDefault="00CB708A" w:rsidP="00BA6370">
      <w:r>
        <w:separator/>
      </w:r>
    </w:p>
  </w:footnote>
  <w:footnote w:type="continuationSeparator" w:id="0">
    <w:p w:rsidR="00CB708A" w:rsidRDefault="00CB708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611C91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16300"/>
    <w:rsid w:val="00025EF7"/>
    <w:rsid w:val="00032FD4"/>
    <w:rsid w:val="000404BA"/>
    <w:rsid w:val="00041F98"/>
    <w:rsid w:val="00043BF4"/>
    <w:rsid w:val="000545E6"/>
    <w:rsid w:val="0007131A"/>
    <w:rsid w:val="00075CEE"/>
    <w:rsid w:val="00083171"/>
    <w:rsid w:val="000843A5"/>
    <w:rsid w:val="00085B3E"/>
    <w:rsid w:val="00087211"/>
    <w:rsid w:val="00093781"/>
    <w:rsid w:val="000B0EE7"/>
    <w:rsid w:val="000B6F63"/>
    <w:rsid w:val="000E06A0"/>
    <w:rsid w:val="000E07CF"/>
    <w:rsid w:val="000F1647"/>
    <w:rsid w:val="000F5B28"/>
    <w:rsid w:val="000F5B7B"/>
    <w:rsid w:val="001013B6"/>
    <w:rsid w:val="00110D00"/>
    <w:rsid w:val="0011383C"/>
    <w:rsid w:val="00127216"/>
    <w:rsid w:val="00133FA8"/>
    <w:rsid w:val="0013480D"/>
    <w:rsid w:val="00135459"/>
    <w:rsid w:val="001404AB"/>
    <w:rsid w:val="001414D7"/>
    <w:rsid w:val="00154E51"/>
    <w:rsid w:val="001658A9"/>
    <w:rsid w:val="0017231D"/>
    <w:rsid w:val="0017365F"/>
    <w:rsid w:val="00175ABA"/>
    <w:rsid w:val="00176F24"/>
    <w:rsid w:val="001810DC"/>
    <w:rsid w:val="001A2794"/>
    <w:rsid w:val="001A59BF"/>
    <w:rsid w:val="001A6497"/>
    <w:rsid w:val="001B607F"/>
    <w:rsid w:val="001C3AF2"/>
    <w:rsid w:val="001D369A"/>
    <w:rsid w:val="001E06E8"/>
    <w:rsid w:val="001F3FE9"/>
    <w:rsid w:val="001F6C45"/>
    <w:rsid w:val="00204F67"/>
    <w:rsid w:val="002070FB"/>
    <w:rsid w:val="00213729"/>
    <w:rsid w:val="0022016B"/>
    <w:rsid w:val="002277B3"/>
    <w:rsid w:val="00235DB9"/>
    <w:rsid w:val="002406FA"/>
    <w:rsid w:val="00240CF3"/>
    <w:rsid w:val="00241F15"/>
    <w:rsid w:val="00263855"/>
    <w:rsid w:val="00266C9D"/>
    <w:rsid w:val="002A0403"/>
    <w:rsid w:val="002B0D87"/>
    <w:rsid w:val="002B2E47"/>
    <w:rsid w:val="002C0F54"/>
    <w:rsid w:val="002D6A6C"/>
    <w:rsid w:val="003301A3"/>
    <w:rsid w:val="00336F63"/>
    <w:rsid w:val="00342C58"/>
    <w:rsid w:val="00362C5B"/>
    <w:rsid w:val="0036777B"/>
    <w:rsid w:val="0038282A"/>
    <w:rsid w:val="00386C64"/>
    <w:rsid w:val="00397580"/>
    <w:rsid w:val="003A1794"/>
    <w:rsid w:val="003A45C8"/>
    <w:rsid w:val="003A7EF1"/>
    <w:rsid w:val="003B45CC"/>
    <w:rsid w:val="003C2DCF"/>
    <w:rsid w:val="003C7FE7"/>
    <w:rsid w:val="003D0499"/>
    <w:rsid w:val="003D352D"/>
    <w:rsid w:val="003D4494"/>
    <w:rsid w:val="003E2829"/>
    <w:rsid w:val="003F0E5B"/>
    <w:rsid w:val="003F526A"/>
    <w:rsid w:val="00405244"/>
    <w:rsid w:val="00430C37"/>
    <w:rsid w:val="00440D14"/>
    <w:rsid w:val="004436EE"/>
    <w:rsid w:val="0045547F"/>
    <w:rsid w:val="00461369"/>
    <w:rsid w:val="00461AA0"/>
    <w:rsid w:val="004620A4"/>
    <w:rsid w:val="004920AD"/>
    <w:rsid w:val="004A43B2"/>
    <w:rsid w:val="004A583A"/>
    <w:rsid w:val="004A5AB6"/>
    <w:rsid w:val="004B0D3E"/>
    <w:rsid w:val="004B4C91"/>
    <w:rsid w:val="004B7759"/>
    <w:rsid w:val="004D05B3"/>
    <w:rsid w:val="004E479E"/>
    <w:rsid w:val="004F13EE"/>
    <w:rsid w:val="004F78E6"/>
    <w:rsid w:val="00506649"/>
    <w:rsid w:val="00512D99"/>
    <w:rsid w:val="00531DBB"/>
    <w:rsid w:val="005320B3"/>
    <w:rsid w:val="00553DAA"/>
    <w:rsid w:val="00557711"/>
    <w:rsid w:val="005646B3"/>
    <w:rsid w:val="005816D4"/>
    <w:rsid w:val="005A1398"/>
    <w:rsid w:val="005B6091"/>
    <w:rsid w:val="005D2883"/>
    <w:rsid w:val="005F699D"/>
    <w:rsid w:val="005F79FB"/>
    <w:rsid w:val="00604406"/>
    <w:rsid w:val="00605F4A"/>
    <w:rsid w:val="00607822"/>
    <w:rsid w:val="006103AA"/>
    <w:rsid w:val="00611C91"/>
    <w:rsid w:val="00613BBF"/>
    <w:rsid w:val="0061630E"/>
    <w:rsid w:val="00617BC1"/>
    <w:rsid w:val="00622B80"/>
    <w:rsid w:val="0064139A"/>
    <w:rsid w:val="006427B1"/>
    <w:rsid w:val="00664B17"/>
    <w:rsid w:val="006676EE"/>
    <w:rsid w:val="00674A6D"/>
    <w:rsid w:val="0069502E"/>
    <w:rsid w:val="006A0851"/>
    <w:rsid w:val="006A42AF"/>
    <w:rsid w:val="006B770A"/>
    <w:rsid w:val="006C09DD"/>
    <w:rsid w:val="006D67C8"/>
    <w:rsid w:val="006E024F"/>
    <w:rsid w:val="006E134C"/>
    <w:rsid w:val="006E4E81"/>
    <w:rsid w:val="006F58BA"/>
    <w:rsid w:val="0070062E"/>
    <w:rsid w:val="00700749"/>
    <w:rsid w:val="00707F7D"/>
    <w:rsid w:val="00715E98"/>
    <w:rsid w:val="00717EC5"/>
    <w:rsid w:val="00737B80"/>
    <w:rsid w:val="00741692"/>
    <w:rsid w:val="00763144"/>
    <w:rsid w:val="00765549"/>
    <w:rsid w:val="00770A80"/>
    <w:rsid w:val="00774F04"/>
    <w:rsid w:val="00791C5C"/>
    <w:rsid w:val="00794A69"/>
    <w:rsid w:val="007953DB"/>
    <w:rsid w:val="007A02CC"/>
    <w:rsid w:val="007A0E1A"/>
    <w:rsid w:val="007A57F2"/>
    <w:rsid w:val="007B1333"/>
    <w:rsid w:val="007E23A3"/>
    <w:rsid w:val="007E7626"/>
    <w:rsid w:val="007F4AEB"/>
    <w:rsid w:val="007F75B2"/>
    <w:rsid w:val="008035A9"/>
    <w:rsid w:val="008043C4"/>
    <w:rsid w:val="008048DA"/>
    <w:rsid w:val="00810380"/>
    <w:rsid w:val="00815588"/>
    <w:rsid w:val="00816D50"/>
    <w:rsid w:val="00830309"/>
    <w:rsid w:val="00831B1B"/>
    <w:rsid w:val="00834EA0"/>
    <w:rsid w:val="0085404D"/>
    <w:rsid w:val="008575EE"/>
    <w:rsid w:val="00861D0E"/>
    <w:rsid w:val="00863921"/>
    <w:rsid w:val="00867569"/>
    <w:rsid w:val="00884BBA"/>
    <w:rsid w:val="00891BFE"/>
    <w:rsid w:val="008936FE"/>
    <w:rsid w:val="0089442D"/>
    <w:rsid w:val="00894903"/>
    <w:rsid w:val="008A18A9"/>
    <w:rsid w:val="008A750A"/>
    <w:rsid w:val="008B66B9"/>
    <w:rsid w:val="008C384C"/>
    <w:rsid w:val="008C3EAC"/>
    <w:rsid w:val="008C7D0C"/>
    <w:rsid w:val="008D0F11"/>
    <w:rsid w:val="008E2411"/>
    <w:rsid w:val="008E2E32"/>
    <w:rsid w:val="008E431F"/>
    <w:rsid w:val="008F73B4"/>
    <w:rsid w:val="008F7BE7"/>
    <w:rsid w:val="0090741A"/>
    <w:rsid w:val="00915613"/>
    <w:rsid w:val="009158EA"/>
    <w:rsid w:val="00931A52"/>
    <w:rsid w:val="009370CC"/>
    <w:rsid w:val="009417E9"/>
    <w:rsid w:val="0094376F"/>
    <w:rsid w:val="009443AE"/>
    <w:rsid w:val="0095340F"/>
    <w:rsid w:val="00956008"/>
    <w:rsid w:val="0097322B"/>
    <w:rsid w:val="009844FB"/>
    <w:rsid w:val="009A1C53"/>
    <w:rsid w:val="009A1FFC"/>
    <w:rsid w:val="009B55B1"/>
    <w:rsid w:val="009C3B99"/>
    <w:rsid w:val="009D5FF6"/>
    <w:rsid w:val="00A24CC5"/>
    <w:rsid w:val="00A31B8C"/>
    <w:rsid w:val="00A31CF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F71"/>
    <w:rsid w:val="00A655F4"/>
    <w:rsid w:val="00A70A83"/>
    <w:rsid w:val="00A81EB3"/>
    <w:rsid w:val="00A82330"/>
    <w:rsid w:val="00A92274"/>
    <w:rsid w:val="00A93CBE"/>
    <w:rsid w:val="00AA6F2A"/>
    <w:rsid w:val="00AB1B2F"/>
    <w:rsid w:val="00AE1BDA"/>
    <w:rsid w:val="00AE5A0E"/>
    <w:rsid w:val="00AF5459"/>
    <w:rsid w:val="00B00C1D"/>
    <w:rsid w:val="00B16C97"/>
    <w:rsid w:val="00B27413"/>
    <w:rsid w:val="00B33194"/>
    <w:rsid w:val="00B41E82"/>
    <w:rsid w:val="00B54AC0"/>
    <w:rsid w:val="00B6207E"/>
    <w:rsid w:val="00B62B32"/>
    <w:rsid w:val="00B871B3"/>
    <w:rsid w:val="00B94843"/>
    <w:rsid w:val="00B96EC0"/>
    <w:rsid w:val="00BA05F0"/>
    <w:rsid w:val="00BA439F"/>
    <w:rsid w:val="00BA6370"/>
    <w:rsid w:val="00BC748B"/>
    <w:rsid w:val="00BD7B22"/>
    <w:rsid w:val="00BF38BB"/>
    <w:rsid w:val="00C03B5B"/>
    <w:rsid w:val="00C05A6D"/>
    <w:rsid w:val="00C06636"/>
    <w:rsid w:val="00C23FAB"/>
    <w:rsid w:val="00C24A32"/>
    <w:rsid w:val="00C25A7C"/>
    <w:rsid w:val="00C269D4"/>
    <w:rsid w:val="00C4160D"/>
    <w:rsid w:val="00C560D6"/>
    <w:rsid w:val="00C601E4"/>
    <w:rsid w:val="00C63469"/>
    <w:rsid w:val="00C70396"/>
    <w:rsid w:val="00C8406E"/>
    <w:rsid w:val="00C84C4E"/>
    <w:rsid w:val="00C953D6"/>
    <w:rsid w:val="00CB229B"/>
    <w:rsid w:val="00CB2709"/>
    <w:rsid w:val="00CB69D2"/>
    <w:rsid w:val="00CB6F89"/>
    <w:rsid w:val="00CB708A"/>
    <w:rsid w:val="00CB7959"/>
    <w:rsid w:val="00CC163E"/>
    <w:rsid w:val="00CE228C"/>
    <w:rsid w:val="00CF545B"/>
    <w:rsid w:val="00D02B36"/>
    <w:rsid w:val="00D251B2"/>
    <w:rsid w:val="00D27D69"/>
    <w:rsid w:val="00D3587A"/>
    <w:rsid w:val="00D37961"/>
    <w:rsid w:val="00D448C2"/>
    <w:rsid w:val="00D52D57"/>
    <w:rsid w:val="00D60D5B"/>
    <w:rsid w:val="00D666C3"/>
    <w:rsid w:val="00D87442"/>
    <w:rsid w:val="00DA4EC8"/>
    <w:rsid w:val="00DB4278"/>
    <w:rsid w:val="00DC4165"/>
    <w:rsid w:val="00DC5B0D"/>
    <w:rsid w:val="00DD1EAE"/>
    <w:rsid w:val="00DD36D9"/>
    <w:rsid w:val="00DD6797"/>
    <w:rsid w:val="00DF47FE"/>
    <w:rsid w:val="00DF7D54"/>
    <w:rsid w:val="00E152A9"/>
    <w:rsid w:val="00E26704"/>
    <w:rsid w:val="00E31980"/>
    <w:rsid w:val="00E36412"/>
    <w:rsid w:val="00E42E00"/>
    <w:rsid w:val="00E6423C"/>
    <w:rsid w:val="00E86B75"/>
    <w:rsid w:val="00E92A44"/>
    <w:rsid w:val="00E92F39"/>
    <w:rsid w:val="00E93830"/>
    <w:rsid w:val="00E93E0E"/>
    <w:rsid w:val="00E95D3E"/>
    <w:rsid w:val="00EA7B94"/>
    <w:rsid w:val="00EB1ED3"/>
    <w:rsid w:val="00EC2D51"/>
    <w:rsid w:val="00ED0E42"/>
    <w:rsid w:val="00ED7B69"/>
    <w:rsid w:val="00EE42B8"/>
    <w:rsid w:val="00EF6997"/>
    <w:rsid w:val="00F13564"/>
    <w:rsid w:val="00F16F82"/>
    <w:rsid w:val="00F26395"/>
    <w:rsid w:val="00F32D71"/>
    <w:rsid w:val="00F32DA4"/>
    <w:rsid w:val="00F744A0"/>
    <w:rsid w:val="00F80FB9"/>
    <w:rsid w:val="00F96AC5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2C0F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A6A0-65FC-4AE6-97E1-07026E6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974</TotalTime>
  <Pages>8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adamkova106</cp:lastModifiedBy>
  <cp:revision>28</cp:revision>
  <cp:lastPrinted>2014-04-08T08:32:00Z</cp:lastPrinted>
  <dcterms:created xsi:type="dcterms:W3CDTF">2014-04-02T07:47:00Z</dcterms:created>
  <dcterms:modified xsi:type="dcterms:W3CDTF">2014-04-08T08:50:00Z</dcterms:modified>
</cp:coreProperties>
</file>