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E8493B">
      <w:pPr>
        <w:pStyle w:val="Nadpis1"/>
      </w:pPr>
      <w:bookmarkStart w:id="0" w:name="_Toc127174559"/>
      <w:bookmarkStart w:id="1" w:name="_Toc127757331"/>
      <w:bookmarkStart w:id="2" w:name="_Toc127758621"/>
      <w:bookmarkStart w:id="3" w:name="_Toc130184766"/>
      <w:bookmarkStart w:id="4" w:name="_Toc256065142"/>
      <w:r>
        <w:t>4. Výdaje domácností na zdravotní péči</w:t>
      </w:r>
      <w:bookmarkEnd w:id="0"/>
      <w:bookmarkEnd w:id="1"/>
      <w:bookmarkEnd w:id="2"/>
      <w:bookmarkEnd w:id="3"/>
      <w:bookmarkEnd w:id="4"/>
    </w:p>
    <w:p w:rsidR="00110E3B" w:rsidRDefault="00110E3B" w:rsidP="00E8493B">
      <w:pPr>
        <w:pStyle w:val="Nadpis2"/>
        <w:spacing w:after="200"/>
      </w:pPr>
      <w:bookmarkStart w:id="5" w:name="_Toc127174560"/>
      <w:bookmarkStart w:id="6" w:name="_Toc127757332"/>
      <w:bookmarkStart w:id="7" w:name="_Toc127758622"/>
      <w:bookmarkStart w:id="8" w:name="_Toc130184767"/>
      <w:bookmarkStart w:id="9" w:name="_Toc256065143"/>
      <w:r>
        <w:t>4.1 Výdaje domácností podle druhu péče (ICHA-HC)</w:t>
      </w:r>
      <w:bookmarkEnd w:id="5"/>
      <w:bookmarkEnd w:id="6"/>
      <w:bookmarkEnd w:id="7"/>
      <w:bookmarkEnd w:id="8"/>
      <w:bookmarkEnd w:id="9"/>
    </w:p>
    <w:p w:rsidR="00110E3B" w:rsidRPr="00A151C0" w:rsidRDefault="00110E3B" w:rsidP="00E8493B">
      <w:r w:rsidRPr="00A151C0">
        <w:t xml:space="preserve">Výdaje domácností byly v minulých letech spíše doplňkovým zdrojem financování zdravotní péče, nicméně v současné době vzrůstá jejich význam především v souvislosti se zavedením regulačních poplatků v roce 2008. </w:t>
      </w:r>
    </w:p>
    <w:p w:rsidR="00110E3B" w:rsidRPr="00A151C0" w:rsidRDefault="00110E3B" w:rsidP="00E8493B">
      <w:pPr>
        <w:rPr>
          <w:rFonts w:cs="Arial"/>
          <w:color w:val="000000"/>
          <w:szCs w:val="20"/>
        </w:rPr>
      </w:pPr>
      <w:r w:rsidRPr="00A151C0">
        <w:rPr>
          <w:rFonts w:cs="Arial"/>
          <w:color w:val="000000"/>
          <w:szCs w:val="20"/>
        </w:rPr>
        <w:t>V rámci zpřesnění metodiky jsou používána zdrojová data z rodinných účtů (výdaje za služby ve zdravotnictví) a data z maloobchodního obratu (výrobky ve zdravotnictví).</w:t>
      </w:r>
    </w:p>
    <w:p w:rsidR="00110E3B" w:rsidRPr="00646E9E" w:rsidRDefault="00110E3B" w:rsidP="00110E3B">
      <w:pPr>
        <w:pStyle w:val="nazevtabulky"/>
      </w:pPr>
      <w:proofErr w:type="spellStart"/>
      <w:r>
        <w:t>Tab</w:t>
      </w:r>
      <w:proofErr w:type="spellEnd"/>
      <w:r>
        <w:t xml:space="preserve"> 4.1</w:t>
      </w:r>
      <w:r w:rsidRPr="00F0398E">
        <w:t xml:space="preserve"> Výdaje domácností podle druhu péče</w:t>
      </w:r>
    </w:p>
    <w:tbl>
      <w:tblPr>
        <w:tblW w:w="9569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545"/>
        <w:gridCol w:w="822"/>
        <w:gridCol w:w="702"/>
        <w:gridCol w:w="726"/>
        <w:gridCol w:w="722"/>
        <w:gridCol w:w="780"/>
        <w:gridCol w:w="871"/>
        <w:gridCol w:w="1401"/>
      </w:tblGrid>
      <w:tr w:rsidR="00110E3B" w:rsidTr="00E8493B">
        <w:trPr>
          <w:cantSplit/>
          <w:trHeight w:val="315"/>
          <w:jc w:val="center"/>
        </w:trPr>
        <w:tc>
          <w:tcPr>
            <w:tcW w:w="3545" w:type="dxa"/>
            <w:vMerge w:val="restart"/>
            <w:noWrap/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3752" w:type="dxa"/>
            <w:gridSpan w:val="5"/>
            <w:noWrap/>
            <w:vAlign w:val="center"/>
          </w:tcPr>
          <w:p w:rsidR="00110E3B" w:rsidRDefault="00110E3B" w:rsidP="00E8493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mil. Kč</w:t>
            </w:r>
          </w:p>
        </w:tc>
        <w:tc>
          <w:tcPr>
            <w:tcW w:w="871" w:type="dxa"/>
            <w:vMerge w:val="restart"/>
            <w:vAlign w:val="center"/>
          </w:tcPr>
          <w:p w:rsidR="00110E3B" w:rsidRPr="0055656A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55656A">
              <w:rPr>
                <w:rFonts w:cs="Arial"/>
                <w:b/>
                <w:bCs/>
                <w:color w:val="000000"/>
                <w:sz w:val="16"/>
                <w:szCs w:val="16"/>
              </w:rPr>
              <w:t>Index 201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3/2012</w:t>
            </w:r>
          </w:p>
        </w:tc>
        <w:tc>
          <w:tcPr>
            <w:tcW w:w="1401" w:type="dxa"/>
            <w:vMerge w:val="restart"/>
            <w:vAlign w:val="center"/>
          </w:tcPr>
          <w:p w:rsidR="00110E3B" w:rsidRPr="0055656A" w:rsidRDefault="00110E3B" w:rsidP="00E8493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656A">
              <w:rPr>
                <w:rFonts w:cs="Arial"/>
                <w:b/>
                <w:bCs/>
                <w:color w:val="000000"/>
                <w:sz w:val="16"/>
                <w:szCs w:val="16"/>
              </w:rPr>
              <w:t>Průměrné roční tempo růstu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od roku 2005</w:t>
            </w:r>
          </w:p>
          <w:p w:rsidR="00110E3B" w:rsidRPr="0055656A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55656A">
              <w:rPr>
                <w:rFonts w:cs="Arial"/>
                <w:b/>
                <w:bCs/>
                <w:color w:val="000000"/>
                <w:sz w:val="16"/>
                <w:szCs w:val="16"/>
              </w:rPr>
              <w:t>(v %)</w:t>
            </w:r>
          </w:p>
        </w:tc>
      </w:tr>
      <w:tr w:rsidR="00110E3B" w:rsidTr="00E8493B">
        <w:trPr>
          <w:cantSplit/>
          <w:trHeight w:val="750"/>
          <w:jc w:val="center"/>
        </w:trPr>
        <w:tc>
          <w:tcPr>
            <w:tcW w:w="3545" w:type="dxa"/>
            <w:vMerge/>
            <w:tcBorders>
              <w:bottom w:val="single" w:sz="6" w:space="0" w:color="auto"/>
            </w:tcBorders>
            <w:vAlign w:val="center"/>
          </w:tcPr>
          <w:p w:rsidR="00110E3B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110E3B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bottom w:val="single" w:sz="6" w:space="0" w:color="auto"/>
            </w:tcBorders>
            <w:vAlign w:val="center"/>
          </w:tcPr>
          <w:p w:rsidR="00110E3B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3 061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4 840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12 735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12 838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12 832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224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12,96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1.1 Lůžková péče</w:t>
            </w:r>
          </w:p>
        </w:tc>
        <w:tc>
          <w:tcPr>
            <w:tcW w:w="822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722" w:type="dxa"/>
            <w:tcBorders>
              <w:top w:val="single" w:sz="6" w:space="0" w:color="auto"/>
            </w:tcBorders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039</w:t>
            </w:r>
          </w:p>
        </w:tc>
        <w:tc>
          <w:tcPr>
            <w:tcW w:w="780" w:type="dxa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401" w:type="dxa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15,32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1.3 Ambulantní péče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2 829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4 572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12,81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1.3 Ambulantní péče (kromě 1.3.2)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15,28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1.3.2 Stomatologická péče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1 835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3 072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01" w:type="dxa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11,46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Rehabilitační péče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2 449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224B">
              <w:rPr>
                <w:b/>
                <w:bCs/>
                <w:color w:val="000000"/>
                <w:sz w:val="16"/>
                <w:szCs w:val="16"/>
              </w:rPr>
              <w:t>3 125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224B">
              <w:rPr>
                <w:b/>
                <w:bCs/>
                <w:color w:val="000000"/>
                <w:sz w:val="16"/>
                <w:szCs w:val="16"/>
              </w:rPr>
              <w:t>2 616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223">
              <w:rPr>
                <w:b/>
                <w:bCs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E6223">
              <w:rPr>
                <w:b/>
                <w:color w:val="000000"/>
                <w:sz w:val="16"/>
                <w:szCs w:val="16"/>
              </w:rPr>
              <w:t>15,66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2.1 Lůžková péče</w:t>
            </w:r>
          </w:p>
        </w:tc>
        <w:tc>
          <w:tcPr>
            <w:tcW w:w="822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722" w:type="dxa"/>
            <w:tcBorders>
              <w:top w:val="single" w:sz="6" w:space="0" w:color="auto"/>
            </w:tcBorders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780" w:type="dxa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401" w:type="dxa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15,33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2.3 Ambulantní péče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401" w:type="dxa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16,75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Léky a PZT</w:t>
            </w:r>
            <w:r>
              <w:rPr>
                <w:rStyle w:val="Znakapoznpodarou"/>
                <w:color w:val="000000"/>
              </w:rPr>
              <w:footnoteReference w:id="1"/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10 385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17 454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E224B">
              <w:rPr>
                <w:b/>
                <w:color w:val="000000"/>
                <w:sz w:val="16"/>
                <w:szCs w:val="16"/>
              </w:rPr>
              <w:t>27 091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224B">
              <w:rPr>
                <w:b/>
                <w:bCs/>
                <w:color w:val="000000"/>
                <w:sz w:val="16"/>
                <w:szCs w:val="16"/>
              </w:rPr>
              <w:t>27 671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224B">
              <w:rPr>
                <w:b/>
                <w:bCs/>
                <w:color w:val="000000"/>
                <w:sz w:val="16"/>
                <w:szCs w:val="16"/>
              </w:rPr>
              <w:t>26 798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EE224B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E224B">
              <w:rPr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E6223">
              <w:rPr>
                <w:b/>
                <w:color w:val="000000"/>
                <w:sz w:val="16"/>
                <w:szCs w:val="16"/>
              </w:rPr>
              <w:t>5,51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5.1 Léky</w:t>
            </w:r>
          </w:p>
        </w:tc>
        <w:tc>
          <w:tcPr>
            <w:tcW w:w="822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7 881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13 114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22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21 594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401" w:type="dxa"/>
            <w:tcBorders>
              <w:top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6,43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5.1.1 Předepsané léky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2 144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4 770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8,64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5.1.2 Volně prodejné léky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5 439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7 942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5.1.3 Ostatní léky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6,18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5.2 PZT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2 504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4 340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5 204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5.2.1 Brýle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2 006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3 343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5.2.2 OP</w:t>
            </w:r>
            <w:r>
              <w:rPr>
                <w:rStyle w:val="Znakapoznpodarou"/>
                <w:color w:val="000000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 xml:space="preserve"> pomůcky</w:t>
            </w:r>
          </w:p>
        </w:tc>
        <w:tc>
          <w:tcPr>
            <w:tcW w:w="82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702" w:type="dxa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726" w:type="dxa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2" w:type="dxa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780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401" w:type="dxa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5.2.9 Ostatní PZT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E6223">
              <w:rPr>
                <w:b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401" w:type="dxa"/>
            <w:tcBorders>
              <w:bottom w:val="single" w:sz="6" w:space="0" w:color="auto"/>
            </w:tcBorders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color w:val="000000"/>
                <w:sz w:val="16"/>
                <w:szCs w:val="16"/>
              </w:rPr>
            </w:pPr>
            <w:r w:rsidRPr="00AE6223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35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Default="00110E3B" w:rsidP="00E8493B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13 873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Default="00110E3B" w:rsidP="00E8493B">
            <w:pPr>
              <w:jc w:val="right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23 110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851990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51990">
              <w:rPr>
                <w:b/>
                <w:color w:val="000000"/>
                <w:sz w:val="16"/>
                <w:szCs w:val="16"/>
              </w:rPr>
              <w:t>42 275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CD3E0C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3E0C">
              <w:rPr>
                <w:b/>
                <w:bCs/>
                <w:color w:val="000000"/>
                <w:sz w:val="16"/>
                <w:szCs w:val="16"/>
              </w:rPr>
              <w:t>43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223">
              <w:rPr>
                <w:b/>
                <w:bCs/>
                <w:color w:val="000000"/>
                <w:sz w:val="16"/>
                <w:szCs w:val="16"/>
              </w:rPr>
              <w:t>42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6223">
              <w:rPr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E6223">
              <w:rPr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0E3B" w:rsidRPr="00AE6223" w:rsidRDefault="00110E3B" w:rsidP="00E8493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E6223">
              <w:rPr>
                <w:b/>
                <w:color w:val="000000"/>
                <w:sz w:val="16"/>
                <w:szCs w:val="16"/>
              </w:rPr>
              <w:t>7,83</w:t>
            </w:r>
          </w:p>
        </w:tc>
      </w:tr>
    </w:tbl>
    <w:p w:rsidR="00E8493B" w:rsidRDefault="00557A96" w:rsidP="00E8493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E8493B" w:rsidRPr="009552B1">
        <w:rPr>
          <w:rFonts w:cs="Arial"/>
          <w:sz w:val="16"/>
          <w:szCs w:val="16"/>
        </w:rPr>
        <w:t>Zdroj: Zdravotnické účty 2000-2013</w:t>
      </w:r>
    </w:p>
    <w:p w:rsidR="00E8493B" w:rsidRDefault="00E8493B" w:rsidP="00110E3B"/>
    <w:p w:rsidR="00110E3B" w:rsidRDefault="00110E3B" w:rsidP="00E8493B">
      <w:r>
        <w:t xml:space="preserve">Výdaje domácností na zdravotní péči se od roku 2008 pohybují </w:t>
      </w:r>
      <w:r w:rsidRPr="0055656A">
        <w:t>nad hranicí 40 mil</w:t>
      </w:r>
      <w:r>
        <w:t xml:space="preserve">iard Kč a v roce 2013 dosáhly 42 246 mil. Kč. Nepotvrdil se tak vzestupný trend z předchozího roku, kdy bylo zatím dosaženo </w:t>
      </w:r>
      <w:r w:rsidRPr="0055656A">
        <w:t>maximální</w:t>
      </w:r>
      <w:r>
        <w:t xml:space="preserve"> výše výdajů domácností </w:t>
      </w:r>
      <w:r w:rsidRPr="0055656A">
        <w:t>43 </w:t>
      </w:r>
      <w:r>
        <w:t>634</w:t>
      </w:r>
      <w:r w:rsidRPr="0055656A">
        <w:t xml:space="preserve"> </w:t>
      </w:r>
      <w:r>
        <w:t>mil. Kč.</w:t>
      </w:r>
      <w:r w:rsidRPr="0055656A">
        <w:t xml:space="preserve"> </w:t>
      </w:r>
      <w:r>
        <w:t xml:space="preserve">Výdaje domácností na zdravotní péči se od roku 2005 zvyšovaly průměrným ročním tempem růstu 7,83 %. </w:t>
      </w:r>
    </w:p>
    <w:p w:rsidR="00110E3B" w:rsidRDefault="00110E3B" w:rsidP="00E8493B">
      <w:r>
        <w:t>V roce 2012 byl v porovnání s rokem 2011 zaznamenán více než třetinový nárůst výdajů domácností na lůžkovou péči léčebnou i rehabilitační. Vzestupný trend se při posledním šetření nepotvrdil a naopak výdaje domácnosti na oba uvedené typy lůžkové péče se snížily o 20 % oproti roku 2012. Domácnosti každoročně vydávají největší část prostředků na léky a PZT (63 % výdajů domácností na zdravotnictví). Léky tvořily největší výdajovou položku z kategorie léky a PZT (81 % výdajů v roce 2013).</w:t>
      </w:r>
    </w:p>
    <w:p w:rsidR="00110E3B" w:rsidRDefault="00110E3B" w:rsidP="00110E3B">
      <w:pPr>
        <w:pStyle w:val="Poznamkapodcarou"/>
        <w:rPr>
          <w:sz w:val="20"/>
          <w:szCs w:val="17"/>
        </w:rPr>
      </w:pPr>
    </w:p>
    <w:p w:rsidR="00110E3B" w:rsidRDefault="00110E3B" w:rsidP="00110E3B">
      <w:pPr>
        <w:pStyle w:val="nazevtabulky"/>
      </w:pPr>
      <w:r>
        <w:lastRenderedPageBreak/>
        <w:t>Graf 4.1.</w:t>
      </w:r>
      <w:r w:rsidRPr="005441BB">
        <w:t xml:space="preserve"> Výdaje domácností za léky od roku 2000</w:t>
      </w:r>
      <w:r>
        <w:t xml:space="preserve"> – 2013</w:t>
      </w:r>
    </w:p>
    <w:p w:rsidR="00110E3B" w:rsidRDefault="00A35582" w:rsidP="00110E3B">
      <w:pPr>
        <w:pStyle w:val="Poznamkapodcarou"/>
        <w:rPr>
          <w:sz w:val="17"/>
          <w:szCs w:val="17"/>
        </w:rPr>
      </w:pPr>
      <w:r w:rsidRPr="00382AA4">
        <w:rPr>
          <w:noProof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6" o:spid="_x0000_i1025" type="#_x0000_t75" style="width:453.75pt;height:21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V2EwV3AAAAAUBAAAPAAAAZHJzL2Rvd25y&#10;ZXYueG1sTI/RSsNAEEXfBf9hGcEXsRuL2jZmU0pBKCiI1Q/YZMckuDsbs9M0/XtHX/RluMMd7j1T&#10;rKfg1YhD6iIZuJlloJDq6DpqDLy/PV4vQSW25KyPhAZOmGBdnp8VNnfxSK847rlREkIptwZa5j7X&#10;OtUtBptmsUcS7yMOwbKsQ6PdYI8SHryeZ9m9DrYjaWhtj9sW68/9IRjQp9Xu69n3L1e7ZuRNhYvt&#10;kp+MubyYNg+gGCf+O4YffEGHUpiqeCCXlDcgj/DvFG+VLe5AVQZu5yJ0Wej/9OU3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">
            <v:imagedata r:id="rId8" o:title="" croptop="-2564f" cropbottom="-3114f" cropleft="-851f" cropright="-785f"/>
            <o:lock v:ext="edit" aspectratio="f"/>
          </v:shape>
        </w:pict>
      </w:r>
    </w:p>
    <w:p w:rsidR="00110E3B" w:rsidRDefault="00110E3B" w:rsidP="00E8493B">
      <w:pPr>
        <w:pStyle w:val="Poznamkapodcarou"/>
        <w:rPr>
          <w:sz w:val="20"/>
          <w:szCs w:val="17"/>
        </w:rPr>
      </w:pPr>
      <w:r>
        <w:rPr>
          <w:sz w:val="20"/>
          <w:szCs w:val="17"/>
        </w:rPr>
        <w:t>V uplynulých letech docházelo k postupnému zvyšování výdajů na předepsané léky, které vyvrcholilo v roce 2008 (9 878 mil. Kč). O rok později byl zaznamenán jejich mírný pokles, který pokračoval i v roce 2010. Sestupný trend se v roce 2011 zastavil a od té doby se náklady domácností na léky na předpis pohybují nad hranicí 9,0 miliard Kč.</w:t>
      </w:r>
    </w:p>
    <w:p w:rsidR="00110E3B" w:rsidRDefault="00110E3B" w:rsidP="00E8493B">
      <w:pPr>
        <w:pStyle w:val="Poznamkapodcarou"/>
        <w:rPr>
          <w:sz w:val="20"/>
          <w:szCs w:val="17"/>
        </w:rPr>
      </w:pPr>
      <w:r>
        <w:rPr>
          <w:sz w:val="20"/>
          <w:szCs w:val="17"/>
        </w:rPr>
        <w:t>Po výrazném nárůstu výdajů za volně prodejné léky mezi roky 2009 a 2010 (+25 %) docházelo každoročně k jejich pozvolnému zvyšování. V roce 2013 byl zaznamenán mírný pokles výdajů za léky bez receptu o 3 %. Absolutní hodnota 12 064 mil. Kč z roku 2012 - nejvyšší od roku 2000 – nebyla zatím překonána.</w:t>
      </w:r>
    </w:p>
    <w:p w:rsidR="00110E3B" w:rsidRPr="00A5554D" w:rsidRDefault="00110E3B" w:rsidP="00E8493B">
      <w:pPr>
        <w:pStyle w:val="Nadpis2"/>
        <w:spacing w:before="200" w:after="200"/>
      </w:pPr>
      <w:r>
        <w:t xml:space="preserve">4.2 </w:t>
      </w:r>
      <w:r w:rsidRPr="00A5554D">
        <w:t xml:space="preserve">Výdaje domácností na regulační poplatky </w:t>
      </w:r>
    </w:p>
    <w:p w:rsidR="00110E3B" w:rsidRDefault="00110E3B" w:rsidP="00E8493B">
      <w:r>
        <w:t xml:space="preserve">V souladu se zákonem č.261/2007 Sb., o stabilizaci veřejných rozpočtů, kterým byl mimo jiné změněn zákon č.48/1997 Sb., o veřejném zdravotním pojištění, začali pacienti od počátku roku 2008 hradit zdravotnickým zařízením nově zavedené regulační poplatky. </w:t>
      </w:r>
    </w:p>
    <w:p w:rsidR="00110E3B" w:rsidRDefault="00110E3B" w:rsidP="00E8493B">
      <w:r>
        <w:tab/>
      </w:r>
    </w:p>
    <w:p w:rsidR="00110E3B" w:rsidRDefault="00110E3B" w:rsidP="00E8493B">
      <w:r>
        <w:t xml:space="preserve">Ze čtyř základních druhů poplatků dosáhly nejvyšší částky a to 2 058 mil. Kč (tj. 37,5 % z uhrazených poplatků) poplatky za recept (resp. 30 Kč se </w:t>
      </w:r>
      <w:r w:rsidRPr="00E663FD">
        <w:rPr>
          <w:szCs w:val="20"/>
        </w:rPr>
        <w:t>neplatí za položku, ale za celý recept</w:t>
      </w:r>
      <w:r>
        <w:rPr>
          <w:szCs w:val="20"/>
        </w:rPr>
        <w:t>)</w:t>
      </w:r>
      <w:r>
        <w:t xml:space="preserve">. Následovaly poplatky za hospitalizaci (resp. 100 Kč za den pobytu v ústavní a lázeňskou péči) ve výši 1 744 mil. Kč (31,8 %), za návštěvu u lékaře v úrovni 1 505 mil. Kč (27,4 %) a konečně poplatky za pohotovostní službu výši 182 mil. Kč (3,3 %). </w:t>
      </w:r>
    </w:p>
    <w:p w:rsidR="00110E3B" w:rsidRPr="00C32D03" w:rsidRDefault="00557A96" w:rsidP="00557A96">
      <w:pPr>
        <w:pStyle w:val="nazevtabulky"/>
        <w:spacing w:before="200" w:after="200"/>
      </w:pPr>
      <w:proofErr w:type="spellStart"/>
      <w:r>
        <w:t>Tab</w:t>
      </w:r>
      <w:proofErr w:type="spellEnd"/>
      <w:r>
        <w:t xml:space="preserve"> 4.2</w:t>
      </w:r>
      <w:r w:rsidR="00110E3B">
        <w:t>a</w:t>
      </w:r>
      <w:r w:rsidR="00110E3B" w:rsidRPr="00BE0822">
        <w:t xml:space="preserve"> Výdaje na regulační poplatky (v tis. Kč)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1559"/>
        <w:gridCol w:w="1559"/>
        <w:gridCol w:w="2835"/>
      </w:tblGrid>
      <w:tr w:rsidR="00110E3B" w:rsidRPr="00BE0822" w:rsidTr="00A202A7">
        <w:trPr>
          <w:trHeight w:val="255"/>
        </w:trPr>
        <w:tc>
          <w:tcPr>
            <w:tcW w:w="2197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8493B">
              <w:rPr>
                <w:rFonts w:eastAsia="Arial Unicode MS" w:cs="Arial"/>
                <w:b/>
                <w:bCs/>
                <w:szCs w:val="16"/>
              </w:rPr>
              <w:t>2011</w:t>
            </w:r>
          </w:p>
        </w:tc>
        <w:tc>
          <w:tcPr>
            <w:tcW w:w="1559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559" w:type="dxa"/>
            <w:vAlign w:val="center"/>
          </w:tcPr>
          <w:p w:rsidR="00110E3B" w:rsidRPr="00E8493B" w:rsidRDefault="00A202A7" w:rsidP="00A202A7">
            <w:pPr>
              <w:pStyle w:val="Poznamkapodcarou"/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2835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Index 2013/2012</w:t>
            </w:r>
          </w:p>
        </w:tc>
      </w:tr>
      <w:tr w:rsidR="00110E3B" w:rsidRPr="00BE0822" w:rsidTr="00A202A7">
        <w:trPr>
          <w:trHeight w:val="255"/>
        </w:trPr>
        <w:tc>
          <w:tcPr>
            <w:tcW w:w="2197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rPr>
                <w:rFonts w:cs="Arial"/>
                <w:szCs w:val="16"/>
              </w:rPr>
            </w:pPr>
            <w:r w:rsidRPr="00E8493B">
              <w:rPr>
                <w:rFonts w:cs="Arial"/>
                <w:szCs w:val="16"/>
              </w:rPr>
              <w:t>Poplatky za recept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2 457 967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1 858 376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8493B">
              <w:rPr>
                <w:rStyle w:val="Siln"/>
                <w:rFonts w:cs="Arial"/>
                <w:b w:val="0"/>
                <w:sz w:val="16"/>
                <w:szCs w:val="16"/>
              </w:rPr>
              <w:t>2 057 805</w:t>
            </w:r>
          </w:p>
        </w:tc>
        <w:tc>
          <w:tcPr>
            <w:tcW w:w="2835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110,7</w:t>
            </w:r>
          </w:p>
        </w:tc>
      </w:tr>
      <w:tr w:rsidR="00110E3B" w:rsidRPr="00BE0822" w:rsidTr="00A202A7">
        <w:trPr>
          <w:trHeight w:val="255"/>
        </w:trPr>
        <w:tc>
          <w:tcPr>
            <w:tcW w:w="2197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rPr>
                <w:rFonts w:cs="Arial"/>
                <w:szCs w:val="16"/>
              </w:rPr>
            </w:pPr>
            <w:r w:rsidRPr="00E8493B">
              <w:rPr>
                <w:rFonts w:cs="Arial"/>
                <w:szCs w:val="16"/>
              </w:rPr>
              <w:t>Poplatky za návštěvu lékaře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1 374 137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1 474 027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8493B">
              <w:rPr>
                <w:rStyle w:val="Siln"/>
                <w:rFonts w:cs="Arial"/>
                <w:b w:val="0"/>
                <w:sz w:val="16"/>
                <w:szCs w:val="16"/>
              </w:rPr>
              <w:t>1 505 167</w:t>
            </w:r>
          </w:p>
        </w:tc>
        <w:tc>
          <w:tcPr>
            <w:tcW w:w="2835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</w:tr>
      <w:tr w:rsidR="00110E3B" w:rsidRPr="00BE0822" w:rsidTr="00A202A7">
        <w:trPr>
          <w:trHeight w:val="255"/>
        </w:trPr>
        <w:tc>
          <w:tcPr>
            <w:tcW w:w="2197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rPr>
                <w:rFonts w:cs="Arial"/>
                <w:szCs w:val="16"/>
              </w:rPr>
            </w:pPr>
            <w:r w:rsidRPr="00E8493B">
              <w:rPr>
                <w:rFonts w:cs="Arial"/>
                <w:szCs w:val="16"/>
              </w:rPr>
              <w:t>Poplatky za hospitalizaci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1 242 211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1 824 472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8493B">
              <w:rPr>
                <w:rStyle w:val="Siln"/>
                <w:rFonts w:cs="Arial"/>
                <w:b w:val="0"/>
                <w:sz w:val="16"/>
                <w:szCs w:val="16"/>
              </w:rPr>
              <w:t>1 744 009</w:t>
            </w:r>
          </w:p>
        </w:tc>
        <w:tc>
          <w:tcPr>
            <w:tcW w:w="2835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95,6</w:t>
            </w:r>
          </w:p>
        </w:tc>
      </w:tr>
      <w:tr w:rsidR="00110E3B" w:rsidRPr="00BE0822" w:rsidTr="00A202A7">
        <w:trPr>
          <w:trHeight w:val="255"/>
        </w:trPr>
        <w:tc>
          <w:tcPr>
            <w:tcW w:w="2197" w:type="dxa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rPr>
                <w:rFonts w:cs="Arial"/>
                <w:szCs w:val="16"/>
              </w:rPr>
            </w:pPr>
            <w:r w:rsidRPr="00E8493B">
              <w:rPr>
                <w:rFonts w:cs="Arial"/>
                <w:szCs w:val="16"/>
              </w:rPr>
              <w:t>Poplatky za pohotovost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 xml:space="preserve"> 179 915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 xml:space="preserve">  179 361</w:t>
            </w:r>
          </w:p>
        </w:tc>
        <w:tc>
          <w:tcPr>
            <w:tcW w:w="1559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E8493B">
              <w:rPr>
                <w:rFonts w:cs="Arial"/>
                <w:bCs/>
                <w:sz w:val="16"/>
                <w:szCs w:val="16"/>
              </w:rPr>
              <w:t>182 048</w:t>
            </w:r>
          </w:p>
        </w:tc>
        <w:tc>
          <w:tcPr>
            <w:tcW w:w="2835" w:type="dxa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101,5</w:t>
            </w:r>
          </w:p>
        </w:tc>
      </w:tr>
      <w:tr w:rsidR="00110E3B" w:rsidTr="00A202A7">
        <w:trPr>
          <w:trHeight w:val="255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10E3B" w:rsidRPr="00E8493B" w:rsidRDefault="00110E3B" w:rsidP="00A52EC2">
            <w:pPr>
              <w:pStyle w:val="Poznamkapodcarou"/>
              <w:spacing w:before="0" w:after="0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Celkem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3B">
              <w:rPr>
                <w:rFonts w:cs="Arial"/>
                <w:b/>
                <w:sz w:val="16"/>
                <w:szCs w:val="16"/>
              </w:rPr>
              <w:t>5 254 230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10E3B" w:rsidRPr="00E8493B" w:rsidRDefault="00110E3B" w:rsidP="00A52EC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color w:val="000000"/>
                <w:sz w:val="16"/>
                <w:szCs w:val="16"/>
              </w:rPr>
              <w:t>5 336 236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5 489 029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110E3B" w:rsidRPr="00E8493B" w:rsidRDefault="00110E3B" w:rsidP="00A52EC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b/>
                <w:color w:val="000000"/>
                <w:sz w:val="16"/>
                <w:szCs w:val="16"/>
              </w:rPr>
              <w:t>102,9</w:t>
            </w:r>
          </w:p>
        </w:tc>
      </w:tr>
    </w:tbl>
    <w:p w:rsidR="00E8493B" w:rsidRDefault="00E8493B" w:rsidP="00E8493B">
      <w:pPr>
        <w:rPr>
          <w:rFonts w:cs="Arial"/>
          <w:sz w:val="16"/>
          <w:szCs w:val="16"/>
        </w:rPr>
      </w:pPr>
      <w:r w:rsidRPr="009552B1">
        <w:rPr>
          <w:rFonts w:cs="Arial"/>
          <w:sz w:val="16"/>
          <w:szCs w:val="16"/>
        </w:rPr>
        <w:t>Zdroj: Zdravotnické účty 2000-2013</w:t>
      </w:r>
    </w:p>
    <w:p w:rsidR="00110E3B" w:rsidRDefault="00110E3B" w:rsidP="00110E3B"/>
    <w:p w:rsidR="00110E3B" w:rsidRDefault="00110E3B" w:rsidP="00E8493B">
      <w:r w:rsidRPr="00BE4F4A">
        <w:t>V roce 2013 se mírně snížily výdaje za hospitalizaci (- 4 %), což může být do jisté míry ovlivněno nižším celkovým počtem ošetřovacích dnů v nemocnicích. Meziroční srovnání ukazuje více než desetiprocentní nárůst regulačního poplatku za recepty. Poplatky za návštěvu lékaře se zvýšily o 7 %.</w:t>
      </w:r>
    </w:p>
    <w:p w:rsidR="00110E3B" w:rsidRDefault="00110E3B" w:rsidP="00E8493B">
      <w:r>
        <w:t xml:space="preserve">Poplatky za </w:t>
      </w:r>
      <w:r w:rsidRPr="0023351E">
        <w:t>využití</w:t>
      </w:r>
      <w:r w:rsidRPr="00353D21">
        <w:t xml:space="preserve"> pohotovostních služeb </w:t>
      </w:r>
      <w:r>
        <w:t xml:space="preserve">a návštěvu lékaře zůstaly v roce 2013 zhruba na stejné úrovni jako v roce předchozím. </w:t>
      </w:r>
    </w:p>
    <w:p w:rsidR="00110E3B" w:rsidRDefault="00110E3B" w:rsidP="00E8493B">
      <w:pPr>
        <w:pStyle w:val="nazevtabulky"/>
        <w:spacing w:before="120" w:after="120"/>
      </w:pPr>
      <w:r w:rsidRPr="005441BB">
        <w:lastRenderedPageBreak/>
        <w:t>Graf 4.</w:t>
      </w:r>
      <w:r>
        <w:t>2a</w:t>
      </w:r>
      <w:r w:rsidRPr="005441BB">
        <w:t xml:space="preserve"> Výdaje </w:t>
      </w:r>
      <w:r>
        <w:t>na regulační poplatky</w:t>
      </w:r>
      <w:r w:rsidRPr="005441BB">
        <w:t xml:space="preserve"> 200</w:t>
      </w:r>
      <w:r>
        <w:t>8 – 2013</w:t>
      </w:r>
    </w:p>
    <w:p w:rsidR="00110E3B" w:rsidRDefault="00A35582" w:rsidP="00110E3B">
      <w:pPr>
        <w:pStyle w:val="Poznamkapodcarou"/>
        <w:rPr>
          <w:sz w:val="20"/>
        </w:rPr>
      </w:pPr>
      <w:r w:rsidRPr="00382AA4">
        <w:rPr>
          <w:noProof/>
          <w:sz w:val="20"/>
        </w:rPr>
        <w:pict>
          <v:shape id="_x0000_i1026" type="#_x0000_t75" style="width:431.25pt;height:19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jiroP3QAAAAUBAAAPAAAAZHJzL2Rvd25y&#10;ZXYueG1sTI9BS8NAEIXvgv9hGcGL2F2TWErMphTBi6Il1YPHaXZMotnZkN2m6b939aKXgcd7vPdN&#10;sZ5tLyYafedYw81CgSCunem40fD2+nC9AuEDssHeMWk4kYd1eX5WYG7ckSuadqERsYR9jhraEIZc&#10;Sl+3ZNEv3EAcvQ83WgxRjo00Ix5jue1lotRSWuw4LrQ40H1L9dfuYDVcZY9PbpO9b616OX0+p1OV&#10;mq7S+vJi3tyBCDSHvzD84Ed0KCPT3h3YeNFriI+E3xu91TK5BbHXkCWpAlkW8j99+Q0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">
            <v:imagedata r:id="rId9" o:title="" croptop="-2416f" cropbottom="-3003f" cropleft="-857f" cropright="-3288f"/>
            <o:lock v:ext="edit" aspectratio="f"/>
          </v:shape>
        </w:pict>
      </w:r>
    </w:p>
    <w:p w:rsidR="00110E3B" w:rsidRPr="00D72CDF" w:rsidRDefault="00110E3B" w:rsidP="00E8493B">
      <w:pPr>
        <w:rPr>
          <w:rFonts w:cs="Arial"/>
          <w:b/>
          <w:szCs w:val="20"/>
        </w:rPr>
      </w:pPr>
      <w:r w:rsidRPr="002B0291">
        <w:rPr>
          <w:rFonts w:cs="Arial"/>
          <w:szCs w:val="20"/>
        </w:rPr>
        <w:t>Podle dosavadních zjištění přesáhly každoročně celkové regulační poplatky výši 5 miliard</w:t>
      </w:r>
      <w:r>
        <w:rPr>
          <w:rFonts w:cs="Arial"/>
          <w:szCs w:val="20"/>
        </w:rPr>
        <w:t xml:space="preserve">, </w:t>
      </w:r>
      <w:r w:rsidRPr="002B0291">
        <w:rPr>
          <w:rFonts w:cs="Arial"/>
          <w:szCs w:val="20"/>
        </w:rPr>
        <w:t xml:space="preserve">přesněji částky se pohybovaly v rozmezí 5 254 mil. Kč </w:t>
      </w:r>
      <w:r>
        <w:rPr>
          <w:rFonts w:cs="Arial"/>
          <w:szCs w:val="20"/>
        </w:rPr>
        <w:t xml:space="preserve">v roce 2011 </w:t>
      </w:r>
      <w:r w:rsidRPr="002B0291">
        <w:rPr>
          <w:rFonts w:cs="Arial"/>
          <w:szCs w:val="20"/>
        </w:rPr>
        <w:t>do 5 780 mil. Kč</w:t>
      </w:r>
      <w:r>
        <w:rPr>
          <w:rFonts w:cs="Arial"/>
          <w:szCs w:val="20"/>
        </w:rPr>
        <w:t xml:space="preserve"> v roce 2009</w:t>
      </w:r>
      <w:r w:rsidRPr="002B029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Výši regulačních poplatků v následujícím roce lze předpokládat na výrazně nižší úrovni, vzhledem ke zrušení 100,- Kč poplatku </w:t>
      </w:r>
      <w:r>
        <w:rPr>
          <w:rStyle w:val="Siln"/>
          <w:rFonts w:cs="Arial"/>
          <w:b w:val="0"/>
          <w:szCs w:val="20"/>
        </w:rPr>
        <w:t xml:space="preserve">za </w:t>
      </w:r>
      <w:r w:rsidRPr="00D72CDF">
        <w:rPr>
          <w:rStyle w:val="Siln"/>
          <w:rFonts w:cs="Arial"/>
          <w:b w:val="0"/>
          <w:szCs w:val="20"/>
        </w:rPr>
        <w:t xml:space="preserve">poskytování lůžkové </w:t>
      </w:r>
      <w:r>
        <w:rPr>
          <w:rStyle w:val="Siln"/>
          <w:rFonts w:cs="Arial"/>
          <w:b w:val="0"/>
          <w:szCs w:val="20"/>
        </w:rPr>
        <w:t xml:space="preserve">léčebné </w:t>
      </w:r>
      <w:r w:rsidRPr="00D72CDF">
        <w:rPr>
          <w:rStyle w:val="Siln"/>
          <w:rFonts w:cs="Arial"/>
          <w:b w:val="0"/>
          <w:szCs w:val="20"/>
        </w:rPr>
        <w:t xml:space="preserve">péče včetně </w:t>
      </w:r>
      <w:r>
        <w:rPr>
          <w:rStyle w:val="Siln"/>
          <w:rFonts w:cs="Arial"/>
          <w:b w:val="0"/>
          <w:szCs w:val="20"/>
        </w:rPr>
        <w:t xml:space="preserve">pobytu v lázních a rehabilitačních zařízení. </w:t>
      </w:r>
    </w:p>
    <w:p w:rsidR="00110E3B" w:rsidRPr="008827A6" w:rsidRDefault="00E8493B" w:rsidP="00557A96">
      <w:pPr>
        <w:pStyle w:val="nazevtabulky"/>
        <w:spacing w:before="120" w:after="120"/>
      </w:pPr>
      <w:proofErr w:type="spellStart"/>
      <w:r>
        <w:t>Tab</w:t>
      </w:r>
      <w:proofErr w:type="spellEnd"/>
      <w:r>
        <w:t xml:space="preserve"> </w:t>
      </w:r>
      <w:r w:rsidR="00557A96">
        <w:t xml:space="preserve">4.2b </w:t>
      </w:r>
      <w:r w:rsidR="00110E3B">
        <w:t>Výdaje za regulační poplatky v roce 2013 podle věku a pohlaví (v tis. Kč)</w:t>
      </w:r>
    </w:p>
    <w:tbl>
      <w:tblPr>
        <w:tblW w:w="9551" w:type="dxa"/>
        <w:jc w:val="center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751"/>
        <w:gridCol w:w="857"/>
        <w:gridCol w:w="882"/>
        <w:gridCol w:w="929"/>
        <w:gridCol w:w="884"/>
        <w:gridCol w:w="853"/>
        <w:gridCol w:w="946"/>
        <w:gridCol w:w="660"/>
        <w:gridCol w:w="877"/>
        <w:gridCol w:w="878"/>
      </w:tblGrid>
      <w:tr w:rsidR="00110E3B" w:rsidTr="00E8493B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rPr>
                <w:rFonts w:cs="Arial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center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Poplatky za recept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center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Poplatky za návštěvu lékaře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center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Poplatky za hospitalizaci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center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Poplatky za pohotovost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E3B" w:rsidRPr="00E8493B" w:rsidRDefault="00110E3B" w:rsidP="00E8493B">
            <w:pPr>
              <w:pStyle w:val="Poznamkapodcarou"/>
              <w:jc w:val="center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Celkové výdaje za regulační poplatky</w:t>
            </w:r>
          </w:p>
        </w:tc>
      </w:tr>
      <w:tr w:rsidR="00110E3B" w:rsidTr="00E8493B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Muži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Ženy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szCs w:val="16"/>
              </w:rPr>
            </w:pPr>
            <w:r w:rsidRPr="00E8493B">
              <w:rPr>
                <w:rFonts w:cs="Arial"/>
                <w:b/>
                <w:szCs w:val="16"/>
              </w:rPr>
              <w:t>Muži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Ženy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Muži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Ženy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Muži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Ženy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Muži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pStyle w:val="Poznamkapodcarou"/>
              <w:jc w:val="right"/>
              <w:rPr>
                <w:rFonts w:cs="Arial"/>
                <w:b/>
                <w:bCs/>
                <w:szCs w:val="16"/>
              </w:rPr>
            </w:pPr>
            <w:r w:rsidRPr="00E8493B">
              <w:rPr>
                <w:rFonts w:cs="Arial"/>
                <w:b/>
                <w:bCs/>
                <w:szCs w:val="16"/>
              </w:rPr>
              <w:t>Ženy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pStyle w:val="xl7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 w:rsidRPr="00E8493B">
              <w:rPr>
                <w:rFonts w:eastAsia="Times New Roman"/>
              </w:rPr>
              <w:t>Do 4 let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34 887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23 803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1 014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635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27 700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20 924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12 623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10 590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76 224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55 952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26 132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22 096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3 842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2 158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14 062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11 111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8 458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7 176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52 494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42 541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16 839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15 330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10 577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9 845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4 757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4 267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32 577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29 715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16 041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23 172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10 832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15 491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10 896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13 084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4 990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5 053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42 759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56 800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16 283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29 435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28 141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42 112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13 136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16 788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7 450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7 652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65 010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95 987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19 121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35 131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30 152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47 401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15 523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27 889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7 241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72 046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117 662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25 766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44 381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36 157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56 103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18 918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33 880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7 379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7 308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88 220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141 672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37 317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59 109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46 381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70 437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26 424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30 295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8 214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7 460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118 336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167 301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38 738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56 780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41 339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61 967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25 684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24 619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6 030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5 294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111 791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148 660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46 319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64 863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42 885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63 949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31 809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29 116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4 837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4 396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125 850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162 324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55 377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75 022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44 505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65 580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38 622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35 333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3 908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3 798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142 412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179 733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84 154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104 362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60 608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82 561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65 161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51 323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4 007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4 078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213 930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242 324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109 606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132 606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69 979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89 483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88 202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69 141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3 632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3 827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271 419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295 057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117 166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144 868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70 695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94 531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102 629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92 490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3 020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3 437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293 510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242 836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87 060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121 149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52 025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73 794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84 059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97 963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1 992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2 537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225 136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295 443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61 419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99 768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36 611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56 499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71 182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110 836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1 457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2 136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170 669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269 239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44 460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82 368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25 624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42 668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64 471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141 674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1 247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2 012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135 802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268 722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24 972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61 910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12 957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25 374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53 237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165 408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1 629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92 072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254 321</w:t>
            </w:r>
          </w:p>
        </w:tc>
      </w:tr>
      <w:tr w:rsidR="00110E3B" w:rsidRPr="00F94AA7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861 654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1 196 151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614 150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891 017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762 291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981 718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92 157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89 892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2 330 252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E3B" w:rsidRPr="00E8493B" w:rsidRDefault="00110E3B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</w:t>
            </w:r>
            <w:r w:rsidR="00E8493B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E8493B">
              <w:rPr>
                <w:rFonts w:cs="Arial"/>
                <w:color w:val="000000"/>
                <w:sz w:val="16"/>
                <w:szCs w:val="16"/>
              </w:rPr>
              <w:t>158</w:t>
            </w:r>
            <w:r w:rsidR="00E8493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8493B"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</w:tr>
      <w:tr w:rsidR="00110E3B" w:rsidTr="00E8493B">
        <w:trPr>
          <w:trHeight w:val="255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E8493B">
              <w:rPr>
                <w:rFonts w:cs="Arial"/>
                <w:b/>
                <w:bCs/>
                <w:sz w:val="16"/>
                <w:szCs w:val="16"/>
              </w:rPr>
              <w:t xml:space="preserve">Celkový </w:t>
            </w:r>
            <w:r w:rsidR="00E8493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8493B">
              <w:rPr>
                <w:rFonts w:cs="Arial"/>
                <w:b/>
                <w:bCs/>
                <w:sz w:val="16"/>
                <w:szCs w:val="16"/>
              </w:rPr>
              <w:t>součet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3B">
              <w:rPr>
                <w:rFonts w:cs="Arial"/>
                <w:b/>
                <w:sz w:val="16"/>
                <w:szCs w:val="16"/>
              </w:rPr>
              <w:t>2 057 805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3B">
              <w:rPr>
                <w:rFonts w:cs="Arial"/>
                <w:b/>
                <w:sz w:val="16"/>
                <w:szCs w:val="16"/>
              </w:rPr>
              <w:t>1 505 167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3B">
              <w:rPr>
                <w:rFonts w:cs="Arial"/>
                <w:b/>
                <w:sz w:val="16"/>
                <w:szCs w:val="16"/>
              </w:rPr>
              <w:t>1 744 009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3B">
              <w:rPr>
                <w:rFonts w:cs="Arial"/>
                <w:b/>
                <w:sz w:val="16"/>
                <w:szCs w:val="16"/>
              </w:rPr>
              <w:t>182 048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8493B">
              <w:rPr>
                <w:rFonts w:cs="Arial"/>
                <w:b/>
                <w:sz w:val="16"/>
                <w:szCs w:val="16"/>
              </w:rPr>
              <w:t>5 489 030</w:t>
            </w:r>
          </w:p>
        </w:tc>
      </w:tr>
    </w:tbl>
    <w:p w:rsidR="00E8493B" w:rsidRDefault="00557A96" w:rsidP="00E8493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E8493B" w:rsidRPr="009552B1">
        <w:rPr>
          <w:rFonts w:cs="Arial"/>
          <w:sz w:val="16"/>
          <w:szCs w:val="16"/>
        </w:rPr>
        <w:t>Zdroj: Zdravotnické účty 2000-2013</w:t>
      </w:r>
    </w:p>
    <w:p w:rsidR="00110E3B" w:rsidRDefault="00110E3B" w:rsidP="00E8493B">
      <w:r>
        <w:t xml:space="preserve">Zajímavé poznatky přináší členění poplatků podle pohlaví a věku pacientů (pojištěnců), zejména pak v přepočtu na jednoho pojištěnce (viz tab. 4.2c). Vyšší částka za regulační poplatky připadá na ženy (598 Kč na osobu a rok) než na muže (456 Kč). Týká se to téměř všech druhů regulačních poplatků, pouze v případě poplatku za pohotovost jsou průměrné částky téměř vyrovnané. </w:t>
      </w:r>
    </w:p>
    <w:p w:rsidR="00A52EC2" w:rsidRDefault="00A52EC2" w:rsidP="00E8493B">
      <w:pPr>
        <w:pStyle w:val="nazevtabulky"/>
        <w:spacing w:before="200" w:after="200"/>
      </w:pPr>
      <w:bookmarkStart w:id="10" w:name="OLE_LINK35"/>
    </w:p>
    <w:p w:rsidR="00110E3B" w:rsidRPr="00E8493B" w:rsidRDefault="00110E3B" w:rsidP="00E8493B">
      <w:pPr>
        <w:pStyle w:val="nazevtabulky"/>
        <w:spacing w:before="200" w:after="200"/>
      </w:pPr>
      <w:proofErr w:type="spellStart"/>
      <w:r>
        <w:lastRenderedPageBreak/>
        <w:t>Tab</w:t>
      </w:r>
      <w:proofErr w:type="spellEnd"/>
      <w:r>
        <w:t xml:space="preserve"> </w:t>
      </w:r>
      <w:proofErr w:type="gramStart"/>
      <w:r>
        <w:t xml:space="preserve">4.2.c </w:t>
      </w:r>
      <w:r w:rsidRPr="009638B5">
        <w:t xml:space="preserve"> Průměrné</w:t>
      </w:r>
      <w:proofErr w:type="gramEnd"/>
      <w:r w:rsidRPr="009638B5">
        <w:t xml:space="preserve"> výdaje na regulační poplatky na jednoho pojištěnce podle věku a pohlaví (v Kč)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830"/>
        <w:gridCol w:w="871"/>
        <w:gridCol w:w="993"/>
        <w:gridCol w:w="849"/>
        <w:gridCol w:w="994"/>
        <w:gridCol w:w="849"/>
        <w:gridCol w:w="709"/>
        <w:gridCol w:w="779"/>
        <w:gridCol w:w="1205"/>
      </w:tblGrid>
      <w:tr w:rsidR="00110E3B" w:rsidTr="00E8493B">
        <w:trPr>
          <w:cantSplit/>
        </w:trPr>
        <w:tc>
          <w:tcPr>
            <w:tcW w:w="779" w:type="dxa"/>
            <w:shd w:val="clear" w:color="auto" w:fill="FFFFFF"/>
          </w:tcPr>
          <w:p w:rsidR="00110E3B" w:rsidRPr="00E8493B" w:rsidRDefault="00110E3B" w:rsidP="00E849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Poplatky za recept</w:t>
            </w:r>
          </w:p>
        </w:tc>
        <w:tc>
          <w:tcPr>
            <w:tcW w:w="1864" w:type="dxa"/>
            <w:gridSpan w:val="2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Poplatky za návštěvu lékaře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10E3B" w:rsidRPr="00E8493B" w:rsidRDefault="00110E3B" w:rsidP="00E8493B">
            <w:pPr>
              <w:pStyle w:val="Nadpis4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Poplatky za hospitalizaci</w:t>
            </w:r>
          </w:p>
        </w:tc>
        <w:tc>
          <w:tcPr>
            <w:tcW w:w="1558" w:type="dxa"/>
            <w:gridSpan w:val="2"/>
            <w:shd w:val="clear" w:color="auto" w:fill="FFFFFF"/>
            <w:vAlign w:val="center"/>
          </w:tcPr>
          <w:p w:rsidR="00110E3B" w:rsidRPr="00E8493B" w:rsidRDefault="00110E3B" w:rsidP="00E8493B">
            <w:pPr>
              <w:pStyle w:val="Nadpis4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Poplatky za pohotovost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10E3B" w:rsidRPr="00E8493B" w:rsidRDefault="00110E3B" w:rsidP="00E8493B">
            <w:pPr>
              <w:pStyle w:val="Nadpis4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 xml:space="preserve">Průměrné výdaje za regulační poplatky na 1 pojištěnce </w:t>
            </w:r>
          </w:p>
        </w:tc>
      </w:tr>
      <w:tr w:rsidR="00110E3B" w:rsidTr="00E8493B">
        <w:tc>
          <w:tcPr>
            <w:tcW w:w="779" w:type="dxa"/>
            <w:shd w:val="clear" w:color="auto" w:fill="FFFFFF"/>
          </w:tcPr>
          <w:p w:rsidR="00110E3B" w:rsidRPr="00E8493B" w:rsidRDefault="00110E3B" w:rsidP="00E8493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pStyle w:val="Nadpis4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8493B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Do 4 let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462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1 195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1 195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598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1 477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777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1 760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8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1161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1379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2 009</w:t>
            </w:r>
          </w:p>
        </w:tc>
        <w:tc>
          <w:tcPr>
            <w:tcW w:w="120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2 121</w:t>
            </w:r>
          </w:p>
        </w:tc>
      </w:tr>
      <w:tr w:rsidR="00110E3B" w:rsidTr="00E8493B">
        <w:trPr>
          <w:trHeight w:val="255"/>
        </w:trPr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pStyle w:val="Nadpis4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Průměr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7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E849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E3B" w:rsidRPr="00E8493B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8493B"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</w:tr>
    </w:tbl>
    <w:bookmarkEnd w:id="10"/>
    <w:p w:rsidR="00E8493B" w:rsidRDefault="00E8493B" w:rsidP="00E8493B">
      <w:pPr>
        <w:rPr>
          <w:rFonts w:cs="Arial"/>
          <w:sz w:val="16"/>
          <w:szCs w:val="16"/>
        </w:rPr>
      </w:pPr>
      <w:r w:rsidRPr="009552B1">
        <w:rPr>
          <w:rFonts w:cs="Arial"/>
          <w:sz w:val="16"/>
          <w:szCs w:val="16"/>
        </w:rPr>
        <w:t>Zdroj: Zdravotnické účty 2000-2013</w:t>
      </w:r>
    </w:p>
    <w:sectPr w:rsidR="00E8493B" w:rsidSect="008B0C0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2C" w:rsidRDefault="00BD4D2C" w:rsidP="00E71A58">
      <w:r>
        <w:separator/>
      </w:r>
    </w:p>
  </w:endnote>
  <w:endnote w:type="continuationSeparator" w:id="0">
    <w:p w:rsidR="00BD4D2C" w:rsidRDefault="00BD4D2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382AA4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82AA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B0C0A">
      <w:rPr>
        <w:rFonts w:ascii="Arial" w:hAnsi="Arial" w:cs="Arial"/>
        <w:noProof/>
        <w:sz w:val="16"/>
        <w:szCs w:val="16"/>
      </w:rPr>
      <w:t>24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382AA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82AA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382AA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382AA4" w:rsidRPr="00B6608F">
      <w:rPr>
        <w:rFonts w:ascii="Arial" w:hAnsi="Arial" w:cs="Arial"/>
        <w:sz w:val="16"/>
        <w:szCs w:val="16"/>
      </w:rPr>
      <w:fldChar w:fldCharType="separate"/>
    </w:r>
    <w:r w:rsidR="008B0C0A">
      <w:rPr>
        <w:rFonts w:ascii="Arial" w:hAnsi="Arial" w:cs="Arial"/>
        <w:noProof/>
        <w:sz w:val="16"/>
        <w:szCs w:val="16"/>
      </w:rPr>
      <w:t>21</w:t>
    </w:r>
    <w:r w:rsidR="00382AA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2C" w:rsidRDefault="00BD4D2C" w:rsidP="00E71A58">
      <w:r>
        <w:separator/>
      </w:r>
    </w:p>
  </w:footnote>
  <w:footnote w:type="continuationSeparator" w:id="0">
    <w:p w:rsidR="00BD4D2C" w:rsidRDefault="00BD4D2C" w:rsidP="00E71A58">
      <w:r>
        <w:continuationSeparator/>
      </w:r>
    </w:p>
  </w:footnote>
  <w:footnote w:id="1">
    <w:p w:rsidR="006E3ED2" w:rsidRDefault="006E3ED2" w:rsidP="00110E3B">
      <w:pPr>
        <w:pStyle w:val="Poznamkapodcarou"/>
      </w:pPr>
      <w:r>
        <w:rPr>
          <w:rStyle w:val="Znakapoznpodarou"/>
        </w:rPr>
        <w:footnoteRef/>
      </w:r>
      <w:r>
        <w:t xml:space="preserve"> Prostředky zdravotnické techniky</w:t>
      </w:r>
    </w:p>
  </w:footnote>
  <w:footnote w:id="2">
    <w:p w:rsidR="006E3ED2" w:rsidRDefault="006E3ED2" w:rsidP="00C64B75">
      <w:pPr>
        <w:pStyle w:val="Poznamkapodcarou"/>
        <w:spacing w:after="0"/>
      </w:pPr>
      <w:r>
        <w:rPr>
          <w:rStyle w:val="Znakapoznpodarou"/>
        </w:rPr>
        <w:footnoteRef/>
      </w:r>
      <w:r>
        <w:t xml:space="preserve"> Ortopedické a protetické pomůcky</w:t>
      </w:r>
    </w:p>
    <w:p w:rsidR="006E3ED2" w:rsidRDefault="006E3ED2" w:rsidP="00110E3B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2AA4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0C0A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35582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4D2C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08B7-51B5-455C-9A84-0BBD5D2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4</Pages>
  <Words>1257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2015-03-30T10:39:00Z</dcterms:created>
  <dcterms:modified xsi:type="dcterms:W3CDTF">2015-03-30T10:41:00Z</dcterms:modified>
</cp:coreProperties>
</file>