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71" w:rsidRPr="00EF6044" w:rsidRDefault="00917C71">
      <w:pPr>
        <w:pStyle w:val="nadpisvelik"/>
        <w:pageBreakBefore/>
        <w:spacing w:after="840"/>
        <w:rPr>
          <w:sz w:val="28"/>
          <w:szCs w:val="28"/>
        </w:rPr>
      </w:pPr>
      <w:r w:rsidRPr="00EF6044">
        <w:t>Poznámky k časovým řadám</w:t>
      </w:r>
    </w:p>
    <w:p w:rsidR="00917C71" w:rsidRPr="00EF6044" w:rsidRDefault="00917C71">
      <w:pPr>
        <w:pStyle w:val="nadpismal"/>
        <w:spacing w:after="600"/>
      </w:pPr>
      <w:r w:rsidRPr="00EF6044">
        <w:rPr>
          <w:sz w:val="32"/>
          <w:szCs w:val="32"/>
        </w:rPr>
        <w:tab/>
      </w:r>
      <w:r w:rsidRPr="00EF6044">
        <w:t>Odhady intervalů spolehlivosti</w:t>
      </w:r>
    </w:p>
    <w:p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nezaměstnanost ...) za určitý základní soubor (muži, ženy, osoby v produktivním věku, 20-24 letí muži, ...). </w:t>
      </w:r>
      <w:r w:rsidRPr="00EF6044">
        <w:rPr>
          <w:b/>
          <w:bCs/>
        </w:rPr>
        <w:t>Dílčí úhrny</w:t>
      </w:r>
      <w:r w:rsidRPr="00EF6044">
        <w:t xml:space="preserve"> jsou potom podúhrny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rsidR="00917C71" w:rsidRPr="00EF6044" w:rsidRDefault="00917C71">
      <w:pPr>
        <w:pStyle w:val="odstavecbn"/>
        <w:spacing w:after="0"/>
        <w:rPr>
          <w:b/>
          <w:bCs/>
        </w:rPr>
      </w:pPr>
      <w:r w:rsidRPr="00EF6044">
        <w:t xml:space="preserve">a) Pro </w:t>
      </w:r>
      <w:r w:rsidRPr="00EF6044">
        <w:rPr>
          <w:b/>
          <w:bCs/>
        </w:rPr>
        <w:t>základní úhrn</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7" o:title=""/>
          </v:shape>
          <o:OLEObject Type="Embed" ProgID="Equation.3" ShapeID="_x0000_i1025" DrawAspect="Content" ObjectID="_1499150892" r:id="rId8"/>
        </w:object>
      </w:r>
      <w:r w:rsidRPr="00EF6044">
        <w:rPr>
          <w:rFonts w:ascii="Arial" w:hAnsi="Arial"/>
          <w:position w:val="-30"/>
          <w:sz w:val="20"/>
        </w:rPr>
        <w:object w:dxaOrig="2940" w:dyaOrig="1020">
          <v:shape id="_x0000_i1026" type="#_x0000_t75" style="width:147pt;height:51pt" o:ole="">
            <v:imagedata r:id="rId9" o:title=""/>
          </v:shape>
          <o:OLEObject Type="Embed" ProgID="Equation.3" ShapeID="_x0000_i1026" DrawAspect="Content" ObjectID="_1499150893" r:id="rId10"/>
        </w:objec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pStyle w:val="odstavecbn"/>
        <w:tabs>
          <w:tab w:val="clear" w:pos="1416"/>
          <w:tab w:val="clear" w:pos="2124"/>
          <w:tab w:val="clear" w:pos="8787"/>
          <w:tab w:val="left" w:pos="1473"/>
          <w:tab w:val="left" w:pos="12744"/>
          <w:tab w:val="left" w:pos="13452"/>
        </w:tabs>
        <w:spacing w:after="0"/>
      </w:pPr>
      <w:r w:rsidRPr="00EF6044">
        <w:t>kde :</w:t>
      </w:r>
      <w:r w:rsidRPr="00EF6044">
        <w:tab/>
        <w:t>N</w:t>
      </w:r>
      <w:r w:rsidRPr="00EF6044">
        <w:tab/>
        <w:t>je velikost základního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kde :</w:t>
      </w:r>
      <w:r w:rsidRPr="00EF6044">
        <w:rPr>
          <w:rFonts w:ascii="Arial" w:hAnsi="Arial"/>
          <w:sz w:val="20"/>
        </w:rPr>
        <w:tab/>
        <w:t>N</w:t>
      </w:r>
      <w:r w:rsidRPr="00EF6044">
        <w:rPr>
          <w:rFonts w:ascii="Arial" w:hAnsi="Arial"/>
          <w:sz w:val="20"/>
        </w:rPr>
        <w:tab/>
        <w:t>je nahraz</w:t>
      </w:r>
      <w:r w:rsidR="00DB0EAD" w:rsidRPr="00EF6044">
        <w:rPr>
          <w:rFonts w:ascii="Arial" w:hAnsi="Arial"/>
          <w:sz w:val="20"/>
        </w:rPr>
        <w:t>eno odhadem základního úhrnu y</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nahrazeno dílčím úhrnem y</w:t>
      </w:r>
      <w:r w:rsidRPr="00EF6044">
        <w:rPr>
          <w:rFonts w:ascii="Arial" w:hAnsi="Arial"/>
          <w:sz w:val="20"/>
          <w:vertAlign w:val="subscript"/>
        </w:rPr>
        <w:t>A</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int. spol. dílčího odhadu </w:t>
      </w:r>
      <w:r w:rsidRPr="00EF6044">
        <w:rPr>
          <w:rFonts w:ascii="Arial" w:hAnsi="Arial"/>
          <w:position w:val="-14"/>
          <w:sz w:val="20"/>
        </w:rPr>
        <w:object w:dxaOrig="2299" w:dyaOrig="380">
          <v:shape id="_x0000_i1027" type="#_x0000_t75" style="width:114.75pt;height:18.75pt" o:ole="">
            <v:imagedata r:id="rId11" o:title=""/>
          </v:shape>
          <o:OLEObject Type="Embed" ProgID="Equation.3" ShapeID="_x0000_i1027" DrawAspect="Content" ObjectID="_1499150894" r:id="rId12"/>
        </w:object>
      </w:r>
      <w:r w:rsidRPr="00EF6044">
        <w:rPr>
          <w:rFonts w:ascii="Arial" w:hAnsi="Arial"/>
          <w:position w:val="-30"/>
          <w:sz w:val="20"/>
        </w:rPr>
        <w:object w:dxaOrig="3040" w:dyaOrig="1080">
          <v:shape id="_x0000_i1028" type="#_x0000_t75" style="width:152.25pt;height:54pt" o:ole="">
            <v:imagedata r:id="rId13" o:title=""/>
          </v:shape>
          <o:OLEObject Type="Embed" ProgID="Equation.3" ShapeID="_x0000_i1028" DrawAspect="Content" ObjectID="_1499150895" r:id="rId14"/>
        </w:object>
      </w:r>
    </w:p>
    <w:p w:rsidR="00917C71" w:rsidRPr="00EF6044" w:rsidRDefault="00917C71">
      <w:pPr>
        <w:pStyle w:val="odstavecbn"/>
        <w:spacing w:before="360" w:after="0"/>
      </w:pPr>
      <w:r w:rsidRPr="00EF6044">
        <w:t xml:space="preserve">Při výpočtech je třeba pamatovat na to, že ačkoliv jsou úhrny publikovány v tisících, do vzorce se dosazují v jednotkách. Oba dva výrazy jsou zjednodušenými aproximacemi přesných vzorců. </w:t>
      </w:r>
      <w:r w:rsidRPr="00EF6044">
        <w:lastRenderedPageBreak/>
        <w:t>Odchylky mezi aproximacemi a přesnými vzorci nejsou ale statisticky významné. Vzorec pro dílčí úhrny však může dávat nepřesné výsledky pro malé odhady základního úhrnu.</w:t>
      </w:r>
    </w:p>
    <w:p w:rsidR="006104E5" w:rsidRPr="00EF6044" w:rsidRDefault="006104E5">
      <w:pPr>
        <w:pStyle w:val="odstavecbn"/>
      </w:pPr>
    </w:p>
    <w:p w:rsidR="00917C71" w:rsidRPr="00EF6044" w:rsidRDefault="00917C71">
      <w:pPr>
        <w:pStyle w:val="odstavecbn"/>
      </w:pPr>
      <w:r w:rsidRPr="00EF6044">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rsidR="002C4C00" w:rsidRPr="00EF6044"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ab/>
      </w:r>
      <w:r w:rsidR="002C4C00" w:rsidRPr="00EF6044">
        <w:t>Způsob použití přílohových tabulek</w:t>
      </w:r>
    </w:p>
    <w:p w:rsidR="00F160E4" w:rsidRPr="00F160E4" w:rsidRDefault="000544FA" w:rsidP="00F160E4">
      <w:pPr>
        <w:tabs>
          <w:tab w:val="left" w:pos="720"/>
          <w:tab w:val="right" w:pos="9073"/>
        </w:tabs>
        <w:suppressAutoHyphens/>
        <w:ind w:left="1077" w:hanging="1077"/>
        <w:rPr>
          <w:rFonts w:ascii="Arial" w:hAnsi="Arial" w:cs="Arial"/>
          <w:sz w:val="20"/>
          <w:szCs w:val="28"/>
        </w:rPr>
      </w:pPr>
      <w:r w:rsidRPr="00EF6044">
        <w:rPr>
          <w:rFonts w:ascii="Arial" w:hAnsi="Arial" w:cs="Arial"/>
          <w:b/>
          <w:bCs/>
          <w:sz w:val="20"/>
          <w:szCs w:val="28"/>
        </w:rPr>
        <w:t>Tab I</w:t>
      </w:r>
      <w:r w:rsidRPr="00EF6044">
        <w:rPr>
          <w:rFonts w:ascii="Arial" w:hAnsi="Arial" w:cs="Arial"/>
          <w:b/>
          <w:bCs/>
          <w:sz w:val="20"/>
          <w:szCs w:val="28"/>
        </w:rPr>
        <w:tab/>
      </w:r>
      <w:r w:rsidRPr="00EF6044">
        <w:rPr>
          <w:rFonts w:ascii="Arial" w:hAnsi="Arial" w:cs="Arial"/>
          <w:b/>
          <w:bCs/>
          <w:sz w:val="20"/>
          <w:szCs w:val="28"/>
        </w:rPr>
        <w:tab/>
      </w:r>
      <w:r w:rsidR="00F160E4" w:rsidRPr="00F160E4">
        <w:rPr>
          <w:rFonts w:ascii="Arial" w:hAnsi="Arial" w:cs="Arial"/>
          <w:b/>
          <w:bCs/>
          <w:sz w:val="20"/>
          <w:szCs w:val="28"/>
        </w:rPr>
        <w:t>Odhady 95% intervalu spolehlivosti odhadů základních úhrnů za populaci 15letých a starších</w:t>
      </w:r>
      <w:r w:rsidR="00F160E4" w:rsidRPr="00F160E4">
        <w:rPr>
          <w:rFonts w:ascii="Arial" w:hAnsi="Arial" w:cs="Arial"/>
          <w:sz w:val="20"/>
          <w:szCs w:val="28"/>
        </w:rPr>
        <w:tab/>
        <w:t>(v tisících)</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F160E4">
        <w:rPr>
          <w:rFonts w:ascii="Arial" w:hAnsi="Arial" w:cs="Arial"/>
          <w:sz w:val="20"/>
          <w:szCs w:val="28"/>
        </w:rPr>
        <w:tab/>
        <w:t xml:space="preserve"> Varianty:</w:t>
      </w:r>
      <w:r w:rsidRPr="00F160E4">
        <w:rPr>
          <w:rFonts w:ascii="Arial" w:hAnsi="Arial" w:cs="Arial"/>
          <w:sz w:val="20"/>
          <w:szCs w:val="28"/>
        </w:rPr>
        <w:tab/>
        <w:t>1a</w:t>
      </w:r>
      <w:r w:rsidRPr="00F160E4">
        <w:rPr>
          <w:rFonts w:ascii="Arial" w:hAnsi="Arial" w:cs="Arial"/>
          <w:sz w:val="20"/>
          <w:szCs w:val="28"/>
        </w:rPr>
        <w:tab/>
        <w:t>pro čtvrtletní úhrny celkem</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F160E4">
        <w:rPr>
          <w:rFonts w:ascii="Arial" w:hAnsi="Arial" w:cs="Arial"/>
          <w:sz w:val="20"/>
          <w:szCs w:val="28"/>
        </w:rPr>
        <w:tab/>
      </w:r>
      <w:r w:rsidRPr="00F160E4">
        <w:rPr>
          <w:rFonts w:ascii="Arial" w:hAnsi="Arial" w:cs="Arial"/>
          <w:sz w:val="20"/>
          <w:szCs w:val="28"/>
        </w:rPr>
        <w:tab/>
      </w:r>
      <w:r w:rsidRPr="00F160E4">
        <w:rPr>
          <w:rFonts w:ascii="Arial" w:hAnsi="Arial" w:cs="Arial"/>
          <w:sz w:val="20"/>
          <w:szCs w:val="28"/>
        </w:rPr>
        <w:tab/>
        <w:t>1b</w:t>
      </w:r>
      <w:r w:rsidRPr="00F160E4">
        <w:rPr>
          <w:rFonts w:ascii="Arial" w:hAnsi="Arial" w:cs="Arial"/>
          <w:sz w:val="20"/>
          <w:szCs w:val="28"/>
        </w:rPr>
        <w:tab/>
        <w:t>pro čtvrtletní úhrny za muže a ženy</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F160E4">
        <w:rPr>
          <w:rFonts w:ascii="Arial" w:hAnsi="Arial" w:cs="Arial"/>
          <w:sz w:val="20"/>
          <w:szCs w:val="28"/>
        </w:rPr>
        <w:tab/>
      </w:r>
      <w:r w:rsidRPr="00F160E4">
        <w:rPr>
          <w:rFonts w:ascii="Arial" w:hAnsi="Arial" w:cs="Arial"/>
          <w:sz w:val="20"/>
          <w:szCs w:val="28"/>
        </w:rPr>
        <w:tab/>
      </w:r>
      <w:r w:rsidRPr="00F160E4">
        <w:rPr>
          <w:rFonts w:ascii="Arial" w:hAnsi="Arial" w:cs="Arial"/>
          <w:sz w:val="20"/>
          <w:szCs w:val="28"/>
        </w:rPr>
        <w:tab/>
        <w:t>2a</w:t>
      </w:r>
      <w:r w:rsidRPr="00F160E4">
        <w:rPr>
          <w:rFonts w:ascii="Arial" w:hAnsi="Arial" w:cs="Arial"/>
          <w:sz w:val="20"/>
          <w:szCs w:val="28"/>
        </w:rPr>
        <w:tab/>
        <w:t>pro roční úhrny celkem</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F160E4">
        <w:rPr>
          <w:rFonts w:ascii="Arial" w:hAnsi="Arial" w:cs="Arial"/>
          <w:sz w:val="20"/>
          <w:szCs w:val="28"/>
        </w:rPr>
        <w:tab/>
      </w:r>
      <w:r w:rsidRPr="00F160E4">
        <w:rPr>
          <w:rFonts w:ascii="Arial" w:hAnsi="Arial" w:cs="Arial"/>
          <w:sz w:val="20"/>
          <w:szCs w:val="28"/>
        </w:rPr>
        <w:tab/>
      </w:r>
      <w:r w:rsidRPr="00F160E4">
        <w:rPr>
          <w:rFonts w:ascii="Arial" w:hAnsi="Arial" w:cs="Arial"/>
          <w:sz w:val="20"/>
          <w:szCs w:val="28"/>
        </w:rPr>
        <w:tab/>
        <w:t>2b</w:t>
      </w:r>
      <w:r w:rsidRPr="00F160E4">
        <w:rPr>
          <w:rFonts w:ascii="Arial" w:hAnsi="Arial" w:cs="Arial"/>
          <w:sz w:val="20"/>
          <w:szCs w:val="28"/>
        </w:rPr>
        <w:tab/>
        <w:t>pro roční úhrny za muže a ženy</w:t>
      </w:r>
    </w:p>
    <w:p w:rsidR="00F160E4" w:rsidRPr="00F160E4" w:rsidRDefault="00F160E4" w:rsidP="00F160E4">
      <w:pPr>
        <w:jc w:val="both"/>
        <w:rPr>
          <w:rFonts w:ascii="Arial" w:hAnsi="Arial" w:cs="Arial"/>
          <w:sz w:val="20"/>
          <w:szCs w:val="20"/>
        </w:rPr>
      </w:pPr>
      <w:r w:rsidRPr="00F160E4">
        <w:rPr>
          <w:rFonts w:ascii="Arial" w:hAnsi="Arial" w:cs="Arial"/>
          <w:sz w:val="20"/>
          <w:szCs w:val="28"/>
        </w:rPr>
        <w:t xml:space="preserve">Tabulka je určena ke zjištění přibližného 95% intervalu spolehlivosti </w:t>
      </w:r>
      <w:r w:rsidRPr="00F160E4">
        <w:rPr>
          <w:rFonts w:ascii="Arial" w:hAnsi="Arial" w:cs="Arial"/>
          <w:b/>
          <w:bCs/>
          <w:sz w:val="20"/>
          <w:szCs w:val="28"/>
        </w:rPr>
        <w:t>základních úhrnů</w:t>
      </w:r>
      <w:r w:rsidRPr="00F160E4">
        <w:rPr>
          <w:rFonts w:ascii="Arial" w:hAnsi="Arial" w:cs="Arial"/>
          <w:sz w:val="20"/>
          <w:szCs w:val="28"/>
        </w:rPr>
        <w:t xml:space="preserve"> za základní soubor populace 15leté a starší ve všech krajích a České republice. Chceme-li se například dozvědět, jaká je spolehlivost odhadu počtu nezaměstnaných osob, jichž bylo ve 3. čtvrtletí 2014 </w:t>
      </w:r>
      <w:r w:rsidRPr="00F160E4">
        <w:rPr>
          <w:rFonts w:ascii="Arial" w:hAnsi="Arial" w:cs="Arial"/>
          <w:sz w:val="20"/>
          <w:szCs w:val="20"/>
        </w:rPr>
        <w:t>312,7 </w:t>
      </w:r>
      <w:r w:rsidRPr="00F160E4">
        <w:rPr>
          <w:rFonts w:ascii="Arial" w:hAnsi="Arial" w:cs="Arial"/>
          <w:sz w:val="20"/>
          <w:szCs w:val="28"/>
        </w:rPr>
        <w:t xml:space="preserve">tis., najdeme si v tabulce 1a ve sloupci Česká republika řádek nejbližší číslu </w:t>
      </w:r>
      <w:r w:rsidRPr="00F160E4">
        <w:rPr>
          <w:rFonts w:ascii="Arial" w:hAnsi="Arial" w:cs="Arial"/>
          <w:sz w:val="20"/>
        </w:rPr>
        <w:t>312,7</w:t>
      </w:r>
      <w:r w:rsidRPr="00F160E4">
        <w:rPr>
          <w:rFonts w:ascii="Arial" w:hAnsi="Arial" w:cs="Arial"/>
          <w:sz w:val="20"/>
          <w:szCs w:val="28"/>
        </w:rPr>
        <w:t xml:space="preserve">. Pro velikost odhadu </w:t>
      </w:r>
      <w:r w:rsidRPr="00F160E4">
        <w:rPr>
          <w:rFonts w:ascii="Arial" w:hAnsi="Arial" w:cs="Arial"/>
          <w:sz w:val="20"/>
        </w:rPr>
        <w:t>300,0 </w:t>
      </w:r>
      <w:r w:rsidRPr="00F160E4">
        <w:rPr>
          <w:rFonts w:ascii="Arial" w:hAnsi="Arial" w:cs="Arial"/>
          <w:sz w:val="20"/>
          <w:szCs w:val="28"/>
        </w:rPr>
        <w:t xml:space="preserve">tis. je to </w:t>
      </w:r>
      <w:r w:rsidRPr="00F160E4">
        <w:rPr>
          <w:rFonts w:ascii="Arial" w:hAnsi="Arial" w:cs="Arial"/>
          <w:sz w:val="20"/>
        </w:rPr>
        <w:t>14,3 </w:t>
      </w:r>
      <w:r w:rsidRPr="00F160E4">
        <w:rPr>
          <w:rFonts w:ascii="Arial" w:hAnsi="Arial" w:cs="Arial"/>
          <w:sz w:val="20"/>
          <w:szCs w:val="28"/>
        </w:rPr>
        <w:t xml:space="preserve">tis. Další sousední hodnota je uvedena pro odhad o velikosti </w:t>
      </w:r>
      <w:r w:rsidRPr="00F160E4">
        <w:rPr>
          <w:rFonts w:ascii="Arial" w:hAnsi="Arial" w:cs="Arial"/>
          <w:sz w:val="20"/>
        </w:rPr>
        <w:t>325,0 </w:t>
      </w:r>
      <w:r w:rsidRPr="00F160E4">
        <w:rPr>
          <w:rFonts w:ascii="Arial" w:hAnsi="Arial" w:cs="Arial"/>
          <w:sz w:val="20"/>
          <w:szCs w:val="28"/>
        </w:rPr>
        <w:t xml:space="preserve">tis., což je </w:t>
      </w:r>
      <w:r w:rsidRPr="00F160E4">
        <w:rPr>
          <w:rFonts w:ascii="Arial" w:hAnsi="Arial" w:cs="Arial"/>
          <w:sz w:val="20"/>
        </w:rPr>
        <w:t>14,9 </w:t>
      </w:r>
      <w:r w:rsidRPr="00F160E4">
        <w:rPr>
          <w:rFonts w:ascii="Arial" w:hAnsi="Arial" w:cs="Arial"/>
          <w:sz w:val="20"/>
          <w:szCs w:val="28"/>
        </w:rPr>
        <w:t xml:space="preserve">tis. Protože rozdíl čísel </w:t>
      </w:r>
      <w:r w:rsidRPr="00F160E4">
        <w:rPr>
          <w:rFonts w:ascii="Arial" w:hAnsi="Arial" w:cs="Arial"/>
          <w:sz w:val="20"/>
        </w:rPr>
        <w:t>312,7 </w:t>
      </w:r>
      <w:r w:rsidRPr="00F160E4">
        <w:rPr>
          <w:rFonts w:ascii="Arial" w:hAnsi="Arial" w:cs="Arial"/>
          <w:sz w:val="20"/>
          <w:szCs w:val="28"/>
        </w:rPr>
        <w:t>a 300,0</w:t>
      </w:r>
      <w:r w:rsidRPr="00F160E4">
        <w:rPr>
          <w:rFonts w:ascii="Arial" w:hAnsi="Arial" w:cs="Arial"/>
          <w:sz w:val="20"/>
        </w:rPr>
        <w:t> </w:t>
      </w:r>
      <w:r w:rsidRPr="00F160E4">
        <w:rPr>
          <w:rFonts w:ascii="Arial" w:hAnsi="Arial" w:cs="Arial"/>
          <w:sz w:val="20"/>
          <w:szCs w:val="28"/>
        </w:rPr>
        <w:t xml:space="preserve">tvoří přibližně třetinu rozdílu </w:t>
      </w:r>
      <w:r w:rsidRPr="00F160E4">
        <w:rPr>
          <w:rFonts w:ascii="Arial" w:hAnsi="Arial" w:cs="Arial"/>
          <w:sz w:val="20"/>
        </w:rPr>
        <w:t>325,0 </w:t>
      </w:r>
      <w:r w:rsidRPr="00F160E4">
        <w:rPr>
          <w:rFonts w:ascii="Arial" w:hAnsi="Arial" w:cs="Arial"/>
          <w:sz w:val="20"/>
          <w:szCs w:val="28"/>
        </w:rPr>
        <w:t xml:space="preserve">a </w:t>
      </w:r>
      <w:r w:rsidRPr="00F160E4">
        <w:rPr>
          <w:rFonts w:ascii="Arial" w:hAnsi="Arial" w:cs="Arial"/>
          <w:sz w:val="20"/>
        </w:rPr>
        <w:t>300,0</w:t>
      </w:r>
      <w:r w:rsidRPr="00F160E4">
        <w:rPr>
          <w:rFonts w:ascii="Arial" w:hAnsi="Arial" w:cs="Arial"/>
          <w:sz w:val="20"/>
          <w:szCs w:val="28"/>
        </w:rPr>
        <w:t xml:space="preserve">, přičteme k číslu </w:t>
      </w:r>
      <w:r w:rsidRPr="00F160E4">
        <w:rPr>
          <w:rFonts w:ascii="Arial" w:hAnsi="Arial" w:cs="Arial"/>
          <w:sz w:val="20"/>
        </w:rPr>
        <w:t>14,3 </w:t>
      </w:r>
      <w:r w:rsidRPr="00F160E4">
        <w:rPr>
          <w:rFonts w:ascii="Arial" w:hAnsi="Arial" w:cs="Arial"/>
          <w:sz w:val="20"/>
          <w:szCs w:val="28"/>
        </w:rPr>
        <w:t xml:space="preserve">odpovídající část rozdílu </w:t>
      </w:r>
      <w:r w:rsidRPr="00F160E4">
        <w:rPr>
          <w:rFonts w:ascii="Arial" w:hAnsi="Arial" w:cs="Arial"/>
          <w:sz w:val="20"/>
        </w:rPr>
        <w:t>14,9 </w:t>
      </w:r>
      <w:r w:rsidRPr="00F160E4">
        <w:rPr>
          <w:rFonts w:ascii="Arial" w:hAnsi="Arial" w:cs="Arial"/>
          <w:sz w:val="20"/>
          <w:szCs w:val="28"/>
        </w:rPr>
        <w:t xml:space="preserve">a </w:t>
      </w:r>
      <w:r w:rsidRPr="00F160E4">
        <w:rPr>
          <w:rFonts w:ascii="Arial" w:hAnsi="Arial" w:cs="Arial"/>
          <w:sz w:val="20"/>
        </w:rPr>
        <w:t>14,3 </w:t>
      </w:r>
      <w:r w:rsidRPr="00F160E4">
        <w:rPr>
          <w:rFonts w:ascii="Arial" w:hAnsi="Arial" w:cs="Arial"/>
          <w:sz w:val="20"/>
          <w:szCs w:val="28"/>
        </w:rPr>
        <w:t xml:space="preserve">a získáme nakonec hodnotu </w:t>
      </w:r>
      <w:r w:rsidRPr="00F160E4">
        <w:rPr>
          <w:rFonts w:ascii="Arial" w:hAnsi="Arial" w:cs="Arial"/>
          <w:sz w:val="20"/>
        </w:rPr>
        <w:t>14,6</w:t>
      </w:r>
      <w:r w:rsidRPr="00F160E4">
        <w:rPr>
          <w:rFonts w:ascii="Arial" w:hAnsi="Arial" w:cs="Arial"/>
          <w:sz w:val="20"/>
          <w:szCs w:val="28"/>
        </w:rPr>
        <w:t xml:space="preserve">. Výsledný 95% interval spolehlivosti pro odhad počtu nezaměstnaných osob ve 3. čtvrtletí 2014 je cca </w:t>
      </w:r>
      <w:r w:rsidRPr="00F160E4">
        <w:rPr>
          <w:rFonts w:ascii="Arial" w:hAnsi="Arial" w:cs="Arial"/>
          <w:sz w:val="20"/>
        </w:rPr>
        <w:t>312,7 +/- 14,6 </w:t>
      </w:r>
      <w:r w:rsidRPr="00F160E4">
        <w:rPr>
          <w:rFonts w:ascii="Arial" w:hAnsi="Arial" w:cs="Arial"/>
          <w:sz w:val="20"/>
          <w:szCs w:val="28"/>
        </w:rPr>
        <w:t xml:space="preserve">tis., tzn., že s 95% pravděpodobností nebyl skutečný počet nezaměstnaných osob v ČR nižší než </w:t>
      </w:r>
      <w:r w:rsidRPr="00F160E4">
        <w:rPr>
          <w:rFonts w:ascii="Arial" w:hAnsi="Arial" w:cs="Arial"/>
          <w:sz w:val="20"/>
        </w:rPr>
        <w:t>298,1 </w:t>
      </w:r>
      <w:r w:rsidRPr="00F160E4">
        <w:rPr>
          <w:rFonts w:ascii="Arial" w:hAnsi="Arial" w:cs="Arial"/>
          <w:sz w:val="20"/>
          <w:szCs w:val="28"/>
        </w:rPr>
        <w:t xml:space="preserve">tis. a zároveň vyšší než </w:t>
      </w:r>
      <w:r w:rsidRPr="00F160E4">
        <w:rPr>
          <w:rFonts w:ascii="Arial" w:hAnsi="Arial" w:cs="Arial"/>
          <w:sz w:val="20"/>
        </w:rPr>
        <w:t>327,3 </w:t>
      </w:r>
      <w:r w:rsidRPr="00F160E4">
        <w:rPr>
          <w:rFonts w:ascii="Arial" w:hAnsi="Arial" w:cs="Arial"/>
          <w:sz w:val="20"/>
          <w:szCs w:val="28"/>
        </w:rPr>
        <w:t xml:space="preserve">tisíc osob. </w:t>
      </w:r>
    </w:p>
    <w:p w:rsidR="00C9649B" w:rsidRDefault="00C80D47">
      <w:pPr>
        <w:tabs>
          <w:tab w:val="left" w:pos="0"/>
          <w:tab w:val="left" w:pos="1260"/>
          <w:tab w:val="left" w:pos="25488"/>
          <w:tab w:val="left" w:pos="26196"/>
          <w:tab w:val="left" w:pos="26904"/>
        </w:tabs>
        <w:suppressAutoHyphens/>
        <w:spacing w:before="240"/>
        <w:jc w:val="both"/>
        <w:rPr>
          <w:rFonts w:ascii="Arial" w:hAnsi="Arial" w:cs="Arial"/>
          <w:sz w:val="20"/>
          <w:szCs w:val="28"/>
        </w:rPr>
      </w:pPr>
      <w:r>
        <w:rPr>
          <w:rFonts w:ascii="Arial" w:hAnsi="Arial" w:cs="Arial"/>
          <w:sz w:val="20"/>
          <w:szCs w:val="28"/>
        </w:rPr>
        <w:tab/>
      </w:r>
    </w:p>
    <w:p w:rsidR="00F160E4" w:rsidRPr="00F160E4" w:rsidRDefault="00F160E4" w:rsidP="00F160E4">
      <w:pPr>
        <w:spacing w:before="480" w:line="233" w:lineRule="auto"/>
        <w:ind w:left="1077" w:hanging="1077"/>
        <w:jc w:val="both"/>
        <w:rPr>
          <w:rFonts w:ascii="Arial" w:hAnsi="Arial" w:cs="Arial"/>
          <w:b/>
          <w:bCs/>
          <w:sz w:val="20"/>
        </w:rPr>
      </w:pPr>
      <w:r w:rsidRPr="00F160E4">
        <w:rPr>
          <w:rFonts w:ascii="Arial" w:hAnsi="Arial" w:cs="Arial"/>
          <w:b/>
          <w:bCs/>
          <w:sz w:val="20"/>
        </w:rPr>
        <w:t>Tab II</w:t>
      </w:r>
      <w:r w:rsidRPr="00F160E4">
        <w:rPr>
          <w:rFonts w:ascii="Arial" w:hAnsi="Arial" w:cs="Arial"/>
          <w:b/>
          <w:bCs/>
          <w:sz w:val="20"/>
        </w:rPr>
        <w:tab/>
        <w:t>Odhady 95% intervalu spolehlivosti odhadů dílčích úhrnů za populaci 15letých a starších na úrovni ČR</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F160E4">
        <w:rPr>
          <w:rFonts w:ascii="Arial" w:hAnsi="Arial" w:cs="Arial"/>
          <w:sz w:val="20"/>
          <w:szCs w:val="28"/>
        </w:rPr>
        <w:tab/>
        <w:t>Varianty:</w:t>
      </w:r>
      <w:r w:rsidRPr="00F160E4">
        <w:rPr>
          <w:rFonts w:ascii="Arial" w:hAnsi="Arial" w:cs="Arial"/>
          <w:sz w:val="20"/>
          <w:szCs w:val="28"/>
        </w:rPr>
        <w:tab/>
        <w:t>1a</w:t>
      </w:r>
      <w:r w:rsidRPr="00F160E4">
        <w:rPr>
          <w:rFonts w:ascii="Arial" w:hAnsi="Arial" w:cs="Arial"/>
          <w:sz w:val="20"/>
          <w:szCs w:val="28"/>
        </w:rPr>
        <w:tab/>
        <w:t>pro roční úhrny celkem</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F160E4">
        <w:rPr>
          <w:rFonts w:ascii="Arial" w:hAnsi="Arial" w:cs="Arial"/>
          <w:sz w:val="20"/>
          <w:szCs w:val="28"/>
        </w:rPr>
        <w:tab/>
      </w:r>
      <w:r w:rsidRPr="00F160E4">
        <w:rPr>
          <w:rFonts w:ascii="Arial" w:hAnsi="Arial" w:cs="Arial"/>
          <w:sz w:val="20"/>
          <w:szCs w:val="28"/>
        </w:rPr>
        <w:tab/>
      </w:r>
      <w:r w:rsidRPr="00F160E4">
        <w:rPr>
          <w:rFonts w:ascii="Arial" w:hAnsi="Arial" w:cs="Arial"/>
          <w:sz w:val="20"/>
          <w:szCs w:val="28"/>
        </w:rPr>
        <w:tab/>
        <w:t>1b</w:t>
      </w:r>
      <w:r w:rsidRPr="00F160E4">
        <w:rPr>
          <w:rFonts w:ascii="Arial" w:hAnsi="Arial" w:cs="Arial"/>
          <w:sz w:val="20"/>
          <w:szCs w:val="28"/>
        </w:rPr>
        <w:tab/>
        <w:t>pro roční úhrny za muže a ženy</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F160E4">
        <w:rPr>
          <w:rFonts w:ascii="Arial" w:hAnsi="Arial" w:cs="Arial"/>
          <w:sz w:val="20"/>
          <w:szCs w:val="28"/>
        </w:rPr>
        <w:t xml:space="preserve">Tabulka je určena ke zjištění přibližného 95% intervalu spolehlivosti </w:t>
      </w:r>
      <w:r w:rsidRPr="00F160E4">
        <w:rPr>
          <w:rFonts w:ascii="Arial" w:hAnsi="Arial" w:cs="Arial"/>
          <w:b/>
          <w:bCs/>
          <w:sz w:val="20"/>
          <w:szCs w:val="28"/>
        </w:rPr>
        <w:t>dílčích úhrnů</w:t>
      </w:r>
      <w:r w:rsidRPr="00F160E4">
        <w:rPr>
          <w:rFonts w:ascii="Arial" w:hAnsi="Arial" w:cs="Arial"/>
          <w:sz w:val="20"/>
          <w:szCs w:val="28"/>
        </w:rPr>
        <w:t xml:space="preserve"> za základní soubor populace 15leté a starší, a to </w:t>
      </w:r>
      <w:r w:rsidRPr="00F160E4">
        <w:rPr>
          <w:rFonts w:ascii="Arial" w:hAnsi="Arial" w:cs="Arial"/>
          <w:b/>
          <w:bCs/>
          <w:sz w:val="20"/>
          <w:szCs w:val="28"/>
        </w:rPr>
        <w:t>pouze na úrovni České republiky</w:t>
      </w:r>
      <w:r w:rsidRPr="00F160E4">
        <w:rPr>
          <w:rFonts w:ascii="Arial" w:hAnsi="Arial" w:cs="Arial"/>
          <w:sz w:val="20"/>
          <w:szCs w:val="28"/>
        </w:rPr>
        <w:t xml:space="preserve">. Chceme-li například zjistit spolehlivost odhadu zaměstnaných ve zpracovatelském průmyslu v roce 2014, jichž bylo </w:t>
      </w:r>
      <w:r w:rsidRPr="00F160E4">
        <w:rPr>
          <w:rFonts w:ascii="Arial" w:hAnsi="Arial" w:cs="Arial"/>
          <w:sz w:val="20"/>
        </w:rPr>
        <w:t>1329,8 </w:t>
      </w:r>
      <w:r w:rsidRPr="00F160E4">
        <w:rPr>
          <w:rFonts w:ascii="Arial" w:hAnsi="Arial" w:cs="Arial"/>
          <w:sz w:val="20"/>
          <w:szCs w:val="28"/>
        </w:rPr>
        <w:t>tis. ze 4974,3</w:t>
      </w:r>
      <w:r w:rsidRPr="00F160E4">
        <w:rPr>
          <w:rFonts w:ascii="Arial" w:hAnsi="Arial" w:cs="Arial"/>
          <w:sz w:val="20"/>
        </w:rPr>
        <w:t> </w:t>
      </w:r>
      <w:r w:rsidRPr="00F160E4">
        <w:rPr>
          <w:rFonts w:ascii="Arial" w:hAnsi="Arial" w:cs="Arial"/>
          <w:sz w:val="20"/>
          <w:szCs w:val="28"/>
        </w:rPr>
        <w:t>tis. zaměstnaných (tedy 26,</w:t>
      </w:r>
      <w:r w:rsidRPr="00F160E4">
        <w:rPr>
          <w:rFonts w:ascii="Arial" w:hAnsi="Arial" w:cs="Arial"/>
          <w:sz w:val="20"/>
        </w:rPr>
        <w:t>7 </w:t>
      </w:r>
      <w:r w:rsidRPr="00F160E4">
        <w:rPr>
          <w:rFonts w:ascii="Arial" w:hAnsi="Arial" w:cs="Arial"/>
          <w:sz w:val="20"/>
          <w:szCs w:val="28"/>
        </w:rPr>
        <w:t xml:space="preserve">% všech zaměstnaných), vyhledáme v tabulce hodnotu v řádku přibližně odpovídajícímu hodnotě </w:t>
      </w:r>
      <w:r w:rsidR="0015036C" w:rsidRPr="00F160E4">
        <w:rPr>
          <w:rFonts w:ascii="Arial" w:hAnsi="Arial" w:cs="Arial"/>
          <w:sz w:val="20"/>
        </w:rPr>
        <w:fldChar w:fldCharType="begin"/>
      </w:r>
      <w:r w:rsidRPr="00F160E4">
        <w:rPr>
          <w:rFonts w:ascii="Arial" w:hAnsi="Arial" w:cs="Arial"/>
          <w:sz w:val="20"/>
        </w:rPr>
        <w:instrText xml:space="preserve"> LINK Excel.Sheet.8 "D:\\U\\casove_rady\\ts 93-13\\ostatni\\ODHADY\\2013-časové řady\\cr-odhady(podklad).xls" celkem!R12C2 \a \t  \* MERGEFORMAT </w:instrText>
      </w:r>
      <w:r w:rsidR="0015036C" w:rsidRPr="00F160E4">
        <w:rPr>
          <w:rFonts w:ascii="Arial" w:hAnsi="Arial" w:cs="Arial"/>
          <w:sz w:val="20"/>
        </w:rPr>
        <w:fldChar w:fldCharType="separate"/>
      </w:r>
      <w:r w:rsidRPr="00F160E4">
        <w:rPr>
          <w:rFonts w:ascii="Arial" w:hAnsi="Arial"/>
          <w:sz w:val="20"/>
        </w:rPr>
        <w:t xml:space="preserve">4974,3 </w:t>
      </w:r>
      <w:r w:rsidR="0015036C" w:rsidRPr="00F160E4">
        <w:rPr>
          <w:rFonts w:ascii="Arial" w:hAnsi="Arial" w:cs="Arial"/>
          <w:sz w:val="20"/>
        </w:rPr>
        <w:fldChar w:fldCharType="end"/>
      </w:r>
      <w:r w:rsidRPr="00F160E4">
        <w:rPr>
          <w:rFonts w:ascii="Arial" w:hAnsi="Arial" w:cs="Arial"/>
          <w:sz w:val="20"/>
          <w:szCs w:val="28"/>
        </w:rPr>
        <w:t xml:space="preserve">a ve sloupci přibližně odpovídajícímu hodnotě </w:t>
      </w:r>
      <w:r w:rsidRPr="00F160E4">
        <w:rPr>
          <w:rFonts w:ascii="Arial" w:hAnsi="Arial" w:cs="Arial"/>
          <w:sz w:val="20"/>
        </w:rPr>
        <w:t>26,7</w:t>
      </w:r>
      <w:r w:rsidRPr="00F160E4">
        <w:rPr>
          <w:rFonts w:ascii="Arial" w:hAnsi="Arial" w:cs="Arial"/>
          <w:sz w:val="20"/>
          <w:szCs w:val="28"/>
        </w:rPr>
        <w:t>. Můžeme provést i následující korekci jednoduchou lineární interpolací:</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F160E4" w:rsidRPr="00F160E4" w:rsidTr="00F160E4">
        <w:trPr>
          <w:cantSplit/>
          <w:jc w:val="center"/>
        </w:trPr>
        <w:tc>
          <w:tcPr>
            <w:tcW w:w="1140" w:type="dxa"/>
            <w:tcBorders>
              <w:top w:val="single" w:sz="12" w:space="0" w:color="auto"/>
              <w:bottom w:val="single" w:sz="8" w:space="0" w:color="auto"/>
              <w:right w:val="single" w:sz="8" w:space="0" w:color="auto"/>
            </w:tcBorders>
            <w:vAlign w:val="center"/>
          </w:tcPr>
          <w:p w:rsidR="00F160E4" w:rsidRPr="00F160E4" w:rsidRDefault="00F160E4" w:rsidP="00F160E4">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26,7</w:t>
            </w:r>
          </w:p>
        </w:tc>
        <w:tc>
          <w:tcPr>
            <w:tcW w:w="2520" w:type="dxa"/>
            <w:tcBorders>
              <w:top w:val="single" w:sz="12" w:space="0" w:color="auto"/>
              <w:left w:val="dotted" w:sz="4" w:space="0" w:color="auto"/>
              <w:bottom w:val="single" w:sz="8"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30</w:t>
            </w:r>
          </w:p>
        </w:tc>
      </w:tr>
      <w:tr w:rsidR="00F160E4" w:rsidRPr="00F160E4" w:rsidTr="00F160E4">
        <w:trPr>
          <w:cantSplit/>
          <w:jc w:val="center"/>
        </w:trPr>
        <w:tc>
          <w:tcPr>
            <w:tcW w:w="1140" w:type="dxa"/>
            <w:tcBorders>
              <w:top w:val="single" w:sz="8" w:space="0" w:color="auto"/>
              <w:bottom w:val="dotted" w:sz="4" w:space="0" w:color="auto"/>
              <w:right w:val="single" w:sz="8"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F160E4" w:rsidRPr="00F160E4" w:rsidRDefault="00F160E4" w:rsidP="00F160E4">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0,46</w:t>
            </w:r>
          </w:p>
        </w:tc>
      </w:tr>
      <w:tr w:rsidR="00F160E4" w:rsidRPr="00F160E4" w:rsidTr="00F160E4">
        <w:trPr>
          <w:cantSplit/>
          <w:jc w:val="center"/>
        </w:trPr>
        <w:tc>
          <w:tcPr>
            <w:tcW w:w="1140" w:type="dxa"/>
            <w:tcBorders>
              <w:top w:val="dotted" w:sz="4" w:space="0" w:color="auto"/>
              <w:bottom w:val="dotted" w:sz="4" w:space="0" w:color="auto"/>
              <w:right w:val="single" w:sz="8"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cs="Arial"/>
                <w:sz w:val="20"/>
              </w:rPr>
              <w:t>4974,3</w:t>
            </w:r>
          </w:p>
        </w:tc>
        <w:tc>
          <w:tcPr>
            <w:tcW w:w="2640" w:type="dxa"/>
            <w:tcBorders>
              <w:top w:val="dotted" w:sz="4" w:space="0" w:color="auto"/>
              <w:left w:val="single" w:sz="8" w:space="0" w:color="auto"/>
              <w:bottom w:val="dotted" w:sz="4" w:space="0" w:color="auto"/>
              <w:right w:val="dotted" w:sz="4" w:space="0" w:color="auto"/>
            </w:tcBorders>
            <w:vAlign w:val="center"/>
          </w:tcPr>
          <w:p w:rsidR="00F160E4" w:rsidRPr="00F160E4" w:rsidRDefault="00F160E4" w:rsidP="00F160E4">
            <w:pPr>
              <w:keepNext/>
              <w:keepLines/>
              <w:spacing w:before="79"/>
              <w:jc w:val="center"/>
              <w:rPr>
                <w:rFonts w:ascii="Arial" w:hAnsi="Arial" w:cs="Arial"/>
                <w:sz w:val="20"/>
              </w:rPr>
            </w:pPr>
            <w:r w:rsidRPr="00F160E4">
              <w:rPr>
                <w:rFonts w:ascii="Arial" w:hAnsi="Arial" w:cs="Arial"/>
                <w:sz w:val="20"/>
              </w:rPr>
              <w:t>cca 0,411</w:t>
            </w:r>
          </w:p>
          <w:p w:rsidR="00F160E4" w:rsidRPr="00F160E4" w:rsidRDefault="00F160E4" w:rsidP="00F160E4">
            <w:pPr>
              <w:keepNext/>
              <w:keepLines/>
              <w:spacing w:before="79"/>
              <w:jc w:val="center"/>
              <w:rPr>
                <w:rFonts w:ascii="Arial" w:hAnsi="Arial" w:cs="Arial"/>
                <w:sz w:val="20"/>
              </w:rPr>
            </w:pPr>
            <w:r w:rsidRPr="00F160E4">
              <w:rPr>
                <w:rFonts w:ascii="Arial" w:hAnsi="Arial" w:cs="Arial"/>
                <w:sz w:val="20"/>
              </w:rPr>
              <w:t>=0,43-(4974,3</w:t>
            </w:r>
          </w:p>
          <w:p w:rsidR="00F160E4" w:rsidRPr="00F160E4" w:rsidRDefault="00F160E4" w:rsidP="00F160E4">
            <w:pPr>
              <w:keepNext/>
              <w:keepLines/>
              <w:spacing w:after="28"/>
              <w:jc w:val="center"/>
              <w:rPr>
                <w:rFonts w:ascii="Arial" w:hAnsi="Arial" w:cs="Arial"/>
                <w:sz w:val="20"/>
              </w:rPr>
            </w:pPr>
            <w:r w:rsidRPr="00F160E4">
              <w:rPr>
                <w:rFonts w:ascii="Arial" w:hAnsi="Arial" w:cs="Arial"/>
                <w:sz w:val="20"/>
              </w:rPr>
              <w:t>-4500)/(5000-4500)*(0,43-0,41)</w:t>
            </w:r>
          </w:p>
        </w:tc>
        <w:tc>
          <w:tcPr>
            <w:tcW w:w="2700" w:type="dxa"/>
            <w:tcBorders>
              <w:top w:val="dotted" w:sz="4" w:space="0" w:color="auto"/>
              <w:left w:val="dotted" w:sz="4" w:space="0" w:color="auto"/>
              <w:bottom w:val="dotted" w:sz="4" w:space="0" w:color="auto"/>
              <w:right w:val="dotted" w:sz="4" w:space="0" w:color="auto"/>
            </w:tcBorders>
            <w:vAlign w:val="center"/>
          </w:tcPr>
          <w:p w:rsidR="00F160E4" w:rsidRPr="00F160E4" w:rsidRDefault="00F160E4" w:rsidP="00F160E4">
            <w:pPr>
              <w:keepNext/>
              <w:keepLines/>
              <w:spacing w:before="79"/>
              <w:jc w:val="center"/>
              <w:rPr>
                <w:rFonts w:ascii="Arial" w:hAnsi="Arial" w:cs="Arial"/>
                <w:b/>
                <w:bCs/>
                <w:sz w:val="20"/>
              </w:rPr>
            </w:pPr>
            <w:r w:rsidRPr="00F160E4">
              <w:rPr>
                <w:rFonts w:ascii="Arial" w:hAnsi="Arial" w:cs="Arial"/>
                <w:b/>
                <w:bCs/>
                <w:sz w:val="20"/>
              </w:rPr>
              <w:t>cca 0,421</w:t>
            </w:r>
          </w:p>
          <w:p w:rsidR="00F160E4" w:rsidRPr="00F160E4" w:rsidRDefault="00F160E4" w:rsidP="00F160E4">
            <w:pPr>
              <w:keepNext/>
              <w:keepLines/>
              <w:spacing w:after="28"/>
              <w:jc w:val="center"/>
              <w:rPr>
                <w:rFonts w:ascii="Arial" w:hAnsi="Arial" w:cs="Arial"/>
                <w:sz w:val="20"/>
              </w:rPr>
            </w:pPr>
            <w:r w:rsidRPr="00F160E4">
              <w:rPr>
                <w:rFonts w:ascii="Arial" w:hAnsi="Arial" w:cs="Arial"/>
                <w:b/>
                <w:bCs/>
                <w:sz w:val="20"/>
              </w:rPr>
              <w:t>=0,411+(</w:t>
            </w:r>
            <w:r w:rsidRPr="00F160E4">
              <w:rPr>
                <w:rFonts w:ascii="Arial" w:hAnsi="Arial" w:cs="Arial"/>
                <w:b/>
                <w:bCs/>
                <w:sz w:val="20"/>
                <w:szCs w:val="20"/>
              </w:rPr>
              <w:t>26,7</w:t>
            </w:r>
            <w:r w:rsidRPr="00F160E4">
              <w:rPr>
                <w:rFonts w:ascii="Arial" w:hAnsi="Arial" w:cs="Arial"/>
                <w:b/>
                <w:bCs/>
                <w:sz w:val="20"/>
              </w:rPr>
              <w:t>-</w:t>
            </w:r>
            <w:r w:rsidRPr="00F160E4">
              <w:rPr>
                <w:rFonts w:ascii="Arial" w:hAnsi="Arial" w:cs="Arial"/>
                <w:b/>
                <w:sz w:val="20"/>
                <w:szCs w:val="20"/>
              </w:rPr>
              <w:t>25</w:t>
            </w:r>
            <w:r w:rsidRPr="00F160E4">
              <w:rPr>
                <w:rFonts w:ascii="Arial" w:hAnsi="Arial" w:cs="Arial"/>
                <w:b/>
                <w:bCs/>
                <w:sz w:val="20"/>
              </w:rPr>
              <w:t>)/(</w:t>
            </w:r>
            <w:r w:rsidRPr="00F160E4">
              <w:rPr>
                <w:rFonts w:ascii="Arial" w:hAnsi="Arial" w:cs="Arial"/>
                <w:b/>
                <w:sz w:val="20"/>
                <w:szCs w:val="20"/>
              </w:rPr>
              <w:t>30</w:t>
            </w:r>
            <w:r w:rsidRPr="00F160E4">
              <w:rPr>
                <w:rFonts w:ascii="Arial" w:hAnsi="Arial" w:cs="Arial"/>
                <w:b/>
                <w:bCs/>
                <w:sz w:val="20"/>
              </w:rPr>
              <w:t>-</w:t>
            </w:r>
            <w:r w:rsidRPr="00F160E4">
              <w:rPr>
                <w:rFonts w:ascii="Arial" w:hAnsi="Arial"/>
                <w:b/>
                <w:sz w:val="20"/>
              </w:rPr>
              <w:t>25</w:t>
            </w:r>
            <w:r w:rsidRPr="00F160E4">
              <w:rPr>
                <w:rFonts w:ascii="Arial" w:hAnsi="Arial" w:cs="Arial"/>
                <w:b/>
                <w:bCs/>
                <w:sz w:val="20"/>
              </w:rPr>
              <w:t>)* (</w:t>
            </w:r>
            <w:r w:rsidRPr="00F160E4">
              <w:rPr>
                <w:rFonts w:ascii="Arial" w:hAnsi="Arial"/>
                <w:b/>
                <w:sz w:val="20"/>
              </w:rPr>
              <w:t>0,441</w:t>
            </w:r>
            <w:r w:rsidRPr="00F160E4">
              <w:rPr>
                <w:rFonts w:ascii="Arial" w:hAnsi="Arial" w:cs="Arial"/>
                <w:b/>
                <w:bCs/>
                <w:sz w:val="20"/>
              </w:rPr>
              <w:t>-0,411)</w:t>
            </w:r>
          </w:p>
        </w:tc>
        <w:tc>
          <w:tcPr>
            <w:tcW w:w="2520" w:type="dxa"/>
            <w:tcBorders>
              <w:top w:val="dotted" w:sz="4" w:space="0" w:color="auto"/>
              <w:left w:val="dotted" w:sz="4" w:space="0" w:color="auto"/>
              <w:bottom w:val="dotted" w:sz="4" w:space="0" w:color="auto"/>
            </w:tcBorders>
            <w:vAlign w:val="center"/>
          </w:tcPr>
          <w:p w:rsidR="00F160E4" w:rsidRPr="00F160E4" w:rsidRDefault="00F160E4" w:rsidP="00F160E4">
            <w:pPr>
              <w:keepNext/>
              <w:keepLines/>
              <w:spacing w:before="79"/>
              <w:jc w:val="center"/>
              <w:rPr>
                <w:rFonts w:ascii="Arial" w:hAnsi="Arial" w:cs="Arial"/>
                <w:sz w:val="20"/>
              </w:rPr>
            </w:pPr>
            <w:r w:rsidRPr="00F160E4">
              <w:rPr>
                <w:rFonts w:ascii="Arial" w:hAnsi="Arial" w:cs="Arial"/>
                <w:sz w:val="20"/>
              </w:rPr>
              <w:t>cca 0,441</w:t>
            </w:r>
          </w:p>
          <w:p w:rsidR="00F160E4" w:rsidRPr="00F160E4" w:rsidRDefault="00F160E4" w:rsidP="00F160E4">
            <w:pPr>
              <w:keepNext/>
              <w:keepLines/>
              <w:spacing w:before="79"/>
              <w:jc w:val="center"/>
              <w:rPr>
                <w:rFonts w:ascii="Arial" w:hAnsi="Arial" w:cs="Arial"/>
                <w:sz w:val="20"/>
              </w:rPr>
            </w:pPr>
            <w:r w:rsidRPr="00F160E4">
              <w:rPr>
                <w:rFonts w:ascii="Arial" w:hAnsi="Arial" w:cs="Arial"/>
                <w:sz w:val="20"/>
              </w:rPr>
              <w:t>=0,46-(4974,3</w:t>
            </w:r>
          </w:p>
          <w:p w:rsidR="00F160E4" w:rsidRPr="00F160E4" w:rsidRDefault="00F160E4" w:rsidP="00F160E4">
            <w:pPr>
              <w:keepNext/>
              <w:keepLines/>
              <w:spacing w:before="79"/>
              <w:jc w:val="center"/>
              <w:rPr>
                <w:rFonts w:ascii="Arial" w:hAnsi="Arial" w:cs="Arial"/>
                <w:sz w:val="20"/>
              </w:rPr>
            </w:pPr>
            <w:r w:rsidRPr="00F160E4">
              <w:rPr>
                <w:rFonts w:ascii="Arial" w:hAnsi="Arial" w:cs="Arial"/>
                <w:sz w:val="20"/>
              </w:rPr>
              <w:t>-4500)/(5000-4500)*(0,46-0,44)</w:t>
            </w:r>
          </w:p>
        </w:tc>
      </w:tr>
      <w:tr w:rsidR="00F160E4" w:rsidRPr="00F160E4" w:rsidTr="00F160E4">
        <w:trPr>
          <w:cantSplit/>
          <w:jc w:val="center"/>
        </w:trPr>
        <w:tc>
          <w:tcPr>
            <w:tcW w:w="1140" w:type="dxa"/>
            <w:tcBorders>
              <w:top w:val="dotted" w:sz="4" w:space="0" w:color="auto"/>
              <w:bottom w:val="single" w:sz="12" w:space="0" w:color="auto"/>
              <w:right w:val="single" w:sz="8"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F160E4" w:rsidRPr="00F160E4" w:rsidRDefault="00F160E4" w:rsidP="00F160E4">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F160E4" w:rsidRPr="00F160E4" w:rsidRDefault="00F160E4" w:rsidP="00F160E4">
            <w:pPr>
              <w:keepNext/>
              <w:keepLines/>
              <w:spacing w:before="79" w:after="28"/>
              <w:jc w:val="center"/>
              <w:rPr>
                <w:rFonts w:ascii="Arial" w:hAnsi="Arial" w:cs="Arial"/>
                <w:sz w:val="20"/>
              </w:rPr>
            </w:pPr>
            <w:r w:rsidRPr="00F160E4">
              <w:rPr>
                <w:rFonts w:ascii="Arial" w:hAnsi="Arial"/>
                <w:sz w:val="20"/>
              </w:rPr>
              <w:t>0,44</w:t>
            </w:r>
          </w:p>
        </w:tc>
      </w:tr>
    </w:tbl>
    <w:p w:rsidR="00F160E4" w:rsidRPr="00F160E4" w:rsidRDefault="00F160E4" w:rsidP="00F160E4">
      <w:pPr>
        <w:widowControl w:val="0"/>
        <w:spacing w:before="840"/>
        <w:jc w:val="both"/>
        <w:rPr>
          <w:rFonts w:ascii="Arial" w:hAnsi="Arial" w:cs="Arial"/>
          <w:sz w:val="20"/>
        </w:rPr>
      </w:pPr>
      <w:r w:rsidRPr="00F160E4">
        <w:rPr>
          <w:rFonts w:ascii="Arial" w:hAnsi="Arial" w:cs="Arial"/>
          <w:sz w:val="20"/>
        </w:rPr>
        <w:t xml:space="preserve">Tzn., že s 95% pravděpodobností nebylo zaměstnaných ve zpracovatelském průmyslu méně než 26,7 % -0,421 % (1308,9 tis.) a více než 26,7 %+ </w:t>
      </w:r>
      <w:r w:rsidR="0015036C" w:rsidRPr="00F160E4">
        <w:rPr>
          <w:rFonts w:ascii="Arial" w:hAnsi="Arial" w:cs="Arial"/>
          <w:sz w:val="20"/>
        </w:rPr>
        <w:fldChar w:fldCharType="begin"/>
      </w:r>
      <w:r w:rsidRPr="00F160E4">
        <w:rPr>
          <w:rFonts w:ascii="Arial" w:hAnsi="Arial" w:cs="Arial"/>
          <w:sz w:val="20"/>
        </w:rPr>
        <w:instrText xml:space="preserve"> LINK Excel.Sheet.8 "D:\\U\\casove_rady\\ts 93-13\\ostatni\\ODHADY\\2013-časové řady\\cr-odhady(podklad).xls" celkem!R14C6 \a \t  \* MERGEFORMAT </w:instrText>
      </w:r>
      <w:r w:rsidR="0015036C" w:rsidRPr="00F160E4">
        <w:rPr>
          <w:rFonts w:ascii="Arial" w:hAnsi="Arial" w:cs="Arial"/>
          <w:sz w:val="20"/>
        </w:rPr>
        <w:fldChar w:fldCharType="separate"/>
      </w:r>
      <w:r w:rsidRPr="00F160E4">
        <w:rPr>
          <w:rFonts w:ascii="Arial" w:hAnsi="Arial"/>
          <w:sz w:val="20"/>
        </w:rPr>
        <w:t>cca 0,4</w:t>
      </w:r>
      <w:r w:rsidR="0015036C" w:rsidRPr="00F160E4">
        <w:rPr>
          <w:rFonts w:ascii="Arial" w:hAnsi="Arial" w:cs="Arial"/>
          <w:sz w:val="20"/>
        </w:rPr>
        <w:fldChar w:fldCharType="end"/>
      </w:r>
      <w:r w:rsidRPr="00F160E4">
        <w:rPr>
          <w:rFonts w:ascii="Arial" w:hAnsi="Arial" w:cs="Arial"/>
          <w:sz w:val="20"/>
        </w:rPr>
        <w:t>21 % (1350,8 tis.).</w:t>
      </w:r>
    </w:p>
    <w:p w:rsidR="00F160E4" w:rsidRP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F160E4">
        <w:rPr>
          <w:rFonts w:ascii="Arial" w:hAnsi="Arial" w:cs="Arial"/>
          <w:sz w:val="20"/>
          <w:szCs w:val="28"/>
        </w:rPr>
        <w:t xml:space="preserve">Pro srovnání: Dosazením do uvedeného vzorce získáme velmi podobný interval od </w:t>
      </w:r>
      <w:r w:rsidRPr="00F160E4">
        <w:rPr>
          <w:rFonts w:ascii="Arial" w:hAnsi="Arial" w:cs="Arial"/>
          <w:sz w:val="20"/>
        </w:rPr>
        <w:t>1308,8 </w:t>
      </w:r>
      <w:r w:rsidRPr="00F160E4">
        <w:rPr>
          <w:rFonts w:ascii="Arial" w:hAnsi="Arial" w:cs="Arial"/>
          <w:sz w:val="20"/>
          <w:szCs w:val="28"/>
        </w:rPr>
        <w:t xml:space="preserve">do </w:t>
      </w:r>
      <w:r w:rsidRPr="00F160E4">
        <w:rPr>
          <w:rFonts w:ascii="Arial" w:hAnsi="Arial" w:cs="Arial"/>
          <w:sz w:val="20"/>
        </w:rPr>
        <w:t>1350,9</w:t>
      </w:r>
      <w:r w:rsidRPr="00F160E4">
        <w:rPr>
          <w:rFonts w:ascii="Arial" w:hAnsi="Arial" w:cs="Arial"/>
          <w:sz w:val="20"/>
          <w:szCs w:val="28"/>
        </w:rPr>
        <w:t>.</w:t>
      </w:r>
    </w:p>
    <w:p w:rsidR="00F160E4" w:rsidRDefault="00F160E4" w:rsidP="00F160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F160E4">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C9649B" w:rsidRDefault="00C9649B">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b w:val="0"/>
          <w:bCs w:val="0"/>
          <w:i w:val="0"/>
          <w:iCs w:val="0"/>
          <w:sz w:val="20"/>
          <w:szCs w:val="24"/>
        </w:rPr>
      </w:pPr>
    </w:p>
    <w:p w:rsidR="00C9649B" w:rsidRDefault="001359B4">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Pr>
          <w:rFonts w:cs="Arial"/>
          <w:sz w:val="20"/>
        </w:rPr>
        <w:t xml:space="preserve">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w:t>
      </w:r>
      <w:r>
        <w:rPr>
          <w:rFonts w:cs="Arial"/>
          <w:b w:val="0"/>
          <w:bCs w:val="0"/>
          <w:i w:val="0"/>
          <w:iCs w:val="0"/>
          <w:sz w:val="20"/>
        </w:rPr>
        <w:t>metody značně aproximující,</w:t>
      </w:r>
      <w:r w:rsidR="00C80D47">
        <w:rPr>
          <w:rFonts w:cs="Arial"/>
          <w:sz w:val="20"/>
        </w:rPr>
        <w:t xml:space="preserve"> </w:t>
      </w:r>
      <w:r w:rsidRPr="001359B4">
        <w:rPr>
          <w:rFonts w:cs="Arial"/>
          <w:sz w:val="20"/>
        </w:rPr>
        <w:t>ale pro pře</w:t>
      </w:r>
      <w:r>
        <w:rPr>
          <w:rFonts w:cs="Arial"/>
          <w:b w:val="0"/>
          <w:bCs w:val="0"/>
          <w:i w:val="0"/>
          <w:iCs w:val="0"/>
          <w:sz w:val="20"/>
        </w:rPr>
        <w:t>dstavu</w:t>
      </w:r>
      <w:r w:rsidR="00C80D47">
        <w:rPr>
          <w:rFonts w:cs="Arial"/>
          <w:sz w:val="20"/>
        </w:rPr>
        <w:t> </w:t>
      </w:r>
      <w:r>
        <w:rPr>
          <w:rFonts w:cs="Arial"/>
          <w:b w:val="0"/>
          <w:bCs w:val="0"/>
          <w:i w:val="0"/>
          <w:iCs w:val="0"/>
          <w:sz w:val="20"/>
        </w:rPr>
        <w:t>přesnosti</w:t>
      </w:r>
      <w:r w:rsidR="00C80D47">
        <w:rPr>
          <w:rFonts w:cs="Arial"/>
          <w:sz w:val="20"/>
        </w:rPr>
        <w:t> </w:t>
      </w:r>
      <w:r>
        <w:rPr>
          <w:rFonts w:cs="Arial"/>
          <w:b w:val="0"/>
          <w:bCs w:val="0"/>
          <w:i w:val="0"/>
          <w:iCs w:val="0"/>
          <w:sz w:val="20"/>
        </w:rPr>
        <w:t>odhadů</w:t>
      </w:r>
      <w:r w:rsidR="00C80D47">
        <w:rPr>
          <w:rFonts w:cs="Arial"/>
          <w:sz w:val="20"/>
        </w:rPr>
        <w:t> </w:t>
      </w:r>
      <w:r>
        <w:rPr>
          <w:rFonts w:cs="Arial"/>
          <w:b w:val="0"/>
          <w:bCs w:val="0"/>
          <w:i w:val="0"/>
          <w:iCs w:val="0"/>
          <w:sz w:val="20"/>
        </w:rPr>
        <w:t>plně</w:t>
      </w:r>
      <w:r w:rsidR="00C80D47">
        <w:rPr>
          <w:rFonts w:cs="Arial"/>
          <w:sz w:val="20"/>
        </w:rPr>
        <w:t> </w:t>
      </w:r>
      <w:r w:rsidRPr="001359B4">
        <w:rPr>
          <w:rFonts w:cs="Arial"/>
          <w:sz w:val="20"/>
        </w:rPr>
        <w:t>postačující.</w:t>
      </w:r>
    </w:p>
    <w:p w:rsidR="00C9649B" w:rsidRDefault="00917C71">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09" w:firstLine="0"/>
        <w:jc w:val="both"/>
      </w:pPr>
      <w:r w:rsidRPr="00EF6044">
        <w:t>Použité zdroje a číselníky</w:t>
      </w:r>
    </w:p>
    <w:p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 xml:space="preserve">Obyvatelstvo  </w:t>
      </w:r>
      <w:r w:rsidRPr="00EF6044">
        <w:rPr>
          <w:rFonts w:ascii="Arial" w:hAnsi="Arial"/>
          <w:sz w:val="20"/>
        </w:rPr>
        <w:t>Údaje o počtu a struktuře obyvatelstva vycházejí z demografické statistiky (trvale bydlící obyvatelstvo a dlouhodobě bydlící cizinci).</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ISCED 97</w:t>
      </w:r>
      <w:r w:rsidRPr="00EF6044">
        <w:rPr>
          <w:rFonts w:ascii="Arial" w:hAnsi="Arial"/>
          <w:sz w:val="20"/>
        </w:rPr>
        <w:tab/>
        <w:t xml:space="preserve">Údaje </w:t>
      </w:r>
      <w:r w:rsidRPr="00EF6044">
        <w:rPr>
          <w:rFonts w:ascii="Arial" w:hAnsi="Arial" w:cs="Arial"/>
          <w:sz w:val="20"/>
          <w:szCs w:val="28"/>
        </w:rPr>
        <w:t>o úrovni (stupni) a o skupinách oborů, resp. oborech vzdělání podle mezinárodní klasifikace ISCED 97, UNESCO, listopad 1997.</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Údaje o odvětví činnosti jsou členěny podle sekcí Klasifikace ekonomických činností (CZ-NACE), která nahradila Odvětvovou klasifikaci ekonomických činností (OKEČ). Klasifikace je kompatibilní s mezinárodní klasifikací NACE, rev. 2.</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lastRenderedPageBreak/>
        <w:t>CZ-ICSE</w:t>
      </w:r>
      <w:r w:rsidRPr="00EF6044">
        <w:rPr>
          <w:rFonts w:ascii="Arial" w:hAnsi="Arial"/>
          <w:sz w:val="20"/>
        </w:rPr>
        <w:tab/>
        <w:t>Postavení v zaměstnání je klasifikováno podle skupin CZ-ICSE z roku 1998, které odpovídají jednotlivým kategoriím mezinárodní klasifikace ICSE-93.</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CZ-NUTS</w:t>
      </w:r>
      <w:r w:rsidRPr="00EF6044">
        <w:rPr>
          <w:rFonts w:ascii="Arial" w:hAnsi="Arial"/>
          <w:sz w:val="20"/>
        </w:rPr>
        <w:tab/>
        <w:t>Územní členění je prováděno v souladu s Klasifikací územních statistických jednotek (CZ-NUTS) platnou od 1. ledna 200</w:t>
      </w:r>
      <w:r w:rsidR="00063266" w:rsidRPr="00EF6044">
        <w:rPr>
          <w:rFonts w:ascii="Arial" w:hAnsi="Arial"/>
          <w:sz w:val="20"/>
        </w:rPr>
        <w:t>8</w:t>
      </w:r>
      <w:r w:rsidRPr="00EF6044">
        <w:rPr>
          <w:rFonts w:ascii="Arial" w:hAnsi="Arial"/>
          <w:sz w:val="20"/>
        </w:rPr>
        <w:t>.</w:t>
      </w:r>
    </w:p>
    <w:p w:rsidR="00917C71" w:rsidRPr="00EF6044" w:rsidRDefault="00917C71">
      <w:pPr>
        <w:pStyle w:val="nadpismal"/>
        <w:spacing w:before="840"/>
      </w:pPr>
      <w:r w:rsidRPr="00EF6044">
        <w:tab/>
        <w:t>Charakteristika číselníků</w:t>
      </w:r>
      <w:r w:rsidR="0015036C" w:rsidRPr="00EF6044">
        <w:fldChar w:fldCharType="begin"/>
      </w:r>
      <w:r w:rsidRPr="00EF6044">
        <w:instrText>tc "CHARAKTERISTIKA  ČÍSELNÍKŮ " \l 2</w:instrText>
      </w:r>
      <w:r w:rsidR="0015036C" w:rsidRPr="00EF6044">
        <w:fldChar w:fldCharType="end"/>
      </w:r>
    </w:p>
    <w:p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smartTag>
      <w:r w:rsidRPr="00EF6044">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stupně: pro Českou republiku (NUTS 1), </w:t>
      </w:r>
      <w:r w:rsidR="00FE3A7B" w:rsidRPr="00EF6044">
        <w:rPr>
          <w:rFonts w:ascii="Arial" w:hAnsi="Arial" w:cs="Arial"/>
          <w:sz w:val="20"/>
          <w:szCs w:val="28"/>
        </w:rPr>
        <w:t>regiony soudržnosti</w:t>
      </w:r>
      <w:r w:rsidRPr="00EF6044">
        <w:rPr>
          <w:rFonts w:ascii="Arial" w:hAnsi="Arial" w:cs="Arial"/>
          <w:sz w:val="20"/>
          <w:szCs w:val="28"/>
        </w:rPr>
        <w:t xml:space="preserve"> (NUTS 2) a kraje (NUTS 3).</w:t>
      </w:r>
    </w:p>
    <w:p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 xml:space="preserve">lávání jak na národní, tak i 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(ISCED-Attainment) má následující členění:</w:t>
      </w:r>
    </w:p>
    <w:p w:rsidR="00D812B0" w:rsidRPr="00401390" w:rsidRDefault="00D812B0" w:rsidP="00D812B0">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401390">
        <w:rPr>
          <w:rFonts w:ascii="Arial" w:hAnsi="Arial" w:cs="Arial"/>
          <w:b/>
          <w:bCs/>
          <w:sz w:val="20"/>
          <w:szCs w:val="28"/>
        </w:rPr>
        <w:t>0</w:t>
      </w:r>
      <w:r w:rsidRPr="00401390">
        <w:rPr>
          <w:rFonts w:ascii="Arial" w:hAnsi="Arial" w:cs="Arial"/>
          <w:sz w:val="20"/>
          <w:szCs w:val="28"/>
        </w:rPr>
        <w:t xml:space="preserve"> </w:t>
      </w:r>
      <w:r w:rsidRPr="00401390">
        <w:rPr>
          <w:rFonts w:ascii="Arial" w:hAnsi="Arial" w:cs="Arial"/>
          <w:sz w:val="20"/>
          <w:szCs w:val="28"/>
        </w:rPr>
        <w:tab/>
      </w:r>
      <w:r w:rsidRPr="00401390">
        <w:rPr>
          <w:rFonts w:ascii="Arial" w:hAnsi="Arial" w:cs="Arial"/>
          <w:b/>
          <w:bCs/>
          <w:i/>
          <w:iCs/>
          <w:sz w:val="20"/>
          <w:szCs w:val="28"/>
        </w:rPr>
        <w:t>Nižší než primární vzdělání</w:t>
      </w:r>
    </w:p>
    <w:p w:rsidR="00D812B0" w:rsidRPr="00401390" w:rsidRDefault="00D812B0" w:rsidP="00D812B0">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1</w:t>
      </w:r>
      <w:r w:rsidRPr="00401390">
        <w:rPr>
          <w:rFonts w:ascii="Arial" w:hAnsi="Arial" w:cs="Arial"/>
          <w:sz w:val="20"/>
          <w:szCs w:val="28"/>
        </w:rPr>
        <w:t xml:space="preserve"> </w:t>
      </w:r>
      <w:r w:rsidRPr="00401390">
        <w:rPr>
          <w:rFonts w:ascii="Arial" w:hAnsi="Arial" w:cs="Arial"/>
          <w:sz w:val="20"/>
          <w:szCs w:val="28"/>
        </w:rPr>
        <w:tab/>
      </w:r>
      <w:r w:rsidRPr="00401390">
        <w:rPr>
          <w:rFonts w:ascii="Arial" w:hAnsi="Arial" w:cs="Arial"/>
          <w:b/>
          <w:bCs/>
          <w:i/>
          <w:iCs/>
          <w:sz w:val="20"/>
          <w:szCs w:val="28"/>
        </w:rPr>
        <w:t>Primární vzdělávání</w:t>
      </w:r>
    </w:p>
    <w:p w:rsidR="00D812B0" w:rsidRPr="00401390" w:rsidRDefault="00D812B0" w:rsidP="00D812B0">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401390">
        <w:rPr>
          <w:rFonts w:ascii="Arial" w:hAnsi="Arial" w:cs="Arial"/>
          <w:b/>
          <w:bCs/>
          <w:i/>
          <w:iCs/>
          <w:sz w:val="20"/>
          <w:szCs w:val="28"/>
        </w:rPr>
        <w:t xml:space="preserve">2 </w:t>
      </w:r>
      <w:r w:rsidRPr="00401390">
        <w:rPr>
          <w:rFonts w:ascii="Arial" w:hAnsi="Arial" w:cs="Arial"/>
          <w:b/>
          <w:bCs/>
          <w:i/>
          <w:iCs/>
          <w:sz w:val="20"/>
          <w:szCs w:val="28"/>
        </w:rPr>
        <w:tab/>
        <w:t>Nižší sekundární vzdělávání</w:t>
      </w:r>
      <w:r w:rsidRPr="00401390">
        <w:rPr>
          <w:rFonts w:ascii="Arial" w:hAnsi="Arial" w:cs="Arial"/>
          <w:sz w:val="20"/>
          <w:szCs w:val="28"/>
        </w:rPr>
        <w:t>.</w:t>
      </w:r>
    </w:p>
    <w:p w:rsidR="00D812B0" w:rsidRPr="00401390" w:rsidRDefault="00D812B0" w:rsidP="00D812B0">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401390">
        <w:rPr>
          <w:rFonts w:ascii="Arial" w:hAnsi="Arial" w:cs="Arial"/>
          <w:b/>
          <w:bCs/>
          <w:i/>
          <w:iCs/>
          <w:sz w:val="20"/>
          <w:szCs w:val="28"/>
        </w:rPr>
        <w:t xml:space="preserve">3 </w:t>
      </w:r>
      <w:r w:rsidRPr="00401390">
        <w:rPr>
          <w:rFonts w:ascii="Arial" w:hAnsi="Arial" w:cs="Arial"/>
          <w:b/>
          <w:bCs/>
          <w:i/>
          <w:iCs/>
          <w:sz w:val="20"/>
          <w:szCs w:val="28"/>
        </w:rPr>
        <w:tab/>
        <w:t>Vyšší sekundární vzdělávání</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4</w:t>
      </w:r>
      <w:r w:rsidRPr="00401390">
        <w:rPr>
          <w:rFonts w:ascii="Arial" w:hAnsi="Arial" w:cs="Arial"/>
          <w:b/>
          <w:bCs/>
          <w:sz w:val="20"/>
          <w:szCs w:val="28"/>
        </w:rPr>
        <w:tab/>
      </w:r>
      <w:r w:rsidRPr="00401390">
        <w:rPr>
          <w:rFonts w:ascii="Arial" w:hAnsi="Arial" w:cs="Arial"/>
          <w:b/>
          <w:bCs/>
          <w:i/>
          <w:iCs/>
          <w:sz w:val="20"/>
          <w:szCs w:val="28"/>
        </w:rPr>
        <w:t>Postsekundární neterciární vzdělání</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5</w:t>
      </w:r>
      <w:r w:rsidRPr="00401390">
        <w:rPr>
          <w:rFonts w:ascii="Arial" w:hAnsi="Arial" w:cs="Arial"/>
          <w:b/>
          <w:bCs/>
          <w:sz w:val="20"/>
          <w:szCs w:val="28"/>
        </w:rPr>
        <w:tab/>
      </w:r>
      <w:r w:rsidRPr="00401390">
        <w:rPr>
          <w:rFonts w:ascii="Arial" w:hAnsi="Arial" w:cs="Arial"/>
          <w:b/>
          <w:bCs/>
          <w:i/>
          <w:iCs/>
          <w:sz w:val="20"/>
          <w:szCs w:val="28"/>
        </w:rPr>
        <w:t>Krátký cyklus terciárního vzdělání</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6</w:t>
      </w:r>
      <w:r w:rsidRPr="00401390">
        <w:rPr>
          <w:rFonts w:ascii="Arial" w:hAnsi="Arial" w:cs="Arial"/>
          <w:b/>
          <w:bCs/>
          <w:sz w:val="20"/>
          <w:szCs w:val="28"/>
        </w:rPr>
        <w:tab/>
      </w:r>
      <w:r w:rsidRPr="00401390">
        <w:rPr>
          <w:rFonts w:ascii="Arial" w:hAnsi="Arial" w:cs="Arial"/>
          <w:b/>
          <w:bCs/>
          <w:i/>
          <w:iCs/>
          <w:sz w:val="20"/>
          <w:szCs w:val="28"/>
        </w:rPr>
        <w:t>Bakalářská nebo jí odpovídající úroveň</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sz w:val="20"/>
          <w:szCs w:val="28"/>
        </w:rPr>
      </w:pPr>
      <w:r w:rsidRPr="00401390">
        <w:rPr>
          <w:rFonts w:ascii="Arial" w:hAnsi="Arial" w:cs="Arial"/>
          <w:b/>
          <w:bCs/>
          <w:sz w:val="20"/>
          <w:szCs w:val="28"/>
        </w:rPr>
        <w:t>7</w:t>
      </w:r>
      <w:r w:rsidRPr="00401390">
        <w:rPr>
          <w:rFonts w:ascii="Arial" w:hAnsi="Arial" w:cs="Arial"/>
          <w:b/>
          <w:bCs/>
          <w:sz w:val="20"/>
          <w:szCs w:val="28"/>
        </w:rPr>
        <w:tab/>
        <w:t>Magisterská nebo jí odpovídající úroveň</w:t>
      </w:r>
    </w:p>
    <w:p w:rsidR="00D812B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sz w:val="20"/>
          <w:szCs w:val="28"/>
        </w:rPr>
      </w:pPr>
      <w:r w:rsidRPr="00401390">
        <w:rPr>
          <w:rFonts w:ascii="Arial" w:hAnsi="Arial" w:cs="Arial"/>
          <w:b/>
          <w:bCs/>
          <w:sz w:val="20"/>
          <w:szCs w:val="28"/>
        </w:rPr>
        <w:t>8</w:t>
      </w:r>
      <w:r w:rsidRPr="00401390">
        <w:rPr>
          <w:rFonts w:ascii="Arial" w:hAnsi="Arial" w:cs="Arial"/>
          <w:b/>
          <w:bCs/>
          <w:sz w:val="20"/>
          <w:szCs w:val="28"/>
        </w:rPr>
        <w:tab/>
        <w:t>Doktorská nebo jí odpovídající úroveň</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D812B0" w:rsidRDefault="00D812B0">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b/>
          <w:bCs/>
          <w:sz w:val="20"/>
          <w:szCs w:val="28"/>
        </w:rPr>
      </w:pP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EF6044">
        <w:rPr>
          <w:rFonts w:ascii="Arial" w:hAnsi="Arial" w:cs="Arial"/>
          <w:b/>
          <w:bCs/>
          <w:sz w:val="20"/>
          <w:szCs w:val="28"/>
        </w:rPr>
        <w:lastRenderedPageBreak/>
        <w:t>ISCED 97:</w:t>
      </w:r>
      <w:r w:rsidRPr="00EF6044">
        <w:rPr>
          <w:rFonts w:ascii="Arial" w:hAnsi="Arial" w:cs="Arial"/>
          <w:b/>
          <w:bCs/>
          <w:sz w:val="20"/>
          <w:szCs w:val="28"/>
        </w:rPr>
        <w:tab/>
      </w:r>
      <w:r w:rsidRPr="00EF6044">
        <w:rPr>
          <w:rFonts w:ascii="Arial" w:hAnsi="Arial" w:cs="Arial"/>
          <w:sz w:val="20"/>
          <w:szCs w:val="28"/>
        </w:rPr>
        <w:t xml:space="preserve">Publikované údaje o skupinách oborů, resp.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 </w:t>
      </w:r>
    </w:p>
    <w:p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Předmětem klasifikace je zaměstnání, tj. konkrétní činnost, kterou pracovník vykonává (i když není jeho povoláním) a která je zdrojem jeho hlavních pracovních příjmů. Klasifikace zaměstnání - CZ-ISCO byla vypracována na podkladě mezinárodního standardu ISCO-08 (International Standard Classification of Occupations).</w:t>
      </w:r>
    </w:p>
    <w:p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917C71" w:rsidRPr="00EF6044" w:rsidRDefault="00917C71">
      <w:pPr>
        <w:pStyle w:val="nadpismal"/>
      </w:pPr>
      <w:r w:rsidRPr="00EF6044">
        <w:tab/>
        <w:t>Vývoj metodiky ukazatelů a charakter jejich změn</w:t>
      </w:r>
    </w:p>
    <w:p w:rsidR="00917C71" w:rsidRPr="00EF6044" w:rsidRDefault="00917C71">
      <w:pPr>
        <w:pStyle w:val="odstavecbn"/>
      </w:pPr>
      <w:r w:rsidRPr="00EF6044">
        <w:t>Postupem doby doznávalo VŠPS, zejména v procesu harmonizace s metodikou Eurostatu, určitých změn, které se částečně promítly do možnosti vytvořit úplné a plně srovnatelné časové řady. V rámci transkodifikace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rsidR="00917C71" w:rsidRPr="00EF6044" w:rsidRDefault="00917C71">
      <w:pPr>
        <w:pStyle w:val="odstavecbn"/>
      </w:pPr>
      <w:r w:rsidRPr="00EF6044">
        <w:t>Změny většího charakteru se projevily v těchto ukazatelích:</w:t>
      </w:r>
    </w:p>
    <w:p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 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201</w:t>
      </w:r>
      <w:r w:rsidR="00E46B2C" w:rsidRPr="00EF6044">
        <w:rPr>
          <w:rFonts w:ascii="Arial" w:hAnsi="Arial"/>
          <w:bCs/>
          <w:sz w:val="20"/>
        </w:rPr>
        <w:t>2</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 xml:space="preserve">Od 1. ledna 2014 byla </w:t>
      </w:r>
      <w:r w:rsidRPr="001359B4">
        <w:rPr>
          <w:rFonts w:ascii="Arial" w:hAnsi="Arial" w:cs="Arial"/>
          <w:sz w:val="20"/>
          <w:szCs w:val="20"/>
        </w:rPr>
        <w:lastRenderedPageBreak/>
        <w:t>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Skupiny oborů, resp. </w:t>
      </w:r>
      <w:r w:rsidRPr="001359B4">
        <w:rPr>
          <w:rFonts w:ascii="Arial" w:hAnsi="Arial" w:cs="Arial"/>
          <w:b/>
          <w:sz w:val="20"/>
          <w:szCs w:val="20"/>
        </w:rPr>
        <w:t>obory vzdělání</w:t>
      </w:r>
      <w:r w:rsidR="00E849E2">
        <w:rPr>
          <w:rFonts w:ascii="Arial" w:hAnsi="Arial" w:cs="Arial"/>
          <w:sz w:val="20"/>
          <w:szCs w:val="20"/>
        </w:rPr>
        <w:t xml:space="preserve"> jsou nadále publikovány v souladu s klasifikací </w:t>
      </w:r>
      <w:r w:rsidRPr="001359B4">
        <w:rPr>
          <w:rFonts w:ascii="Arial" w:hAnsi="Arial" w:cs="Arial"/>
          <w:b/>
          <w:sz w:val="20"/>
          <w:szCs w:val="20"/>
        </w:rPr>
        <w:t>ISCED 97</w:t>
      </w:r>
      <w:r w:rsidR="00E849E2">
        <w:rPr>
          <w:rFonts w:ascii="Arial" w:hAnsi="Arial" w:cs="Arial"/>
          <w:sz w:val="20"/>
          <w:szCs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Starší údaje, které vycházely z tehdy platné klasifikace odvětvových činností, byly 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Odvětvová příslušnost je sledována pracovištní metodou</w:t>
      </w:r>
      <w:r w:rsidR="00A1416F" w:rsidRPr="00EF6044">
        <w:rPr>
          <w:rFonts w:ascii="Arial" w:hAnsi="Arial"/>
          <w:sz w:val="20"/>
        </w:rPr>
        <w:t>,</w:t>
      </w:r>
      <w:r w:rsidR="00917C71" w:rsidRPr="00EF6044">
        <w:rPr>
          <w:rFonts w:ascii="Arial" w:hAnsi="Arial"/>
          <w:sz w:val="20"/>
        </w:rPr>
        <w:t xml:space="preserve"> a proto poskytuje výsledky odlišné od výkaznictví prováděného podnikově (bližší vymezení pojmu pracoviště je uvedeno v pravidelné čtvrtletní publikaci ČSÚ o vývoji zaměstnanosti a</w:t>
      </w:r>
      <w:r w:rsidR="00BF4463" w:rsidRPr="00EF6044">
        <w:rPr>
          <w:rFonts w:ascii="Arial" w:hAnsi="Arial"/>
          <w:sz w:val="20"/>
        </w:rPr>
        <w:t> </w:t>
      </w:r>
      <w:r w:rsidR="00917C71" w:rsidRPr="00EF6044">
        <w:rPr>
          <w:rFonts w:ascii="Arial" w:hAnsi="Arial"/>
          <w:sz w:val="20"/>
        </w:rPr>
        <w:t>nezaměstnanosti podle výsledků VŠPS</w:t>
      </w:r>
      <w:r w:rsidR="0085582C" w:rsidRPr="00EF6044">
        <w:rPr>
          <w:rFonts w:ascii="Arial" w:hAnsi="Arial"/>
          <w:sz w:val="20"/>
        </w:rPr>
        <w:t>)</w:t>
      </w:r>
      <w:r w:rsidR="00917C71"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Důvody ekonomické neaktivity</w:t>
      </w:r>
      <w:r w:rsidRPr="00EF6044">
        <w:rPr>
          <w:rFonts w:ascii="Arial" w:hAnsi="Arial"/>
          <w:sz w:val="20"/>
        </w:rPr>
        <w:t xml:space="preserve"> - všechny osoby pobírající důchod jsou spojeny do jedné kategorie bez ohledu na druh pobíraného důchodu.</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5A4574">
          <w:footerReference w:type="even" r:id="rId15"/>
          <w:footerReference w:type="default" r:id="rId16"/>
          <w:type w:val="oddPage"/>
          <w:pgSz w:w="11906" w:h="16838"/>
          <w:pgMar w:top="1418" w:right="1418" w:bottom="1985" w:left="1418" w:header="1701" w:footer="1134" w:gutter="0"/>
          <w:pgNumType w:start="5"/>
          <w:cols w:space="708"/>
          <w:docGrid w:linePitch="360"/>
        </w:sectPr>
      </w:pPr>
    </w:p>
    <w:p w:rsidR="00D549CA" w:rsidRPr="00EF6044" w:rsidRDefault="0015036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sidRPr="0015036C">
        <w:rPr>
          <w:noProof/>
        </w:rPr>
        <w:lastRenderedPageBreak/>
        <w:pict>
          <v:shape id="_x0000_s2066" type="#_x0000_t75" style="position:absolute;left:0;text-align:left;margin-left:-86.25pt;margin-top:-51.45pt;width:823.75pt;height:582.6pt;z-index:1">
            <v:imagedata r:id="rId17" o:title=""/>
          </v:shape>
        </w:pict>
      </w:r>
    </w:p>
    <w:p w:rsidR="00D549CA" w:rsidRPr="00EF6044" w:rsidRDefault="0015036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pict>
          <v:shape id="_x0000_s2059" type="#_x0000_t75" style="position:absolute;left:0;text-align:left;margin-left:-81pt;margin-top:-54pt;width:823.75pt;height:582.6pt;z-index:-1">
            <v:imagedata r:id="rId18" o:title=""/>
          </v:shape>
        </w:pict>
      </w:r>
    </w:p>
    <w:p w:rsidR="00917C71" w:rsidRPr="00EF6044" w:rsidRDefault="00917C71">
      <w:pPr>
        <w:pStyle w:val="nadpismal"/>
        <w:pageBreakBefore/>
        <w:spacing w:before="0"/>
      </w:pPr>
      <w:r w:rsidRPr="00EF6044">
        <w:lastRenderedPageBreak/>
        <w:tab/>
        <w:t>Přehled tabulek</w:t>
      </w:r>
    </w:p>
    <w:p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 2 a NUTS 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 2 (</w:t>
      </w:r>
      <w:r w:rsidR="00FE3A7B" w:rsidRPr="00EF6044">
        <w:rPr>
          <w:rFonts w:ascii="Arial" w:hAnsi="Arial"/>
          <w:sz w:val="20"/>
        </w:rPr>
        <w:t>regiony soudržnosti</w:t>
      </w:r>
      <w:r w:rsidRPr="00EF6044">
        <w:rPr>
          <w:rFonts w:ascii="Arial" w:hAnsi="Arial"/>
          <w:sz w:val="20"/>
        </w:rPr>
        <w:t xml:space="preserve">) a NUTS 3 (kraje) nesou v přehledu navíc označení </w:t>
      </w:r>
      <w:r w:rsidRPr="00EF6044">
        <w:rPr>
          <w:rFonts w:ascii="Arial" w:hAnsi="Arial"/>
          <w:b/>
          <w:bCs/>
          <w:sz w:val="20"/>
        </w:rPr>
        <w:t>(K)</w:t>
      </w:r>
      <w:r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rsidR="00917C71" w:rsidRPr="00EF6044" w:rsidRDefault="00917C71">
      <w:pPr>
        <w:pStyle w:val="Nadpis7"/>
        <w:tabs>
          <w:tab w:val="clear" w:pos="1132"/>
          <w:tab w:val="left" w:pos="1080"/>
        </w:tabs>
        <w:spacing w:before="720" w:after="600"/>
      </w:pPr>
      <w:r w:rsidRPr="00EF6044">
        <w:t xml:space="preserve">I. </w:t>
      </w:r>
      <w:r w:rsidR="00075FAC" w:rsidRPr="00EF6044">
        <w:t>okruh</w:t>
      </w:r>
      <w:r w:rsidRPr="00EF6044">
        <w:tab/>
      </w:r>
      <w:r w:rsidRPr="00EF6044">
        <w:tab/>
        <w:t>Obyvatelstvo České republiky</w:t>
      </w:r>
    </w:p>
    <w:p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2C169B" w:rsidRDefault="00917C71" w:rsidP="002C169B">
      <w:pPr>
        <w:pStyle w:val="Nadpis7"/>
        <w:tabs>
          <w:tab w:val="clear" w:pos="1132"/>
          <w:tab w:val="left" w:pos="1080"/>
        </w:tabs>
        <w:spacing w:before="720" w:after="600"/>
      </w:pPr>
      <w:r w:rsidRPr="00EF6044">
        <w:lastRenderedPageBreak/>
        <w:t xml:space="preserve">II. </w:t>
      </w:r>
      <w:r w:rsidR="00075FAC" w:rsidRPr="00EF6044">
        <w:t>okruh</w:t>
      </w:r>
      <w:r w:rsidRPr="00EF6044">
        <w:tab/>
      </w:r>
      <w:r w:rsidRPr="00EF6044">
        <w:tab/>
        <w:t>Zaměstnaní v národním hospodářství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 xml:space="preserve">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počtech osob starších 15 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osob zaměstnaných v národním hospodářství, pracujících ve druhém (dalším) zaměstnání,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rsidR="00917C71" w:rsidRPr="00EF6044" w:rsidRDefault="00917C71">
      <w:pPr>
        <w:pStyle w:val="Nadpis7"/>
        <w:tabs>
          <w:tab w:val="clear" w:pos="720"/>
          <w:tab w:val="clear" w:pos="1132"/>
          <w:tab w:val="left" w:pos="1080"/>
        </w:tabs>
        <w:spacing w:before="720" w:after="600"/>
      </w:pPr>
      <w:r w:rsidRPr="00EF6044">
        <w:lastRenderedPageBreak/>
        <w:t xml:space="preserve">III. </w:t>
      </w:r>
      <w:r w:rsidR="00075FAC" w:rsidRPr="00EF6044">
        <w:t>okruh</w:t>
      </w:r>
      <w:r w:rsidRPr="00EF6044">
        <w:tab/>
      </w:r>
      <w:r w:rsidR="004B6DF7" w:rsidRPr="00EF6044">
        <w:tab/>
      </w:r>
      <w:r w:rsidRPr="00EF6044">
        <w:t>Nezaměstnaní</w:t>
      </w:r>
    </w:p>
    <w:p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 2 a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nezaměstnaných podle ILO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917C71">
      <w:pPr>
        <w:pStyle w:val="Nadpis6"/>
        <w:pageBreakBefore w:val="0"/>
      </w:pPr>
      <w:r w:rsidRPr="00EF6044">
        <w:t>304</w:t>
      </w:r>
      <w:r w:rsidRPr="00EF6044">
        <w:tab/>
        <w:t>R (K)</w:t>
      </w:r>
      <w:r w:rsidRPr="00EF6044">
        <w:tab/>
        <w:t>Způsob a doba hledání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pStyle w:val="Nadpis7"/>
        <w:tabs>
          <w:tab w:val="clear" w:pos="720"/>
          <w:tab w:val="clear" w:pos="1132"/>
          <w:tab w:val="left" w:pos="1080"/>
          <w:tab w:val="left" w:pos="1587"/>
        </w:tabs>
        <w:spacing w:before="720" w:after="600"/>
      </w:pPr>
      <w:r w:rsidRPr="00EF6044">
        <w:t xml:space="preserve">IV. </w:t>
      </w:r>
      <w:r w:rsidR="00075FAC" w:rsidRPr="00EF6044">
        <w:t>okruh</w:t>
      </w:r>
      <w:r w:rsidRPr="00EF6044">
        <w:tab/>
      </w:r>
      <w:r w:rsidR="004B6DF7" w:rsidRPr="00EF6044">
        <w:tab/>
      </w:r>
      <w:r w:rsidR="004B6DF7" w:rsidRPr="00EF6044">
        <w:tab/>
      </w:r>
      <w:r w:rsidRPr="00EF6044">
        <w:t>Míry</w:t>
      </w:r>
    </w:p>
    <w:p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obecné míry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míry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pStyle w:val="nadpismal"/>
        <w:ind w:left="681"/>
      </w:pPr>
      <w:r w:rsidRPr="00EF6044">
        <w:t>Technické poznámky</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rsidR="00EA7D8E" w:rsidRPr="00EF6044" w:rsidRDefault="00EA7D8E" w:rsidP="00EA7D8E">
      <w:pPr>
        <w:tabs>
          <w:tab w:val="left" w:pos="720"/>
        </w:tabs>
        <w:ind w:left="1560" w:hanging="993"/>
        <w:jc w:val="both"/>
      </w:pPr>
    </w:p>
    <w:p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Při práci s tabulkami je třeba mít stále na zřeteli, že údaje jsou zjišťovány výběrovými metodami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příloha tabulkové části. </w:t>
      </w:r>
    </w:p>
    <w:p w:rsidR="00917C71" w:rsidRPr="00EF6044" w:rsidRDefault="00917C71">
      <w:pPr>
        <w:pStyle w:val="nadpismal"/>
      </w:pPr>
      <w:r w:rsidRPr="00EF6044">
        <w:tab/>
        <w:t>Dostupnost publikace</w:t>
      </w:r>
    </w:p>
    <w:p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19" w:history="1">
        <w:r w:rsidR="00EA7EB0" w:rsidRPr="00EF6044">
          <w:rPr>
            <w:rStyle w:val="Hypertextovodkaz"/>
            <w:rFonts w:ascii="Arial" w:hAnsi="Arial" w:cs="Arial"/>
            <w:color w:val="auto"/>
            <w:sz w:val="20"/>
          </w:rPr>
          <w:t>http://www.czso.cz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-1</w:t>
      </w:r>
      <w:r w:rsidR="000F6B4E">
        <w:rPr>
          <w:rFonts w:ascii="Arial" w:hAnsi="Arial" w:cs="Arial"/>
          <w:b/>
          <w:sz w:val="20"/>
          <w:szCs w:val="20"/>
        </w:rPr>
        <w:t>5</w:t>
      </w:r>
    </w:p>
    <w:p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-1</w:t>
      </w:r>
      <w:r w:rsidR="000F6B4E">
        <w:rPr>
          <w:rFonts w:ascii="Arial" w:hAnsi="Arial" w:cs="Arial"/>
          <w:b/>
          <w:sz w:val="20"/>
          <w:szCs w:val="20"/>
        </w:rPr>
        <w:t>5</w:t>
      </w:r>
    </w:p>
    <w:p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(*.doc), Excel (*.xls), Adobe Acrobat (*.pdf)</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BE" w:rsidRDefault="003D1ABE">
      <w:r>
        <w:separator/>
      </w:r>
    </w:p>
  </w:endnote>
  <w:endnote w:type="continuationSeparator" w:id="0">
    <w:p w:rsidR="003D1ABE" w:rsidRDefault="003D1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E4" w:rsidRDefault="00F160E4" w:rsidP="005A4574">
    <w:pPr>
      <w:pStyle w:val="Zpat"/>
      <w:pBdr>
        <w:top w:val="single" w:sz="4" w:space="9" w:color="auto"/>
      </w:pBdr>
      <w:spacing w:before="240"/>
      <w:ind w:right="360" w:firstLine="360"/>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E4" w:rsidRPr="005A4574" w:rsidRDefault="00F160E4" w:rsidP="005A4574">
    <w:pPr>
      <w:pStyle w:val="Zpat"/>
      <w:framePr w:wrap="around" w:vAnchor="text" w:hAnchor="page" w:x="10239" w:y="439"/>
      <w:rPr>
        <w:rStyle w:val="slostrnky"/>
        <w:rFonts w:ascii="Arial" w:hAnsi="Arial" w:cs="Arial"/>
        <w:sz w:val="18"/>
        <w:szCs w:val="18"/>
      </w:rPr>
    </w:pPr>
  </w:p>
  <w:p w:rsidR="00F160E4" w:rsidRDefault="00F160E4" w:rsidP="005A4574">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firstLine="360"/>
      <w:rPr>
        <w:rFonts w:ascii="Arial" w:hAnsi="Arial"/>
        <w:sz w:val="18"/>
      </w:rPr>
    </w:pPr>
    <w:r>
      <w:rPr>
        <w:rFonts w:ascii="Arial" w:hAnsi="Arial"/>
        <w:sz w:val="18"/>
      </w:rPr>
      <w:t>Časové řady 1993-2014</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BE" w:rsidRDefault="003D1ABE">
      <w:r>
        <w:separator/>
      </w:r>
    </w:p>
  </w:footnote>
  <w:footnote w:type="continuationSeparator" w:id="0">
    <w:p w:rsidR="003D1ABE" w:rsidRDefault="003D1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2">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2"/>
  </w:num>
  <w:num w:numId="3">
    <w:abstractNumId w:val="11"/>
  </w:num>
  <w:num w:numId="4">
    <w:abstractNumId w:val="0"/>
  </w:num>
  <w:num w:numId="5">
    <w:abstractNumId w:val="4"/>
  </w:num>
  <w:num w:numId="6">
    <w:abstractNumId w:val="8"/>
  </w:num>
  <w:num w:numId="7">
    <w:abstractNumId w:val="10"/>
  </w:num>
  <w:num w:numId="8">
    <w:abstractNumId w:val="1"/>
  </w:num>
  <w:num w:numId="9">
    <w:abstractNumId w:val="6"/>
  </w:num>
  <w:num w:numId="10">
    <w:abstractNumId w:val="12"/>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evenAndOddHeaders/>
  <w:noPunctuationKerning/>
  <w:characterSpacingControl w:val="doNotCompress"/>
  <w:hdrShapeDefaults>
    <o:shapedefaults v:ext="edit" spidmax="399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1DA"/>
    <w:rsid w:val="00001328"/>
    <w:rsid w:val="000035CE"/>
    <w:rsid w:val="00014CAA"/>
    <w:rsid w:val="00016D79"/>
    <w:rsid w:val="00026B18"/>
    <w:rsid w:val="0004256D"/>
    <w:rsid w:val="000451FA"/>
    <w:rsid w:val="00045A22"/>
    <w:rsid w:val="000544A4"/>
    <w:rsid w:val="000544FA"/>
    <w:rsid w:val="00061C0D"/>
    <w:rsid w:val="00063266"/>
    <w:rsid w:val="00070AC3"/>
    <w:rsid w:val="00075FAC"/>
    <w:rsid w:val="00076610"/>
    <w:rsid w:val="00082484"/>
    <w:rsid w:val="000D0274"/>
    <w:rsid w:val="000D34A4"/>
    <w:rsid w:val="000F0950"/>
    <w:rsid w:val="000F6B4E"/>
    <w:rsid w:val="001012C0"/>
    <w:rsid w:val="00106807"/>
    <w:rsid w:val="00113411"/>
    <w:rsid w:val="001359B4"/>
    <w:rsid w:val="00135DDF"/>
    <w:rsid w:val="00141F4D"/>
    <w:rsid w:val="00147619"/>
    <w:rsid w:val="00147E8B"/>
    <w:rsid w:val="0015036C"/>
    <w:rsid w:val="00153396"/>
    <w:rsid w:val="00155455"/>
    <w:rsid w:val="00171BAE"/>
    <w:rsid w:val="00172250"/>
    <w:rsid w:val="001816D8"/>
    <w:rsid w:val="00195001"/>
    <w:rsid w:val="001B671D"/>
    <w:rsid w:val="001C41D3"/>
    <w:rsid w:val="001C4581"/>
    <w:rsid w:val="001C621A"/>
    <w:rsid w:val="001E0882"/>
    <w:rsid w:val="001F24F9"/>
    <w:rsid w:val="00200240"/>
    <w:rsid w:val="00200423"/>
    <w:rsid w:val="002239D2"/>
    <w:rsid w:val="00237E69"/>
    <w:rsid w:val="002406DC"/>
    <w:rsid w:val="00271C56"/>
    <w:rsid w:val="00274AD7"/>
    <w:rsid w:val="00280604"/>
    <w:rsid w:val="00294FA9"/>
    <w:rsid w:val="002A6596"/>
    <w:rsid w:val="002B2F61"/>
    <w:rsid w:val="002B4C95"/>
    <w:rsid w:val="002B4F17"/>
    <w:rsid w:val="002C00BE"/>
    <w:rsid w:val="002C169B"/>
    <w:rsid w:val="002C2350"/>
    <w:rsid w:val="002C4C00"/>
    <w:rsid w:val="002D00AA"/>
    <w:rsid w:val="002F3FD8"/>
    <w:rsid w:val="0031090E"/>
    <w:rsid w:val="00322C97"/>
    <w:rsid w:val="003332F9"/>
    <w:rsid w:val="00336675"/>
    <w:rsid w:val="0034595B"/>
    <w:rsid w:val="00345D96"/>
    <w:rsid w:val="00362DC9"/>
    <w:rsid w:val="003678FE"/>
    <w:rsid w:val="00371607"/>
    <w:rsid w:val="003747D7"/>
    <w:rsid w:val="0037586A"/>
    <w:rsid w:val="00383138"/>
    <w:rsid w:val="00394B3A"/>
    <w:rsid w:val="003A08E3"/>
    <w:rsid w:val="003B6555"/>
    <w:rsid w:val="003C2051"/>
    <w:rsid w:val="003C6E0B"/>
    <w:rsid w:val="003D1ABE"/>
    <w:rsid w:val="003D582C"/>
    <w:rsid w:val="003D6AF1"/>
    <w:rsid w:val="003F1AFF"/>
    <w:rsid w:val="003F6EA3"/>
    <w:rsid w:val="004118FF"/>
    <w:rsid w:val="004133B3"/>
    <w:rsid w:val="0042704F"/>
    <w:rsid w:val="00427909"/>
    <w:rsid w:val="00432372"/>
    <w:rsid w:val="004420A5"/>
    <w:rsid w:val="00443114"/>
    <w:rsid w:val="00450ABE"/>
    <w:rsid w:val="00451CA2"/>
    <w:rsid w:val="00456E44"/>
    <w:rsid w:val="00460273"/>
    <w:rsid w:val="00463260"/>
    <w:rsid w:val="004655C1"/>
    <w:rsid w:val="004805E3"/>
    <w:rsid w:val="004848A2"/>
    <w:rsid w:val="004944AF"/>
    <w:rsid w:val="00495E5A"/>
    <w:rsid w:val="00497D65"/>
    <w:rsid w:val="004A08E9"/>
    <w:rsid w:val="004A3EA4"/>
    <w:rsid w:val="004B5934"/>
    <w:rsid w:val="004B6DF7"/>
    <w:rsid w:val="004D3F0A"/>
    <w:rsid w:val="004F4573"/>
    <w:rsid w:val="00500E22"/>
    <w:rsid w:val="00516619"/>
    <w:rsid w:val="00534506"/>
    <w:rsid w:val="00535A04"/>
    <w:rsid w:val="005461E2"/>
    <w:rsid w:val="00556EE7"/>
    <w:rsid w:val="005633EA"/>
    <w:rsid w:val="005651DA"/>
    <w:rsid w:val="00565F1C"/>
    <w:rsid w:val="0057037B"/>
    <w:rsid w:val="0057365F"/>
    <w:rsid w:val="005827D6"/>
    <w:rsid w:val="00584E80"/>
    <w:rsid w:val="005A2071"/>
    <w:rsid w:val="005A257F"/>
    <w:rsid w:val="005A4574"/>
    <w:rsid w:val="005A5B0A"/>
    <w:rsid w:val="005B0706"/>
    <w:rsid w:val="005B6FC0"/>
    <w:rsid w:val="005C243A"/>
    <w:rsid w:val="005D591D"/>
    <w:rsid w:val="005E271A"/>
    <w:rsid w:val="005E2E50"/>
    <w:rsid w:val="005E369F"/>
    <w:rsid w:val="005F06F7"/>
    <w:rsid w:val="005F1E3C"/>
    <w:rsid w:val="00601581"/>
    <w:rsid w:val="006071F9"/>
    <w:rsid w:val="006104E5"/>
    <w:rsid w:val="00623A00"/>
    <w:rsid w:val="0062441B"/>
    <w:rsid w:val="00624C39"/>
    <w:rsid w:val="00631D5B"/>
    <w:rsid w:val="00636B56"/>
    <w:rsid w:val="00637B8A"/>
    <w:rsid w:val="00654D28"/>
    <w:rsid w:val="00665A94"/>
    <w:rsid w:val="006745E3"/>
    <w:rsid w:val="00680E6A"/>
    <w:rsid w:val="00680E8A"/>
    <w:rsid w:val="006829D3"/>
    <w:rsid w:val="006A26BC"/>
    <w:rsid w:val="006C0844"/>
    <w:rsid w:val="006C3862"/>
    <w:rsid w:val="006C7B3A"/>
    <w:rsid w:val="006E04A4"/>
    <w:rsid w:val="006E3E2C"/>
    <w:rsid w:val="006E6A6B"/>
    <w:rsid w:val="006E6DD4"/>
    <w:rsid w:val="007066E8"/>
    <w:rsid w:val="00707AA0"/>
    <w:rsid w:val="007361DA"/>
    <w:rsid w:val="0073695E"/>
    <w:rsid w:val="007640F1"/>
    <w:rsid w:val="00773548"/>
    <w:rsid w:val="00774DA2"/>
    <w:rsid w:val="0078053E"/>
    <w:rsid w:val="00783151"/>
    <w:rsid w:val="00795D5F"/>
    <w:rsid w:val="007A1323"/>
    <w:rsid w:val="007A7761"/>
    <w:rsid w:val="007C0DFF"/>
    <w:rsid w:val="007C6924"/>
    <w:rsid w:val="007D414C"/>
    <w:rsid w:val="007E3647"/>
    <w:rsid w:val="007F5D48"/>
    <w:rsid w:val="007F7E3B"/>
    <w:rsid w:val="00805F85"/>
    <w:rsid w:val="00812129"/>
    <w:rsid w:val="00822DF5"/>
    <w:rsid w:val="008408E9"/>
    <w:rsid w:val="0084437B"/>
    <w:rsid w:val="00853498"/>
    <w:rsid w:val="0085582C"/>
    <w:rsid w:val="0088528C"/>
    <w:rsid w:val="008B33A0"/>
    <w:rsid w:val="008B49A3"/>
    <w:rsid w:val="008C12DC"/>
    <w:rsid w:val="008C664C"/>
    <w:rsid w:val="008D3E3C"/>
    <w:rsid w:val="008E5536"/>
    <w:rsid w:val="008F7D05"/>
    <w:rsid w:val="0090598D"/>
    <w:rsid w:val="0091141B"/>
    <w:rsid w:val="00916811"/>
    <w:rsid w:val="00917C71"/>
    <w:rsid w:val="00920D6F"/>
    <w:rsid w:val="00923F32"/>
    <w:rsid w:val="009245C9"/>
    <w:rsid w:val="00927B94"/>
    <w:rsid w:val="00934F4B"/>
    <w:rsid w:val="00951452"/>
    <w:rsid w:val="00951905"/>
    <w:rsid w:val="009534F1"/>
    <w:rsid w:val="00956D83"/>
    <w:rsid w:val="009614D6"/>
    <w:rsid w:val="00990C24"/>
    <w:rsid w:val="00995DC6"/>
    <w:rsid w:val="009C68D9"/>
    <w:rsid w:val="009D0760"/>
    <w:rsid w:val="009D1870"/>
    <w:rsid w:val="009D4F5B"/>
    <w:rsid w:val="009E243B"/>
    <w:rsid w:val="009E5CF2"/>
    <w:rsid w:val="009E7DE3"/>
    <w:rsid w:val="009F1C04"/>
    <w:rsid w:val="009F42DE"/>
    <w:rsid w:val="009F56FF"/>
    <w:rsid w:val="00A04623"/>
    <w:rsid w:val="00A14032"/>
    <w:rsid w:val="00A1416F"/>
    <w:rsid w:val="00A20D09"/>
    <w:rsid w:val="00A251B1"/>
    <w:rsid w:val="00A33FC4"/>
    <w:rsid w:val="00A42BAD"/>
    <w:rsid w:val="00A43FBE"/>
    <w:rsid w:val="00A44A01"/>
    <w:rsid w:val="00A57C3D"/>
    <w:rsid w:val="00A66F91"/>
    <w:rsid w:val="00A873F3"/>
    <w:rsid w:val="00A9352D"/>
    <w:rsid w:val="00A93FA2"/>
    <w:rsid w:val="00AB07A8"/>
    <w:rsid w:val="00AB79D4"/>
    <w:rsid w:val="00AC2517"/>
    <w:rsid w:val="00AC4164"/>
    <w:rsid w:val="00AD4C55"/>
    <w:rsid w:val="00AD7C89"/>
    <w:rsid w:val="00AE17CC"/>
    <w:rsid w:val="00AE2794"/>
    <w:rsid w:val="00AF19CB"/>
    <w:rsid w:val="00AF6591"/>
    <w:rsid w:val="00B0150B"/>
    <w:rsid w:val="00B01F21"/>
    <w:rsid w:val="00B0687B"/>
    <w:rsid w:val="00B204C0"/>
    <w:rsid w:val="00B22EBC"/>
    <w:rsid w:val="00B40F36"/>
    <w:rsid w:val="00B44FCD"/>
    <w:rsid w:val="00B46882"/>
    <w:rsid w:val="00B4761B"/>
    <w:rsid w:val="00B613A4"/>
    <w:rsid w:val="00B71E95"/>
    <w:rsid w:val="00B87C9A"/>
    <w:rsid w:val="00B90468"/>
    <w:rsid w:val="00BB0F91"/>
    <w:rsid w:val="00BD3ACD"/>
    <w:rsid w:val="00BF24BA"/>
    <w:rsid w:val="00BF4463"/>
    <w:rsid w:val="00C027F8"/>
    <w:rsid w:val="00C171B2"/>
    <w:rsid w:val="00C25C5A"/>
    <w:rsid w:val="00C36CC8"/>
    <w:rsid w:val="00C41D20"/>
    <w:rsid w:val="00C46FB6"/>
    <w:rsid w:val="00C52DAE"/>
    <w:rsid w:val="00C63E2C"/>
    <w:rsid w:val="00C80D47"/>
    <w:rsid w:val="00C81AF5"/>
    <w:rsid w:val="00C93922"/>
    <w:rsid w:val="00C9649B"/>
    <w:rsid w:val="00C967CE"/>
    <w:rsid w:val="00CB0314"/>
    <w:rsid w:val="00CB4674"/>
    <w:rsid w:val="00CC2C52"/>
    <w:rsid w:val="00CC4DE6"/>
    <w:rsid w:val="00CD4BDB"/>
    <w:rsid w:val="00CE4CE0"/>
    <w:rsid w:val="00D01B5C"/>
    <w:rsid w:val="00D02C38"/>
    <w:rsid w:val="00D0589E"/>
    <w:rsid w:val="00D242B2"/>
    <w:rsid w:val="00D27CD5"/>
    <w:rsid w:val="00D308BB"/>
    <w:rsid w:val="00D541E9"/>
    <w:rsid w:val="00D549CA"/>
    <w:rsid w:val="00D55AA6"/>
    <w:rsid w:val="00D657BC"/>
    <w:rsid w:val="00D65A8B"/>
    <w:rsid w:val="00D76169"/>
    <w:rsid w:val="00D80AF5"/>
    <w:rsid w:val="00D812B0"/>
    <w:rsid w:val="00D836D4"/>
    <w:rsid w:val="00DB0EAD"/>
    <w:rsid w:val="00DB4669"/>
    <w:rsid w:val="00DC1FC2"/>
    <w:rsid w:val="00DE45D8"/>
    <w:rsid w:val="00DE5893"/>
    <w:rsid w:val="00DF02C4"/>
    <w:rsid w:val="00E047E8"/>
    <w:rsid w:val="00E31833"/>
    <w:rsid w:val="00E41D32"/>
    <w:rsid w:val="00E427CA"/>
    <w:rsid w:val="00E42EC8"/>
    <w:rsid w:val="00E46B2C"/>
    <w:rsid w:val="00E711F7"/>
    <w:rsid w:val="00E73AB9"/>
    <w:rsid w:val="00E7563E"/>
    <w:rsid w:val="00E849E2"/>
    <w:rsid w:val="00E944BB"/>
    <w:rsid w:val="00EA7D8E"/>
    <w:rsid w:val="00EA7EB0"/>
    <w:rsid w:val="00EC277C"/>
    <w:rsid w:val="00ED168D"/>
    <w:rsid w:val="00ED3617"/>
    <w:rsid w:val="00ED5AAA"/>
    <w:rsid w:val="00ED6DA8"/>
    <w:rsid w:val="00ED787A"/>
    <w:rsid w:val="00ED79FD"/>
    <w:rsid w:val="00ED7B00"/>
    <w:rsid w:val="00EE082E"/>
    <w:rsid w:val="00EF6044"/>
    <w:rsid w:val="00F160E4"/>
    <w:rsid w:val="00F162EF"/>
    <w:rsid w:val="00F17824"/>
    <w:rsid w:val="00F31BB1"/>
    <w:rsid w:val="00F369BB"/>
    <w:rsid w:val="00F434F2"/>
    <w:rsid w:val="00F474EE"/>
    <w:rsid w:val="00F67BF4"/>
    <w:rsid w:val="00F77ED1"/>
    <w:rsid w:val="00F86B99"/>
    <w:rsid w:val="00F90348"/>
    <w:rsid w:val="00F906C6"/>
    <w:rsid w:val="00F90B0E"/>
    <w:rsid w:val="00FC57BF"/>
    <w:rsid w:val="00FD316D"/>
    <w:rsid w:val="00FD4352"/>
    <w:rsid w:val="00FE3029"/>
    <w:rsid w:val="00FE3A7B"/>
    <w:rsid w:val="00FE6108"/>
    <w:rsid w:val="00FF5658"/>
    <w:rsid w:val="00FF70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basedOn w:val="Standardnpsmoodstavce"/>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basedOn w:val="Standardnpsmoodstavce"/>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3415</Words>
  <Characters>20154</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23522</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MP</cp:lastModifiedBy>
  <cp:revision>3</cp:revision>
  <cp:lastPrinted>2014-07-24T06:32:00Z</cp:lastPrinted>
  <dcterms:created xsi:type="dcterms:W3CDTF">2015-07-23T08:01:00Z</dcterms:created>
  <dcterms:modified xsi:type="dcterms:W3CDTF">2015-07-23T08:02:00Z</dcterms:modified>
</cp:coreProperties>
</file>