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1" w:rsidRPr="00EF6044" w:rsidRDefault="00917C71">
      <w:pPr>
        <w:pStyle w:val="nadpisvelik"/>
        <w:pageBreakBefore/>
        <w:spacing w:after="840"/>
        <w:rPr>
          <w:sz w:val="28"/>
          <w:szCs w:val="28"/>
        </w:rPr>
      </w:pPr>
      <w:r w:rsidRPr="00EF6044">
        <w:t>Poznámky k časovým řadám</w:t>
      </w:r>
    </w:p>
    <w:p w:rsidR="00917C71" w:rsidRPr="00EF6044" w:rsidRDefault="00917C71">
      <w:pPr>
        <w:pStyle w:val="nadpismal"/>
        <w:spacing w:after="600"/>
      </w:pPr>
      <w:r w:rsidRPr="00EF6044">
        <w:rPr>
          <w:sz w:val="32"/>
          <w:szCs w:val="32"/>
        </w:rPr>
        <w:tab/>
      </w: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 osoby v produktivním věku, 20-24 letí muži, ...). </w:t>
      </w:r>
      <w:r w:rsidRPr="00EF6044">
        <w:rPr>
          <w:b/>
          <w:bCs/>
        </w:rPr>
        <w:t>Dílčí úhrny</w:t>
      </w:r>
      <w:r w:rsidRPr="00EF6044">
        <w:t xml:space="preserve"> jsou potom podúhrny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7" o:title=""/>
          </v:shape>
          <o:OLEObject Type="Embed" ProgID="Equation.3" ShapeID="_x0000_i1025" DrawAspect="Content" ObjectID="_1467796944" r:id="rId8"/>
        </w:object>
      </w:r>
      <w:r w:rsidRPr="00EF6044">
        <w:rPr>
          <w:rFonts w:ascii="Arial" w:hAnsi="Arial"/>
          <w:position w:val="-30"/>
          <w:sz w:val="20"/>
        </w:rPr>
        <w:object w:dxaOrig="2940" w:dyaOrig="1020">
          <v:shape id="_x0000_i1026" type="#_x0000_t75" style="width:147pt;height:51pt" o:ole="">
            <v:imagedata r:id="rId9" o:title=""/>
          </v:shape>
          <o:OLEObject Type="Embed" ProgID="Equation.3" ShapeID="_x0000_i1026" DrawAspect="Content" ObjectID="_1467796945"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nahrazeno dílčím úhrnem y</w:t>
      </w:r>
      <w:r w:rsidRPr="00EF6044">
        <w:rPr>
          <w:rFonts w:ascii="Arial" w:hAnsi="Arial"/>
          <w:sz w:val="20"/>
          <w:vertAlign w:val="subscript"/>
        </w:rPr>
        <w:t>A</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int. spol. dílčího odhadu </w:t>
      </w:r>
      <w:r w:rsidRPr="00EF6044">
        <w:rPr>
          <w:rFonts w:ascii="Arial" w:hAnsi="Arial"/>
          <w:position w:val="-14"/>
          <w:sz w:val="20"/>
        </w:rPr>
        <w:object w:dxaOrig="2299" w:dyaOrig="380">
          <v:shape id="_x0000_i1027" type="#_x0000_t75" style="width:114.75pt;height:18.75pt" o:ole="">
            <v:imagedata r:id="rId11" o:title=""/>
          </v:shape>
          <o:OLEObject Type="Embed" ProgID="Equation.3" ShapeID="_x0000_i1027" DrawAspect="Content" ObjectID="_1467796946" r:id="rId12"/>
        </w:object>
      </w:r>
      <w:r w:rsidRPr="00EF6044">
        <w:rPr>
          <w:rFonts w:ascii="Arial" w:hAnsi="Arial"/>
          <w:position w:val="-30"/>
          <w:sz w:val="20"/>
        </w:rPr>
        <w:object w:dxaOrig="3040" w:dyaOrig="1080">
          <v:shape id="_x0000_i1028" type="#_x0000_t75" style="width:152.25pt;height:54pt" o:ole="">
            <v:imagedata r:id="rId13" o:title=""/>
          </v:shape>
          <o:OLEObject Type="Embed" ProgID="Equation.3" ShapeID="_x0000_i1028" DrawAspect="Content" ObjectID="_1467796947" r:id="rId14"/>
        </w:object>
      </w:r>
    </w:p>
    <w:p w:rsidR="00917C71" w:rsidRPr="00EF6044" w:rsidRDefault="00917C71">
      <w:pPr>
        <w:pStyle w:val="odstavecbn"/>
        <w:spacing w:before="360" w:after="0"/>
      </w:pPr>
      <w:r w:rsidRPr="00EF6044">
        <w:t xml:space="preserve">Při výpočtech je třeba pamatovat na to, že ačkoliv jsou úhrny publikovány v tisících, do vzorce se dosazují v jednotkách. Oba dva výrazy jsou zjednodušenými aproximacemi přesných vzorců. </w:t>
      </w:r>
      <w:r w:rsidRPr="00EF6044">
        <w:lastRenderedPageBreak/>
        <w:t>Odchylky mezi aproximacemi a přesnými vzorci nejsou ale statisticky významné. Vzorec pro dílčí úhrny však může dávat nepřesné výsledky pro malé odhady základního úhrnu.</w:t>
      </w:r>
    </w:p>
    <w:p w:rsidR="006104E5" w:rsidRPr="00EF6044" w:rsidRDefault="006104E5">
      <w:pPr>
        <w:pStyle w:val="odstavecbn"/>
      </w:pPr>
    </w:p>
    <w:p w:rsidR="00917C71" w:rsidRPr="00EF6044" w:rsidRDefault="00917C71">
      <w:pPr>
        <w:pStyle w:val="odstavecbn"/>
      </w:pPr>
      <w:r w:rsidRPr="00EF6044">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rsidR="00E41D32" w:rsidRPr="00EF6044" w:rsidRDefault="000544FA" w:rsidP="00E41D32">
      <w:pPr>
        <w:tabs>
          <w:tab w:val="left" w:pos="720"/>
          <w:tab w:val="left" w:pos="7938"/>
          <w:tab w:val="right" w:pos="9073"/>
        </w:tabs>
        <w:suppressAutoHyphens/>
        <w:ind w:left="1077" w:hanging="1077"/>
        <w:rPr>
          <w:rFonts w:ascii="Arial" w:hAnsi="Arial" w:cs="Arial"/>
          <w:sz w:val="20"/>
          <w:szCs w:val="28"/>
        </w:rPr>
      </w:pPr>
      <w:r w:rsidRPr="00EF6044">
        <w:rPr>
          <w:rFonts w:ascii="Arial" w:hAnsi="Arial" w:cs="Arial"/>
          <w:b/>
          <w:bCs/>
          <w:sz w:val="20"/>
          <w:szCs w:val="28"/>
        </w:rPr>
        <w:t>Tab I</w:t>
      </w:r>
      <w:r w:rsidRPr="00EF6044">
        <w:rPr>
          <w:rFonts w:ascii="Arial" w:hAnsi="Arial" w:cs="Arial"/>
          <w:b/>
          <w:bCs/>
          <w:sz w:val="20"/>
          <w:szCs w:val="28"/>
        </w:rPr>
        <w:tab/>
      </w:r>
      <w:r w:rsidRPr="00EF6044">
        <w:rPr>
          <w:rFonts w:ascii="Arial" w:hAnsi="Arial" w:cs="Arial"/>
          <w:b/>
          <w:bCs/>
          <w:sz w:val="20"/>
          <w:szCs w:val="28"/>
        </w:rPr>
        <w:tab/>
      </w:r>
      <w:r w:rsidR="00E41D32" w:rsidRPr="00EF6044">
        <w:rPr>
          <w:rFonts w:ascii="Arial" w:hAnsi="Arial" w:cs="Arial"/>
          <w:b/>
          <w:bCs/>
          <w:sz w:val="20"/>
          <w:szCs w:val="28"/>
        </w:rPr>
        <w:t>Odhady 95% intervalu spolehlivosti odhadů základních úhrnů za populaci 15letých a starších</w:t>
      </w:r>
      <w:r w:rsidR="00E41D32" w:rsidRPr="00EF6044">
        <w:rPr>
          <w:rFonts w:ascii="Arial" w:hAnsi="Arial" w:cs="Arial"/>
          <w:sz w:val="20"/>
          <w:szCs w:val="28"/>
        </w:rPr>
        <w:tab/>
        <w:t>(v tisících)</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EF6044">
        <w:rPr>
          <w:rFonts w:ascii="Arial" w:hAnsi="Arial" w:cs="Arial"/>
          <w:sz w:val="20"/>
          <w:szCs w:val="28"/>
        </w:rPr>
        <w:tab/>
        <w:t xml:space="preserve"> Varianty:</w:t>
      </w:r>
      <w:r w:rsidRPr="00EF6044">
        <w:rPr>
          <w:rFonts w:ascii="Arial" w:hAnsi="Arial" w:cs="Arial"/>
          <w:sz w:val="20"/>
          <w:szCs w:val="28"/>
        </w:rPr>
        <w:tab/>
        <w:t>1a</w:t>
      </w:r>
      <w:r w:rsidRPr="00EF6044">
        <w:rPr>
          <w:rFonts w:ascii="Arial" w:hAnsi="Arial" w:cs="Arial"/>
          <w:sz w:val="20"/>
          <w:szCs w:val="28"/>
        </w:rPr>
        <w:tab/>
        <w:t>pro čtvrtletní úhrny celkem</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EF6044">
        <w:rPr>
          <w:rFonts w:ascii="Arial" w:hAnsi="Arial" w:cs="Arial"/>
          <w:sz w:val="20"/>
          <w:szCs w:val="28"/>
        </w:rPr>
        <w:tab/>
      </w:r>
      <w:r w:rsidRPr="00EF6044">
        <w:rPr>
          <w:rFonts w:ascii="Arial" w:hAnsi="Arial" w:cs="Arial"/>
          <w:sz w:val="20"/>
          <w:szCs w:val="28"/>
        </w:rPr>
        <w:tab/>
      </w:r>
      <w:r w:rsidRPr="00EF6044">
        <w:rPr>
          <w:rFonts w:ascii="Arial" w:hAnsi="Arial" w:cs="Arial"/>
          <w:sz w:val="20"/>
          <w:szCs w:val="28"/>
        </w:rPr>
        <w:tab/>
        <w:t>1b</w:t>
      </w:r>
      <w:r w:rsidRPr="00EF6044">
        <w:rPr>
          <w:rFonts w:ascii="Arial" w:hAnsi="Arial" w:cs="Arial"/>
          <w:sz w:val="20"/>
          <w:szCs w:val="28"/>
        </w:rPr>
        <w:tab/>
        <w:t>pro čtvrtletní úhrny za muže a ženy</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EF6044">
        <w:rPr>
          <w:rFonts w:ascii="Arial" w:hAnsi="Arial" w:cs="Arial"/>
          <w:sz w:val="20"/>
          <w:szCs w:val="28"/>
        </w:rPr>
        <w:tab/>
      </w:r>
      <w:r w:rsidRPr="00EF6044">
        <w:rPr>
          <w:rFonts w:ascii="Arial" w:hAnsi="Arial" w:cs="Arial"/>
          <w:sz w:val="20"/>
          <w:szCs w:val="28"/>
        </w:rPr>
        <w:tab/>
      </w:r>
      <w:r w:rsidRPr="00EF6044">
        <w:rPr>
          <w:rFonts w:ascii="Arial" w:hAnsi="Arial" w:cs="Arial"/>
          <w:sz w:val="20"/>
          <w:szCs w:val="28"/>
        </w:rPr>
        <w:tab/>
        <w:t>2a</w:t>
      </w:r>
      <w:r w:rsidRPr="00EF6044">
        <w:rPr>
          <w:rFonts w:ascii="Arial" w:hAnsi="Arial" w:cs="Arial"/>
          <w:sz w:val="20"/>
          <w:szCs w:val="28"/>
        </w:rPr>
        <w:tab/>
        <w:t>pro roční úhrny celkem</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EF6044">
        <w:rPr>
          <w:rFonts w:ascii="Arial" w:hAnsi="Arial" w:cs="Arial"/>
          <w:sz w:val="20"/>
          <w:szCs w:val="28"/>
        </w:rPr>
        <w:tab/>
      </w:r>
      <w:r w:rsidRPr="00EF6044">
        <w:rPr>
          <w:rFonts w:ascii="Arial" w:hAnsi="Arial" w:cs="Arial"/>
          <w:sz w:val="20"/>
          <w:szCs w:val="28"/>
        </w:rPr>
        <w:tab/>
      </w:r>
      <w:r w:rsidRPr="00EF6044">
        <w:rPr>
          <w:rFonts w:ascii="Arial" w:hAnsi="Arial" w:cs="Arial"/>
          <w:sz w:val="20"/>
          <w:szCs w:val="28"/>
        </w:rPr>
        <w:tab/>
        <w:t>2b</w:t>
      </w:r>
      <w:r w:rsidRPr="00EF6044">
        <w:rPr>
          <w:rFonts w:ascii="Arial" w:hAnsi="Arial" w:cs="Arial"/>
          <w:sz w:val="20"/>
          <w:szCs w:val="28"/>
        </w:rPr>
        <w:tab/>
        <w:t>pro roční úhrny za muže a ženy</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EF6044">
        <w:rPr>
          <w:rFonts w:ascii="Arial" w:hAnsi="Arial" w:cs="Arial"/>
          <w:sz w:val="20"/>
          <w:szCs w:val="28"/>
        </w:rPr>
        <w:t xml:space="preserve">Tabulka je určena ke zjištění přibližného 95% intervalu spolehlivosti </w:t>
      </w:r>
      <w:r w:rsidRPr="00EF6044">
        <w:rPr>
          <w:rFonts w:ascii="Arial" w:hAnsi="Arial" w:cs="Arial"/>
          <w:b/>
          <w:bCs/>
          <w:sz w:val="20"/>
          <w:szCs w:val="28"/>
        </w:rPr>
        <w:t>základních úhrnů</w:t>
      </w:r>
      <w:r w:rsidRPr="00EF6044">
        <w:rPr>
          <w:rFonts w:ascii="Arial" w:hAnsi="Arial" w:cs="Arial"/>
          <w:sz w:val="20"/>
          <w:szCs w:val="28"/>
        </w:rPr>
        <w:t xml:space="preserve"> za základní soubor populace 15leté a starší ve všech krajích a České republice. Chceme-li se například dozvědět, jaká je spolehlivost odhadu počtu nezaměstnaných osob, jichž bylo ve 3. čtvrtletí 2013 </w:t>
      </w:r>
      <w:r w:rsidRPr="00EF6044">
        <w:rPr>
          <w:rFonts w:ascii="Arial" w:hAnsi="Arial"/>
          <w:sz w:val="20"/>
        </w:rPr>
        <w:t xml:space="preserve">369,6 </w:t>
      </w:r>
      <w:r w:rsidRPr="00EF6044">
        <w:rPr>
          <w:rFonts w:ascii="Arial" w:hAnsi="Arial" w:cs="Arial"/>
          <w:sz w:val="20"/>
        </w:rPr>
        <w:t> </w:t>
      </w:r>
      <w:r w:rsidRPr="00EF6044">
        <w:rPr>
          <w:rFonts w:ascii="Arial" w:hAnsi="Arial" w:cs="Arial"/>
          <w:sz w:val="20"/>
          <w:szCs w:val="28"/>
        </w:rPr>
        <w:t xml:space="preserve">tis., najdeme si v tabulce 1a ve sloupci Česká republika řádek nejbližší číslu </w:t>
      </w:r>
      <w:r w:rsidRPr="00EF6044">
        <w:rPr>
          <w:rFonts w:ascii="Arial" w:hAnsi="Arial"/>
          <w:sz w:val="20"/>
        </w:rPr>
        <w:t>369,6</w:t>
      </w:r>
      <w:r w:rsidRPr="00EF6044">
        <w:rPr>
          <w:rFonts w:ascii="Arial" w:hAnsi="Arial" w:cs="Arial"/>
          <w:sz w:val="20"/>
          <w:szCs w:val="28"/>
        </w:rPr>
        <w:t xml:space="preserve">. Pro velikost odhadu </w:t>
      </w:r>
      <w:r w:rsidRPr="00EF6044">
        <w:rPr>
          <w:rFonts w:ascii="Arial" w:hAnsi="Arial"/>
          <w:sz w:val="20"/>
        </w:rPr>
        <w:t>350,0</w:t>
      </w:r>
      <w:r w:rsidRPr="00EF6044">
        <w:rPr>
          <w:rFonts w:ascii="Arial" w:hAnsi="Arial" w:cs="Arial"/>
          <w:sz w:val="20"/>
        </w:rPr>
        <w:t> </w:t>
      </w:r>
      <w:r w:rsidRPr="00EF6044">
        <w:rPr>
          <w:rFonts w:ascii="Arial" w:hAnsi="Arial" w:cs="Arial"/>
          <w:sz w:val="20"/>
          <w:szCs w:val="28"/>
        </w:rPr>
        <w:t xml:space="preserve">tis. je to </w:t>
      </w:r>
      <w:r w:rsidRPr="00EF6044">
        <w:rPr>
          <w:rFonts w:ascii="Arial" w:hAnsi="Arial"/>
          <w:sz w:val="20"/>
        </w:rPr>
        <w:t>15,4</w:t>
      </w:r>
      <w:r w:rsidRPr="00EF6044">
        <w:rPr>
          <w:rFonts w:ascii="Arial" w:hAnsi="Arial" w:cs="Arial"/>
          <w:sz w:val="20"/>
        </w:rPr>
        <w:t> </w:t>
      </w:r>
      <w:r w:rsidRPr="00EF6044">
        <w:rPr>
          <w:rFonts w:ascii="Arial" w:hAnsi="Arial" w:cs="Arial"/>
          <w:sz w:val="20"/>
          <w:szCs w:val="28"/>
        </w:rPr>
        <w:t xml:space="preserve">tis. Další sousední hodnota je uvedena pro odhad o velikosti </w:t>
      </w:r>
      <w:r w:rsidRPr="00EF6044">
        <w:rPr>
          <w:rFonts w:ascii="Arial" w:hAnsi="Arial"/>
          <w:sz w:val="20"/>
        </w:rPr>
        <w:t>375,0</w:t>
      </w:r>
      <w:r w:rsidRPr="00EF6044">
        <w:rPr>
          <w:rFonts w:ascii="Arial" w:hAnsi="Arial" w:cs="Arial"/>
          <w:sz w:val="20"/>
        </w:rPr>
        <w:t> </w:t>
      </w:r>
      <w:r w:rsidRPr="00EF6044">
        <w:rPr>
          <w:rFonts w:ascii="Arial" w:hAnsi="Arial" w:cs="Arial"/>
          <w:sz w:val="20"/>
          <w:szCs w:val="28"/>
        </w:rPr>
        <w:t xml:space="preserve">tis., což je </w:t>
      </w:r>
      <w:r w:rsidRPr="00EF6044">
        <w:rPr>
          <w:rFonts w:ascii="Arial" w:hAnsi="Arial"/>
          <w:sz w:val="20"/>
        </w:rPr>
        <w:t>16,0</w:t>
      </w:r>
      <w:r w:rsidRPr="00EF6044">
        <w:rPr>
          <w:rFonts w:ascii="Arial" w:hAnsi="Arial" w:cs="Arial"/>
          <w:sz w:val="20"/>
        </w:rPr>
        <w:t> </w:t>
      </w:r>
      <w:r w:rsidRPr="00EF6044">
        <w:rPr>
          <w:rFonts w:ascii="Arial" w:hAnsi="Arial" w:cs="Arial"/>
          <w:sz w:val="20"/>
          <w:szCs w:val="28"/>
        </w:rPr>
        <w:t xml:space="preserve">tis. Protože rozdíl čísel </w:t>
      </w:r>
      <w:r w:rsidRPr="00EF6044">
        <w:rPr>
          <w:rFonts w:ascii="Arial" w:hAnsi="Arial"/>
          <w:sz w:val="20"/>
        </w:rPr>
        <w:t xml:space="preserve">369,6 </w:t>
      </w:r>
      <w:r w:rsidRPr="00EF6044">
        <w:rPr>
          <w:rFonts w:ascii="Arial" w:hAnsi="Arial" w:cs="Arial"/>
          <w:sz w:val="20"/>
        </w:rPr>
        <w:t> </w:t>
      </w:r>
      <w:r w:rsidRPr="00EF6044">
        <w:rPr>
          <w:rFonts w:ascii="Arial" w:hAnsi="Arial" w:cs="Arial"/>
          <w:sz w:val="20"/>
          <w:szCs w:val="28"/>
        </w:rPr>
        <w:t xml:space="preserve">a </w:t>
      </w:r>
      <w:r w:rsidRPr="00EF6044">
        <w:rPr>
          <w:rFonts w:ascii="Arial" w:hAnsi="Arial"/>
          <w:sz w:val="20"/>
        </w:rPr>
        <w:t>350,0</w:t>
      </w:r>
      <w:r w:rsidRPr="00EF6044">
        <w:rPr>
          <w:rFonts w:ascii="Arial" w:hAnsi="Arial" w:cs="Arial"/>
          <w:sz w:val="20"/>
        </w:rPr>
        <w:t> </w:t>
      </w:r>
      <w:r w:rsidRPr="00EF6044">
        <w:rPr>
          <w:rFonts w:ascii="Arial" w:hAnsi="Arial" w:cs="Arial"/>
          <w:sz w:val="20"/>
          <w:szCs w:val="28"/>
        </w:rPr>
        <w:t xml:space="preserve">tvoří přibližně třetinu rozdílu </w:t>
      </w:r>
      <w:r w:rsidRPr="00EF6044">
        <w:rPr>
          <w:rFonts w:ascii="Arial" w:hAnsi="Arial"/>
          <w:sz w:val="20"/>
        </w:rPr>
        <w:t>375,0</w:t>
      </w:r>
      <w:r w:rsidRPr="00EF6044">
        <w:rPr>
          <w:rFonts w:ascii="Arial" w:hAnsi="Arial" w:cs="Arial"/>
          <w:sz w:val="20"/>
        </w:rPr>
        <w:t> </w:t>
      </w:r>
      <w:r w:rsidRPr="00EF6044">
        <w:rPr>
          <w:rFonts w:ascii="Arial" w:hAnsi="Arial" w:cs="Arial"/>
          <w:sz w:val="20"/>
          <w:szCs w:val="28"/>
        </w:rPr>
        <w:t xml:space="preserve">a </w:t>
      </w:r>
      <w:r w:rsidRPr="00EF6044">
        <w:rPr>
          <w:rFonts w:ascii="Arial" w:hAnsi="Arial"/>
          <w:sz w:val="20"/>
        </w:rPr>
        <w:t>350,0</w:t>
      </w:r>
      <w:r w:rsidRPr="00EF6044">
        <w:rPr>
          <w:rFonts w:ascii="Arial" w:hAnsi="Arial" w:cs="Arial"/>
          <w:sz w:val="20"/>
          <w:szCs w:val="28"/>
        </w:rPr>
        <w:t xml:space="preserve">, přičteme k číslu </w:t>
      </w:r>
      <w:r w:rsidRPr="00EF6044">
        <w:rPr>
          <w:rFonts w:ascii="Arial" w:hAnsi="Arial"/>
          <w:sz w:val="20"/>
        </w:rPr>
        <w:t>15,4</w:t>
      </w:r>
      <w:r w:rsidRPr="00EF6044">
        <w:rPr>
          <w:rFonts w:ascii="Arial" w:hAnsi="Arial" w:cs="Arial"/>
          <w:sz w:val="20"/>
        </w:rPr>
        <w:t> </w:t>
      </w:r>
      <w:r w:rsidRPr="00EF6044">
        <w:rPr>
          <w:rFonts w:ascii="Arial" w:hAnsi="Arial" w:cs="Arial"/>
          <w:sz w:val="20"/>
          <w:szCs w:val="28"/>
        </w:rPr>
        <w:t xml:space="preserve">odpovídající část rozdílu </w:t>
      </w:r>
      <w:r w:rsidRPr="00EF6044">
        <w:rPr>
          <w:rFonts w:ascii="Arial" w:hAnsi="Arial"/>
          <w:sz w:val="20"/>
        </w:rPr>
        <w:t>16,0</w:t>
      </w:r>
      <w:r w:rsidRPr="00EF6044">
        <w:rPr>
          <w:rFonts w:ascii="Arial" w:hAnsi="Arial" w:cs="Arial"/>
          <w:sz w:val="20"/>
        </w:rPr>
        <w:t> </w:t>
      </w:r>
      <w:r w:rsidRPr="00EF6044">
        <w:rPr>
          <w:rFonts w:ascii="Arial" w:hAnsi="Arial" w:cs="Arial"/>
          <w:sz w:val="20"/>
          <w:szCs w:val="28"/>
        </w:rPr>
        <w:t xml:space="preserve">a </w:t>
      </w:r>
      <w:r w:rsidRPr="00EF6044">
        <w:rPr>
          <w:rFonts w:ascii="Arial" w:hAnsi="Arial"/>
          <w:sz w:val="20"/>
        </w:rPr>
        <w:t>15,4</w:t>
      </w:r>
      <w:r w:rsidRPr="00EF6044">
        <w:rPr>
          <w:rFonts w:ascii="Arial" w:hAnsi="Arial" w:cs="Arial"/>
          <w:sz w:val="20"/>
        </w:rPr>
        <w:t> </w:t>
      </w:r>
      <w:r w:rsidRPr="00EF6044">
        <w:rPr>
          <w:rFonts w:ascii="Arial" w:hAnsi="Arial" w:cs="Arial"/>
          <w:sz w:val="20"/>
          <w:szCs w:val="28"/>
        </w:rPr>
        <w:t xml:space="preserve">a získáme nakonec hodnotu </w:t>
      </w:r>
      <w:r w:rsidRPr="00EF6044">
        <w:rPr>
          <w:rFonts w:ascii="Arial" w:hAnsi="Arial"/>
          <w:sz w:val="20"/>
        </w:rPr>
        <w:t>15,9</w:t>
      </w:r>
      <w:r w:rsidRPr="00EF6044">
        <w:rPr>
          <w:rFonts w:ascii="Arial" w:hAnsi="Arial" w:cs="Arial"/>
          <w:sz w:val="20"/>
          <w:szCs w:val="28"/>
        </w:rPr>
        <w:t xml:space="preserve">. Výsledný 95% interval spolehlivosti pro odhad počtu nezaměstnaných osob ve 3. čtvrtletí 2013 je cca </w:t>
      </w:r>
      <w:r w:rsidRPr="00EF6044">
        <w:rPr>
          <w:rFonts w:ascii="Arial" w:hAnsi="Arial"/>
          <w:sz w:val="20"/>
        </w:rPr>
        <w:t xml:space="preserve">369,6 </w:t>
      </w:r>
      <w:r w:rsidRPr="00EF6044">
        <w:rPr>
          <w:rFonts w:ascii="Arial" w:hAnsi="Arial" w:cs="Arial"/>
          <w:sz w:val="20"/>
        </w:rPr>
        <w:t xml:space="preserve"> +/- </w:t>
      </w:r>
      <w:r w:rsidRPr="00EF6044">
        <w:rPr>
          <w:rFonts w:ascii="Arial" w:hAnsi="Arial"/>
          <w:sz w:val="20"/>
        </w:rPr>
        <w:t>15,9</w:t>
      </w:r>
      <w:r w:rsidRPr="00EF6044">
        <w:rPr>
          <w:rFonts w:ascii="Arial" w:hAnsi="Arial" w:cs="Arial"/>
          <w:sz w:val="20"/>
        </w:rPr>
        <w:t> </w:t>
      </w:r>
      <w:r w:rsidRPr="00EF6044">
        <w:rPr>
          <w:rFonts w:ascii="Arial" w:hAnsi="Arial" w:cs="Arial"/>
          <w:sz w:val="20"/>
          <w:szCs w:val="28"/>
        </w:rPr>
        <w:t xml:space="preserve">tis., tzn., že s 95% pravděpodobností nebyl skutečný počet nezaměstnaných osob v ČR nižší než </w:t>
      </w:r>
      <w:r w:rsidRPr="00EF6044">
        <w:rPr>
          <w:rFonts w:ascii="Arial" w:hAnsi="Arial"/>
          <w:sz w:val="20"/>
        </w:rPr>
        <w:t>353,7</w:t>
      </w:r>
      <w:r w:rsidRPr="00EF6044">
        <w:rPr>
          <w:rFonts w:ascii="Arial" w:hAnsi="Arial" w:cs="Arial"/>
          <w:sz w:val="20"/>
        </w:rPr>
        <w:t> </w:t>
      </w:r>
      <w:r w:rsidRPr="00EF6044">
        <w:rPr>
          <w:rFonts w:ascii="Arial" w:hAnsi="Arial" w:cs="Arial"/>
          <w:sz w:val="20"/>
          <w:szCs w:val="28"/>
        </w:rPr>
        <w:t xml:space="preserve">tis. a zároveň vyšší než </w:t>
      </w:r>
      <w:r w:rsidR="00294767">
        <w:rPr>
          <w:rFonts w:ascii="Arial" w:hAnsi="Arial" w:cs="Arial"/>
          <w:sz w:val="20"/>
          <w:szCs w:val="28"/>
        </w:rPr>
        <w:t>385,4</w:t>
      </w:r>
      <w:r w:rsidRPr="00EF6044">
        <w:rPr>
          <w:rFonts w:ascii="Arial" w:hAnsi="Arial" w:cs="Arial"/>
          <w:sz w:val="20"/>
        </w:rPr>
        <w:t> </w:t>
      </w:r>
      <w:r w:rsidRPr="00EF6044">
        <w:rPr>
          <w:rFonts w:ascii="Arial" w:hAnsi="Arial" w:cs="Arial"/>
          <w:sz w:val="20"/>
          <w:szCs w:val="28"/>
        </w:rPr>
        <w:t xml:space="preserve">tisíc osob. </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rsidR="00E41D32" w:rsidRPr="00EF6044" w:rsidRDefault="00E41D32" w:rsidP="00E41D32">
      <w:pPr>
        <w:spacing w:before="480" w:line="233" w:lineRule="auto"/>
        <w:ind w:left="1077" w:hanging="1077"/>
        <w:jc w:val="both"/>
        <w:rPr>
          <w:rFonts w:ascii="Arial" w:hAnsi="Arial" w:cs="Arial"/>
          <w:b/>
          <w:bCs/>
          <w:sz w:val="20"/>
        </w:rPr>
      </w:pPr>
      <w:r w:rsidRPr="00EF6044">
        <w:rPr>
          <w:rFonts w:ascii="Arial" w:hAnsi="Arial" w:cs="Arial"/>
          <w:b/>
          <w:bCs/>
          <w:sz w:val="20"/>
        </w:rPr>
        <w:t>Tab II</w:t>
      </w:r>
      <w:r w:rsidRPr="00EF6044">
        <w:rPr>
          <w:rFonts w:ascii="Arial" w:hAnsi="Arial" w:cs="Arial"/>
          <w:b/>
          <w:bCs/>
          <w:sz w:val="20"/>
        </w:rPr>
        <w:tab/>
        <w:t>Odhady 95% intervalu spolehlivosti odhadů dílčích úhrnů za populaci 15letých a starších na úrovni ČR</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EF6044">
        <w:rPr>
          <w:rFonts w:ascii="Arial" w:hAnsi="Arial" w:cs="Arial"/>
          <w:sz w:val="20"/>
          <w:szCs w:val="28"/>
        </w:rPr>
        <w:tab/>
        <w:t>Varianty:</w:t>
      </w:r>
      <w:r w:rsidRPr="00EF6044">
        <w:rPr>
          <w:rFonts w:ascii="Arial" w:hAnsi="Arial" w:cs="Arial"/>
          <w:sz w:val="20"/>
          <w:szCs w:val="28"/>
        </w:rPr>
        <w:tab/>
        <w:t>1a</w:t>
      </w:r>
      <w:r w:rsidRPr="00EF6044">
        <w:rPr>
          <w:rFonts w:ascii="Arial" w:hAnsi="Arial" w:cs="Arial"/>
          <w:sz w:val="20"/>
          <w:szCs w:val="28"/>
        </w:rPr>
        <w:tab/>
        <w:t>pro roční úhrny celkem</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EF6044">
        <w:rPr>
          <w:rFonts w:ascii="Arial" w:hAnsi="Arial" w:cs="Arial"/>
          <w:sz w:val="20"/>
          <w:szCs w:val="28"/>
        </w:rPr>
        <w:tab/>
      </w:r>
      <w:r w:rsidRPr="00EF6044">
        <w:rPr>
          <w:rFonts w:ascii="Arial" w:hAnsi="Arial" w:cs="Arial"/>
          <w:sz w:val="20"/>
          <w:szCs w:val="28"/>
        </w:rPr>
        <w:tab/>
      </w:r>
      <w:r w:rsidRPr="00EF6044">
        <w:rPr>
          <w:rFonts w:ascii="Arial" w:hAnsi="Arial" w:cs="Arial"/>
          <w:sz w:val="20"/>
          <w:szCs w:val="28"/>
        </w:rPr>
        <w:tab/>
        <w:t>1b</w:t>
      </w:r>
      <w:r w:rsidRPr="00EF6044">
        <w:rPr>
          <w:rFonts w:ascii="Arial" w:hAnsi="Arial" w:cs="Arial"/>
          <w:sz w:val="20"/>
          <w:szCs w:val="28"/>
        </w:rPr>
        <w:tab/>
        <w:t>pro roční úhrny za muže a ženy</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EF6044">
        <w:rPr>
          <w:rFonts w:ascii="Arial" w:hAnsi="Arial" w:cs="Arial"/>
          <w:sz w:val="20"/>
          <w:szCs w:val="28"/>
        </w:rPr>
        <w:t xml:space="preserve">Tabulka je určena ke zjištění přibližného 95% intervalu spolehlivosti </w:t>
      </w:r>
      <w:r w:rsidRPr="00EF6044">
        <w:rPr>
          <w:rFonts w:ascii="Arial" w:hAnsi="Arial" w:cs="Arial"/>
          <w:b/>
          <w:bCs/>
          <w:sz w:val="20"/>
          <w:szCs w:val="28"/>
        </w:rPr>
        <w:t>dílčích úhrnů</w:t>
      </w:r>
      <w:r w:rsidRPr="00EF6044">
        <w:rPr>
          <w:rFonts w:ascii="Arial" w:hAnsi="Arial" w:cs="Arial"/>
          <w:sz w:val="20"/>
          <w:szCs w:val="28"/>
        </w:rPr>
        <w:t xml:space="preserve"> za základní soubor populace 15leté a starší, a to </w:t>
      </w:r>
      <w:r w:rsidRPr="00EF6044">
        <w:rPr>
          <w:rFonts w:ascii="Arial" w:hAnsi="Arial" w:cs="Arial"/>
          <w:b/>
          <w:bCs/>
          <w:sz w:val="20"/>
          <w:szCs w:val="28"/>
        </w:rPr>
        <w:t>pouze na úrovni České republiky</w:t>
      </w:r>
      <w:r w:rsidRPr="00EF6044">
        <w:rPr>
          <w:rFonts w:ascii="Arial" w:hAnsi="Arial" w:cs="Arial"/>
          <w:sz w:val="20"/>
          <w:szCs w:val="28"/>
        </w:rPr>
        <w:t xml:space="preserve">. Chceme-li například zjistit spolehlivost odhadu zaměstnaných ve zpracovatelském průmyslu v roce 2013, jichž bylo </w:t>
      </w:r>
      <w:r w:rsidRPr="00EF6044">
        <w:rPr>
          <w:rFonts w:ascii="Arial" w:hAnsi="Arial"/>
          <w:sz w:val="20"/>
        </w:rPr>
        <w:t>1285,3</w:t>
      </w:r>
      <w:r w:rsidRPr="00EF6044">
        <w:rPr>
          <w:rFonts w:ascii="Arial" w:hAnsi="Arial" w:cs="Arial"/>
          <w:sz w:val="20"/>
        </w:rPr>
        <w:t> </w:t>
      </w:r>
      <w:r w:rsidRPr="00EF6044">
        <w:rPr>
          <w:rFonts w:ascii="Arial" w:hAnsi="Arial" w:cs="Arial"/>
          <w:sz w:val="20"/>
          <w:szCs w:val="28"/>
        </w:rPr>
        <w:t>tis. ze </w:t>
      </w:r>
      <w:r w:rsidRPr="00EF6044">
        <w:rPr>
          <w:rFonts w:ascii="Arial" w:hAnsi="Arial"/>
          <w:sz w:val="20"/>
        </w:rPr>
        <w:t>4937,1</w:t>
      </w:r>
      <w:r w:rsidRPr="00EF6044">
        <w:rPr>
          <w:rFonts w:ascii="Arial" w:hAnsi="Arial" w:cs="Arial"/>
          <w:sz w:val="20"/>
        </w:rPr>
        <w:t> </w:t>
      </w:r>
      <w:r w:rsidRPr="00EF6044">
        <w:rPr>
          <w:rFonts w:ascii="Arial" w:hAnsi="Arial" w:cs="Arial"/>
          <w:sz w:val="20"/>
          <w:szCs w:val="28"/>
        </w:rPr>
        <w:t xml:space="preserve">tis. zaměstnaných (tedy </w:t>
      </w:r>
      <w:r w:rsidRPr="00EF6044">
        <w:rPr>
          <w:rFonts w:ascii="Arial" w:hAnsi="Arial"/>
          <w:sz w:val="20"/>
        </w:rPr>
        <w:t>26,0</w:t>
      </w:r>
      <w:r w:rsidRPr="00EF6044">
        <w:rPr>
          <w:rFonts w:ascii="Arial" w:hAnsi="Arial" w:cs="Arial"/>
          <w:sz w:val="20"/>
        </w:rPr>
        <w:t> </w:t>
      </w:r>
      <w:r w:rsidRPr="00EF6044">
        <w:rPr>
          <w:rFonts w:ascii="Arial" w:hAnsi="Arial" w:cs="Arial"/>
          <w:sz w:val="20"/>
          <w:szCs w:val="28"/>
        </w:rPr>
        <w:t xml:space="preserve">% všech zaměstnaných), vyhledáme v tabulce hodnotu v řádku přibližně odpovídajícímu hodnotě </w:t>
      </w:r>
      <w:r w:rsidRPr="00EF6044">
        <w:rPr>
          <w:rFonts w:ascii="Arial" w:hAnsi="Arial"/>
          <w:sz w:val="20"/>
        </w:rPr>
        <w:t xml:space="preserve">4937,1 </w:t>
      </w:r>
      <w:r w:rsidRPr="00EF6044">
        <w:rPr>
          <w:rFonts w:ascii="Arial" w:hAnsi="Arial" w:cs="Arial"/>
          <w:sz w:val="20"/>
          <w:szCs w:val="28"/>
        </w:rPr>
        <w:t xml:space="preserve">a ve sloupci přibližně odpovídajícímu hodnotě </w:t>
      </w:r>
      <w:r w:rsidRPr="00EF6044">
        <w:rPr>
          <w:rFonts w:ascii="Arial" w:hAnsi="Arial"/>
          <w:sz w:val="20"/>
        </w:rPr>
        <w:t>26,0</w:t>
      </w:r>
      <w:r w:rsidRPr="00EF6044">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E41D32" w:rsidRPr="00EF6044" w:rsidTr="004A3EA4">
        <w:trPr>
          <w:cantSplit/>
        </w:trPr>
        <w:tc>
          <w:tcPr>
            <w:tcW w:w="1140" w:type="dxa"/>
            <w:tcBorders>
              <w:top w:val="single" w:sz="12" w:space="0" w:color="auto"/>
              <w:bottom w:val="single" w:sz="8" w:space="0" w:color="auto"/>
              <w:right w:val="single" w:sz="8" w:space="0" w:color="auto"/>
            </w:tcBorders>
            <w:vAlign w:val="center"/>
          </w:tcPr>
          <w:p w:rsidR="00E41D32" w:rsidRPr="00EF6044" w:rsidRDefault="00E41D32" w:rsidP="00E41D32">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26,0</w:t>
            </w:r>
          </w:p>
        </w:tc>
        <w:tc>
          <w:tcPr>
            <w:tcW w:w="2520" w:type="dxa"/>
            <w:tcBorders>
              <w:top w:val="single" w:sz="12" w:space="0" w:color="auto"/>
              <w:left w:val="dotted" w:sz="4" w:space="0" w:color="auto"/>
              <w:bottom w:val="single" w:sz="8"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30</w:t>
            </w:r>
          </w:p>
        </w:tc>
      </w:tr>
      <w:tr w:rsidR="00E41D32" w:rsidRPr="00EF6044" w:rsidTr="004A3EA4">
        <w:trPr>
          <w:cantSplit/>
        </w:trPr>
        <w:tc>
          <w:tcPr>
            <w:tcW w:w="1140" w:type="dxa"/>
            <w:tcBorders>
              <w:top w:val="single" w:sz="8" w:space="0" w:color="auto"/>
              <w:bottom w:val="dotted" w:sz="4" w:space="0" w:color="auto"/>
              <w:right w:val="single" w:sz="8"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0,45</w:t>
            </w:r>
          </w:p>
        </w:tc>
      </w:tr>
      <w:tr w:rsidR="00E41D32" w:rsidRPr="00EF6044" w:rsidTr="004A3EA4">
        <w:trPr>
          <w:cantSplit/>
        </w:trPr>
        <w:tc>
          <w:tcPr>
            <w:tcW w:w="1140" w:type="dxa"/>
            <w:tcBorders>
              <w:top w:val="dotted" w:sz="4" w:space="0" w:color="auto"/>
              <w:bottom w:val="dotted" w:sz="4" w:space="0" w:color="auto"/>
              <w:right w:val="single" w:sz="8"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cs="Arial"/>
                <w:sz w:val="20"/>
              </w:rPr>
              <w:t>4937,1</w:t>
            </w:r>
          </w:p>
        </w:tc>
        <w:tc>
          <w:tcPr>
            <w:tcW w:w="2640" w:type="dxa"/>
            <w:tcBorders>
              <w:top w:val="dotted" w:sz="4" w:space="0" w:color="auto"/>
              <w:left w:val="single" w:sz="8" w:space="0" w:color="auto"/>
              <w:bottom w:val="dotted" w:sz="4" w:space="0" w:color="auto"/>
              <w:right w:val="dotted" w:sz="4" w:space="0" w:color="auto"/>
            </w:tcBorders>
            <w:vAlign w:val="center"/>
          </w:tcPr>
          <w:p w:rsidR="00E41D32" w:rsidRPr="00EF6044" w:rsidRDefault="005E271A" w:rsidP="00E41D32">
            <w:pPr>
              <w:keepNext/>
              <w:keepLines/>
              <w:spacing w:before="79"/>
              <w:jc w:val="center"/>
              <w:rPr>
                <w:rFonts w:ascii="Arial" w:hAnsi="Arial" w:cs="Arial"/>
                <w:sz w:val="20"/>
              </w:rPr>
            </w:pPr>
            <w:r w:rsidRPr="00EF6044">
              <w:rPr>
                <w:rFonts w:ascii="Arial" w:hAnsi="Arial" w:cs="Arial"/>
                <w:sz w:val="20"/>
              </w:rPr>
              <w:t>cca 0,413</w:t>
            </w:r>
          </w:p>
          <w:p w:rsidR="00E41D32" w:rsidRPr="00EF6044" w:rsidRDefault="00E41D32" w:rsidP="00E41D32">
            <w:pPr>
              <w:keepNext/>
              <w:keepLines/>
              <w:spacing w:before="79"/>
              <w:jc w:val="center"/>
              <w:rPr>
                <w:rFonts w:ascii="Arial" w:hAnsi="Arial" w:cs="Arial"/>
                <w:sz w:val="20"/>
              </w:rPr>
            </w:pPr>
            <w:r w:rsidRPr="00EF6044">
              <w:rPr>
                <w:rFonts w:ascii="Arial" w:hAnsi="Arial" w:cs="Arial"/>
                <w:sz w:val="20"/>
              </w:rPr>
              <w:t>=0,43-(4937,1</w:t>
            </w:r>
          </w:p>
          <w:p w:rsidR="00E41D32" w:rsidRPr="00EF6044" w:rsidRDefault="00E41D32" w:rsidP="00E41D32">
            <w:pPr>
              <w:keepNext/>
              <w:keepLines/>
              <w:spacing w:after="28"/>
              <w:jc w:val="center"/>
              <w:rPr>
                <w:rFonts w:ascii="Arial" w:hAnsi="Arial" w:cs="Arial"/>
                <w:sz w:val="20"/>
              </w:rPr>
            </w:pPr>
            <w:r w:rsidRPr="00EF6044">
              <w:rPr>
                <w:rFonts w:ascii="Arial" w:hAnsi="Arial" w:cs="Arial"/>
                <w:sz w:val="20"/>
              </w:rPr>
              <w:t>-4500)/(5000-4500)*(0,43-0,41)</w:t>
            </w:r>
          </w:p>
        </w:tc>
        <w:tc>
          <w:tcPr>
            <w:tcW w:w="2700" w:type="dxa"/>
            <w:tcBorders>
              <w:top w:val="dotted" w:sz="4" w:space="0" w:color="auto"/>
              <w:left w:val="dotted" w:sz="4" w:space="0" w:color="auto"/>
              <w:bottom w:val="dotted" w:sz="4" w:space="0" w:color="auto"/>
              <w:right w:val="dotted" w:sz="4" w:space="0" w:color="auto"/>
            </w:tcBorders>
            <w:vAlign w:val="center"/>
          </w:tcPr>
          <w:p w:rsidR="00E41D32" w:rsidRPr="00EF6044" w:rsidRDefault="002B4C95" w:rsidP="00E41D32">
            <w:pPr>
              <w:keepNext/>
              <w:keepLines/>
              <w:spacing w:before="79"/>
              <w:jc w:val="center"/>
              <w:rPr>
                <w:rFonts w:ascii="Arial" w:hAnsi="Arial" w:cs="Arial"/>
                <w:b/>
                <w:bCs/>
                <w:sz w:val="20"/>
              </w:rPr>
            </w:pPr>
            <w:r w:rsidRPr="00EF6044">
              <w:rPr>
                <w:rFonts w:ascii="Arial" w:hAnsi="Arial" w:cs="Arial"/>
                <w:b/>
                <w:bCs/>
                <w:sz w:val="20"/>
              </w:rPr>
              <w:t>cca 0,41</w:t>
            </w:r>
            <w:r w:rsidR="004A3EA4" w:rsidRPr="00EF6044">
              <w:rPr>
                <w:rFonts w:ascii="Arial" w:hAnsi="Arial" w:cs="Arial"/>
                <w:b/>
                <w:bCs/>
                <w:sz w:val="20"/>
              </w:rPr>
              <w:t>7</w:t>
            </w:r>
          </w:p>
          <w:p w:rsidR="00E41D32" w:rsidRPr="00EF6044" w:rsidRDefault="002B4C95" w:rsidP="00E41D32">
            <w:pPr>
              <w:keepNext/>
              <w:keepLines/>
              <w:spacing w:after="28"/>
              <w:jc w:val="center"/>
              <w:rPr>
                <w:rFonts w:ascii="Arial" w:hAnsi="Arial" w:cs="Arial"/>
                <w:sz w:val="20"/>
              </w:rPr>
            </w:pPr>
            <w:r w:rsidRPr="00EF6044">
              <w:rPr>
                <w:rFonts w:ascii="Arial" w:hAnsi="Arial" w:cs="Arial"/>
                <w:b/>
                <w:bCs/>
                <w:sz w:val="20"/>
              </w:rPr>
              <w:t>=0,413</w:t>
            </w:r>
            <w:r w:rsidR="00E41D32" w:rsidRPr="00EF6044">
              <w:rPr>
                <w:rFonts w:ascii="Arial" w:hAnsi="Arial" w:cs="Arial"/>
                <w:b/>
                <w:bCs/>
                <w:sz w:val="20"/>
              </w:rPr>
              <w:t>+(</w:t>
            </w:r>
            <w:r w:rsidR="00E41D32" w:rsidRPr="00EF6044">
              <w:rPr>
                <w:rFonts w:ascii="Arial" w:hAnsi="Arial" w:cs="Arial"/>
                <w:b/>
                <w:bCs/>
                <w:sz w:val="20"/>
                <w:szCs w:val="20"/>
              </w:rPr>
              <w:t>26,0</w:t>
            </w:r>
            <w:r w:rsidR="00E41D32" w:rsidRPr="00EF6044">
              <w:rPr>
                <w:rFonts w:ascii="Arial" w:hAnsi="Arial" w:cs="Arial"/>
                <w:b/>
                <w:bCs/>
                <w:sz w:val="20"/>
              </w:rPr>
              <w:t>-</w:t>
            </w:r>
            <w:r w:rsidR="00E41D32" w:rsidRPr="00EF6044">
              <w:rPr>
                <w:rFonts w:ascii="Arial" w:hAnsi="Arial" w:cs="Arial"/>
                <w:b/>
                <w:sz w:val="20"/>
                <w:szCs w:val="20"/>
              </w:rPr>
              <w:t>25</w:t>
            </w:r>
            <w:r w:rsidR="00E41D32" w:rsidRPr="00EF6044">
              <w:rPr>
                <w:rFonts w:ascii="Arial" w:hAnsi="Arial" w:cs="Arial"/>
                <w:b/>
                <w:bCs/>
                <w:sz w:val="20"/>
              </w:rPr>
              <w:t>)/(</w:t>
            </w:r>
            <w:r w:rsidR="00E41D32" w:rsidRPr="00EF6044">
              <w:rPr>
                <w:rFonts w:ascii="Arial" w:hAnsi="Arial" w:cs="Arial"/>
                <w:b/>
                <w:sz w:val="20"/>
                <w:szCs w:val="20"/>
              </w:rPr>
              <w:t>30</w:t>
            </w:r>
            <w:r w:rsidR="00E41D32" w:rsidRPr="00EF6044">
              <w:rPr>
                <w:rFonts w:ascii="Arial" w:hAnsi="Arial" w:cs="Arial"/>
                <w:b/>
                <w:bCs/>
                <w:sz w:val="20"/>
              </w:rPr>
              <w:t>-</w:t>
            </w:r>
            <w:r w:rsidR="00E41D32" w:rsidRPr="00EF6044">
              <w:rPr>
                <w:rFonts w:ascii="Arial" w:hAnsi="Arial"/>
                <w:b/>
                <w:sz w:val="20"/>
              </w:rPr>
              <w:t>25</w:t>
            </w:r>
            <w:r w:rsidR="00E41D32" w:rsidRPr="00EF6044">
              <w:rPr>
                <w:rFonts w:ascii="Arial" w:hAnsi="Arial" w:cs="Arial"/>
                <w:b/>
                <w:bCs/>
                <w:sz w:val="20"/>
              </w:rPr>
              <w:t>)* (</w:t>
            </w:r>
            <w:r w:rsidRPr="00EF6044">
              <w:rPr>
                <w:rFonts w:ascii="Arial" w:hAnsi="Arial"/>
                <w:b/>
                <w:sz w:val="20"/>
              </w:rPr>
              <w:t>0,433</w:t>
            </w:r>
            <w:r w:rsidRPr="00EF6044">
              <w:rPr>
                <w:rFonts w:ascii="Arial" w:hAnsi="Arial" w:cs="Arial"/>
                <w:b/>
                <w:bCs/>
                <w:sz w:val="20"/>
              </w:rPr>
              <w:t>-0,413</w:t>
            </w:r>
            <w:r w:rsidR="00E41D32" w:rsidRPr="00EF6044">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E41D32" w:rsidRPr="00EF6044" w:rsidRDefault="00E41D32" w:rsidP="00E41D32">
            <w:pPr>
              <w:keepNext/>
              <w:keepLines/>
              <w:spacing w:before="79"/>
              <w:jc w:val="center"/>
              <w:rPr>
                <w:rFonts w:ascii="Arial" w:hAnsi="Arial" w:cs="Arial"/>
                <w:sz w:val="20"/>
              </w:rPr>
            </w:pPr>
            <w:r w:rsidRPr="00EF6044">
              <w:rPr>
                <w:rFonts w:ascii="Arial" w:hAnsi="Arial" w:cs="Arial"/>
                <w:sz w:val="20"/>
              </w:rPr>
              <w:t>cca 0</w:t>
            </w:r>
            <w:r w:rsidR="005E271A" w:rsidRPr="00EF6044">
              <w:rPr>
                <w:rFonts w:ascii="Arial" w:hAnsi="Arial" w:cs="Arial"/>
                <w:sz w:val="20"/>
              </w:rPr>
              <w:t>,433</w:t>
            </w:r>
          </w:p>
          <w:p w:rsidR="00E41D32" w:rsidRPr="00EF6044" w:rsidRDefault="00E41D32" w:rsidP="00E41D32">
            <w:pPr>
              <w:keepNext/>
              <w:keepLines/>
              <w:spacing w:before="79"/>
              <w:jc w:val="center"/>
              <w:rPr>
                <w:rFonts w:ascii="Arial" w:hAnsi="Arial" w:cs="Arial"/>
                <w:sz w:val="20"/>
              </w:rPr>
            </w:pPr>
            <w:r w:rsidRPr="00EF6044">
              <w:rPr>
                <w:rFonts w:ascii="Arial" w:hAnsi="Arial" w:cs="Arial"/>
                <w:sz w:val="20"/>
              </w:rPr>
              <w:t>=0,45-(4937,1</w:t>
            </w:r>
          </w:p>
          <w:p w:rsidR="00E41D32" w:rsidRPr="00EF6044" w:rsidRDefault="00E41D32" w:rsidP="00E41D32">
            <w:pPr>
              <w:keepNext/>
              <w:keepLines/>
              <w:spacing w:before="79"/>
              <w:jc w:val="center"/>
              <w:rPr>
                <w:rFonts w:ascii="Arial" w:hAnsi="Arial" w:cs="Arial"/>
                <w:sz w:val="20"/>
              </w:rPr>
            </w:pPr>
            <w:r w:rsidRPr="00EF6044">
              <w:rPr>
                <w:rFonts w:ascii="Arial" w:hAnsi="Arial" w:cs="Arial"/>
                <w:sz w:val="20"/>
              </w:rPr>
              <w:t>-4500)/(5000-4500)*(0,45-0,43)</w:t>
            </w:r>
          </w:p>
        </w:tc>
      </w:tr>
      <w:tr w:rsidR="00E41D32" w:rsidRPr="00EF6044" w:rsidTr="004A3EA4">
        <w:trPr>
          <w:cantSplit/>
        </w:trPr>
        <w:tc>
          <w:tcPr>
            <w:tcW w:w="1140" w:type="dxa"/>
            <w:tcBorders>
              <w:top w:val="dotted" w:sz="4" w:space="0" w:color="auto"/>
              <w:bottom w:val="single" w:sz="12" w:space="0" w:color="auto"/>
              <w:right w:val="single" w:sz="8"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E41D32" w:rsidRPr="00EF6044" w:rsidRDefault="00E41D32" w:rsidP="00E41D32">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E41D32" w:rsidRPr="00EF6044" w:rsidRDefault="00E41D32" w:rsidP="00E41D32">
            <w:pPr>
              <w:keepNext/>
              <w:keepLines/>
              <w:spacing w:before="79" w:after="28"/>
              <w:jc w:val="center"/>
              <w:rPr>
                <w:rFonts w:ascii="Arial" w:hAnsi="Arial" w:cs="Arial"/>
                <w:sz w:val="20"/>
              </w:rPr>
            </w:pPr>
            <w:r w:rsidRPr="00EF6044">
              <w:rPr>
                <w:rFonts w:ascii="Arial" w:hAnsi="Arial"/>
                <w:sz w:val="20"/>
              </w:rPr>
              <w:t>0,43</w:t>
            </w:r>
          </w:p>
        </w:tc>
      </w:tr>
    </w:tbl>
    <w:p w:rsidR="00E41D32" w:rsidRPr="00EF6044" w:rsidRDefault="00E41D32" w:rsidP="00E41D32">
      <w:pPr>
        <w:widowControl w:val="0"/>
        <w:spacing w:before="840"/>
        <w:jc w:val="both"/>
        <w:rPr>
          <w:rFonts w:ascii="Arial" w:hAnsi="Arial" w:cs="Arial"/>
          <w:sz w:val="20"/>
        </w:rPr>
      </w:pPr>
      <w:r w:rsidRPr="00EF6044">
        <w:rPr>
          <w:rFonts w:ascii="Arial" w:hAnsi="Arial" w:cs="Arial"/>
          <w:sz w:val="20"/>
        </w:rPr>
        <w:t xml:space="preserve">Tzn., že s 95% pravděpodobností nebylo zaměstnaných ve zpracovatelském průmyslu méně než </w:t>
      </w:r>
      <w:r w:rsidRPr="00EF6044">
        <w:rPr>
          <w:rFonts w:ascii="Arial" w:hAnsi="Arial"/>
          <w:sz w:val="20"/>
        </w:rPr>
        <w:t>26,0</w:t>
      </w:r>
      <w:r w:rsidRPr="00EF6044">
        <w:rPr>
          <w:rFonts w:ascii="Arial" w:hAnsi="Arial" w:cs="Arial"/>
          <w:sz w:val="20"/>
        </w:rPr>
        <w:t> </w:t>
      </w:r>
      <w:r w:rsidR="004F4573" w:rsidRPr="00EF6044">
        <w:rPr>
          <w:rFonts w:ascii="Arial" w:hAnsi="Arial" w:cs="Arial"/>
          <w:sz w:val="20"/>
        </w:rPr>
        <w:t xml:space="preserve">% - </w:t>
      </w:r>
      <w:r w:rsidR="00D541E9" w:rsidRPr="00EF6044">
        <w:rPr>
          <w:rFonts w:ascii="Arial" w:eastAsiaTheme="minorEastAsia" w:hAnsi="Arial" w:cs="Arial"/>
          <w:bCs/>
          <w:sz w:val="20"/>
          <w:szCs w:val="20"/>
        </w:rPr>
        <w:t>cca 0,417</w:t>
      </w:r>
      <w:r w:rsidR="00D541E9" w:rsidRPr="00EF6044">
        <w:rPr>
          <w:rFonts w:ascii="Arial" w:hAnsi="Arial" w:cs="Arial"/>
          <w:sz w:val="20"/>
        </w:rPr>
        <w:t> </w:t>
      </w:r>
      <w:r w:rsidRPr="00EF6044">
        <w:rPr>
          <w:rFonts w:ascii="Arial" w:hAnsi="Arial" w:cs="Arial"/>
          <w:sz w:val="20"/>
        </w:rPr>
        <w:t>% (</w:t>
      </w:r>
      <w:r w:rsidRPr="00EF6044">
        <w:rPr>
          <w:rFonts w:ascii="Arial" w:hAnsi="Arial"/>
          <w:sz w:val="20"/>
        </w:rPr>
        <w:t>1264,7</w:t>
      </w:r>
      <w:r w:rsidRPr="00EF6044">
        <w:rPr>
          <w:rFonts w:ascii="Arial" w:hAnsi="Arial" w:cs="Arial"/>
          <w:sz w:val="20"/>
        </w:rPr>
        <w:t xml:space="preserve"> tis.) a více než </w:t>
      </w:r>
      <w:r w:rsidRPr="00EF6044">
        <w:rPr>
          <w:rFonts w:ascii="Arial" w:hAnsi="Arial"/>
          <w:sz w:val="20"/>
        </w:rPr>
        <w:t>26,0</w:t>
      </w:r>
      <w:r w:rsidR="004F4573" w:rsidRPr="00EF6044">
        <w:rPr>
          <w:rFonts w:ascii="Arial" w:hAnsi="Arial" w:cs="Arial"/>
          <w:sz w:val="20"/>
        </w:rPr>
        <w:t xml:space="preserve"> %+ </w:t>
      </w:r>
      <w:r w:rsidR="00D541E9" w:rsidRPr="00EF6044">
        <w:rPr>
          <w:rFonts w:ascii="Arial" w:eastAsiaTheme="minorEastAsia" w:hAnsi="Arial" w:cs="Arial"/>
          <w:bCs/>
          <w:sz w:val="20"/>
          <w:szCs w:val="20"/>
        </w:rPr>
        <w:t>cca 0,417</w:t>
      </w:r>
      <w:r w:rsidR="00D541E9" w:rsidRPr="00EF6044">
        <w:rPr>
          <w:rFonts w:ascii="Arial" w:hAnsi="Arial" w:cs="Arial"/>
          <w:sz w:val="20"/>
        </w:rPr>
        <w:t> </w:t>
      </w:r>
      <w:r w:rsidRPr="00EF6044">
        <w:rPr>
          <w:rFonts w:ascii="Arial" w:hAnsi="Arial" w:cs="Arial"/>
          <w:sz w:val="20"/>
        </w:rPr>
        <w:t>% (</w:t>
      </w:r>
      <w:r w:rsidRPr="00EF6044">
        <w:rPr>
          <w:rFonts w:ascii="Arial" w:hAnsi="Arial"/>
          <w:sz w:val="20"/>
        </w:rPr>
        <w:t>1305,8</w:t>
      </w:r>
      <w:r w:rsidRPr="00EF6044">
        <w:rPr>
          <w:rFonts w:ascii="Arial" w:hAnsi="Arial" w:cs="Arial"/>
          <w:sz w:val="20"/>
        </w:rPr>
        <w:t> tis.).</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EF6044">
        <w:rPr>
          <w:rFonts w:ascii="Arial" w:hAnsi="Arial" w:cs="Arial"/>
          <w:sz w:val="20"/>
          <w:szCs w:val="28"/>
        </w:rPr>
        <w:t xml:space="preserve">Pro srovnání: Dosazením do uvedeného vzorce získáme velmi podobný interval od </w:t>
      </w:r>
      <w:r w:rsidRPr="00EF6044">
        <w:rPr>
          <w:rFonts w:ascii="Arial" w:hAnsi="Arial"/>
          <w:sz w:val="20"/>
        </w:rPr>
        <w:t>1264,8</w:t>
      </w:r>
      <w:r w:rsidRPr="00EF6044">
        <w:rPr>
          <w:rFonts w:ascii="Arial" w:hAnsi="Arial" w:cs="Arial"/>
          <w:sz w:val="20"/>
        </w:rPr>
        <w:t> </w:t>
      </w:r>
      <w:r w:rsidRPr="00EF6044">
        <w:rPr>
          <w:rFonts w:ascii="Arial" w:hAnsi="Arial" w:cs="Arial"/>
          <w:sz w:val="20"/>
          <w:szCs w:val="28"/>
        </w:rPr>
        <w:t xml:space="preserve">do </w:t>
      </w:r>
      <w:r w:rsidRPr="00EF6044">
        <w:rPr>
          <w:rFonts w:ascii="Arial" w:hAnsi="Arial"/>
          <w:sz w:val="20"/>
        </w:rPr>
        <w:t>1305,7</w:t>
      </w:r>
      <w:r w:rsidRPr="00EF6044">
        <w:rPr>
          <w:rFonts w:ascii="Arial" w:hAnsi="Arial" w:cs="Arial"/>
          <w:sz w:val="20"/>
          <w:szCs w:val="28"/>
        </w:rPr>
        <w:t>.</w:t>
      </w:r>
    </w:p>
    <w:p w:rsidR="00E41D32" w:rsidRPr="00EF6044" w:rsidRDefault="00E41D32" w:rsidP="00E41D32">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EF6044">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E41D32" w:rsidRPr="00EF6044" w:rsidRDefault="00E41D32" w:rsidP="00E41D32">
      <w:pPr>
        <w:jc w:val="both"/>
        <w:rPr>
          <w:rFonts w:ascii="Arial" w:hAnsi="Arial"/>
          <w:sz w:val="20"/>
        </w:rPr>
      </w:pPr>
    </w:p>
    <w:p w:rsidR="00001328" w:rsidRPr="00EF6044" w:rsidRDefault="00E41D32" w:rsidP="00E41D32">
      <w:pPr>
        <w:tabs>
          <w:tab w:val="left" w:pos="720"/>
          <w:tab w:val="right" w:pos="9073"/>
        </w:tabs>
        <w:suppressAutoHyphens/>
        <w:jc w:val="both"/>
        <w:rPr>
          <w:rFonts w:ascii="Arial" w:hAnsi="Arial"/>
          <w:sz w:val="20"/>
        </w:rPr>
      </w:pPr>
      <w:r w:rsidRPr="00EF6044">
        <w:rPr>
          <w:rFonts w:ascii="Arial" w:hAnsi="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9D1870" w:rsidRPr="00EF6044" w:rsidRDefault="009D1870" w:rsidP="009D1870">
      <w:pPr>
        <w:pStyle w:val="Zkladntext3"/>
        <w:tabs>
          <w:tab w:val="clear" w:pos="540"/>
        </w:tabs>
        <w:spacing w:before="200" w:after="0"/>
      </w:pPr>
    </w:p>
    <w:p w:rsidR="00917C71" w:rsidRPr="00EF6044" w:rsidRDefault="00917C71">
      <w:pPr>
        <w:pStyle w:val="nadpismal"/>
        <w:rPr>
          <w:sz w:val="26"/>
          <w:szCs w:val="26"/>
        </w:rPr>
      </w:pPr>
      <w:r w:rsidRPr="00EF6044">
        <w:tab/>
        <w:t>Použité zdroje a číselníky</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 </w:t>
      </w:r>
      <w:r w:rsidRPr="00EF6044">
        <w:rPr>
          <w:rFonts w:ascii="Arial" w:hAnsi="Arial"/>
          <w:sz w:val="20"/>
        </w:rPr>
        <w:t>Údaje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ISCED 97</w:t>
      </w:r>
      <w:r w:rsidRPr="00EF6044">
        <w:rPr>
          <w:rFonts w:ascii="Arial" w:hAnsi="Arial"/>
          <w:sz w:val="20"/>
        </w:rPr>
        <w:tab/>
        <w:t xml:space="preserve">Údaje </w:t>
      </w:r>
      <w:r w:rsidRPr="00EF6044">
        <w:rPr>
          <w:rFonts w:ascii="Arial" w:hAnsi="Arial" w:cs="Arial"/>
          <w:sz w:val="20"/>
          <w:szCs w:val="28"/>
        </w:rPr>
        <w:t>o úrovni (stupni) a o skupinách oborů, resp. oborech vzdělání podle mezinárodní klasifikace ISCED 97, UNESCO, listopad 1997.</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(CZ-NACE), která nahradila Odvětvovou klasifikaci ekonomických činností (OKEČ). Klasifikace je kompatibilní s mezinárodní klasifikací NACE, rev.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lastRenderedPageBreak/>
        <w:t>CZ-NUTS</w:t>
      </w:r>
      <w:r w:rsidRPr="00EF6044">
        <w:rPr>
          <w:rFonts w:ascii="Arial" w:hAnsi="Arial"/>
          <w:sz w:val="20"/>
        </w:rPr>
        <w:tab/>
        <w:t>Územní členění je prováděno v souladu s Klasifikací územních statistických jednotek (CZ-NUTS)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r w:rsidRPr="00EF6044">
        <w:tab/>
        <w:t>Charakteristika číselníků</w:t>
      </w:r>
      <w:r w:rsidR="00125AEA" w:rsidRPr="00EF6044">
        <w:fldChar w:fldCharType="begin"/>
      </w:r>
      <w:r w:rsidRPr="00EF6044">
        <w:instrText>tc "CHARAKTERISTIKA  ČÍSELNÍKŮ " \l 2</w:instrText>
      </w:r>
      <w:r w:rsidR="00125AEA"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smartTag>
      <w:r w:rsidRPr="00EF6044">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w:t>
      </w:r>
      <w:r w:rsidR="00FE3A7B" w:rsidRPr="00EF6044">
        <w:rPr>
          <w:rFonts w:ascii="Arial" w:hAnsi="Arial" w:cs="Arial"/>
          <w:sz w:val="20"/>
          <w:szCs w:val="28"/>
        </w:rPr>
        <w:t>regiony soudržnosti</w:t>
      </w:r>
      <w:r w:rsidRPr="00EF6044">
        <w:rPr>
          <w:rFonts w:ascii="Arial" w:hAnsi="Arial" w:cs="Arial"/>
          <w:sz w:val="20"/>
          <w:szCs w:val="28"/>
        </w:rPr>
        <w:t xml:space="preserve"> (NUTS 2) a kraje (NUTS 3).</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EF6044">
        <w:rPr>
          <w:rFonts w:ascii="Arial" w:hAnsi="Arial" w:cs="Arial"/>
          <w:b/>
          <w:bCs/>
          <w:sz w:val="20"/>
          <w:szCs w:val="28"/>
        </w:rPr>
        <w:t>ISCED 97:</w:t>
      </w:r>
      <w:r w:rsidRPr="00EF6044">
        <w:rPr>
          <w:rFonts w:ascii="Arial" w:hAnsi="Arial" w:cs="Arial"/>
          <w:b/>
          <w:bCs/>
          <w:sz w:val="20"/>
          <w:szCs w:val="28"/>
        </w:rPr>
        <w:tab/>
      </w:r>
      <w:r w:rsidRPr="00EF6044">
        <w:rPr>
          <w:rFonts w:ascii="Arial" w:hAnsi="Arial" w:cs="Arial"/>
          <w:sz w:val="20"/>
          <w:szCs w:val="28"/>
        </w:rPr>
        <w:t xml:space="preserve">Publikované údaje o úrovni (dříve stupni) a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 </w:t>
      </w:r>
    </w:p>
    <w:p w:rsidR="00917C71" w:rsidRPr="00EF6044" w:rsidRDefault="00917C71">
      <w:pPr>
        <w:keepLines/>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sz w:val="20"/>
          <w:szCs w:val="28"/>
        </w:rPr>
        <w:tab/>
        <w:t xml:space="preserve">Dosažená (tj. dokončená) </w:t>
      </w:r>
      <w:r w:rsidRPr="00EF6044">
        <w:rPr>
          <w:rFonts w:ascii="Arial" w:hAnsi="Arial" w:cs="Arial"/>
          <w:b/>
          <w:bCs/>
          <w:sz w:val="20"/>
          <w:szCs w:val="28"/>
        </w:rPr>
        <w:t>úroveň</w:t>
      </w:r>
      <w:r w:rsidRPr="00EF6044">
        <w:rPr>
          <w:rFonts w:ascii="Arial" w:hAnsi="Arial" w:cs="Arial"/>
          <w:sz w:val="20"/>
          <w:szCs w:val="28"/>
        </w:rPr>
        <w:t xml:space="preserve"> vzdělání podle ISCED 97 (Level of education) má následující členění:</w:t>
      </w:r>
    </w:p>
    <w:p w:rsidR="00917C71" w:rsidRPr="00EF6044" w:rsidRDefault="00917C71" w:rsidP="006C3862">
      <w:pPr>
        <w:tabs>
          <w:tab w:val="left" w:pos="-1076"/>
          <w:tab w:val="left" w:pos="-720"/>
          <w:tab w:val="left" w:pos="1440"/>
          <w:tab w:val="left" w:pos="17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798" w:hanging="1775"/>
        <w:jc w:val="both"/>
        <w:rPr>
          <w:rFonts w:ascii="Arial" w:hAnsi="Arial" w:cs="Arial"/>
          <w:sz w:val="20"/>
          <w:szCs w:val="28"/>
        </w:rPr>
      </w:pPr>
      <w:r w:rsidRPr="00EF6044">
        <w:rPr>
          <w:rFonts w:ascii="Arial" w:hAnsi="Arial" w:cs="Arial"/>
          <w:b/>
          <w:bCs/>
          <w:sz w:val="20"/>
          <w:szCs w:val="28"/>
        </w:rPr>
        <w:tab/>
        <w:t>0</w:t>
      </w:r>
      <w:r w:rsidRPr="00EF6044">
        <w:rPr>
          <w:rFonts w:ascii="Arial" w:hAnsi="Arial" w:cs="Arial"/>
          <w:sz w:val="20"/>
          <w:szCs w:val="28"/>
        </w:rPr>
        <w:tab/>
      </w:r>
      <w:r w:rsidRPr="00EF6044">
        <w:rPr>
          <w:rFonts w:ascii="Arial" w:hAnsi="Arial" w:cs="Arial"/>
          <w:b/>
          <w:bCs/>
          <w:i/>
          <w:iCs/>
          <w:sz w:val="20"/>
          <w:szCs w:val="28"/>
        </w:rPr>
        <w:t>preprimární vzdělávání</w:t>
      </w:r>
      <w:r w:rsidRPr="00EF6044">
        <w:rPr>
          <w:rFonts w:ascii="Arial" w:hAnsi="Arial" w:cs="Arial"/>
          <w:sz w:val="20"/>
          <w:szCs w:val="28"/>
        </w:rPr>
        <w:t xml:space="preserve"> - vzdělávací programy předškolní výchovy. Jsou zde zahrnuty i osoby bez jakéhokoliv vzdělání.</w:t>
      </w:r>
    </w:p>
    <w:p w:rsidR="00917C71" w:rsidRPr="00EF6044" w:rsidRDefault="00917C71" w:rsidP="006C3862">
      <w:pPr>
        <w:tabs>
          <w:tab w:val="left" w:pos="-1076"/>
          <w:tab w:val="left" w:pos="-720"/>
          <w:tab w:val="left" w:pos="0"/>
          <w:tab w:val="left" w:pos="1440"/>
          <w:tab w:val="left" w:pos="17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EF6044">
        <w:rPr>
          <w:rFonts w:ascii="Arial" w:hAnsi="Arial" w:cs="Arial"/>
          <w:b/>
          <w:bCs/>
          <w:sz w:val="20"/>
          <w:szCs w:val="28"/>
        </w:rPr>
        <w:tab/>
        <w:t>1</w:t>
      </w:r>
      <w:r w:rsidRPr="00EF6044">
        <w:rPr>
          <w:rFonts w:ascii="Arial" w:hAnsi="Arial" w:cs="Arial"/>
          <w:sz w:val="20"/>
          <w:szCs w:val="28"/>
        </w:rPr>
        <w:tab/>
      </w:r>
      <w:r w:rsidRPr="00EF6044">
        <w:rPr>
          <w:rFonts w:ascii="Arial" w:hAnsi="Arial" w:cs="Arial"/>
          <w:b/>
          <w:bCs/>
          <w:i/>
          <w:iCs/>
          <w:sz w:val="20"/>
          <w:szCs w:val="28"/>
        </w:rPr>
        <w:t>primární vzdělávání</w:t>
      </w:r>
      <w:r w:rsidRPr="00EF6044">
        <w:rPr>
          <w:rFonts w:ascii="Arial" w:hAnsi="Arial" w:cs="Arial"/>
          <w:sz w:val="20"/>
          <w:szCs w:val="28"/>
        </w:rPr>
        <w:t xml:space="preserve"> - zahrnuje první stupeň základního vzdělávání, tj. ukončený 5. ročník základní školy.</w:t>
      </w:r>
    </w:p>
    <w:p w:rsidR="00917C71" w:rsidRPr="00EF6044" w:rsidRDefault="00917C71" w:rsidP="006C3862">
      <w:pPr>
        <w:numPr>
          <w:ilvl w:val="1"/>
          <w:numId w:val="7"/>
        </w:numPr>
        <w:tabs>
          <w:tab w:val="clear" w:pos="1724"/>
          <w:tab w:val="left" w:pos="-1076"/>
          <w:tab w:val="left" w:pos="-720"/>
          <w:tab w:val="left" w:pos="0"/>
          <w:tab w:val="left" w:pos="1440"/>
          <w:tab w:val="num" w:pos="177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78" w:hanging="338"/>
        <w:jc w:val="both"/>
        <w:rPr>
          <w:rFonts w:ascii="Arial" w:hAnsi="Arial" w:cs="Arial"/>
          <w:sz w:val="20"/>
          <w:szCs w:val="28"/>
        </w:rPr>
      </w:pPr>
      <w:r w:rsidRPr="00EF6044">
        <w:rPr>
          <w:rFonts w:ascii="Arial" w:hAnsi="Arial" w:cs="Arial"/>
          <w:b/>
          <w:bCs/>
          <w:i/>
          <w:iCs/>
          <w:sz w:val="20"/>
          <w:szCs w:val="28"/>
        </w:rPr>
        <w:t>nižší sekundární vzdělávání</w:t>
      </w:r>
      <w:r w:rsidRPr="00EF6044">
        <w:rPr>
          <w:rFonts w:ascii="Arial" w:hAnsi="Arial" w:cs="Arial"/>
          <w:sz w:val="20"/>
          <w:szCs w:val="28"/>
        </w:rPr>
        <w:t xml:space="preserve"> - obsahuje především druhý stupeň základního</w:t>
      </w:r>
      <w:r w:rsidR="006C3862" w:rsidRPr="00EF6044">
        <w:rPr>
          <w:rFonts w:ascii="Arial" w:hAnsi="Arial" w:cs="Arial"/>
          <w:sz w:val="20"/>
          <w:szCs w:val="28"/>
        </w:rPr>
        <w:t xml:space="preserve"> </w:t>
      </w:r>
      <w:r w:rsidRPr="00EF6044">
        <w:rPr>
          <w:rFonts w:ascii="Arial" w:hAnsi="Arial" w:cs="Arial"/>
          <w:sz w:val="20"/>
          <w:szCs w:val="28"/>
        </w:rPr>
        <w:t>vzdělávání ukončený obvykle 9. třídou.</w:t>
      </w:r>
    </w:p>
    <w:p w:rsidR="00917C71" w:rsidRPr="00EF6044" w:rsidRDefault="00917C71" w:rsidP="006C3862">
      <w:pPr>
        <w:numPr>
          <w:ilvl w:val="1"/>
          <w:numId w:val="7"/>
        </w:numPr>
        <w:tabs>
          <w:tab w:val="clear" w:pos="1724"/>
          <w:tab w:val="left" w:pos="-1076"/>
          <w:tab w:val="left" w:pos="-720"/>
          <w:tab w:val="left" w:pos="0"/>
          <w:tab w:val="left" w:pos="1440"/>
          <w:tab w:val="num" w:pos="179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2" w:hanging="352"/>
        <w:jc w:val="both"/>
        <w:rPr>
          <w:rFonts w:ascii="Arial" w:hAnsi="Arial" w:cs="Arial"/>
          <w:sz w:val="20"/>
          <w:szCs w:val="28"/>
        </w:rPr>
      </w:pPr>
      <w:r w:rsidRPr="00EF6044">
        <w:rPr>
          <w:rFonts w:ascii="Arial" w:hAnsi="Arial" w:cs="Arial"/>
          <w:b/>
          <w:bCs/>
          <w:i/>
          <w:iCs/>
          <w:sz w:val="20"/>
          <w:szCs w:val="28"/>
        </w:rPr>
        <w:t>sekundární vzdělávání</w:t>
      </w:r>
      <w:r w:rsidRPr="00EF6044">
        <w:rPr>
          <w:rFonts w:ascii="Arial" w:hAnsi="Arial" w:cs="Arial"/>
          <w:sz w:val="20"/>
          <w:szCs w:val="28"/>
        </w:rPr>
        <w:t xml:space="preserve"> - zahrnuje odborné i všeobecné středoškolské vzdělání na středních odborných a všeobecných školách a v odborných učilištích ukončené většinou maturitní nebo závěrečnou zkouškou. Do tohoto stupně jsou zařazeni i absolventi nižších praktických škol, protože zejména v případě osob, které jsou již delší dobu mimo vzdělávací systém, měla tato škola charakter středního vzdělání.</w:t>
      </w:r>
    </w:p>
    <w:p w:rsidR="00917C71" w:rsidRPr="00EF6044" w:rsidRDefault="00917C71">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EF6044">
        <w:rPr>
          <w:rFonts w:ascii="Arial" w:hAnsi="Arial" w:cs="Arial"/>
          <w:b/>
          <w:bCs/>
          <w:sz w:val="20"/>
          <w:szCs w:val="28"/>
        </w:rPr>
        <w:tab/>
        <w:t>4</w:t>
      </w:r>
      <w:r w:rsidRPr="00EF6044">
        <w:rPr>
          <w:rFonts w:ascii="Arial" w:hAnsi="Arial" w:cs="Arial"/>
          <w:sz w:val="20"/>
          <w:szCs w:val="28"/>
        </w:rPr>
        <w:tab/>
      </w:r>
      <w:r w:rsidRPr="00EF6044">
        <w:rPr>
          <w:rFonts w:ascii="Arial" w:hAnsi="Arial" w:cs="Arial"/>
          <w:b/>
          <w:bCs/>
          <w:i/>
          <w:iCs/>
          <w:sz w:val="20"/>
          <w:szCs w:val="28"/>
        </w:rPr>
        <w:t>postsekundární vzdělávání</w:t>
      </w:r>
      <w:r w:rsidRPr="00EF6044">
        <w:rPr>
          <w:rFonts w:ascii="Arial" w:hAnsi="Arial" w:cs="Arial"/>
          <w:sz w:val="20"/>
          <w:szCs w:val="28"/>
        </w:rPr>
        <w:t xml:space="preserve"> - pomaturitní kvalifikační a pomaturitní specializační a inovační studium nepatřící do systému terciárního vzdělávání.</w:t>
      </w:r>
    </w:p>
    <w:p w:rsidR="00917C71" w:rsidRPr="00EF6044" w:rsidRDefault="00917C71">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EF6044">
        <w:rPr>
          <w:rFonts w:ascii="Arial" w:hAnsi="Arial" w:cs="Arial"/>
          <w:b/>
          <w:bCs/>
          <w:sz w:val="20"/>
          <w:szCs w:val="28"/>
        </w:rPr>
        <w:tab/>
        <w:t>5</w:t>
      </w:r>
      <w:r w:rsidRPr="00EF6044">
        <w:rPr>
          <w:rFonts w:ascii="Arial" w:hAnsi="Arial" w:cs="Arial"/>
          <w:sz w:val="20"/>
          <w:szCs w:val="28"/>
        </w:rPr>
        <w:tab/>
      </w:r>
      <w:r w:rsidRPr="00EF6044">
        <w:rPr>
          <w:rFonts w:ascii="Arial" w:hAnsi="Arial" w:cs="Arial"/>
          <w:b/>
          <w:bCs/>
          <w:i/>
          <w:iCs/>
          <w:sz w:val="20"/>
          <w:szCs w:val="28"/>
        </w:rPr>
        <w:t>první stupeň terciárního vzdělávání</w:t>
      </w:r>
      <w:r w:rsidRPr="00EF6044">
        <w:rPr>
          <w:rFonts w:ascii="Arial" w:hAnsi="Arial" w:cs="Arial"/>
          <w:sz w:val="20"/>
          <w:szCs w:val="28"/>
        </w:rPr>
        <w:t xml:space="preserve"> - zahrnuje bakalářské a magisterské studijní programy, které nevedou přímo k udělení vědecké kvalifikace.</w:t>
      </w:r>
    </w:p>
    <w:p w:rsidR="00917C71" w:rsidRPr="00EF6044" w:rsidRDefault="00917C71">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EF6044">
        <w:rPr>
          <w:rFonts w:ascii="Arial" w:hAnsi="Arial" w:cs="Arial"/>
          <w:b/>
          <w:bCs/>
          <w:sz w:val="20"/>
          <w:szCs w:val="28"/>
        </w:rPr>
        <w:tab/>
        <w:t>6</w:t>
      </w:r>
      <w:r w:rsidRPr="00EF6044">
        <w:rPr>
          <w:rFonts w:ascii="Arial" w:hAnsi="Arial" w:cs="Arial"/>
          <w:sz w:val="20"/>
          <w:szCs w:val="28"/>
        </w:rPr>
        <w:tab/>
      </w:r>
      <w:r w:rsidRPr="00EF6044">
        <w:rPr>
          <w:rFonts w:ascii="Arial" w:hAnsi="Arial" w:cs="Arial"/>
          <w:b/>
          <w:bCs/>
          <w:i/>
          <w:iCs/>
          <w:sz w:val="20"/>
          <w:szCs w:val="28"/>
        </w:rPr>
        <w:t>druhý stupeň terciárního vzdělávání</w:t>
      </w:r>
      <w:r w:rsidRPr="00EF6044">
        <w:rPr>
          <w:rFonts w:ascii="Arial" w:hAnsi="Arial" w:cs="Arial"/>
          <w:sz w:val="20"/>
          <w:szCs w:val="28"/>
        </w:rPr>
        <w:t xml:space="preserve"> - pokrývá terciární vzdělávací programy, které vedou k udělení diplomu vědeckého stupně.</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1" w:hanging="1418"/>
        <w:jc w:val="both"/>
        <w:rPr>
          <w:rFonts w:ascii="Arial" w:hAnsi="Arial" w:cs="Arial"/>
          <w:sz w:val="20"/>
          <w:szCs w:val="28"/>
        </w:rPr>
      </w:pPr>
      <w:r w:rsidRPr="00EF6044">
        <w:rPr>
          <w:rFonts w:ascii="Arial" w:hAnsi="Arial" w:cs="Arial"/>
          <w:sz w:val="20"/>
          <w:szCs w:val="28"/>
        </w:rPr>
        <w:tab/>
        <w:t xml:space="preserve">V rámci jednotlivých úrovní se uplatňuje kritérium typu “následného vzdělání nebo určení”. Ve čtvrtletní publikaci výsledků VŠPS je toto hledisko použito u stupně 3 (např. absolventi skupiny 3A mají možnost následně pokračovat v klasickém bakalářském nebo magisterském studiu, naopak programy skupiny </w:t>
      </w:r>
      <w:smartTag w:uri="urn:schemas-microsoft-com:office:smarttags" w:element="metricconverter">
        <w:smartTagPr>
          <w:attr w:name="ProductID" w:val="3C"/>
        </w:smartTagPr>
        <w:r w:rsidRPr="00EF6044">
          <w:rPr>
            <w:rFonts w:ascii="Arial" w:hAnsi="Arial" w:cs="Arial"/>
            <w:sz w:val="20"/>
            <w:szCs w:val="28"/>
          </w:rPr>
          <w:t>3C</w:t>
        </w:r>
      </w:smartTag>
      <w:r w:rsidRPr="00EF6044">
        <w:rPr>
          <w:rFonts w:ascii="Arial" w:hAnsi="Arial" w:cs="Arial"/>
          <w:sz w:val="20"/>
          <w:szCs w:val="28"/>
        </w:rPr>
        <w:t xml:space="preserve"> přímo směrují absolventy na trh práce).</w:t>
      </w:r>
    </w:p>
    <w:p w:rsidR="0004256D" w:rsidRPr="00EF6044" w:rsidRDefault="0004256D" w:rsidP="0004256D">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441" w:hanging="1418"/>
        <w:jc w:val="both"/>
        <w:rPr>
          <w:rFonts w:ascii="Arial" w:hAnsi="Arial" w:cs="Arial"/>
          <w:sz w:val="20"/>
          <w:szCs w:val="28"/>
        </w:rPr>
      </w:pPr>
      <w:r w:rsidRPr="00EF6044">
        <w:rPr>
          <w:rFonts w:ascii="Arial" w:hAnsi="Arial" w:cs="Arial"/>
          <w:b/>
          <w:bCs/>
          <w:sz w:val="20"/>
          <w:szCs w:val="28"/>
        </w:rPr>
        <w:lastRenderedPageBreak/>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Předmětem klasifikace je zaměstnání, tj. konkrétní činnost, kterou pracovník vykonává (i když není jeho povoláním) a která je zdrojem jeho hlavních pracovních příjmů. Klasifikace zaměstnání - CZ-ISCO byla vypracována na podkladě mezinárodního standardu ISCO-08 (International Standard Classification of Occupations).</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ab/>
        <w:t>Vývoj metodiky ukazatelů a charakter jejich změn</w:t>
      </w:r>
    </w:p>
    <w:p w:rsidR="00917C71" w:rsidRPr="00EF6044" w:rsidRDefault="00917C71">
      <w:pPr>
        <w:pStyle w:val="odstavecbn"/>
      </w:pPr>
      <w:r w:rsidRPr="00EF6044">
        <w:t>Postupem doby doznávalo VŠPS, zejména v procesu harmonizace s metodikou Eurostatu, určitých změn, které se částečně promítly do možnosti vytvořit úplné a plně srovnatelné časové řady. V rámci transkodifikace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201</w:t>
      </w:r>
      <w:r w:rsidR="00E46B2C" w:rsidRPr="00EF6044">
        <w:rPr>
          <w:rFonts w:ascii="Arial" w:hAnsi="Arial"/>
          <w:bCs/>
          <w:sz w:val="20"/>
        </w:rPr>
        <w:t>2</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Vzdělání</w:t>
      </w:r>
      <w:r w:rsidRPr="00EF6044">
        <w:rPr>
          <w:rFonts w:ascii="Arial" w:hAnsi="Arial"/>
          <w:sz w:val="20"/>
        </w:rPr>
        <w:t xml:space="preserve"> - od roku 1993 do roku 1998 byla používána stupnice vzdělání podle JKOV. Od 1998 se v šetření používá širší stupnice nejvyššího dosaženého vzdělání dle ISCED 97. Od roku 2002 jsou vyšší odborné školy zařazovány do vysokoškolského studia, zatímco v předchozích letech tvoří součást středního odborného vzdělání s maturitou.</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w:t>
      </w:r>
      <w:r w:rsidR="00917C71" w:rsidRPr="00EF6044">
        <w:rPr>
          <w:rFonts w:ascii="Arial" w:hAnsi="Arial"/>
          <w:sz w:val="20"/>
        </w:rPr>
        <w:lastRenderedPageBreak/>
        <w:t xml:space="preserve">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Odvětvová příslušnost je sledována pracovištní metodou</w:t>
      </w:r>
      <w:r w:rsidR="00A1416F" w:rsidRPr="00EF6044">
        <w:rPr>
          <w:rFonts w:ascii="Arial" w:hAnsi="Arial"/>
          <w:sz w:val="20"/>
        </w:rPr>
        <w:t>,</w:t>
      </w:r>
      <w:r w:rsidR="00917C71" w:rsidRPr="00EF6044">
        <w:rPr>
          <w:rFonts w:ascii="Arial" w:hAnsi="Arial"/>
          <w:sz w:val="20"/>
        </w:rPr>
        <w:t xml:space="preserve"> a proto poskytuje výsledky odlišné od výkaznictví prováděného podnikově (bližší vymezení pojmu pracoviště je uvedeno v pravidelné čtvrtletní publikaci ČSÚ o vývoji zaměstnanosti a</w:t>
      </w:r>
      <w:r w:rsidR="00BF4463" w:rsidRPr="00EF6044">
        <w:rPr>
          <w:rFonts w:ascii="Arial" w:hAnsi="Arial"/>
          <w:sz w:val="20"/>
        </w:rPr>
        <w:t> </w:t>
      </w:r>
      <w:r w:rsidR="00917C71" w:rsidRPr="00EF6044">
        <w:rPr>
          <w:rFonts w:ascii="Arial" w:hAnsi="Arial"/>
          <w:sz w:val="20"/>
        </w:rPr>
        <w:t>nezaměstnanosti podle výsledků VŠPS</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Důvody ekonomické neaktivity</w:t>
      </w:r>
      <w:r w:rsidRPr="00EF6044">
        <w:rPr>
          <w:rFonts w:ascii="Arial" w:hAnsi="Arial"/>
          <w:sz w:val="20"/>
        </w:rPr>
        <w:t xml:space="preserve"> - všechny osoby pobírající důchod jsou spojeny do jedné kategorie bez ohledu na druh pobíraného důchodu.</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5A4574">
          <w:footerReference w:type="even" r:id="rId15"/>
          <w:footerReference w:type="default" r:id="rId16"/>
          <w:type w:val="oddPage"/>
          <w:pgSz w:w="11906" w:h="16838"/>
          <w:pgMar w:top="1418" w:right="1418" w:bottom="1985" w:left="1418" w:header="1701" w:footer="1134" w:gutter="0"/>
          <w:pgNumType w:start="5"/>
          <w:cols w:space="708"/>
          <w:docGrid w:linePitch="360"/>
        </w:sectPr>
      </w:pPr>
    </w:p>
    <w:p w:rsidR="00D549CA" w:rsidRPr="00EF6044" w:rsidRDefault="00125AE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sidRPr="00125AEA">
        <w:rPr>
          <w:noProof/>
        </w:rPr>
        <w:lastRenderedPageBreak/>
        <w:pict>
          <v:shape id="_x0000_s2066" type="#_x0000_t75" style="position:absolute;left:0;text-align:left;margin-left:-86.25pt;margin-top:-51.45pt;width:823.75pt;height:582.6pt;z-index:1">
            <v:imagedata r:id="rId17" o:title=""/>
          </v:shape>
        </w:pict>
      </w:r>
    </w:p>
    <w:p w:rsidR="00D549CA" w:rsidRPr="00EF6044" w:rsidRDefault="00125AE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pict>
          <v:shape id="_x0000_s2059" type="#_x0000_t75" style="position:absolute;left:0;text-align:left;margin-left:-81pt;margin-top:-54pt;width:823.75pt;height:582.6pt;z-index:-1">
            <v:imagedata r:id="rId18" o:title=""/>
          </v:shape>
        </w:pict>
      </w:r>
    </w:p>
    <w:p w:rsidR="00917C71" w:rsidRPr="00EF6044" w:rsidRDefault="00917C71">
      <w:pPr>
        <w:pStyle w:val="nadpismal"/>
        <w:pageBreakBefore/>
        <w:spacing w:before="0"/>
      </w:pPr>
      <w:r w:rsidRPr="00EF6044">
        <w:lastRenderedPageBreak/>
        <w:tab/>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 2 a NUTS 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 2 (</w:t>
      </w:r>
      <w:r w:rsidR="00FE3A7B" w:rsidRPr="00EF6044">
        <w:rPr>
          <w:rFonts w:ascii="Arial" w:hAnsi="Arial"/>
          <w:sz w:val="20"/>
        </w:rPr>
        <w:t>regiony soudržnosti</w:t>
      </w:r>
      <w:r w:rsidRPr="00EF6044">
        <w:rPr>
          <w:rFonts w:ascii="Arial" w:hAnsi="Arial"/>
          <w:sz w:val="20"/>
        </w:rPr>
        <w:t xml:space="preserve">) a NUTS 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pPr>
        <w:pStyle w:val="Nadpis7"/>
        <w:tabs>
          <w:tab w:val="clear" w:pos="1132"/>
          <w:tab w:val="left" w:pos="1080"/>
        </w:tabs>
        <w:spacing w:before="720" w:after="60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rozdělení pracovní síly ČR podle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2C169B">
      <w:pPr>
        <w:pStyle w:val="Nadpis7"/>
        <w:tabs>
          <w:tab w:val="clear" w:pos="1132"/>
          <w:tab w:val="left" w:pos="1080"/>
        </w:tabs>
        <w:spacing w:before="720" w:after="60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 xml:space="preserve">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počtech osob starších 15 let zaměstnaných v národním hospodářství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osob zaměstnaných v národním hospodářství, pracujících ve druhém (dalším) zaměstnání,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pPr>
        <w:pStyle w:val="Nadpis7"/>
        <w:tabs>
          <w:tab w:val="clear" w:pos="720"/>
          <w:tab w:val="clear" w:pos="1132"/>
          <w:tab w:val="left" w:pos="1080"/>
        </w:tabs>
        <w:spacing w:before="720" w:after="60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 2 a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údaje o počtu nezaměstnaných podle ILO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pStyle w:val="Nadpis7"/>
        <w:tabs>
          <w:tab w:val="clear" w:pos="720"/>
          <w:tab w:val="clear" w:pos="1132"/>
          <w:tab w:val="left" w:pos="1080"/>
          <w:tab w:val="left" w:pos="1587"/>
        </w:tabs>
        <w:spacing w:before="720" w:after="60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obecné míry nezaměstnanosti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Čtvrtletní hodnoty míry ekonomické aktivity v členění dle NUTS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 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pStyle w:val="nadpismal"/>
        <w:ind w:left="681"/>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Při práci s tabulkami je třeba mít stále na zřeteli, že údaje jsou zjišťovány výběrovými metodami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příloha tabulkové části. </w:t>
      </w:r>
    </w:p>
    <w:p w:rsidR="00917C71" w:rsidRPr="00EF6044" w:rsidRDefault="00917C71">
      <w:pPr>
        <w:pStyle w:val="nadpismal"/>
      </w:pPr>
      <w:r w:rsidRPr="00EF6044">
        <w:tab/>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19"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-14</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-14</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(*.xls), Adobe Acrobat (*.pdf)</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B9" w:rsidRDefault="003127B9">
      <w:r>
        <w:separator/>
      </w:r>
    </w:p>
  </w:endnote>
  <w:endnote w:type="continuationSeparator" w:id="0">
    <w:p w:rsidR="003127B9" w:rsidRDefault="00312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A4" w:rsidRDefault="004A3EA4" w:rsidP="005A4574">
    <w:pPr>
      <w:pStyle w:val="Zpat"/>
      <w:pBdr>
        <w:top w:val="single" w:sz="4" w:space="9" w:color="auto"/>
      </w:pBdr>
      <w:spacing w:before="240"/>
      <w:ind w:right="360" w:firstLine="360"/>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A4" w:rsidRDefault="004A3EA4"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1993-2013</w:t>
    </w:r>
    <w:r>
      <w:rPr>
        <w:rFonts w:ascii="Arial" w:hAnsi="Arial"/>
        <w:sz w:val="18"/>
      </w:rPr>
      <w:tab/>
    </w:r>
    <w:r>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B9" w:rsidRDefault="003127B9">
      <w:r>
        <w:separator/>
      </w:r>
    </w:p>
  </w:footnote>
  <w:footnote w:type="continuationSeparator" w:id="0">
    <w:p w:rsidR="003127B9" w:rsidRDefault="0031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2">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2"/>
  </w:num>
  <w:num w:numId="3">
    <w:abstractNumId w:val="11"/>
  </w:num>
  <w:num w:numId="4">
    <w:abstractNumId w:val="0"/>
  </w:num>
  <w:num w:numId="5">
    <w:abstractNumId w:val="4"/>
  </w:num>
  <w:num w:numId="6">
    <w:abstractNumId w:val="8"/>
  </w:num>
  <w:num w:numId="7">
    <w:abstractNumId w:val="10"/>
  </w:num>
  <w:num w:numId="8">
    <w:abstractNumId w:val="1"/>
  </w:num>
  <w:num w:numId="9">
    <w:abstractNumId w:val="6"/>
  </w:num>
  <w:num w:numId="10">
    <w:abstractNumId w:val="12"/>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evenAndOddHeaders/>
  <w:noPunctuationKerning/>
  <w:characterSpacingControl w:val="doNotCompress"/>
  <w:hdrShapeDefaults>
    <o:shapedefaults v:ext="edit" spidmax="317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1DA"/>
    <w:rsid w:val="00001328"/>
    <w:rsid w:val="000035CE"/>
    <w:rsid w:val="00016D79"/>
    <w:rsid w:val="00026B18"/>
    <w:rsid w:val="0004256D"/>
    <w:rsid w:val="000451FA"/>
    <w:rsid w:val="000544A4"/>
    <w:rsid w:val="000544FA"/>
    <w:rsid w:val="00061C0D"/>
    <w:rsid w:val="00063266"/>
    <w:rsid w:val="00075FAC"/>
    <w:rsid w:val="00076610"/>
    <w:rsid w:val="0008245C"/>
    <w:rsid w:val="00082484"/>
    <w:rsid w:val="000D0274"/>
    <w:rsid w:val="000D34A4"/>
    <w:rsid w:val="000F0950"/>
    <w:rsid w:val="001012C0"/>
    <w:rsid w:val="00106807"/>
    <w:rsid w:val="00113411"/>
    <w:rsid w:val="00125AEA"/>
    <w:rsid w:val="00135DDF"/>
    <w:rsid w:val="00141F4D"/>
    <w:rsid w:val="00147E8B"/>
    <w:rsid w:val="00153396"/>
    <w:rsid w:val="00155455"/>
    <w:rsid w:val="00171BAE"/>
    <w:rsid w:val="00172250"/>
    <w:rsid w:val="001816D8"/>
    <w:rsid w:val="00195001"/>
    <w:rsid w:val="001B671D"/>
    <w:rsid w:val="001C41D3"/>
    <w:rsid w:val="001C4581"/>
    <w:rsid w:val="001C621A"/>
    <w:rsid w:val="001E0882"/>
    <w:rsid w:val="001F24F9"/>
    <w:rsid w:val="00200240"/>
    <w:rsid w:val="00200423"/>
    <w:rsid w:val="002239D2"/>
    <w:rsid w:val="00237E69"/>
    <w:rsid w:val="002406DC"/>
    <w:rsid w:val="00271C56"/>
    <w:rsid w:val="00274AD7"/>
    <w:rsid w:val="00280604"/>
    <w:rsid w:val="00294767"/>
    <w:rsid w:val="00294FA9"/>
    <w:rsid w:val="002A6596"/>
    <w:rsid w:val="002B2F61"/>
    <w:rsid w:val="002B4C95"/>
    <w:rsid w:val="002B4F17"/>
    <w:rsid w:val="002C00BE"/>
    <w:rsid w:val="002C169B"/>
    <w:rsid w:val="002C4C00"/>
    <w:rsid w:val="002D00AA"/>
    <w:rsid w:val="002F3FD8"/>
    <w:rsid w:val="0031090E"/>
    <w:rsid w:val="003127B9"/>
    <w:rsid w:val="00322C97"/>
    <w:rsid w:val="003332F9"/>
    <w:rsid w:val="00336675"/>
    <w:rsid w:val="0034595B"/>
    <w:rsid w:val="00345D96"/>
    <w:rsid w:val="00362DC9"/>
    <w:rsid w:val="00371607"/>
    <w:rsid w:val="0037586A"/>
    <w:rsid w:val="00383138"/>
    <w:rsid w:val="00394B3A"/>
    <w:rsid w:val="003A08E3"/>
    <w:rsid w:val="003B6555"/>
    <w:rsid w:val="003C2051"/>
    <w:rsid w:val="003D582C"/>
    <w:rsid w:val="003D6AF1"/>
    <w:rsid w:val="003F1AFF"/>
    <w:rsid w:val="004118FF"/>
    <w:rsid w:val="004133B3"/>
    <w:rsid w:val="0042704F"/>
    <w:rsid w:val="00427909"/>
    <w:rsid w:val="00432372"/>
    <w:rsid w:val="004420A5"/>
    <w:rsid w:val="00443114"/>
    <w:rsid w:val="00450ABE"/>
    <w:rsid w:val="00451CA2"/>
    <w:rsid w:val="00456E44"/>
    <w:rsid w:val="00460273"/>
    <w:rsid w:val="00463260"/>
    <w:rsid w:val="004655C1"/>
    <w:rsid w:val="004805E3"/>
    <w:rsid w:val="004848A2"/>
    <w:rsid w:val="00495E5A"/>
    <w:rsid w:val="00497D65"/>
    <w:rsid w:val="004A3EA4"/>
    <w:rsid w:val="004B5934"/>
    <w:rsid w:val="004B6DF7"/>
    <w:rsid w:val="004D3F0A"/>
    <w:rsid w:val="004F4573"/>
    <w:rsid w:val="00500E22"/>
    <w:rsid w:val="00516619"/>
    <w:rsid w:val="00534506"/>
    <w:rsid w:val="00535A04"/>
    <w:rsid w:val="005461E2"/>
    <w:rsid w:val="00556EE7"/>
    <w:rsid w:val="005633EA"/>
    <w:rsid w:val="00565F1C"/>
    <w:rsid w:val="0057037B"/>
    <w:rsid w:val="0057365F"/>
    <w:rsid w:val="005827D6"/>
    <w:rsid w:val="00584E80"/>
    <w:rsid w:val="005A2071"/>
    <w:rsid w:val="005A257F"/>
    <w:rsid w:val="005A3AEF"/>
    <w:rsid w:val="005A4574"/>
    <w:rsid w:val="005A5B0A"/>
    <w:rsid w:val="005B0706"/>
    <w:rsid w:val="005B6FC0"/>
    <w:rsid w:val="005C243A"/>
    <w:rsid w:val="005D050E"/>
    <w:rsid w:val="005D591D"/>
    <w:rsid w:val="005E271A"/>
    <w:rsid w:val="005E2E50"/>
    <w:rsid w:val="005E369F"/>
    <w:rsid w:val="005F06F7"/>
    <w:rsid w:val="005F1E3C"/>
    <w:rsid w:val="00601581"/>
    <w:rsid w:val="006071F9"/>
    <w:rsid w:val="006104E5"/>
    <w:rsid w:val="00623A00"/>
    <w:rsid w:val="0062441B"/>
    <w:rsid w:val="00624C39"/>
    <w:rsid w:val="00631D5B"/>
    <w:rsid w:val="00636B56"/>
    <w:rsid w:val="00637B8A"/>
    <w:rsid w:val="00654D28"/>
    <w:rsid w:val="00665A94"/>
    <w:rsid w:val="006745E3"/>
    <w:rsid w:val="00680E6A"/>
    <w:rsid w:val="00680E8A"/>
    <w:rsid w:val="006829D3"/>
    <w:rsid w:val="006A26BC"/>
    <w:rsid w:val="006C0844"/>
    <w:rsid w:val="006C3862"/>
    <w:rsid w:val="006C7B3A"/>
    <w:rsid w:val="006E04A4"/>
    <w:rsid w:val="006E3E2C"/>
    <w:rsid w:val="006E6A6B"/>
    <w:rsid w:val="006E6DD4"/>
    <w:rsid w:val="007066E8"/>
    <w:rsid w:val="00707AA0"/>
    <w:rsid w:val="007361DA"/>
    <w:rsid w:val="0073695E"/>
    <w:rsid w:val="007640F1"/>
    <w:rsid w:val="00773548"/>
    <w:rsid w:val="00774DA2"/>
    <w:rsid w:val="00783151"/>
    <w:rsid w:val="00795D5F"/>
    <w:rsid w:val="007A1323"/>
    <w:rsid w:val="007A7761"/>
    <w:rsid w:val="007C0DFF"/>
    <w:rsid w:val="007C6924"/>
    <w:rsid w:val="007E3647"/>
    <w:rsid w:val="007F5D48"/>
    <w:rsid w:val="007F7E3B"/>
    <w:rsid w:val="00805F85"/>
    <w:rsid w:val="00812129"/>
    <w:rsid w:val="00822DF5"/>
    <w:rsid w:val="0084437B"/>
    <w:rsid w:val="00853498"/>
    <w:rsid w:val="0085582C"/>
    <w:rsid w:val="00860476"/>
    <w:rsid w:val="0088528C"/>
    <w:rsid w:val="008B33A0"/>
    <w:rsid w:val="008B49A3"/>
    <w:rsid w:val="008C664C"/>
    <w:rsid w:val="008D3E3C"/>
    <w:rsid w:val="008E5536"/>
    <w:rsid w:val="008F7D05"/>
    <w:rsid w:val="0090598D"/>
    <w:rsid w:val="00916811"/>
    <w:rsid w:val="00917C71"/>
    <w:rsid w:val="00920D6F"/>
    <w:rsid w:val="00923F32"/>
    <w:rsid w:val="009245C9"/>
    <w:rsid w:val="00927B94"/>
    <w:rsid w:val="00934F4B"/>
    <w:rsid w:val="00951452"/>
    <w:rsid w:val="00951905"/>
    <w:rsid w:val="009534F1"/>
    <w:rsid w:val="009614D6"/>
    <w:rsid w:val="00990C24"/>
    <w:rsid w:val="00995DC6"/>
    <w:rsid w:val="00996D9E"/>
    <w:rsid w:val="009C68D9"/>
    <w:rsid w:val="009D0760"/>
    <w:rsid w:val="009D1870"/>
    <w:rsid w:val="009D4F5B"/>
    <w:rsid w:val="009E243B"/>
    <w:rsid w:val="009E5CF2"/>
    <w:rsid w:val="009E7DE3"/>
    <w:rsid w:val="009F1C04"/>
    <w:rsid w:val="009F42DE"/>
    <w:rsid w:val="009F56FF"/>
    <w:rsid w:val="00A04623"/>
    <w:rsid w:val="00A14032"/>
    <w:rsid w:val="00A1416F"/>
    <w:rsid w:val="00A20D09"/>
    <w:rsid w:val="00A251B1"/>
    <w:rsid w:val="00A33FC4"/>
    <w:rsid w:val="00A42BAD"/>
    <w:rsid w:val="00A43FBE"/>
    <w:rsid w:val="00A44A01"/>
    <w:rsid w:val="00A57C3D"/>
    <w:rsid w:val="00A66F91"/>
    <w:rsid w:val="00A873F3"/>
    <w:rsid w:val="00A9352D"/>
    <w:rsid w:val="00A93FA2"/>
    <w:rsid w:val="00AB07A8"/>
    <w:rsid w:val="00AB79D4"/>
    <w:rsid w:val="00AC2517"/>
    <w:rsid w:val="00AC4164"/>
    <w:rsid w:val="00AD4C55"/>
    <w:rsid w:val="00AD7C89"/>
    <w:rsid w:val="00AE17CC"/>
    <w:rsid w:val="00AF6591"/>
    <w:rsid w:val="00B0150B"/>
    <w:rsid w:val="00B01F21"/>
    <w:rsid w:val="00B204C0"/>
    <w:rsid w:val="00B40F36"/>
    <w:rsid w:val="00B44FCD"/>
    <w:rsid w:val="00B46882"/>
    <w:rsid w:val="00B613A4"/>
    <w:rsid w:val="00B71E95"/>
    <w:rsid w:val="00B87C9A"/>
    <w:rsid w:val="00B90468"/>
    <w:rsid w:val="00BB0F91"/>
    <w:rsid w:val="00BD3ACD"/>
    <w:rsid w:val="00BF24BA"/>
    <w:rsid w:val="00BF4463"/>
    <w:rsid w:val="00C027F8"/>
    <w:rsid w:val="00C171B2"/>
    <w:rsid w:val="00C25C5A"/>
    <w:rsid w:val="00C36CC8"/>
    <w:rsid w:val="00C37C44"/>
    <w:rsid w:val="00C41D20"/>
    <w:rsid w:val="00C46FB6"/>
    <w:rsid w:val="00C52DAE"/>
    <w:rsid w:val="00C63E2C"/>
    <w:rsid w:val="00C81AF5"/>
    <w:rsid w:val="00C93922"/>
    <w:rsid w:val="00CB0314"/>
    <w:rsid w:val="00CB4674"/>
    <w:rsid w:val="00CC2C52"/>
    <w:rsid w:val="00CC4DE6"/>
    <w:rsid w:val="00CD4BDB"/>
    <w:rsid w:val="00CE4CE0"/>
    <w:rsid w:val="00D01B5C"/>
    <w:rsid w:val="00D02C38"/>
    <w:rsid w:val="00D0589E"/>
    <w:rsid w:val="00D242B2"/>
    <w:rsid w:val="00D27CD5"/>
    <w:rsid w:val="00D308BB"/>
    <w:rsid w:val="00D541E9"/>
    <w:rsid w:val="00D549CA"/>
    <w:rsid w:val="00D55AA6"/>
    <w:rsid w:val="00D657BC"/>
    <w:rsid w:val="00D76169"/>
    <w:rsid w:val="00D80AF5"/>
    <w:rsid w:val="00D836D4"/>
    <w:rsid w:val="00DB0EAD"/>
    <w:rsid w:val="00DB4669"/>
    <w:rsid w:val="00DC1FC2"/>
    <w:rsid w:val="00DE45D8"/>
    <w:rsid w:val="00DE5893"/>
    <w:rsid w:val="00DF02C4"/>
    <w:rsid w:val="00E03E84"/>
    <w:rsid w:val="00E047E8"/>
    <w:rsid w:val="00E2458B"/>
    <w:rsid w:val="00E31833"/>
    <w:rsid w:val="00E41D32"/>
    <w:rsid w:val="00E427CA"/>
    <w:rsid w:val="00E42EC8"/>
    <w:rsid w:val="00E46B2C"/>
    <w:rsid w:val="00E64B2B"/>
    <w:rsid w:val="00E711F7"/>
    <w:rsid w:val="00E73AB9"/>
    <w:rsid w:val="00E944BB"/>
    <w:rsid w:val="00EA7D8E"/>
    <w:rsid w:val="00EA7EB0"/>
    <w:rsid w:val="00EC277C"/>
    <w:rsid w:val="00ED168D"/>
    <w:rsid w:val="00ED3617"/>
    <w:rsid w:val="00ED5AAA"/>
    <w:rsid w:val="00ED6DA8"/>
    <w:rsid w:val="00ED787A"/>
    <w:rsid w:val="00ED7B00"/>
    <w:rsid w:val="00EE082E"/>
    <w:rsid w:val="00EF6044"/>
    <w:rsid w:val="00F162EF"/>
    <w:rsid w:val="00F31BB1"/>
    <w:rsid w:val="00F434F2"/>
    <w:rsid w:val="00F474EE"/>
    <w:rsid w:val="00F67BF4"/>
    <w:rsid w:val="00F77ED1"/>
    <w:rsid w:val="00F90348"/>
    <w:rsid w:val="00F906C6"/>
    <w:rsid w:val="00F90B0E"/>
    <w:rsid w:val="00F94397"/>
    <w:rsid w:val="00FC57BF"/>
    <w:rsid w:val="00FD316D"/>
    <w:rsid w:val="00FD4352"/>
    <w:rsid w:val="00FE3029"/>
    <w:rsid w:val="00FE3A7B"/>
    <w:rsid w:val="00FE6108"/>
    <w:rsid w:val="00FF5658"/>
    <w:rsid w:val="00FF70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basedOn w:val="Standardnpsmoodstavce"/>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basedOn w:val="Standardnpsmoodstavce"/>
    <w:link w:val="Textbubliny"/>
    <w:rsid w:val="00A04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3359</Words>
  <Characters>19819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23132</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User</cp:lastModifiedBy>
  <cp:revision>4</cp:revision>
  <cp:lastPrinted>2014-07-24T06:32:00Z</cp:lastPrinted>
  <dcterms:created xsi:type="dcterms:W3CDTF">2014-07-25T08:21:00Z</dcterms:created>
  <dcterms:modified xsi:type="dcterms:W3CDTF">2014-07-25T10:35:00Z</dcterms:modified>
</cp:coreProperties>
</file>