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FD16DC" w:rsidRDefault="00A8603E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>
        <w:rPr>
          <w:b/>
          <w:bCs/>
          <w:sz w:val="32"/>
          <w:szCs w:val="28"/>
        </w:rPr>
        <w:t>Metodické vysvětlivky</w:t>
      </w:r>
      <w:r w:rsidR="00592BD7" w:rsidRPr="00FD16DC">
        <w:rPr>
          <w:b/>
          <w:bCs/>
          <w:sz w:val="32"/>
          <w:szCs w:val="28"/>
        </w:rPr>
        <w:fldChar w:fldCharType="begin"/>
      </w:r>
      <w:r>
        <w:rPr>
          <w:b/>
          <w:bCs/>
          <w:sz w:val="32"/>
          <w:szCs w:val="28"/>
        </w:rPr>
        <w:instrText>tc "METODICKÉ  VYSVÌTLIVKY"</w:instrText>
      </w:r>
      <w:r w:rsidR="00592BD7" w:rsidRPr="00FD16DC">
        <w:rPr>
          <w:b/>
          <w:bCs/>
          <w:sz w:val="32"/>
          <w:szCs w:val="28"/>
        </w:rPr>
        <w:fldChar w:fldCharType="end"/>
      </w:r>
    </w:p>
    <w:p w:rsidR="00BD6E6F" w:rsidRPr="00FD16DC" w:rsidRDefault="00A8603E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>
        <w:rPr>
          <w:szCs w:val="32"/>
        </w:rPr>
        <w:t>Obsah hlavních pojmů používaných v publikaci plně odpovídá definicím ukazatelů uvedeným v "Rezoluci o statistice ekonomicky aktivního obyvatelstva, zaměstnanosti, nezaměstnanosti a 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FD16DC" w:rsidRDefault="00A8603E">
      <w:pPr>
        <w:pStyle w:val="Zkladntext3"/>
        <w:tabs>
          <w:tab w:val="clear" w:pos="540"/>
        </w:tabs>
        <w:spacing w:before="200" w:after="720"/>
        <w:rPr>
          <w:szCs w:val="32"/>
        </w:rPr>
      </w:pPr>
      <w:r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FD16DC" w:rsidRDefault="00A8603E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="00BD6E6F" w:rsidRPr="00FD16DC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D16DC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="00A8603E">
        <w:rPr>
          <w:rFonts w:ascii="Arial" w:hAnsi="Arial" w:cs="Arial"/>
          <w:b/>
          <w:bCs/>
          <w:sz w:val="20"/>
          <w:szCs w:val="32"/>
        </w:rPr>
        <w:t>ekonomicky aktivní obyvatelstvo, tj. zaměstnané a nezaměstnané, a obyvatelstvo ekonomicky neaktivní</w:t>
      </w:r>
      <w:r w:rsidR="00A8603E">
        <w:rPr>
          <w:rFonts w:ascii="Arial" w:hAnsi="Arial" w:cs="Arial"/>
          <w:sz w:val="20"/>
          <w:szCs w:val="32"/>
        </w:rPr>
        <w:t>.</w:t>
      </w:r>
    </w:p>
    <w:p w:rsidR="00BD6E6F" w:rsidRPr="00FD16DC" w:rsidRDefault="00A8603E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="00BD6E6F" w:rsidRPr="00FD16DC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D16DC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FD16DC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 skupině pracovn</w:t>
      </w:r>
      <w:r w:rsidR="00A8603E">
        <w:rPr>
          <w:szCs w:val="32"/>
        </w:rPr>
        <w:t>íků na vlastní účet pak odpovídá skupina podnikatelů bez zaměstnanců.</w:t>
      </w:r>
    </w:p>
    <w:p w:rsidR="00BD6E6F" w:rsidRPr="00FD16DC" w:rsidRDefault="00A8603E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>zaměstnaní</w:t>
      </w:r>
      <w:r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FD16DC" w:rsidRDefault="00A8603E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placení zaměstnaní</w:t>
      </w:r>
      <w:r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FD16DC" w:rsidRDefault="00A8603E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1.1.1.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"v práci</w:t>
      </w:r>
      <w:r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FD16DC" w:rsidRDefault="00A8603E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1.1.2.</w:t>
      </w:r>
      <w:r>
        <w:rPr>
          <w:rFonts w:ascii="Arial" w:hAnsi="Arial" w:cs="Arial"/>
          <w:sz w:val="20"/>
          <w:szCs w:val="32"/>
        </w:rPr>
        <w:tab/>
        <w:t>"</w:t>
      </w:r>
      <w:r>
        <w:rPr>
          <w:rFonts w:ascii="Arial" w:hAnsi="Arial" w:cs="Arial"/>
          <w:b/>
          <w:bCs/>
          <w:sz w:val="20"/>
          <w:szCs w:val="32"/>
        </w:rPr>
        <w:t>v zaměstnání, ale ne v práci</w:t>
      </w:r>
      <w:r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FD16DC" w:rsidRDefault="00A8603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1.2.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zaměstnaní ve vlastním podniku</w:t>
      </w:r>
      <w:r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FD16DC" w:rsidRDefault="00A8603E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lastRenderedPageBreak/>
        <w:t>1.2.1.</w:t>
      </w:r>
      <w:r>
        <w:rPr>
          <w:rFonts w:ascii="Arial" w:hAnsi="Arial" w:cs="Arial"/>
          <w:sz w:val="20"/>
          <w:szCs w:val="32"/>
        </w:rPr>
        <w:tab/>
        <w:t>"</w:t>
      </w:r>
      <w:r>
        <w:rPr>
          <w:rFonts w:ascii="Arial" w:hAnsi="Arial" w:cs="Arial"/>
          <w:b/>
          <w:bCs/>
          <w:sz w:val="20"/>
          <w:szCs w:val="32"/>
        </w:rPr>
        <w:t>v práci</w:t>
      </w:r>
      <w:r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FD16DC" w:rsidRDefault="00A8603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1.2.2.</w:t>
      </w:r>
      <w:r>
        <w:rPr>
          <w:rFonts w:ascii="Arial" w:hAnsi="Arial" w:cs="Arial"/>
          <w:sz w:val="20"/>
          <w:szCs w:val="32"/>
        </w:rPr>
        <w:tab/>
        <w:t>"</w:t>
      </w:r>
      <w:r>
        <w:rPr>
          <w:rFonts w:ascii="Arial" w:hAnsi="Arial" w:cs="Arial"/>
          <w:b/>
          <w:bCs/>
          <w:sz w:val="20"/>
          <w:szCs w:val="32"/>
        </w:rPr>
        <w:t>v podniku, ale ne v práci</w:t>
      </w:r>
      <w:r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FD16DC" w:rsidRDefault="00A8603E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>
        <w:rPr>
          <w:rFonts w:ascii="Arial" w:hAnsi="Arial" w:cs="Arial"/>
          <w:sz w:val="20"/>
          <w:szCs w:val="32"/>
        </w:rPr>
        <w:t>. Za </w:t>
      </w:r>
      <w:r>
        <w:rPr>
          <w:rFonts w:ascii="Arial" w:hAnsi="Arial" w:cs="Arial"/>
          <w:b/>
          <w:bCs/>
          <w:sz w:val="20"/>
          <w:szCs w:val="32"/>
        </w:rPr>
        <w:t>zaměstnané</w:t>
      </w:r>
      <w:r>
        <w:rPr>
          <w:rFonts w:ascii="Arial" w:hAnsi="Arial" w:cs="Arial"/>
          <w:sz w:val="20"/>
          <w:szCs w:val="32"/>
        </w:rPr>
        <w:t xml:space="preserve"> jsou považováni i </w:t>
      </w:r>
      <w:r>
        <w:rPr>
          <w:rFonts w:ascii="Arial" w:hAnsi="Arial" w:cs="Arial"/>
          <w:b/>
          <w:bCs/>
          <w:sz w:val="20"/>
          <w:szCs w:val="32"/>
        </w:rPr>
        <w:t>učni</w:t>
      </w:r>
      <w:r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FD16DC" w:rsidRDefault="00A8603E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>Zaměstnanci</w:t>
      </w:r>
      <w:r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FD16DC" w:rsidRDefault="00A8603E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>Členové produkčních družstev</w:t>
      </w:r>
      <w:r>
        <w:rPr>
          <w:rFonts w:ascii="Arial" w:hAnsi="Arial" w:cs="Arial"/>
          <w:sz w:val="20"/>
          <w:szCs w:val="32"/>
        </w:rPr>
        <w:t xml:space="preserve"> jsou od roku 2012 </w:t>
      </w:r>
      <w:r>
        <w:rPr>
          <w:rFonts w:ascii="Arial" w:hAnsi="Arial" w:cs="Arial"/>
          <w:bCs/>
          <w:sz w:val="20"/>
          <w:szCs w:val="32"/>
        </w:rPr>
        <w:t>zahrnováni mezi zaměstnance</w:t>
      </w:r>
      <w:r>
        <w:rPr>
          <w:rFonts w:ascii="Arial" w:hAnsi="Arial" w:cs="Arial"/>
          <w:sz w:val="20"/>
          <w:szCs w:val="32"/>
        </w:rPr>
        <w:t>.</w:t>
      </w:r>
    </w:p>
    <w:p w:rsidR="00BD6E6F" w:rsidRPr="00FD16DC" w:rsidRDefault="00A8603E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>
        <w:rPr>
          <w:rFonts w:ascii="Arial" w:hAnsi="Arial" w:cs="Arial"/>
          <w:b/>
          <w:bCs/>
          <w:sz w:val="20"/>
          <w:szCs w:val="32"/>
        </w:rPr>
        <w:t>pomáhající rodinní příslušníci</w:t>
      </w:r>
      <w:r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FD16DC" w:rsidRDefault="00A8603E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="00BD6E6F" w:rsidRPr="00FD16DC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D16DC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sz w:val="20"/>
          <w:szCs w:val="32"/>
        </w:rPr>
        <w:t>1.</w:t>
      </w:r>
      <w:r w:rsidRPr="00FD16DC">
        <w:rPr>
          <w:rFonts w:ascii="Arial" w:hAnsi="Arial" w:cs="Arial"/>
          <w:sz w:val="20"/>
          <w:szCs w:val="32"/>
        </w:rPr>
        <w:tab/>
      </w:r>
      <w:r w:rsidRPr="00FD16DC">
        <w:rPr>
          <w:rFonts w:ascii="Arial" w:hAnsi="Arial" w:cs="Arial"/>
          <w:b/>
          <w:bCs/>
          <w:sz w:val="20"/>
          <w:szCs w:val="32"/>
        </w:rPr>
        <w:t>nezaměstnaní</w:t>
      </w:r>
      <w:r w:rsidRPr="00FD16DC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="00A8603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="00A8603E">
        <w:rPr>
          <w:rFonts w:ascii="Arial" w:hAnsi="Arial" w:cs="Arial"/>
          <w:sz w:val="20"/>
          <w:szCs w:val="32"/>
        </w:rPr>
        <w:t>:</w:t>
      </w:r>
    </w:p>
    <w:p w:rsidR="00BD6E6F" w:rsidRPr="00FD16DC" w:rsidRDefault="00A8603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-</w:t>
      </w:r>
      <w:r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FD16DC" w:rsidRDefault="00A8603E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>
        <w:t xml:space="preserve">- </w:t>
      </w:r>
      <w:r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FD16DC" w:rsidRDefault="00A8603E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>
        <w:t>-</w:t>
      </w:r>
      <w:r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BD6E6F" w:rsidRPr="00FD16DC" w:rsidRDefault="00A8603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Pokud osoby </w:t>
      </w:r>
      <w:r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>
        <w:rPr>
          <w:rFonts w:ascii="Arial" w:hAnsi="Arial" w:cs="Arial"/>
          <w:sz w:val="20"/>
          <w:szCs w:val="32"/>
        </w:rPr>
        <w:t xml:space="preserve">, jsou klasifikovány jako </w:t>
      </w:r>
      <w:r>
        <w:rPr>
          <w:rFonts w:ascii="Arial" w:hAnsi="Arial" w:cs="Arial"/>
          <w:b/>
          <w:bCs/>
          <w:sz w:val="20"/>
          <w:szCs w:val="32"/>
        </w:rPr>
        <w:t>zaměstnané</w:t>
      </w:r>
      <w:r>
        <w:rPr>
          <w:rFonts w:ascii="Arial" w:hAnsi="Arial" w:cs="Arial"/>
          <w:sz w:val="20"/>
          <w:szCs w:val="32"/>
        </w:rPr>
        <w:t xml:space="preserve"> nebo </w:t>
      </w:r>
      <w:r>
        <w:rPr>
          <w:rFonts w:ascii="Arial" w:hAnsi="Arial" w:cs="Arial"/>
          <w:b/>
          <w:bCs/>
          <w:sz w:val="20"/>
          <w:szCs w:val="32"/>
        </w:rPr>
        <w:t>ekonomicky neaktivní</w:t>
      </w:r>
      <w:r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 pozdější dobu (nejpozději do 3 měsíců). Tyto osoby jsou podle definice Eurostatu zařazeny rovněž mezi nezaměstnané.</w:t>
      </w:r>
    </w:p>
    <w:p w:rsidR="00BD6E6F" w:rsidRPr="00FD16DC" w:rsidRDefault="00A8603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registrovaní nezaměstnaní</w:t>
      </w:r>
      <w:r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FD16DC" w:rsidRDefault="00A8603E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lastRenderedPageBreak/>
        <w:t>1.1.1.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FD16DC" w:rsidRDefault="00A8603E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1.2.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neregistrovaní nezaměstnaní</w:t>
      </w:r>
      <w:r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FD16DC" w:rsidRDefault="00A8603E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="00BD6E6F" w:rsidRPr="00FD16DC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D16DC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FD16DC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FD16D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FD16DC">
        <w:rPr>
          <w:rFonts w:ascii="Arial" w:hAnsi="Arial" w:cs="Arial"/>
          <w:sz w:val="20"/>
          <w:szCs w:val="32"/>
        </w:rPr>
        <w:t>1.1.</w:t>
      </w:r>
      <w:r w:rsidRPr="00FD16DC">
        <w:rPr>
          <w:rFonts w:ascii="Arial" w:hAnsi="Arial" w:cs="Arial"/>
          <w:sz w:val="20"/>
          <w:szCs w:val="32"/>
        </w:rPr>
        <w:tab/>
      </w:r>
      <w:r w:rsidR="00A8603E">
        <w:rPr>
          <w:rFonts w:ascii="Arial" w:hAnsi="Arial" w:cs="Arial"/>
          <w:b/>
          <w:bCs/>
          <w:sz w:val="20"/>
          <w:szCs w:val="32"/>
        </w:rPr>
        <w:t>míry nezaměstnanosti</w:t>
      </w:r>
      <w:r w:rsidR="00A8603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="00A8603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="00A8603E">
        <w:rPr>
          <w:rFonts w:ascii="Arial" w:hAnsi="Arial" w:cs="Arial"/>
          <w:sz w:val="20"/>
          <w:szCs w:val="32"/>
        </w:rPr>
        <w:t xml:space="preserve"> (čitatel) na </w:t>
      </w:r>
      <w:r w:rsidR="00A8603E">
        <w:rPr>
          <w:rFonts w:ascii="Arial" w:hAnsi="Arial" w:cs="Arial"/>
          <w:b/>
          <w:bCs/>
          <w:sz w:val="20"/>
          <w:szCs w:val="32"/>
        </w:rPr>
        <w:t>celkové pracovní síle</w:t>
      </w:r>
      <w:r w:rsidR="00A8603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1.1.1.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obecná míra nezaměstnanosti (ILO)</w:t>
      </w:r>
      <w:r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FD16DC" w:rsidRDefault="00A8603E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FD16DC" w:rsidRDefault="00A8603E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1.1.2.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>
        <w:rPr>
          <w:rFonts w:ascii="Arial" w:hAnsi="Arial" w:cs="Arial"/>
          <w:sz w:val="20"/>
          <w:szCs w:val="32"/>
        </w:rPr>
        <w:t xml:space="preserve"> je ukazatel získaný z výsledků VŠPS podle definice Eurostatu. V čitateli i jmenovateli jsou šetřené osoby uváděny podle místa pobytu.</w:t>
      </w:r>
    </w:p>
    <w:p w:rsidR="00BD6E6F" w:rsidRPr="00FD16DC" w:rsidRDefault="00A8603E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FD16DC" w:rsidRDefault="00A8603E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1.1.3.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specifické míry nezaměstnanosti</w:t>
      </w:r>
      <w:r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FD16DC" w:rsidRDefault="00A8603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FD16DC" w:rsidRDefault="00A8603E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FD16DC" w:rsidRDefault="00A8603E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>míra ekonomické aktivity</w:t>
      </w:r>
      <w:r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FD16DC" w:rsidRDefault="00A8603E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1.3. 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míra zaměstnanosti</w:t>
      </w:r>
      <w:r>
        <w:rPr>
          <w:rFonts w:ascii="Arial" w:hAnsi="Arial" w:cs="Arial"/>
          <w:sz w:val="20"/>
          <w:szCs w:val="32"/>
        </w:rPr>
        <w:t xml:space="preserve"> vyjadřuje podíl počtu zaměstnaných na počtu všech osob 15letých a starších.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BD6E6F" w:rsidRPr="00FD16DC" w:rsidRDefault="00A8603E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Čitatel:</w:t>
      </w:r>
      <w:r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BD6E6F" w:rsidRPr="00FD16DC" w:rsidRDefault="00A8603E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>
        <w:rPr>
          <w:rFonts w:ascii="Arial" w:hAnsi="Arial" w:cs="Arial"/>
          <w:sz w:val="20"/>
          <w:szCs w:val="32"/>
        </w:rPr>
        <w:t xml:space="preserve"> + </w:t>
      </w:r>
      <w:r>
        <w:rPr>
          <w:rFonts w:ascii="Arial" w:hAnsi="Arial" w:cs="Arial"/>
          <w:b/>
          <w:bCs/>
          <w:sz w:val="20"/>
          <w:szCs w:val="32"/>
        </w:rPr>
        <w:t>počet pracujících cizinců</w:t>
      </w:r>
      <w:r>
        <w:rPr>
          <w:rFonts w:ascii="Arial" w:hAnsi="Arial" w:cs="Arial"/>
          <w:sz w:val="20"/>
          <w:szCs w:val="32"/>
        </w:rPr>
        <w:t xml:space="preserve"> podle evidence MPSV a MPO + </w:t>
      </w:r>
      <w:r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 w:cs="Arial"/>
          <w:b/>
          <w:bCs/>
          <w:sz w:val="20"/>
          <w:szCs w:val="32"/>
        </w:rPr>
        <w:t>o zaměstnání</w:t>
      </w:r>
      <w:r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FD16DC" w:rsidRDefault="00A8603E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listopadu roku 2012 začalo MPSV měsíčně zveřejňovat nový ukazatel </w:t>
      </w:r>
      <w:r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>, který vyjadřuje podíl dosažitelných uchazečů o zaměstnání ve věku 15-64 let ze všech obyvatel ve stejném věku. Ukazatel nahrazuje doposud zveřejňovanou míru registrované nezaměstnanosti, která poměřovala všechny dosažitelné uchazeče o zaměstnání pouze k ekonomicky aktivním osobám. Od ledna roku 2013 jsou zveřejňovány údaje pouze podle nového výpočtu:</w:t>
      </w:r>
    </w:p>
    <w:p w:rsidR="00EC1D8B" w:rsidRPr="00FD16DC" w:rsidRDefault="00A8603E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FD16DC" w:rsidRDefault="00A8603E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>
        <w:rPr>
          <w:rFonts w:ascii="Arial" w:hAnsi="Arial" w:cs="Arial"/>
          <w:b/>
          <w:bCs/>
          <w:sz w:val="20"/>
          <w:szCs w:val="32"/>
        </w:rPr>
        <w:tab/>
      </w:r>
      <w:r>
        <w:rPr>
          <w:rFonts w:ascii="Arial" w:hAnsi="Arial" w:cs="Arial"/>
          <w:bCs/>
          <w:sz w:val="20"/>
          <w:szCs w:val="32"/>
        </w:rPr>
        <w:t>celkový</w:t>
      </w:r>
      <w:r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FD16DC" w:rsidRDefault="00A8603E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="00BD6E6F" w:rsidRPr="00FD16DC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592BD7" w:rsidRPr="00FD16DC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FD16DC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FD16DC">
        <w:rPr>
          <w:rFonts w:ascii="Arial" w:hAnsi="Arial" w:cs="Arial"/>
          <w:sz w:val="20"/>
          <w:szCs w:val="32"/>
        </w:rPr>
        <w:t>1.1.</w:t>
      </w:r>
      <w:r w:rsidRPr="00FD16DC">
        <w:rPr>
          <w:rFonts w:ascii="Arial" w:hAnsi="Arial" w:cs="Arial"/>
          <w:sz w:val="20"/>
          <w:szCs w:val="32"/>
        </w:rPr>
        <w:tab/>
      </w:r>
      <w:r w:rsidR="004D7E70" w:rsidRPr="00FD16DC">
        <w:rPr>
          <w:rFonts w:ascii="Arial" w:hAnsi="Arial" w:cs="Arial"/>
          <w:b/>
          <w:sz w:val="20"/>
          <w:szCs w:val="32"/>
        </w:rPr>
        <w:t xml:space="preserve">celková </w:t>
      </w:r>
      <w:r w:rsidR="00A8603E">
        <w:rPr>
          <w:rFonts w:ascii="Arial" w:hAnsi="Arial" w:cs="Arial"/>
          <w:b/>
          <w:bCs/>
          <w:sz w:val="20"/>
          <w:szCs w:val="32"/>
        </w:rPr>
        <w:t>pracovní síla</w:t>
      </w:r>
      <w:r w:rsidR="00A8603E">
        <w:rPr>
          <w:rFonts w:ascii="Arial" w:hAnsi="Arial" w:cs="Arial"/>
          <w:sz w:val="20"/>
          <w:szCs w:val="32"/>
        </w:rPr>
        <w:t xml:space="preserve"> (Labour Force) zahrnuje všechny osoby 15leté a starší, které splňují požadavky na zařazení mezi zaměstnané v národním hospodářství nebo nezaměstnané.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1.2.</w:t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b/>
          <w:bCs/>
          <w:sz w:val="20"/>
          <w:szCs w:val="32"/>
        </w:rPr>
        <w:t>ekonomicky neaktivní obyvatelstvo</w:t>
      </w:r>
      <w:r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FD16DC" w:rsidRDefault="00A8603E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1.3.</w:t>
      </w:r>
      <w:r>
        <w:rPr>
          <w:rFonts w:ascii="Arial" w:hAnsi="Arial" w:cs="Arial"/>
          <w:b/>
          <w:bCs/>
          <w:sz w:val="20"/>
          <w:szCs w:val="32"/>
        </w:rPr>
        <w:tab/>
        <w:t>podzaměstnaní</w:t>
      </w:r>
      <w:r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kratší pracovní dobu nebo méně než 40 hodin týdně, a přejí si pracovat vyšší počet hodin než ve stávajících zaměstnáních.</w:t>
      </w:r>
    </w:p>
    <w:p w:rsidR="00BD6E6F" w:rsidRPr="00FD16DC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FD16DC" w:rsidRDefault="00A8603E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>Srovnatelnost s výsledky publikovanými Eurostatem</w:t>
      </w:r>
    </w:p>
    <w:p w:rsidR="00BD6E6F" w:rsidRPr="00FD16DC" w:rsidRDefault="00A8603E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Členské země EU pravidelně zasílají anonymizovaná čtvrtletní mikrodata z národních šetření do Eurostatu. Tato mikrodata obdobně zasílají i členské země EFTA: Švýcarsko, Norsko a Island a kandidátské země EU. Mikrodata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Eurostatu. Členské země EU jsou povinny zasílat mikrodata Eurostatu do 90ti dnů po skončení čtvrtletí. V roce 2003 Eurostat podstatně revidoval svůj informační systém a zaměřil se na publikaci vzájemně porovnatelných dat o vývoji ekonomické aktivity, zaměstnanosti a nezaměstnanosti za všechny členské země EU. Publikování těchto údajů má především charakter čtvrtletních a ročních studií, které jsou zveřejňovány v edici Statistics In Focus (SIF). Vedle systému SIF je běžně dostupná multimediální databáze Eurostatu, která poskytuje obsáhlé číselné přehledy opět zaměřené na srovnatelnost výsledků výběrového šetření za všechny země EU.</w:t>
      </w:r>
    </w:p>
    <w:p w:rsidR="00BD6E6F" w:rsidRPr="00FD16DC" w:rsidRDefault="00A8603E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V databázi Eurostatu  jsou k dispozici:</w:t>
      </w:r>
    </w:p>
    <w:p w:rsidR="00BD6E6F" w:rsidRPr="00FD16DC" w:rsidRDefault="00A8603E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a)</w:t>
      </w:r>
      <w:r>
        <w:rPr>
          <w:rFonts w:ascii="Arial" w:hAnsi="Arial" w:cs="Arial"/>
          <w:sz w:val="20"/>
          <w:szCs w:val="26"/>
        </w:rPr>
        <w:tab/>
        <w:t>Strukturální indikátory, což jsou roční průměry zemí EU za vybrané charakteristiky z výběrového šetření Labour Force Survey (LFS), jehož národní verzí je v případě ČR VŠPS: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Růst zaměstnanosti</w:t>
      </w:r>
    </w:p>
    <w:p w:rsidR="00BD6E6F" w:rsidRPr="00FD16DC" w:rsidRDefault="00A8603E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>
        <w:rPr>
          <w:rFonts w:cs="Arial"/>
          <w:szCs w:val="26"/>
        </w:rPr>
        <w:t>- Míra zaměstnanosti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Celoživotní vzdělávání</w:t>
      </w:r>
    </w:p>
    <w:p w:rsidR="00BD6E6F" w:rsidRPr="00FD16DC" w:rsidRDefault="00A8603E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>
        <w:rPr>
          <w:rFonts w:cs="Arial"/>
          <w:szCs w:val="26"/>
        </w:rPr>
        <w:t>- Míra nezaměstnanosti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FD16DC" w:rsidRDefault="00A8603E">
      <w:pPr>
        <w:ind w:firstLine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FD16DC" w:rsidRDefault="00A8603E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b)</w:t>
      </w:r>
      <w:r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FD16DC" w:rsidRDefault="00A8603E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FD16DC" w:rsidRDefault="00A8603E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c) </w:t>
      </w:r>
      <w:r>
        <w:rPr>
          <w:rFonts w:ascii="Arial" w:hAnsi="Arial" w:cs="Arial"/>
          <w:sz w:val="20"/>
          <w:szCs w:val="26"/>
        </w:rPr>
        <w:tab/>
        <w:t>Měsíční údaje</w:t>
      </w:r>
    </w:p>
    <w:p w:rsidR="00070E55" w:rsidRPr="00FD16DC" w:rsidRDefault="00A8603E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Eurostat měsíčně uvádí ve své databázi odhad měsíční míry nezaměstnanosti za jednotlivé členské země EU.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FD16DC" w:rsidRDefault="00A8603E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Při hodnocení údajů z různých zdrojů Eurostatu, ale i v rámci jednotlivých titulů vydávaných Eurostatem je nutné mít na zřeteli, že obsah ukazatelů se může v detailech lišit od obsahu, jak jej čtenář chápe. V rámci svého informačního systému Eurostat např. publikuje počty zaměstnaných ve věkové skupině 15–64 let a nikoliv ve skupině 15+letých, jak je obvyklé ve čtvrtletní publikaci ČSÚ a obdobně zveřejňuje míru nezaměstnanosti za skupinu 15-74letých osob. Při komparaci dat ze zdrojů Eurostatu a ČSÚ je nutné respektovat příslušné metodické poznámky zvláště v případech porovnávání měr zaměstnanosti, nezaměstnanosti a ekonomické aktivity. Odlišnosti se vyskytují i ve výpočtu průměrných ročních hodnot, kdy Eurostat používá v některých případech z důvodu srovnatelnosti data za 2. čtvrtletí, protože průměrné údaje nejsou za všechny členské země EU k dispozici. </w:t>
      </w:r>
    </w:p>
    <w:p w:rsidR="00BD6E6F" w:rsidRPr="00FD16DC" w:rsidRDefault="00A8603E" w:rsidP="000B1E81">
      <w:pPr>
        <w:spacing w:before="2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Pro informaci je uveden odhad harmonizované míry nezaměstnanosti Eurostatu za březen 2014. Míra nezaměstnanosti v ČR byla výrazně nižší než měsíční průměr za celou EU 28 nebo za země eurozóny. Nezaměstnanost byla vysoká především v Řecku, Španělsku, na Kypru a v Chorvatsku. V našich sousedních zemích je nezaměstnanost dlouhodobě vyšší na Slovensku a v Polsku. Nižší míra nezaměstnanosti je naopak v Německu a Rakousku, kde je zároveň vůbec nejnižší z celé EU.</w:t>
      </w:r>
    </w:p>
    <w:p w:rsidR="00BD6E6F" w:rsidRPr="00FD16DC" w:rsidRDefault="00A8603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Harmonizovaná měsíční míra nezaměstnanosti Eurostatu za jednotlivé členské země EU</w:t>
      </w:r>
    </w:p>
    <w:p w:rsidR="00BD6E6F" w:rsidRPr="00FD16DC" w:rsidRDefault="00A8603E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b/>
          <w:bCs/>
          <w:sz w:val="20"/>
        </w:rPr>
        <w:t>(březen 2014)</w:t>
      </w:r>
      <w:r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FD16DC" w:rsidRDefault="00A8603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2"/>
        <w:gridCol w:w="2302"/>
        <w:gridCol w:w="2302"/>
      </w:tblGrid>
      <w:tr w:rsidR="00BD6E6F" w:rsidRPr="00FD16DC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FD16DC" w:rsidRDefault="00A8603E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FD16DC" w:rsidRDefault="00A8603E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9E2E22" w:rsidRPr="00FD16DC" w:rsidRDefault="00A8603E" w:rsidP="0021770B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C50B94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603E">
              <w:rPr>
                <w:rFonts w:ascii="Arial" w:hAnsi="Arial" w:cs="Arial"/>
                <w:b/>
                <w:bCs/>
                <w:sz w:val="18"/>
              </w:rPr>
              <w:t>10,5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E2E22" w:rsidRPr="00FD16DC" w:rsidRDefault="00A8603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11,6 (prosinec 2013)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eurozóna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E461B5">
            <w:pPr>
              <w:pStyle w:val="Zkladntext"/>
              <w:jc w:val="center"/>
              <w:rPr>
                <w:rFonts w:ascii="Arial" w:hAnsi="Arial" w:cs="Arial"/>
                <w:b/>
                <w:sz w:val="18"/>
              </w:rPr>
            </w:pPr>
            <w:r w:rsidRPr="00A8603E">
              <w:rPr>
                <w:rFonts w:ascii="Arial" w:hAnsi="Arial" w:cs="Arial"/>
                <w:b/>
                <w:sz w:val="18"/>
              </w:rPr>
              <w:t>11,8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 w:rsidP="00C7611C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10,8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E461B5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8,5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6,1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13,1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7,9 (únor 2014)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8603E">
              <w:rPr>
                <w:rFonts w:ascii="Arial" w:hAnsi="Arial" w:cs="Arial"/>
                <w:b/>
                <w:bCs/>
                <w:sz w:val="18"/>
              </w:rPr>
              <w:t>6,7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6,8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6,5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7,2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5,1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4,9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8F00A3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7,8 (únor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9,6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26,5 (únor 2014)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15,2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C50B94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25,3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 w:rsidP="00635B29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7,2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10,4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13,9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17,3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9,7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9E2E22" w:rsidRPr="00FD16DC" w:rsidRDefault="00A8603E" w:rsidP="00C7611C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11,8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8,4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9E2E22" w:rsidRPr="00FD16DC" w:rsidRDefault="00A8603E" w:rsidP="00C7611C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E2E22" w:rsidRPr="00FD16DC" w:rsidRDefault="00A8603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12,7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8,1</w:t>
            </w:r>
          </w:p>
        </w:tc>
      </w:tr>
      <w:tr w:rsidR="009E2E22" w:rsidRPr="00FD16DC">
        <w:trPr>
          <w:trHeight w:val="170"/>
        </w:trPr>
        <w:tc>
          <w:tcPr>
            <w:tcW w:w="230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E2E22" w:rsidRPr="00FD16DC" w:rsidRDefault="00A8603E" w:rsidP="00C7611C">
            <w:pPr>
              <w:pStyle w:val="Zkladntex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E22" w:rsidRPr="00FD16DC" w:rsidRDefault="00A8603E" w:rsidP="00C7611C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17,4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9E2E22" w:rsidRPr="00FD16DC" w:rsidRDefault="009E2E22">
            <w:pPr>
              <w:pStyle w:val="Zkladntext"/>
              <w:rPr>
                <w:rFonts w:ascii="Arial" w:hAnsi="Arial" w:cs="Arial"/>
                <w:sz w:val="18"/>
              </w:rPr>
            </w:pPr>
            <w:r w:rsidRPr="00FD16DC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vAlign w:val="center"/>
          </w:tcPr>
          <w:p w:rsidR="009E2E22" w:rsidRPr="00FD16DC" w:rsidRDefault="00A8603E" w:rsidP="00EE2392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A8603E">
              <w:rPr>
                <w:rFonts w:ascii="Arial" w:hAnsi="Arial" w:cs="Arial"/>
                <w:sz w:val="18"/>
              </w:rPr>
              <w:t>6,7 (únor 2014)</w:t>
            </w:r>
          </w:p>
        </w:tc>
      </w:tr>
    </w:tbl>
    <w:p w:rsidR="00BD6E6F" w:rsidRPr="00FD16DC" w:rsidRDefault="00A8603E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vertAlign w:val="superscript"/>
        </w:rPr>
        <w:t>1)</w:t>
      </w:r>
      <w:r>
        <w:rPr>
          <w:rFonts w:ascii="Arial" w:hAnsi="Arial" w:cs="Arial"/>
          <w:sz w:val="16"/>
          <w:vertAlign w:val="superscript"/>
        </w:rPr>
        <w:tab/>
      </w:r>
      <w:r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FD16DC" w:rsidRDefault="00A8603E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Zdroj: Eurostat</w:t>
      </w:r>
    </w:p>
    <w:p w:rsidR="00BD6E6F" w:rsidRPr="00FD16DC" w:rsidRDefault="00A8603E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Pozn.: Jedná se o sezónně očištěné údaje.</w:t>
      </w:r>
    </w:p>
    <w:p w:rsidR="003949FE" w:rsidRPr="00FD16DC" w:rsidRDefault="00A8603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>
        <w:t>Všechny výše uvedené údaje za členské země EU jsou dostupné z databáze Eurostatu:</w:t>
      </w:r>
    </w:p>
    <w:p w:rsidR="003949FE" w:rsidRPr="00FD16DC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FD16DC" w:rsidRDefault="00592BD7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  <w:hyperlink r:id="rId8" w:history="1">
        <w:r w:rsidR="00A8603E">
          <w:rPr>
            <w:rStyle w:val="Hypertextovodkaz"/>
            <w:color w:val="auto"/>
          </w:rPr>
          <w:t>http://epp.eurostat.ec.europa.eu/portal/page/portal/statistics/search_database</w:t>
        </w:r>
      </w:hyperlink>
    </w:p>
    <w:p w:rsidR="003949FE" w:rsidRPr="00FD16DC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636EA3" w:rsidRPr="00FD16DC" w:rsidRDefault="00A8603E" w:rsidP="009F055D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i/>
          <w:szCs w:val="18"/>
          <w:lang w:val="en-GB"/>
        </w:rPr>
      </w:pPr>
      <w:r>
        <w:rPr>
          <w:rStyle w:val="title2"/>
          <w:b/>
          <w:i/>
          <w:szCs w:val="18"/>
          <w:lang w:val="en-GB"/>
        </w:rPr>
        <w:t>Tables by themes</w:t>
      </w:r>
      <w:r>
        <w:rPr>
          <w:rStyle w:val="title2"/>
          <w:i/>
          <w:szCs w:val="18"/>
          <w:lang w:val="en-GB"/>
        </w:rPr>
        <w:t xml:space="preserve"> </w:t>
      </w:r>
      <w:r>
        <w:rPr>
          <w:i/>
          <w:szCs w:val="18"/>
          <w:lang w:val="en-GB"/>
        </w:rPr>
        <w:t>–</w:t>
      </w:r>
      <w:r>
        <w:rPr>
          <w:rStyle w:val="title2"/>
          <w:i/>
          <w:szCs w:val="18"/>
          <w:lang w:val="en-GB"/>
        </w:rPr>
        <w:t xml:space="preserve">&gt; </w:t>
      </w:r>
      <w:r>
        <w:rPr>
          <w:rStyle w:val="title3"/>
          <w:i/>
          <w:szCs w:val="18"/>
          <w:lang w:val="en-GB"/>
        </w:rPr>
        <w:t>Population and social conditions</w:t>
      </w:r>
      <w:r>
        <w:rPr>
          <w:i/>
          <w:szCs w:val="18"/>
          <w:lang w:val="en-GB"/>
        </w:rPr>
        <w:t> –</w:t>
      </w:r>
      <w:r>
        <w:rPr>
          <w:rStyle w:val="title2"/>
          <w:i/>
          <w:szCs w:val="18"/>
          <w:lang w:val="en-GB"/>
        </w:rPr>
        <w:t>&gt;</w:t>
      </w:r>
      <w:r>
        <w:rPr>
          <w:i/>
          <w:szCs w:val="18"/>
          <w:lang w:val="en-GB"/>
        </w:rPr>
        <w:t xml:space="preserve"> </w:t>
      </w:r>
      <w:r>
        <w:rPr>
          <w:rStyle w:val="title4"/>
          <w:i/>
          <w:szCs w:val="18"/>
          <w:lang w:val="en-GB"/>
        </w:rPr>
        <w:t xml:space="preserve">Labour market </w:t>
      </w:r>
      <w:r>
        <w:rPr>
          <w:i/>
          <w:szCs w:val="18"/>
          <w:lang w:val="en-GB"/>
        </w:rPr>
        <w:t>–</w:t>
      </w:r>
      <w:r>
        <w:rPr>
          <w:rStyle w:val="title2"/>
          <w:i/>
          <w:szCs w:val="18"/>
          <w:lang w:val="en-GB"/>
        </w:rPr>
        <w:t>&gt;</w:t>
      </w:r>
      <w:r>
        <w:rPr>
          <w:i/>
          <w:szCs w:val="18"/>
          <w:lang w:val="en-GB"/>
        </w:rPr>
        <w:t xml:space="preserve"> </w:t>
      </w:r>
      <w:r>
        <w:rPr>
          <w:rStyle w:val="title5"/>
          <w:i/>
          <w:szCs w:val="18"/>
          <w:lang w:val="en-GB"/>
        </w:rPr>
        <w:t>Employment and unemployment (Labour Force Survey)</w:t>
      </w:r>
      <w:r>
        <w:rPr>
          <w:i/>
          <w:szCs w:val="18"/>
          <w:lang w:val="en-GB"/>
        </w:rPr>
        <w:t> –</w:t>
      </w:r>
      <w:r>
        <w:rPr>
          <w:rStyle w:val="title2"/>
          <w:i/>
          <w:szCs w:val="18"/>
          <w:lang w:val="en-GB"/>
        </w:rPr>
        <w:t>&gt;</w:t>
      </w:r>
      <w:r>
        <w:rPr>
          <w:i/>
          <w:szCs w:val="18"/>
          <w:lang w:val="en-GB"/>
        </w:rPr>
        <w:t xml:space="preserve"> </w:t>
      </w:r>
      <w:r>
        <w:rPr>
          <w:rStyle w:val="title6"/>
          <w:i/>
          <w:szCs w:val="18"/>
          <w:lang w:val="en-GB"/>
        </w:rPr>
        <w:t xml:space="preserve">LFS main indicators </w:t>
      </w:r>
      <w:r>
        <w:rPr>
          <w:i/>
          <w:szCs w:val="18"/>
          <w:lang w:val="en-GB"/>
        </w:rPr>
        <w:t>–</w:t>
      </w:r>
      <w:r>
        <w:rPr>
          <w:rStyle w:val="title2"/>
          <w:i/>
          <w:szCs w:val="18"/>
          <w:lang w:val="en-GB"/>
        </w:rPr>
        <w:t>&gt;</w:t>
      </w:r>
      <w:r>
        <w:rPr>
          <w:i/>
          <w:szCs w:val="18"/>
          <w:lang w:val="en-GB"/>
        </w:rPr>
        <w:t xml:space="preserve"> </w:t>
      </w:r>
      <w:r>
        <w:rPr>
          <w:rStyle w:val="title7"/>
          <w:i/>
          <w:szCs w:val="18"/>
          <w:lang w:val="en-GB"/>
        </w:rPr>
        <w:t xml:space="preserve">Unemployment </w:t>
      </w:r>
      <w:r>
        <w:rPr>
          <w:i/>
          <w:szCs w:val="18"/>
          <w:lang w:val="en-GB"/>
        </w:rPr>
        <w:t>–</w:t>
      </w:r>
      <w:r>
        <w:rPr>
          <w:rStyle w:val="title2"/>
          <w:i/>
          <w:szCs w:val="18"/>
          <w:lang w:val="en-GB"/>
        </w:rPr>
        <w:t>&gt;</w:t>
      </w:r>
      <w:r>
        <w:rPr>
          <w:rStyle w:val="title7"/>
          <w:i/>
          <w:szCs w:val="18"/>
          <w:lang w:val="en-GB"/>
        </w:rPr>
        <w:t xml:space="preserve"> LFS adjusted series </w:t>
      </w:r>
      <w:r>
        <w:rPr>
          <w:i/>
          <w:szCs w:val="18"/>
          <w:lang w:val="en-GB"/>
        </w:rPr>
        <w:t>–</w:t>
      </w:r>
      <w:r>
        <w:rPr>
          <w:rStyle w:val="title2"/>
          <w:i/>
          <w:szCs w:val="18"/>
          <w:lang w:val="en-GB"/>
        </w:rPr>
        <w:t>&gt;</w:t>
      </w:r>
      <w:r>
        <w:rPr>
          <w:i/>
          <w:szCs w:val="18"/>
          <w:lang w:val="en-GB"/>
        </w:rPr>
        <w:t xml:space="preserve"> Harmonised unemployment rate by sex (</w:t>
      </w:r>
      <w:r>
        <w:rPr>
          <w:i/>
        </w:rPr>
        <w:t>teilm020)</w:t>
      </w:r>
    </w:p>
    <w:p w:rsidR="00636EA3" w:rsidRPr="00FD16DC" w:rsidRDefault="00636EA3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sectPr w:rsidR="00636EA3" w:rsidRPr="00FD16DC" w:rsidSect="0000741E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B6" w:rsidRDefault="00322EB6">
      <w:r>
        <w:separator/>
      </w:r>
    </w:p>
  </w:endnote>
  <w:endnote w:type="continuationSeparator" w:id="0">
    <w:p w:rsidR="00322EB6" w:rsidRDefault="0032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57" w:rsidRDefault="00592BD7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BE0057">
      <w:rPr>
        <w:rStyle w:val="slostrnky"/>
        <w:rFonts w:ascii="Arial" w:hAnsi="Arial" w:cs="Arial"/>
        <w:sz w:val="18"/>
      </w:rPr>
      <w:tab/>
    </w:r>
    <w:r w:rsidR="000C4DD2">
      <w:rPr>
        <w:rStyle w:val="slostrnky"/>
        <w:rFonts w:ascii="Arial" w:hAnsi="Arial" w:cs="Arial"/>
        <w:sz w:val="18"/>
      </w:rPr>
      <w:t>1</w:t>
    </w:r>
    <w:r w:rsidR="00B62E9F">
      <w:rPr>
        <w:rStyle w:val="slostrnky"/>
        <w:rFonts w:ascii="Arial" w:hAnsi="Arial" w:cs="Arial"/>
        <w:sz w:val="18"/>
      </w:rPr>
      <w:t>. čtvrtletí 201</w:t>
    </w:r>
    <w:r w:rsidR="000C4DD2">
      <w:rPr>
        <w:rStyle w:val="slostrnky"/>
        <w:rFonts w:ascii="Arial" w:hAnsi="Arial" w:cs="Arial"/>
        <w:sz w:val="18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28F" w:rsidRPr="0020228F" w:rsidRDefault="0020228F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BE0057" w:rsidRDefault="00592BD7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0C4DD2">
      <w:rPr>
        <w:rFonts w:ascii="Arial" w:hAnsi="Arial" w:cs="Arial"/>
        <w:sz w:val="18"/>
      </w:rPr>
      <w:t>1</w:t>
    </w:r>
    <w:r w:rsidR="00BE0057">
      <w:rPr>
        <w:rFonts w:ascii="Arial" w:hAnsi="Arial" w:cs="Arial"/>
        <w:sz w:val="18"/>
      </w:rPr>
      <w:t>. čtvrtletí 20</w:t>
    </w:r>
    <w:r w:rsidR="00930855">
      <w:rPr>
        <w:rFonts w:ascii="Arial" w:hAnsi="Arial" w:cs="Arial"/>
        <w:sz w:val="18"/>
      </w:rPr>
      <w:t>1</w:t>
    </w:r>
    <w:r w:rsidR="000C4DD2">
      <w:rPr>
        <w:rFonts w:ascii="Arial" w:hAnsi="Arial" w:cs="Arial"/>
        <w:sz w:val="18"/>
      </w:rPr>
      <w:t>4</w:t>
    </w:r>
    <w:r w:rsidR="00BE0057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B6" w:rsidRDefault="00322EB6">
      <w:r>
        <w:separator/>
      </w:r>
    </w:p>
  </w:footnote>
  <w:footnote w:type="continuationSeparator" w:id="0">
    <w:p w:rsidR="00322EB6" w:rsidRDefault="00322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4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6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2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5"/>
  </w:num>
  <w:num w:numId="5">
    <w:abstractNumId w:val="32"/>
  </w:num>
  <w:num w:numId="6">
    <w:abstractNumId w:val="31"/>
  </w:num>
  <w:num w:numId="7">
    <w:abstractNumId w:val="29"/>
  </w:num>
  <w:num w:numId="8">
    <w:abstractNumId w:val="7"/>
  </w:num>
  <w:num w:numId="9">
    <w:abstractNumId w:val="28"/>
  </w:num>
  <w:num w:numId="10">
    <w:abstractNumId w:val="10"/>
  </w:num>
  <w:num w:numId="11">
    <w:abstractNumId w:val="4"/>
  </w:num>
  <w:num w:numId="12">
    <w:abstractNumId w:val="24"/>
  </w:num>
  <w:num w:numId="13">
    <w:abstractNumId w:val="2"/>
  </w:num>
  <w:num w:numId="14">
    <w:abstractNumId w:val="0"/>
  </w:num>
  <w:num w:numId="15">
    <w:abstractNumId w:val="9"/>
  </w:num>
  <w:num w:numId="16">
    <w:abstractNumId w:val="21"/>
  </w:num>
  <w:num w:numId="17">
    <w:abstractNumId w:val="27"/>
  </w:num>
  <w:num w:numId="18">
    <w:abstractNumId w:val="18"/>
  </w:num>
  <w:num w:numId="19">
    <w:abstractNumId w:val="30"/>
  </w:num>
  <w:num w:numId="20">
    <w:abstractNumId w:val="22"/>
  </w:num>
  <w:num w:numId="21">
    <w:abstractNumId w:val="11"/>
  </w:num>
  <w:num w:numId="22">
    <w:abstractNumId w:val="6"/>
  </w:num>
  <w:num w:numId="23">
    <w:abstractNumId w:val="23"/>
  </w:num>
  <w:num w:numId="24">
    <w:abstractNumId w:val="19"/>
  </w:num>
  <w:num w:numId="25">
    <w:abstractNumId w:val="16"/>
  </w:num>
  <w:num w:numId="26">
    <w:abstractNumId w:val="12"/>
  </w:num>
  <w:num w:numId="27">
    <w:abstractNumId w:val="14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2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0741E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977AC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2EB6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0AB3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2BD7"/>
    <w:rsid w:val="00593C82"/>
    <w:rsid w:val="00593F1E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3A75"/>
    <w:rsid w:val="00631727"/>
    <w:rsid w:val="006330F2"/>
    <w:rsid w:val="00635B29"/>
    <w:rsid w:val="0063648F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AA4"/>
    <w:rsid w:val="00794B85"/>
    <w:rsid w:val="007A3B2D"/>
    <w:rsid w:val="007A4EE0"/>
    <w:rsid w:val="007B0AC2"/>
    <w:rsid w:val="007B125E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577C6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603E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8C8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37957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235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546EC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8603E"/>
    <w:rPr>
      <w:sz w:val="24"/>
      <w:szCs w:val="24"/>
    </w:rPr>
  </w:style>
  <w:style w:type="paragraph" w:styleId="Nadpis1">
    <w:name w:val="heading 1"/>
    <w:basedOn w:val="Normln"/>
    <w:next w:val="Normln"/>
    <w:qFormat/>
    <w:rsid w:val="00A8603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A8603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A8603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A8603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A8603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A8603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A8603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A8603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A8603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A8603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A8603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A8603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A8603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A860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603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A8603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A8603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A8603E"/>
  </w:style>
  <w:style w:type="paragraph" w:styleId="Zkladntextodsazen3">
    <w:name w:val="Body Text Indent 3"/>
    <w:basedOn w:val="Normln"/>
    <w:rsid w:val="00A8603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A8603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A8603E"/>
    <w:rPr>
      <w:color w:val="0000FF"/>
      <w:u w:val="single"/>
    </w:rPr>
  </w:style>
  <w:style w:type="character" w:styleId="Sledovanodkaz">
    <w:name w:val="FollowedHyperlink"/>
    <w:basedOn w:val="Standardnpsmoodstavce"/>
    <w:rsid w:val="00A8603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A8603E"/>
    <w:rPr>
      <w:sz w:val="16"/>
      <w:szCs w:val="16"/>
    </w:rPr>
  </w:style>
  <w:style w:type="paragraph" w:styleId="Textkomente">
    <w:name w:val="annotation text"/>
    <w:basedOn w:val="Normln"/>
    <w:semiHidden/>
    <w:rsid w:val="00A8603E"/>
    <w:rPr>
      <w:sz w:val="20"/>
      <w:szCs w:val="20"/>
    </w:rPr>
  </w:style>
  <w:style w:type="paragraph" w:customStyle="1" w:styleId="xl24">
    <w:name w:val="xl24"/>
    <w:basedOn w:val="Normln"/>
    <w:rsid w:val="00A8603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A8603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A8603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A8603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A860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A8603E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A8603E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A8603E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A8603E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A8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A8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A86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A8603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8603E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A8603E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A8603E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A8603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p.eurostat.ec.europa.eu/portal/page/portal/statistics/search_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7C33-E264-4B71-8AE2-056853F8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2214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15250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2014-06-05T08:45:00Z</cp:lastPrinted>
  <dcterms:created xsi:type="dcterms:W3CDTF">2014-06-05T13:06:00Z</dcterms:created>
  <dcterms:modified xsi:type="dcterms:W3CDTF">2014-06-05T13:07:00Z</dcterms:modified>
</cp:coreProperties>
</file>