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CA" w:rsidRPr="00AA4ACA" w:rsidRDefault="00AA4ACA" w:rsidP="007450D3">
      <w:pPr>
        <w:pStyle w:val="Zkladntext"/>
        <w:ind w:left="426" w:hanging="426"/>
        <w:rPr>
          <w:rFonts w:ascii="Arial" w:hAnsi="Arial" w:cs="Arial"/>
          <w:b/>
          <w:szCs w:val="24"/>
        </w:rPr>
      </w:pPr>
      <w:r w:rsidRPr="00AA4ACA">
        <w:rPr>
          <w:rFonts w:ascii="Arial" w:hAnsi="Arial" w:cs="Arial"/>
          <w:b/>
          <w:szCs w:val="24"/>
        </w:rPr>
        <w:t>6</w:t>
      </w:r>
      <w:r w:rsidR="002917AF" w:rsidRPr="00AA4ACA">
        <w:rPr>
          <w:rFonts w:ascii="Arial" w:hAnsi="Arial" w:cs="Arial"/>
          <w:b/>
          <w:szCs w:val="24"/>
        </w:rPr>
        <w:t>.</w:t>
      </w:r>
      <w:r w:rsidR="007450D3">
        <w:rPr>
          <w:rFonts w:ascii="Arial" w:hAnsi="Arial" w:cs="Arial"/>
          <w:b/>
          <w:szCs w:val="24"/>
        </w:rPr>
        <w:tab/>
      </w:r>
      <w:r w:rsidRPr="00AA4ACA">
        <w:rPr>
          <w:rFonts w:ascii="Arial" w:hAnsi="Arial" w:cs="Arial"/>
          <w:b/>
          <w:szCs w:val="24"/>
        </w:rPr>
        <w:t>Osoby s neuvedenou odpovědí</w:t>
      </w:r>
      <w:r w:rsidRPr="00AA4ACA">
        <w:rPr>
          <w:rFonts w:ascii="Arial" w:hAnsi="Arial" w:cs="Arial"/>
          <w:b/>
          <w:szCs w:val="24"/>
        </w:rPr>
        <w:tab/>
      </w:r>
    </w:p>
    <w:p w:rsidR="003A12A6" w:rsidRPr="00656184" w:rsidRDefault="003A12A6" w:rsidP="00B33B50">
      <w:pPr>
        <w:pStyle w:val="Zkladntext"/>
        <w:rPr>
          <w:rFonts w:ascii="Arial" w:hAnsi="Arial" w:cs="Arial"/>
          <w:sz w:val="20"/>
        </w:rPr>
      </w:pPr>
    </w:p>
    <w:p w:rsidR="00913538" w:rsidRDefault="006016B1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Extrémně vysoké hodnoty neuvedených odpovědí na dobrovolné otázky (náboženská víra a národnost) byly významnými charakteristickými rysy sčítání 2011.</w:t>
      </w:r>
      <w:r w:rsidR="00572D7C" w:rsidRPr="006561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Svůj vztah k víře neuvedlo do sčítacího formuláře </w:t>
      </w:r>
      <w:r w:rsidR="00BC5513">
        <w:rPr>
          <w:rFonts w:ascii="Arial" w:hAnsi="Arial" w:cs="Arial"/>
          <w:sz w:val="20"/>
        </w:rPr>
        <w:t xml:space="preserve">téměř </w:t>
      </w:r>
      <w:r w:rsidR="003D3EF9" w:rsidRPr="00656184">
        <w:rPr>
          <w:rFonts w:ascii="Arial" w:hAnsi="Arial" w:cs="Arial"/>
          <w:sz w:val="20"/>
        </w:rPr>
        <w:t xml:space="preserve"> 4,</w:t>
      </w:r>
      <w:r w:rsidR="00BC5513">
        <w:rPr>
          <w:rFonts w:ascii="Arial" w:hAnsi="Arial" w:cs="Arial"/>
          <w:sz w:val="20"/>
        </w:rPr>
        <w:t>7</w:t>
      </w:r>
      <w:r w:rsidR="003D3EF9" w:rsidRPr="00656184">
        <w:rPr>
          <w:rFonts w:ascii="Arial" w:hAnsi="Arial" w:cs="Arial"/>
          <w:sz w:val="20"/>
        </w:rPr>
        <w:t xml:space="preserve"> milionu osob, tedy téměř polovin</w:t>
      </w:r>
      <w:r w:rsidR="00BC5513">
        <w:rPr>
          <w:rFonts w:ascii="Arial" w:hAnsi="Arial" w:cs="Arial"/>
          <w:sz w:val="20"/>
        </w:rPr>
        <w:t>a</w:t>
      </w:r>
      <w:r w:rsidR="003D3EF9" w:rsidRPr="00656184">
        <w:rPr>
          <w:rFonts w:ascii="Arial" w:hAnsi="Arial" w:cs="Arial"/>
          <w:sz w:val="20"/>
        </w:rPr>
        <w:t xml:space="preserve"> všech </w:t>
      </w:r>
      <w:r w:rsidR="00BC5513">
        <w:rPr>
          <w:rFonts w:ascii="Arial" w:hAnsi="Arial" w:cs="Arial"/>
          <w:sz w:val="20"/>
        </w:rPr>
        <w:t xml:space="preserve">obyvatel </w:t>
      </w:r>
      <w:r w:rsidR="003D3EF9" w:rsidRPr="00656184">
        <w:rPr>
          <w:rFonts w:ascii="Arial" w:hAnsi="Arial" w:cs="Arial"/>
          <w:sz w:val="20"/>
        </w:rPr>
        <w:t>(44,7 %)</w:t>
      </w:r>
      <w:r w:rsidR="00BC5513">
        <w:rPr>
          <w:rFonts w:ascii="Arial" w:hAnsi="Arial" w:cs="Arial"/>
          <w:sz w:val="20"/>
        </w:rPr>
        <w:t>.</w:t>
      </w:r>
    </w:p>
    <w:p w:rsidR="00FA3B3F" w:rsidRDefault="00FA3B3F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507C3B" w:rsidRDefault="00507C3B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dlouhodobého pohledu nemají počty osob s neuvedenou (nezjištěnou) vírou resp. náboženským vyznáním jasný vývojový trend. Zejména po roce 1989 ovlivnily celospolečenské změny i vnímání otázky na víru a postoje respondentů k jejímu uvádění.</w:t>
      </w:r>
      <w:r w:rsidR="001847DD">
        <w:rPr>
          <w:rFonts w:ascii="Arial" w:hAnsi="Arial" w:cs="Arial"/>
          <w:sz w:val="20"/>
        </w:rPr>
        <w:t xml:space="preserve"> Vliv měla i skutečnost, že </w:t>
      </w:r>
      <w:r w:rsidR="00B4127C">
        <w:rPr>
          <w:rFonts w:ascii="Arial" w:hAnsi="Arial" w:cs="Arial"/>
          <w:sz w:val="20"/>
        </w:rPr>
        <w:t>až do roku</w:t>
      </w:r>
      <w:r w:rsidR="001847DD">
        <w:rPr>
          <w:rFonts w:ascii="Arial" w:hAnsi="Arial" w:cs="Arial"/>
          <w:sz w:val="20"/>
        </w:rPr>
        <w:t xml:space="preserve"> 1950 bylo uvedení náboženského vyznání povinné a </w:t>
      </w:r>
      <w:r w:rsidR="009F5057">
        <w:rPr>
          <w:rFonts w:ascii="Arial" w:hAnsi="Arial" w:cs="Arial"/>
          <w:sz w:val="20"/>
        </w:rPr>
        <w:t xml:space="preserve">bylo jednoznačně definováno jako církevní příslušnost. Pokud osoba nebyla ve svazku žádné církve, měla uvést, že je bez vyznání. Z tohoto důvodu bylo </w:t>
      </w:r>
      <w:r w:rsidR="00774B0D">
        <w:rPr>
          <w:rFonts w:ascii="Arial" w:hAnsi="Arial" w:cs="Arial"/>
          <w:sz w:val="20"/>
        </w:rPr>
        <w:t xml:space="preserve">do roku 1950 </w:t>
      </w:r>
      <w:r w:rsidR="009F5057">
        <w:rPr>
          <w:rFonts w:ascii="Arial" w:hAnsi="Arial" w:cs="Arial"/>
          <w:sz w:val="20"/>
        </w:rPr>
        <w:t>neuvedení údaje zcela výjimečné.</w:t>
      </w:r>
    </w:p>
    <w:p w:rsidR="00507C3B" w:rsidRPr="00656184" w:rsidRDefault="00507C3B" w:rsidP="00507C3B">
      <w:pPr>
        <w:rPr>
          <w:rFonts w:ascii="Arial" w:hAnsi="Arial" w:cs="Arial"/>
          <w:color w:val="000000"/>
        </w:rPr>
      </w:pPr>
    </w:p>
    <w:tbl>
      <w:tblPr>
        <w:tblW w:w="628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84"/>
        <w:gridCol w:w="715"/>
        <w:gridCol w:w="1022"/>
        <w:gridCol w:w="838"/>
        <w:gridCol w:w="1022"/>
      </w:tblGrid>
      <w:tr w:rsidR="00507C3B" w:rsidRPr="00176551" w:rsidTr="00C606C2">
        <w:trPr>
          <w:trHeight w:val="300"/>
          <w:jc w:val="center"/>
        </w:trPr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rPr>
                <w:rFonts w:ascii="Arial" w:hAnsi="Arial" w:cs="Arial"/>
                <w:b/>
                <w:color w:val="000000"/>
              </w:rPr>
            </w:pPr>
            <w:r w:rsidRPr="00176551">
              <w:rPr>
                <w:rFonts w:ascii="Arial" w:hAnsi="Arial" w:cs="Arial"/>
                <w:b/>
                <w:color w:val="000000"/>
              </w:rPr>
              <w:t>Osoby s neuvedenou (nezjištěnou) vírou v letech 1950 - 2011</w:t>
            </w:r>
          </w:p>
        </w:tc>
      </w:tr>
      <w:tr w:rsidR="00507C3B" w:rsidRPr="00176551" w:rsidTr="00C606C2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C606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507C3B" w:rsidRPr="00176551" w:rsidTr="00C606C2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Osoby s neuvedenou vírou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22 889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1 665 617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901 981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4 662 455 </w:t>
            </w:r>
          </w:p>
        </w:tc>
      </w:tr>
      <w:tr w:rsidR="00507C3B" w:rsidRPr="00176551" w:rsidTr="00C606C2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% podíl z počtu obyvatel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3B" w:rsidRPr="00176551" w:rsidRDefault="00507C3B" w:rsidP="00507C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</w:tbl>
    <w:p w:rsidR="00507C3B" w:rsidRPr="00656184" w:rsidRDefault="00507C3B" w:rsidP="00507C3B">
      <w:pPr>
        <w:rPr>
          <w:rFonts w:ascii="Arial" w:hAnsi="Arial" w:cs="Arial"/>
          <w:color w:val="000000"/>
        </w:rPr>
      </w:pPr>
    </w:p>
    <w:p w:rsidR="00507C3B" w:rsidRDefault="00507C3B" w:rsidP="00507C3B">
      <w:pPr>
        <w:rPr>
          <w:rFonts w:ascii="Arial" w:hAnsi="Arial" w:cs="Arial"/>
          <w:color w:val="000000"/>
        </w:rPr>
      </w:pPr>
    </w:p>
    <w:p w:rsidR="00B95F9F" w:rsidRPr="00656184" w:rsidRDefault="00524253" w:rsidP="00B95F9F">
      <w:pPr>
        <w:spacing w:line="276" w:lineRule="auto"/>
        <w:jc w:val="both"/>
        <w:rPr>
          <w:rFonts w:ascii="Arial" w:hAnsi="Arial" w:cs="Arial"/>
          <w:color w:val="000000"/>
        </w:rPr>
      </w:pPr>
      <w:r w:rsidRPr="005242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0;margin-top:56.6pt;width:299.65pt;height:207.75pt;z-index:251655168;visibility:visible;mso-wrap-distance-top:8.5pt;mso-wrap-distance-bottom:8.5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bMZlU3QAAAAUBAAAPAAAAZHJzL2Rvd25y&#10;ZXYueG1sTI/BTsMwEETvSPyDtUjcqENDKQpxKkCCA+0BUi69ufHiRMTrYLttytezcIHLSKNZzbwt&#10;F6PrxR5D7DwpuJxkIJAabzqyCt7Wjxc3IGLSZHTvCRUcMcKiOj0pdWH8gV5xXycruIRioRW0KQ2F&#10;lLFp0ek48QMSZ+8+OJ3YBitN0Acud72cZtm1dLojXmj1gA8tNh/1zilYhaV9GbvZ/eem2Tw9J3e0&#10;y69aqfOz8e4WRMIx/R3DDz6jQ8VMW78jE0WvgB9Jv8rZfJqz3Sq4yvMZyKqU/+mrb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">
            <v:imagedata r:id="rId8" o:title=""/>
            <o:lock v:ext="edit" aspectratio="f"/>
            <w10:wrap type="square"/>
          </v:shape>
        </w:pict>
      </w:r>
      <w:r w:rsidR="009F5057">
        <w:rPr>
          <w:rFonts w:ascii="Arial" w:hAnsi="Arial" w:cs="Arial"/>
          <w:color w:val="000000"/>
        </w:rPr>
        <w:t xml:space="preserve">Opětovné </w:t>
      </w:r>
      <w:r w:rsidR="00507C3B" w:rsidRPr="00656184">
        <w:rPr>
          <w:rFonts w:ascii="Arial" w:hAnsi="Arial" w:cs="Arial"/>
          <w:color w:val="000000"/>
        </w:rPr>
        <w:t>zařazení dotazu po náboženském vyznání po čtyřiceti letech v roce 1991 vyvolalo poměrně rozsáhlou a často protikladnou diskusi</w:t>
      </w:r>
      <w:r w:rsidR="009F5057">
        <w:rPr>
          <w:rFonts w:ascii="Arial" w:hAnsi="Arial" w:cs="Arial"/>
          <w:color w:val="000000"/>
        </w:rPr>
        <w:t xml:space="preserve"> a rozporuplné reakce. Část veřejnosti uvítala, že může po 40 letech opět svobodně</w:t>
      </w:r>
      <w:r w:rsidR="00507C3B" w:rsidRPr="00656184">
        <w:rPr>
          <w:rFonts w:ascii="Arial" w:hAnsi="Arial" w:cs="Arial"/>
          <w:color w:val="000000"/>
        </w:rPr>
        <w:t xml:space="preserve"> </w:t>
      </w:r>
      <w:r w:rsidR="009F5057">
        <w:rPr>
          <w:rFonts w:ascii="Arial" w:hAnsi="Arial" w:cs="Arial"/>
          <w:color w:val="000000"/>
        </w:rPr>
        <w:t xml:space="preserve">svou víru deklarovat, jiní ale toto téma považovali za nepřiměřený zásah do soukromí. </w:t>
      </w:r>
      <w:r w:rsidR="00411AC4">
        <w:rPr>
          <w:rFonts w:ascii="Arial" w:hAnsi="Arial" w:cs="Arial"/>
          <w:color w:val="000000"/>
        </w:rPr>
        <w:t xml:space="preserve">Vzhledem k negativním reakcím bylo v průběhu sčítání rozhodnuto, že </w:t>
      </w:r>
      <w:r w:rsidR="00507C3B" w:rsidRPr="00656184">
        <w:rPr>
          <w:rFonts w:ascii="Arial" w:hAnsi="Arial" w:cs="Arial"/>
        </w:rPr>
        <w:t>možnost neuvádět odpověď</w:t>
      </w:r>
      <w:r w:rsidR="00411AC4">
        <w:rPr>
          <w:rFonts w:ascii="Arial" w:hAnsi="Arial" w:cs="Arial"/>
        </w:rPr>
        <w:t xml:space="preserve"> bude tolerována.</w:t>
      </w:r>
      <w:r w:rsidR="00507C3B" w:rsidRPr="00656184">
        <w:rPr>
          <w:rFonts w:ascii="Arial" w:hAnsi="Arial" w:cs="Arial"/>
        </w:rPr>
        <w:t xml:space="preserve"> </w:t>
      </w:r>
      <w:r w:rsidR="00411AC4">
        <w:rPr>
          <w:rFonts w:ascii="Arial" w:hAnsi="Arial" w:cs="Arial"/>
        </w:rPr>
        <w:t>Z těchto důvodů byly počty osob jak věřících, tak i osob s nezjištěným náboženským vyznáním částečně nadhodnoceny, což doložily výsledky následujícího sčítání v roce 2001</w:t>
      </w:r>
      <w:r w:rsidR="00B95F9F">
        <w:rPr>
          <w:rFonts w:ascii="Arial" w:hAnsi="Arial" w:cs="Arial"/>
        </w:rPr>
        <w:t>, kdy počty věřících, ale zejména počty osob s neuvedenou odpovědí významně poklesly.</w:t>
      </w:r>
      <w:r w:rsidR="00411AC4">
        <w:rPr>
          <w:rFonts w:ascii="Arial" w:hAnsi="Arial" w:cs="Arial"/>
        </w:rPr>
        <w:t xml:space="preserve"> Od sčítání 2001 byla otázka na víru již </w:t>
      </w:r>
      <w:r w:rsidR="007A7EB3">
        <w:rPr>
          <w:rFonts w:ascii="Arial" w:hAnsi="Arial" w:cs="Arial"/>
        </w:rPr>
        <w:t xml:space="preserve">přímo </w:t>
      </w:r>
      <w:r w:rsidR="00411AC4">
        <w:rPr>
          <w:rFonts w:ascii="Arial" w:hAnsi="Arial" w:cs="Arial"/>
        </w:rPr>
        <w:t>v zákoně o sčítání označena jako dobrovolná</w:t>
      </w:r>
      <w:r w:rsidR="00B95F9F">
        <w:rPr>
          <w:rFonts w:ascii="Arial" w:hAnsi="Arial" w:cs="Arial"/>
        </w:rPr>
        <w:t xml:space="preserve">, tedy nepovinná. </w:t>
      </w:r>
      <w:r w:rsidR="00AB10EF">
        <w:rPr>
          <w:rFonts w:ascii="Arial" w:hAnsi="Arial" w:cs="Arial"/>
        </w:rPr>
        <w:t xml:space="preserve">Rozkolísaný vývoj počtů neuvedených odpovědí byl ovlivněný většinou faktory mimo sčítání, nelze proto objektivně hodnotit </w:t>
      </w:r>
      <w:r w:rsidR="000B016D">
        <w:rPr>
          <w:rFonts w:ascii="Arial" w:hAnsi="Arial" w:cs="Arial"/>
        </w:rPr>
        <w:t xml:space="preserve">trendy, </w:t>
      </w:r>
      <w:r w:rsidR="00AB10EF">
        <w:rPr>
          <w:rFonts w:ascii="Arial" w:hAnsi="Arial" w:cs="Arial"/>
        </w:rPr>
        <w:t>příčiny</w:t>
      </w:r>
      <w:r w:rsidR="00684F1E">
        <w:rPr>
          <w:rFonts w:ascii="Arial" w:hAnsi="Arial" w:cs="Arial"/>
        </w:rPr>
        <w:t xml:space="preserve"> vývoje</w:t>
      </w:r>
      <w:r w:rsidR="00AB10EF">
        <w:rPr>
          <w:rFonts w:ascii="Arial" w:hAnsi="Arial" w:cs="Arial"/>
        </w:rPr>
        <w:t xml:space="preserve">, ale </w:t>
      </w:r>
      <w:r w:rsidR="000B016D">
        <w:rPr>
          <w:rFonts w:ascii="Arial" w:hAnsi="Arial" w:cs="Arial"/>
        </w:rPr>
        <w:t xml:space="preserve">je možné pouze </w:t>
      </w:r>
      <w:r w:rsidR="00AB10EF">
        <w:rPr>
          <w:rFonts w:ascii="Arial" w:hAnsi="Arial" w:cs="Arial"/>
        </w:rPr>
        <w:t>analyzovat stav k danému okamžiku.</w:t>
      </w:r>
    </w:p>
    <w:p w:rsidR="00BC5513" w:rsidRDefault="00BC5513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572D7C" w:rsidRPr="00656184" w:rsidRDefault="00BC5513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Skupina osob bez uvedení vztahu k</w:t>
      </w:r>
      <w:r w:rsidR="0005639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víře</w:t>
      </w:r>
      <w:r w:rsidR="00056397">
        <w:rPr>
          <w:rFonts w:ascii="Arial" w:hAnsi="Arial" w:cs="Arial"/>
          <w:sz w:val="20"/>
        </w:rPr>
        <w:t xml:space="preserve"> k 26.3.2011</w:t>
      </w:r>
      <w:r>
        <w:rPr>
          <w:rFonts w:ascii="Arial" w:hAnsi="Arial" w:cs="Arial"/>
          <w:sz w:val="20"/>
        </w:rPr>
        <w:t xml:space="preserve"> nem</w:t>
      </w:r>
      <w:r w:rsidR="00056397">
        <w:rPr>
          <w:rFonts w:ascii="Arial" w:hAnsi="Arial" w:cs="Arial"/>
          <w:sz w:val="20"/>
        </w:rPr>
        <w:t>ěla</w:t>
      </w:r>
      <w:r>
        <w:rPr>
          <w:rFonts w:ascii="Arial" w:hAnsi="Arial" w:cs="Arial"/>
          <w:sz w:val="20"/>
        </w:rPr>
        <w:t xml:space="preserve"> z pohledu základních demografických charakteristik  žádná specifika ani</w:t>
      </w:r>
      <w:r w:rsidR="00087BD7">
        <w:rPr>
          <w:rFonts w:ascii="Arial" w:hAnsi="Arial" w:cs="Arial"/>
          <w:sz w:val="20"/>
        </w:rPr>
        <w:t xml:space="preserve"> žádné</w:t>
      </w:r>
      <w:r>
        <w:rPr>
          <w:rFonts w:ascii="Arial" w:hAnsi="Arial" w:cs="Arial"/>
          <w:sz w:val="20"/>
        </w:rPr>
        <w:t xml:space="preserve"> signifikantní </w:t>
      </w:r>
      <w:r w:rsidR="00087BD7">
        <w:rPr>
          <w:rFonts w:ascii="Arial" w:hAnsi="Arial" w:cs="Arial"/>
          <w:sz w:val="20"/>
        </w:rPr>
        <w:t>rysy.</w:t>
      </w:r>
    </w:p>
    <w:p w:rsidR="00D7178E" w:rsidRPr="00656184" w:rsidRDefault="00D7178E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1F5EA2" w:rsidRDefault="001F5EA2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656184">
        <w:rPr>
          <w:rFonts w:ascii="Arial" w:hAnsi="Arial" w:cs="Arial"/>
          <w:sz w:val="20"/>
        </w:rPr>
        <w:t xml:space="preserve">Rozdíl mezi muži a ženami </w:t>
      </w:r>
      <w:r w:rsidR="00FC19D2">
        <w:rPr>
          <w:rFonts w:ascii="Arial" w:hAnsi="Arial" w:cs="Arial"/>
          <w:sz w:val="20"/>
        </w:rPr>
        <w:t>byl</w:t>
      </w:r>
      <w:r w:rsidRPr="00656184">
        <w:rPr>
          <w:rFonts w:ascii="Arial" w:hAnsi="Arial" w:cs="Arial"/>
          <w:sz w:val="20"/>
        </w:rPr>
        <w:t xml:space="preserve"> z hlediska nezodpovězení otázky na náboženskou víru minimální. </w:t>
      </w:r>
      <w:r w:rsidR="00FC19D2">
        <w:rPr>
          <w:rFonts w:ascii="Arial" w:hAnsi="Arial" w:cs="Arial"/>
          <w:sz w:val="20"/>
        </w:rPr>
        <w:t>I v absolutním vyjádření byly j</w:t>
      </w:r>
      <w:r w:rsidRPr="00656184">
        <w:rPr>
          <w:rFonts w:ascii="Arial" w:hAnsi="Arial" w:cs="Arial"/>
          <w:sz w:val="20"/>
        </w:rPr>
        <w:t xml:space="preserve">ejich počty téměř shodné, žen </w:t>
      </w:r>
      <w:r w:rsidR="00FC19D2">
        <w:rPr>
          <w:rFonts w:ascii="Arial" w:hAnsi="Arial" w:cs="Arial"/>
          <w:sz w:val="20"/>
        </w:rPr>
        <w:t>bylo více</w:t>
      </w:r>
      <w:r w:rsidRPr="00656184">
        <w:rPr>
          <w:rFonts w:ascii="Arial" w:hAnsi="Arial" w:cs="Arial"/>
          <w:sz w:val="20"/>
        </w:rPr>
        <w:t xml:space="preserve"> </w:t>
      </w:r>
      <w:r w:rsidR="008D56D5" w:rsidRPr="00656184">
        <w:rPr>
          <w:rFonts w:ascii="Arial" w:hAnsi="Arial" w:cs="Arial"/>
          <w:sz w:val="20"/>
        </w:rPr>
        <w:t xml:space="preserve">jen o </w:t>
      </w:r>
      <w:r w:rsidR="00FC19D2">
        <w:rPr>
          <w:rFonts w:ascii="Arial" w:hAnsi="Arial" w:cs="Arial"/>
          <w:sz w:val="20"/>
        </w:rPr>
        <w:t>cca</w:t>
      </w:r>
      <w:r w:rsidR="008D56D5" w:rsidRPr="00656184">
        <w:rPr>
          <w:rFonts w:ascii="Arial" w:hAnsi="Arial" w:cs="Arial"/>
          <w:sz w:val="20"/>
        </w:rPr>
        <w:t xml:space="preserve"> 4</w:t>
      </w:r>
      <w:r w:rsidR="00FC19D2">
        <w:rPr>
          <w:rFonts w:ascii="Arial" w:hAnsi="Arial" w:cs="Arial"/>
          <w:sz w:val="20"/>
        </w:rPr>
        <w:t>0 tisíc osob.</w:t>
      </w:r>
      <w:r w:rsidRPr="00656184">
        <w:rPr>
          <w:rFonts w:ascii="Arial" w:hAnsi="Arial" w:cs="Arial"/>
          <w:sz w:val="20"/>
        </w:rPr>
        <w:t xml:space="preserve"> </w:t>
      </w:r>
      <w:r w:rsidR="000B016D">
        <w:rPr>
          <w:rFonts w:ascii="Arial" w:hAnsi="Arial" w:cs="Arial"/>
          <w:sz w:val="20"/>
        </w:rPr>
        <w:t>Ani v hodnocení jednotlivých věkových skupin nejsou patrné žádné významné objektivní souvislosti.</w:t>
      </w:r>
    </w:p>
    <w:p w:rsidR="00FC19D2" w:rsidRDefault="00FC19D2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8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134"/>
        <w:gridCol w:w="1171"/>
        <w:gridCol w:w="813"/>
        <w:gridCol w:w="788"/>
        <w:gridCol w:w="820"/>
      </w:tblGrid>
      <w:tr w:rsidR="00176551" w:rsidRPr="00176551" w:rsidTr="003A61F0">
        <w:trPr>
          <w:trHeight w:val="300"/>
        </w:trPr>
        <w:tc>
          <w:tcPr>
            <w:tcW w:w="80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551" w:rsidRPr="00176551" w:rsidRDefault="00176551" w:rsidP="00FA3B3F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b/>
                <w:color w:val="000000"/>
              </w:rPr>
              <w:lastRenderedPageBreak/>
              <w:t>Osoby s neuvedenou odpovědí na náboženskou víru podle věku k 26.3.201</w:t>
            </w:r>
            <w:r w:rsidR="00FA3B3F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3C7494" w:rsidRPr="00176551" w:rsidTr="003F14DB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94" w:rsidRPr="00176551" w:rsidRDefault="003C7494" w:rsidP="000B016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Věková skupina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494" w:rsidRPr="00176551" w:rsidRDefault="003C7494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Osoby s neuvedenou odpovědí 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94" w:rsidRPr="00176551" w:rsidRDefault="003C7494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Podíl z obyvatel příslušného věku v %</w:t>
            </w:r>
          </w:p>
        </w:tc>
      </w:tr>
      <w:tr w:rsidR="00FC19D2" w:rsidRPr="00176551" w:rsidTr="003C74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D2" w:rsidRPr="00176551" w:rsidRDefault="00FC19D2" w:rsidP="000B016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D2" w:rsidRPr="00176551" w:rsidRDefault="00FC19D2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D2" w:rsidRPr="00176551" w:rsidRDefault="00FC19D2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D2" w:rsidRPr="00176551" w:rsidRDefault="00FC19D2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ženy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D2" w:rsidRPr="00176551" w:rsidRDefault="00FC19D2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9D2" w:rsidRPr="00176551" w:rsidRDefault="00FC19D2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D2" w:rsidRPr="00176551" w:rsidRDefault="00FC19D2" w:rsidP="000B016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ženy</w:t>
            </w:r>
          </w:p>
        </w:tc>
      </w:tr>
      <w:tr w:rsidR="00FC19D2" w:rsidRPr="00176551" w:rsidTr="00176551">
        <w:trPr>
          <w:trHeight w:hRule="exact" w:val="51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 xml:space="preserve">Osoby s neuvedenou odpovědí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4 662 455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2 310 094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2 352 361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z toho</w:t>
            </w:r>
            <w:r w:rsidR="001765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5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6551">
              <w:rPr>
                <w:rFonts w:ascii="Arial" w:hAnsi="Arial" w:cs="Arial"/>
                <w:sz w:val="18"/>
                <w:szCs w:val="18"/>
              </w:rPr>
              <w:t>0-14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734 366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377 852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356 514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176551" w:rsidP="0017655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19D2"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15-19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258 892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133 579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125 313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176551" w:rsidP="0017655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19D2" w:rsidRPr="00176551">
              <w:rPr>
                <w:rFonts w:ascii="Arial" w:hAnsi="Arial" w:cs="Arial"/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600 771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312 280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288 491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176551" w:rsidP="0017655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19D2" w:rsidRPr="00176551">
              <w:rPr>
                <w:rFonts w:ascii="Arial" w:hAnsi="Arial" w:cs="Arial"/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768 688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399 598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369 090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176551" w:rsidP="0017655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19D2"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40-49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616 674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322 106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294 568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176551" w:rsidP="0017655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19D2"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50-59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626 322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310 199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316 123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176551" w:rsidP="0017655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19D2"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60-69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582 060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271 299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310 761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</w:tr>
      <w:tr w:rsidR="00FC19D2" w:rsidRPr="00176551" w:rsidTr="00176551">
        <w:trPr>
          <w:trHeight w:hRule="exact"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176551" w:rsidP="0017655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19D2" w:rsidRPr="00176551">
              <w:rPr>
                <w:rFonts w:ascii="Arial" w:hAnsi="Arial" w:cs="Arial"/>
                <w:color w:val="000000"/>
                <w:sz w:val="18"/>
                <w:szCs w:val="18"/>
              </w:rPr>
              <w:t>70 a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449 061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168 514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280 547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D2" w:rsidRPr="00176551" w:rsidRDefault="00FC19D2" w:rsidP="00176551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</w:tr>
    </w:tbl>
    <w:p w:rsidR="00FC19D2" w:rsidRDefault="00FC19D2" w:rsidP="00BC5513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9D7465" w:rsidRPr="00656184" w:rsidRDefault="009D7465" w:rsidP="00B33B50">
      <w:pPr>
        <w:pStyle w:val="Zkladntext"/>
        <w:rPr>
          <w:rFonts w:ascii="Arial" w:hAnsi="Arial" w:cs="Arial"/>
          <w:sz w:val="20"/>
        </w:rPr>
      </w:pPr>
    </w:p>
    <w:p w:rsidR="009D7465" w:rsidRPr="00656184" w:rsidRDefault="003C7494" w:rsidP="003C749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Nejvyšší </w:t>
      </w:r>
      <w:r w:rsidR="009D7465" w:rsidRPr="00656184">
        <w:rPr>
          <w:rFonts w:ascii="Arial" w:hAnsi="Arial" w:cs="Arial"/>
          <w:sz w:val="20"/>
        </w:rPr>
        <w:t>podíl</w:t>
      </w:r>
      <w:r>
        <w:rPr>
          <w:rFonts w:ascii="Arial" w:hAnsi="Arial" w:cs="Arial"/>
          <w:sz w:val="20"/>
        </w:rPr>
        <w:t xml:space="preserve">y </w:t>
      </w:r>
      <w:r w:rsidR="00A9532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více než </w:t>
      </w:r>
      <w:r w:rsidR="009D7465" w:rsidRPr="00656184">
        <w:rPr>
          <w:rFonts w:ascii="Arial" w:hAnsi="Arial" w:cs="Arial"/>
          <w:sz w:val="20"/>
        </w:rPr>
        <w:t>49 %</w:t>
      </w:r>
      <w:r>
        <w:rPr>
          <w:rFonts w:ascii="Arial" w:hAnsi="Arial" w:cs="Arial"/>
          <w:sz w:val="20"/>
        </w:rPr>
        <w:t xml:space="preserve"> - byly </w:t>
      </w:r>
      <w:r w:rsidR="009D7465" w:rsidRPr="00656184">
        <w:rPr>
          <w:rFonts w:ascii="Arial" w:hAnsi="Arial" w:cs="Arial"/>
          <w:sz w:val="20"/>
        </w:rPr>
        <w:t xml:space="preserve">u dětí do 15 let. </w:t>
      </w:r>
      <w:r>
        <w:rPr>
          <w:rFonts w:ascii="Arial" w:hAnsi="Arial" w:cs="Arial"/>
          <w:sz w:val="20"/>
        </w:rPr>
        <w:t xml:space="preserve">Je </w:t>
      </w:r>
      <w:r w:rsidR="009D7465" w:rsidRPr="00656184">
        <w:rPr>
          <w:rFonts w:ascii="Arial" w:hAnsi="Arial" w:cs="Arial"/>
          <w:sz w:val="20"/>
        </w:rPr>
        <w:t xml:space="preserve">zřejmé, že rodiče v případě dětí častěji odpověď na tuto otázku vynechávali. </w:t>
      </w:r>
      <w:r>
        <w:rPr>
          <w:rFonts w:ascii="Arial" w:hAnsi="Arial" w:cs="Arial"/>
          <w:sz w:val="20"/>
        </w:rPr>
        <w:t>V nejvyšší věkové skupině od 70 let byly podíly neuvedených odpovědí nejnižší</w:t>
      </w:r>
      <w:r w:rsidR="000B016D">
        <w:rPr>
          <w:rFonts w:ascii="Arial" w:hAnsi="Arial" w:cs="Arial"/>
          <w:sz w:val="20"/>
        </w:rPr>
        <w:t>, protože osoby v tomto věku jednak častěji deklarovaly svou příslušnost k víře, jednak častěji vyplňovaly i nepovinné otázky</w:t>
      </w:r>
      <w:r>
        <w:rPr>
          <w:rFonts w:ascii="Arial" w:hAnsi="Arial" w:cs="Arial"/>
          <w:sz w:val="20"/>
        </w:rPr>
        <w:t>. Bez dětí do 14 let, kde nevyplnění otázky nebylo jejich vlastní volbou, lze rozdíly v jednotlivých věkových skupinách považovat za nevýznamné.</w:t>
      </w:r>
    </w:p>
    <w:p w:rsidR="002E52F0" w:rsidRPr="00656184" w:rsidRDefault="002E52F0" w:rsidP="00FC19D2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37951" w:rsidRDefault="008E78FD" w:rsidP="0021565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vztahu k národnosti, která byla rovněž dobrovolnou a méně vyplňovanou otázkou, byly absolutní údaje ještě nižší než u jiných charakteristik. </w:t>
      </w:r>
      <w:r w:rsidR="00E03305">
        <w:rPr>
          <w:rFonts w:ascii="Arial" w:hAnsi="Arial" w:cs="Arial"/>
          <w:sz w:val="20"/>
        </w:rPr>
        <w:t xml:space="preserve">Téměř 2 miliony osob </w:t>
      </w:r>
      <w:r w:rsidR="00215654">
        <w:rPr>
          <w:rFonts w:ascii="Arial" w:hAnsi="Arial" w:cs="Arial"/>
          <w:sz w:val="20"/>
        </w:rPr>
        <w:t xml:space="preserve">totiž </w:t>
      </w:r>
      <w:r w:rsidR="00E03305">
        <w:rPr>
          <w:rFonts w:ascii="Arial" w:hAnsi="Arial" w:cs="Arial"/>
          <w:sz w:val="20"/>
        </w:rPr>
        <w:t xml:space="preserve">nechalo bez odpovědi obě dobrovolné otázky. </w:t>
      </w:r>
      <w:r w:rsidR="00B37951">
        <w:rPr>
          <w:rFonts w:ascii="Arial" w:hAnsi="Arial" w:cs="Arial"/>
          <w:sz w:val="20"/>
        </w:rPr>
        <w:t xml:space="preserve">Přitom otázka na víru byla považována respondenty za citlivější. Počet neuvedených odpovědí na víru (4 662 455) byl výrazně vyšší než počet neuvedených národností (2 642 666). </w:t>
      </w:r>
    </w:p>
    <w:p w:rsidR="007F1438" w:rsidRDefault="007F1438" w:rsidP="0021565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pPr w:leftFromText="142" w:rightFromText="170" w:topFromText="142" w:vertAnchor="text" w:horzAnchor="margin" w:tblpY="1082"/>
        <w:tblW w:w="6200" w:type="dxa"/>
        <w:tblCellMar>
          <w:left w:w="70" w:type="dxa"/>
          <w:right w:w="70" w:type="dxa"/>
        </w:tblCellMar>
        <w:tblLook w:val="04A0"/>
      </w:tblPr>
      <w:tblGrid>
        <w:gridCol w:w="2780"/>
        <w:gridCol w:w="1300"/>
        <w:gridCol w:w="1060"/>
        <w:gridCol w:w="1060"/>
      </w:tblGrid>
      <w:tr w:rsidR="00022760" w:rsidRPr="00D32CE6" w:rsidTr="00022760">
        <w:trPr>
          <w:trHeight w:val="510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760" w:rsidRPr="00D32CE6" w:rsidRDefault="00022760" w:rsidP="000227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b/>
                <w:color w:val="000000"/>
              </w:rPr>
              <w:t>Osoby s neuvedenou odpovědí na náboženskou víru podle národnosti k 26.3.2011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Národnost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Osoby s neuvedenou odpovědí </w:t>
            </w:r>
          </w:p>
        </w:tc>
      </w:tr>
      <w:tr w:rsidR="00022760" w:rsidRPr="00D32CE6" w:rsidTr="00022760">
        <w:trPr>
          <w:trHeight w:hRule="exact" w:val="49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0" w:rsidRPr="00176551" w:rsidRDefault="00022760" w:rsidP="000227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760" w:rsidRPr="00176551" w:rsidRDefault="00022760" w:rsidP="000227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%  z přísl. národnosti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  %  z celku 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 xml:space="preserve">Osoby s neuvedenou odpovědí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>4 662 455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z toho národnost: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česká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2 333 546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moravská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152 234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slezská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2 991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slovenská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54 280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polská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12 021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německá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6 983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romská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2 297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ruská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6 963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ukrajinská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27 916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vietnamská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14 360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22760" w:rsidRPr="00D32CE6" w:rsidTr="00022760">
        <w:trPr>
          <w:trHeight w:hRule="exact" w:val="28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neuvedená národnost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1 975 700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60" w:rsidRPr="00176551" w:rsidRDefault="00022760" w:rsidP="000227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</w:tbl>
    <w:p w:rsidR="002C0720" w:rsidRDefault="00B37951" w:rsidP="0021565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</w:t>
      </w:r>
      <w:r w:rsidR="007F1438">
        <w:rPr>
          <w:rFonts w:ascii="Arial" w:hAnsi="Arial" w:cs="Arial"/>
          <w:sz w:val="20"/>
        </w:rPr>
        <w:t>charakteristiky</w:t>
      </w:r>
      <w:r>
        <w:rPr>
          <w:rFonts w:ascii="Arial" w:hAnsi="Arial" w:cs="Arial"/>
          <w:sz w:val="20"/>
        </w:rPr>
        <w:t xml:space="preserve"> osob s neuvedenou vírou to znamenalo, že z</w:t>
      </w:r>
      <w:r w:rsidR="00E03305">
        <w:rPr>
          <w:rFonts w:ascii="Arial" w:hAnsi="Arial" w:cs="Arial"/>
          <w:sz w:val="20"/>
        </w:rPr>
        <w:t> celkového počtu</w:t>
      </w:r>
      <w:r w:rsidR="00215654">
        <w:rPr>
          <w:rFonts w:ascii="Arial" w:hAnsi="Arial" w:cs="Arial"/>
          <w:sz w:val="20"/>
        </w:rPr>
        <w:t xml:space="preserve"> 4,7 mil. </w:t>
      </w:r>
      <w:r w:rsidR="00E03305">
        <w:rPr>
          <w:rFonts w:ascii="Arial" w:hAnsi="Arial" w:cs="Arial"/>
          <w:sz w:val="20"/>
        </w:rPr>
        <w:t xml:space="preserve">osob </w:t>
      </w:r>
      <w:r w:rsidR="0060134A">
        <w:rPr>
          <w:rFonts w:ascii="Arial" w:hAnsi="Arial" w:cs="Arial"/>
          <w:sz w:val="20"/>
        </w:rPr>
        <w:t>byla</w:t>
      </w:r>
      <w:r w:rsidR="00215654">
        <w:rPr>
          <w:rFonts w:ascii="Arial" w:hAnsi="Arial" w:cs="Arial"/>
          <w:sz w:val="20"/>
        </w:rPr>
        <w:t xml:space="preserve"> pouze </w:t>
      </w:r>
      <w:r w:rsidR="0060134A">
        <w:rPr>
          <w:rFonts w:ascii="Arial" w:hAnsi="Arial" w:cs="Arial"/>
          <w:sz w:val="20"/>
        </w:rPr>
        <w:t xml:space="preserve">u </w:t>
      </w:r>
      <w:r w:rsidR="00215654">
        <w:rPr>
          <w:rFonts w:ascii="Arial" w:hAnsi="Arial" w:cs="Arial"/>
          <w:sz w:val="20"/>
        </w:rPr>
        <w:t xml:space="preserve">2,7 mil. (tj. necelých 58 %) </w:t>
      </w:r>
      <w:r w:rsidR="0060134A">
        <w:rPr>
          <w:rFonts w:ascii="Arial" w:hAnsi="Arial" w:cs="Arial"/>
          <w:sz w:val="20"/>
        </w:rPr>
        <w:t xml:space="preserve">zjištěna </w:t>
      </w:r>
      <w:r w:rsidR="00215654">
        <w:rPr>
          <w:rFonts w:ascii="Arial" w:hAnsi="Arial" w:cs="Arial"/>
          <w:sz w:val="20"/>
        </w:rPr>
        <w:t xml:space="preserve">národnost. </w:t>
      </w:r>
      <w:r w:rsidR="007F1438">
        <w:rPr>
          <w:rFonts w:ascii="Arial" w:hAnsi="Arial" w:cs="Arial"/>
          <w:sz w:val="20"/>
        </w:rPr>
        <w:t>Bez osob s neuvedenou národností, jejichž počet byl ovlivněn mimo jiné i osobami zahrnutými do sčítání z administrativního zdroje,</w:t>
      </w:r>
      <w:r w:rsidR="00FA3B3F">
        <w:rPr>
          <w:rFonts w:ascii="Arial" w:hAnsi="Arial" w:cs="Arial"/>
          <w:sz w:val="20"/>
        </w:rPr>
        <w:t xml:space="preserve"> (u kterých proto chyběly deklaratorní údaje ze sčítacího formuláře),</w:t>
      </w:r>
      <w:r w:rsidR="007F1438">
        <w:rPr>
          <w:rFonts w:ascii="Arial" w:hAnsi="Arial" w:cs="Arial"/>
          <w:sz w:val="20"/>
        </w:rPr>
        <w:t xml:space="preserve"> vykázala struktura osob </w:t>
      </w:r>
      <w:r w:rsidR="00D32CE6">
        <w:rPr>
          <w:rFonts w:ascii="Arial" w:hAnsi="Arial" w:cs="Arial"/>
          <w:sz w:val="20"/>
        </w:rPr>
        <w:t xml:space="preserve">s neuvedenou náboženskou vírou podle národnosti téměř shodné rozložení  jako populace celkem. </w:t>
      </w:r>
    </w:p>
    <w:p w:rsidR="00263637" w:rsidRDefault="00263637" w:rsidP="0021565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7525DD" w:rsidRDefault="007525DD" w:rsidP="0021565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Ani rozdíly v relaci osob s neuvedenou vírou v jednotlivých národnostech nedávají průkazné informace o specifikách této skupiny obyvatel. Různé podíly jsou důsledkem většinou</w:t>
      </w:r>
      <w:r w:rsidR="00263637">
        <w:rPr>
          <w:rFonts w:ascii="Arial" w:hAnsi="Arial" w:cs="Arial"/>
          <w:sz w:val="20"/>
        </w:rPr>
        <w:t xml:space="preserve"> jiných </w:t>
      </w:r>
      <w:r w:rsidR="007F6FD9">
        <w:rPr>
          <w:rFonts w:ascii="Arial" w:hAnsi="Arial" w:cs="Arial"/>
          <w:sz w:val="20"/>
        </w:rPr>
        <w:t>vlivů</w:t>
      </w:r>
      <w:r w:rsidR="00263637">
        <w:rPr>
          <w:rFonts w:ascii="Arial" w:hAnsi="Arial" w:cs="Arial"/>
          <w:sz w:val="20"/>
        </w:rPr>
        <w:t>. N</w:t>
      </w:r>
      <w:r>
        <w:rPr>
          <w:rFonts w:ascii="Arial" w:hAnsi="Arial" w:cs="Arial"/>
          <w:sz w:val="20"/>
        </w:rPr>
        <w:t xml:space="preserve">apř. národnosti s větším zastoupením cizinců (ukrajinská, vietnamská) jsou ovlivněny vyšším počtem osob </w:t>
      </w:r>
      <w:r>
        <w:rPr>
          <w:rFonts w:ascii="Arial" w:hAnsi="Arial" w:cs="Arial"/>
          <w:sz w:val="20"/>
        </w:rPr>
        <w:lastRenderedPageBreak/>
        <w:t>doplněných z Informačního systému evidence obyvatel (proto jsou podíly s neuvedenou vírou vyšší), národnost moravská byla koncentrována hlavně do moravských krajů, kde byla ve větší míře uváděna příslušnost k</w:t>
      </w:r>
      <w:r w:rsidR="0026363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víře</w:t>
      </w:r>
      <w:r w:rsidR="00263637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proto i podíly</w:t>
      </w:r>
      <w:r w:rsidR="00263637">
        <w:rPr>
          <w:rFonts w:ascii="Arial" w:hAnsi="Arial" w:cs="Arial"/>
          <w:sz w:val="20"/>
        </w:rPr>
        <w:t xml:space="preserve"> osob s neuvedenou vírou</w:t>
      </w:r>
      <w:r>
        <w:rPr>
          <w:rFonts w:ascii="Arial" w:hAnsi="Arial" w:cs="Arial"/>
          <w:sz w:val="20"/>
        </w:rPr>
        <w:t xml:space="preserve"> </w:t>
      </w:r>
      <w:r w:rsidR="00263637">
        <w:rPr>
          <w:rFonts w:ascii="Arial" w:hAnsi="Arial" w:cs="Arial"/>
          <w:sz w:val="20"/>
        </w:rPr>
        <w:t>jsou nižší) apod.</w:t>
      </w:r>
    </w:p>
    <w:p w:rsidR="00D32CE6" w:rsidRDefault="00D32CE6" w:rsidP="0021565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DD39E4" w:rsidRPr="00656184" w:rsidRDefault="007F6FD9" w:rsidP="007F6FD9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vztahu ke vzdělání </w:t>
      </w:r>
      <w:r w:rsidR="003F14DB">
        <w:rPr>
          <w:rFonts w:ascii="Arial" w:hAnsi="Arial" w:cs="Arial"/>
          <w:sz w:val="20"/>
        </w:rPr>
        <w:t>platilo</w:t>
      </w:r>
      <w:r>
        <w:rPr>
          <w:rFonts w:ascii="Arial" w:hAnsi="Arial" w:cs="Arial"/>
          <w:sz w:val="20"/>
        </w:rPr>
        <w:t xml:space="preserve">, </w:t>
      </w:r>
      <w:r w:rsidR="003C4C52" w:rsidRPr="00656184">
        <w:rPr>
          <w:rFonts w:ascii="Arial" w:hAnsi="Arial" w:cs="Arial"/>
          <w:sz w:val="20"/>
        </w:rPr>
        <w:t>že ochota poskytnout</w:t>
      </w:r>
      <w:r>
        <w:rPr>
          <w:rFonts w:ascii="Arial" w:hAnsi="Arial" w:cs="Arial"/>
          <w:sz w:val="20"/>
        </w:rPr>
        <w:t xml:space="preserve"> údaj o víře</w:t>
      </w:r>
      <w:r w:rsidR="003C4C52" w:rsidRPr="00656184">
        <w:rPr>
          <w:rFonts w:ascii="Arial" w:hAnsi="Arial" w:cs="Arial"/>
          <w:sz w:val="20"/>
        </w:rPr>
        <w:t xml:space="preserve"> se zvyš</w:t>
      </w:r>
      <w:r>
        <w:rPr>
          <w:rFonts w:ascii="Arial" w:hAnsi="Arial" w:cs="Arial"/>
          <w:sz w:val="20"/>
        </w:rPr>
        <w:t>ovala</w:t>
      </w:r>
      <w:r w:rsidR="003C4C52" w:rsidRPr="006561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závislosti na vyšší</w:t>
      </w:r>
      <w:r w:rsidR="003F14DB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stup</w:t>
      </w:r>
      <w:r w:rsidR="003F14DB">
        <w:rPr>
          <w:rFonts w:ascii="Arial" w:hAnsi="Arial" w:cs="Arial"/>
          <w:sz w:val="20"/>
        </w:rPr>
        <w:t>ni</w:t>
      </w:r>
      <w:r w:rsidR="003C4C52" w:rsidRPr="00656184">
        <w:rPr>
          <w:rFonts w:ascii="Arial" w:hAnsi="Arial" w:cs="Arial"/>
          <w:sz w:val="20"/>
        </w:rPr>
        <w:t xml:space="preserve"> dosaženého vzdělání. </w:t>
      </w:r>
      <w:r w:rsidR="003F14DB">
        <w:rPr>
          <w:rFonts w:ascii="Arial" w:hAnsi="Arial" w:cs="Arial"/>
          <w:sz w:val="20"/>
        </w:rPr>
        <w:t>Platilo to</w:t>
      </w:r>
      <w:r w:rsidR="009A23E1" w:rsidRPr="00656184">
        <w:rPr>
          <w:rFonts w:ascii="Arial" w:hAnsi="Arial" w:cs="Arial"/>
          <w:sz w:val="20"/>
        </w:rPr>
        <w:t xml:space="preserve"> zhruba </w:t>
      </w:r>
      <w:r w:rsidR="003F14DB">
        <w:rPr>
          <w:rFonts w:ascii="Arial" w:hAnsi="Arial" w:cs="Arial"/>
          <w:sz w:val="20"/>
        </w:rPr>
        <w:t>stejně</w:t>
      </w:r>
      <w:r w:rsidR="009A23E1" w:rsidRPr="00656184">
        <w:rPr>
          <w:rFonts w:ascii="Arial" w:hAnsi="Arial" w:cs="Arial"/>
          <w:sz w:val="20"/>
        </w:rPr>
        <w:t xml:space="preserve"> u mužů i žen. Nejvyšší procento nezodpovězení otázky po víře byl</w:t>
      </w:r>
      <w:r w:rsidR="003F14DB">
        <w:rPr>
          <w:rFonts w:ascii="Arial" w:hAnsi="Arial" w:cs="Arial"/>
          <w:sz w:val="20"/>
        </w:rPr>
        <w:t>o</w:t>
      </w:r>
      <w:r w:rsidR="009A23E1" w:rsidRPr="00656184">
        <w:rPr>
          <w:rFonts w:ascii="Arial" w:hAnsi="Arial" w:cs="Arial"/>
          <w:sz w:val="20"/>
        </w:rPr>
        <w:t xml:space="preserve"> u mužů a žen bez vzdělání. </w:t>
      </w:r>
      <w:r w:rsidR="00C2503C" w:rsidRPr="00656184">
        <w:rPr>
          <w:rFonts w:ascii="Arial" w:hAnsi="Arial" w:cs="Arial"/>
          <w:sz w:val="20"/>
        </w:rPr>
        <w:t>Zde byla ta</w:t>
      </w:r>
      <w:r w:rsidR="003F14DB">
        <w:rPr>
          <w:rFonts w:ascii="Arial" w:hAnsi="Arial" w:cs="Arial"/>
          <w:sz w:val="20"/>
        </w:rPr>
        <w:t>ké největší diference mezi nimi;</w:t>
      </w:r>
      <w:r w:rsidR="00C2503C" w:rsidRPr="00656184">
        <w:rPr>
          <w:rFonts w:ascii="Arial" w:hAnsi="Arial" w:cs="Arial"/>
          <w:sz w:val="20"/>
        </w:rPr>
        <w:t xml:space="preserve"> neboť mužů neo</w:t>
      </w:r>
      <w:r w:rsidR="003A12A6" w:rsidRPr="00656184">
        <w:rPr>
          <w:rFonts w:ascii="Arial" w:hAnsi="Arial" w:cs="Arial"/>
          <w:sz w:val="20"/>
        </w:rPr>
        <w:t>d</w:t>
      </w:r>
      <w:r w:rsidR="00C2503C" w:rsidRPr="00656184">
        <w:rPr>
          <w:rFonts w:ascii="Arial" w:hAnsi="Arial" w:cs="Arial"/>
          <w:sz w:val="20"/>
        </w:rPr>
        <w:t xml:space="preserve">povědělo </w:t>
      </w:r>
      <w:r w:rsidR="009D7465" w:rsidRPr="00656184">
        <w:rPr>
          <w:rFonts w:ascii="Arial" w:hAnsi="Arial" w:cs="Arial"/>
          <w:sz w:val="20"/>
        </w:rPr>
        <w:t>o dva</w:t>
      </w:r>
      <w:r w:rsidR="00C2503C" w:rsidRPr="00656184">
        <w:rPr>
          <w:rFonts w:ascii="Arial" w:hAnsi="Arial" w:cs="Arial"/>
          <w:sz w:val="20"/>
        </w:rPr>
        <w:t xml:space="preserve"> procentní body více. Celkem </w:t>
      </w:r>
      <w:r w:rsidR="00557C5E" w:rsidRPr="00656184">
        <w:rPr>
          <w:rFonts w:ascii="Arial" w:hAnsi="Arial" w:cs="Arial"/>
          <w:sz w:val="20"/>
        </w:rPr>
        <w:t>se týkalo</w:t>
      </w:r>
      <w:r w:rsidR="009A23E1" w:rsidRPr="00656184">
        <w:rPr>
          <w:rFonts w:ascii="Arial" w:hAnsi="Arial" w:cs="Arial"/>
          <w:sz w:val="20"/>
        </w:rPr>
        <w:t xml:space="preserve"> </w:t>
      </w:r>
      <w:r w:rsidR="00C2503C" w:rsidRPr="00656184">
        <w:rPr>
          <w:rFonts w:ascii="Arial" w:hAnsi="Arial" w:cs="Arial"/>
          <w:sz w:val="20"/>
        </w:rPr>
        <w:t xml:space="preserve">nezodpovězení této otázky </w:t>
      </w:r>
      <w:r w:rsidR="009A23E1" w:rsidRPr="00656184">
        <w:rPr>
          <w:rFonts w:ascii="Arial" w:hAnsi="Arial" w:cs="Arial"/>
          <w:sz w:val="20"/>
        </w:rPr>
        <w:t>téměř tř</w:t>
      </w:r>
      <w:r w:rsidR="0012218B">
        <w:rPr>
          <w:rFonts w:ascii="Arial" w:hAnsi="Arial" w:cs="Arial"/>
          <w:sz w:val="20"/>
        </w:rPr>
        <w:t>í</w:t>
      </w:r>
      <w:r w:rsidR="009A23E1" w:rsidRPr="00656184">
        <w:rPr>
          <w:rFonts w:ascii="Arial" w:hAnsi="Arial" w:cs="Arial"/>
          <w:sz w:val="20"/>
        </w:rPr>
        <w:t xml:space="preserve"> pětin všech (58,6 %)</w:t>
      </w:r>
      <w:r w:rsidR="00C2503C" w:rsidRPr="00656184">
        <w:rPr>
          <w:rFonts w:ascii="Arial" w:hAnsi="Arial" w:cs="Arial"/>
          <w:sz w:val="20"/>
        </w:rPr>
        <w:t xml:space="preserve"> osob bez vzdělání. </w:t>
      </w:r>
      <w:r w:rsidR="009A23E1" w:rsidRPr="00656184">
        <w:rPr>
          <w:rFonts w:ascii="Arial" w:hAnsi="Arial" w:cs="Arial"/>
          <w:sz w:val="20"/>
        </w:rPr>
        <w:t>S</w:t>
      </w:r>
      <w:r w:rsidR="00557C5E" w:rsidRPr="00656184">
        <w:rPr>
          <w:rFonts w:ascii="Arial" w:hAnsi="Arial" w:cs="Arial"/>
          <w:sz w:val="20"/>
        </w:rPr>
        <w:t xml:space="preserve"> </w:t>
      </w:r>
      <w:r w:rsidR="003F14DB">
        <w:rPr>
          <w:rFonts w:ascii="Arial" w:hAnsi="Arial" w:cs="Arial"/>
          <w:sz w:val="20"/>
        </w:rPr>
        <w:t>vyšším</w:t>
      </w:r>
      <w:r w:rsidR="00557C5E" w:rsidRPr="00656184">
        <w:rPr>
          <w:rFonts w:ascii="Arial" w:hAnsi="Arial" w:cs="Arial"/>
          <w:sz w:val="20"/>
        </w:rPr>
        <w:t xml:space="preserve"> dosažen</w:t>
      </w:r>
      <w:r w:rsidR="003F14DB">
        <w:rPr>
          <w:rFonts w:ascii="Arial" w:hAnsi="Arial" w:cs="Arial"/>
          <w:sz w:val="20"/>
        </w:rPr>
        <w:t>ým</w:t>
      </w:r>
      <w:r w:rsidR="00557C5E" w:rsidRPr="00656184">
        <w:rPr>
          <w:rFonts w:ascii="Arial" w:hAnsi="Arial" w:cs="Arial"/>
          <w:sz w:val="20"/>
        </w:rPr>
        <w:t xml:space="preserve"> vzdělání</w:t>
      </w:r>
      <w:r w:rsidR="003F14DB">
        <w:rPr>
          <w:rFonts w:ascii="Arial" w:hAnsi="Arial" w:cs="Arial"/>
          <w:sz w:val="20"/>
        </w:rPr>
        <w:t>m</w:t>
      </w:r>
      <w:r w:rsidR="009A23E1" w:rsidRPr="00656184">
        <w:rPr>
          <w:rFonts w:ascii="Arial" w:hAnsi="Arial" w:cs="Arial"/>
          <w:sz w:val="20"/>
        </w:rPr>
        <w:t xml:space="preserve"> pak tento podíl </w:t>
      </w:r>
      <w:r>
        <w:rPr>
          <w:rFonts w:ascii="Arial" w:hAnsi="Arial" w:cs="Arial"/>
          <w:sz w:val="20"/>
        </w:rPr>
        <w:t xml:space="preserve">postupně </w:t>
      </w:r>
      <w:r w:rsidR="009A23E1" w:rsidRPr="00656184">
        <w:rPr>
          <w:rFonts w:ascii="Arial" w:hAnsi="Arial" w:cs="Arial"/>
          <w:sz w:val="20"/>
        </w:rPr>
        <w:t xml:space="preserve">klesal. U </w:t>
      </w:r>
      <w:r w:rsidR="00DD39E4" w:rsidRPr="00656184">
        <w:rPr>
          <w:rFonts w:ascii="Arial" w:hAnsi="Arial" w:cs="Arial"/>
          <w:sz w:val="20"/>
        </w:rPr>
        <w:t xml:space="preserve">základního vzdělání </w:t>
      </w:r>
      <w:r w:rsidR="009A23E1" w:rsidRPr="00656184">
        <w:rPr>
          <w:rFonts w:ascii="Arial" w:hAnsi="Arial" w:cs="Arial"/>
          <w:sz w:val="20"/>
        </w:rPr>
        <w:t>se jednalo již o necelou polovinu (</w:t>
      </w:r>
      <w:r w:rsidR="00DD39E4" w:rsidRPr="00656184">
        <w:rPr>
          <w:rFonts w:ascii="Arial" w:hAnsi="Arial" w:cs="Arial"/>
          <w:sz w:val="20"/>
        </w:rPr>
        <w:t>46,3 %</w:t>
      </w:r>
      <w:r w:rsidR="009A23E1" w:rsidRPr="00656184">
        <w:rPr>
          <w:rFonts w:ascii="Arial" w:hAnsi="Arial" w:cs="Arial"/>
          <w:sz w:val="20"/>
        </w:rPr>
        <w:t>)</w:t>
      </w:r>
      <w:r w:rsidR="003F14DB">
        <w:rPr>
          <w:rFonts w:ascii="Arial" w:hAnsi="Arial" w:cs="Arial"/>
          <w:sz w:val="20"/>
        </w:rPr>
        <w:t>, stejně jako</w:t>
      </w:r>
      <w:r w:rsidR="00C2503C" w:rsidRPr="00656184">
        <w:rPr>
          <w:rFonts w:ascii="Arial" w:hAnsi="Arial" w:cs="Arial"/>
          <w:sz w:val="20"/>
        </w:rPr>
        <w:t xml:space="preserve"> u </w:t>
      </w:r>
      <w:r w:rsidR="003F14DB">
        <w:rPr>
          <w:rFonts w:ascii="Arial" w:hAnsi="Arial" w:cs="Arial"/>
          <w:sz w:val="20"/>
        </w:rPr>
        <w:t>nejpočetněji zastoupeného</w:t>
      </w:r>
      <w:r w:rsidR="00C2503C" w:rsidRPr="00656184">
        <w:rPr>
          <w:rFonts w:ascii="Arial" w:hAnsi="Arial" w:cs="Arial"/>
          <w:sz w:val="20"/>
        </w:rPr>
        <w:t xml:space="preserve"> vzdělání středoškolského bez maturity. </w:t>
      </w:r>
      <w:r w:rsidR="003F14DB">
        <w:rPr>
          <w:rFonts w:ascii="Arial" w:hAnsi="Arial" w:cs="Arial"/>
          <w:sz w:val="20"/>
        </w:rPr>
        <w:t>S</w:t>
      </w:r>
      <w:r w:rsidR="00DD39E4" w:rsidRPr="00656184">
        <w:rPr>
          <w:rFonts w:ascii="Arial" w:hAnsi="Arial" w:cs="Arial"/>
          <w:sz w:val="20"/>
        </w:rPr>
        <w:t>tředoškoláci s</w:t>
      </w:r>
      <w:r>
        <w:rPr>
          <w:rFonts w:ascii="Arial" w:hAnsi="Arial" w:cs="Arial"/>
          <w:sz w:val="20"/>
        </w:rPr>
        <w:t> </w:t>
      </w:r>
      <w:r w:rsidR="00DD39E4" w:rsidRPr="00656184">
        <w:rPr>
          <w:rFonts w:ascii="Arial" w:hAnsi="Arial" w:cs="Arial"/>
          <w:sz w:val="20"/>
        </w:rPr>
        <w:t>maturitou</w:t>
      </w:r>
      <w:r>
        <w:rPr>
          <w:rFonts w:ascii="Arial" w:hAnsi="Arial" w:cs="Arial"/>
          <w:sz w:val="20"/>
        </w:rPr>
        <w:t xml:space="preserve"> </w:t>
      </w:r>
      <w:r w:rsidR="009A23E1" w:rsidRPr="00656184">
        <w:rPr>
          <w:rFonts w:ascii="Arial" w:hAnsi="Arial" w:cs="Arial"/>
          <w:sz w:val="20"/>
        </w:rPr>
        <w:t>ne</w:t>
      </w:r>
      <w:r w:rsidR="00DD39E4" w:rsidRPr="00656184">
        <w:rPr>
          <w:rFonts w:ascii="Arial" w:hAnsi="Arial" w:cs="Arial"/>
          <w:sz w:val="20"/>
        </w:rPr>
        <w:t xml:space="preserve">odpověděli </w:t>
      </w:r>
      <w:r>
        <w:rPr>
          <w:rFonts w:ascii="Arial" w:hAnsi="Arial" w:cs="Arial"/>
          <w:sz w:val="20"/>
        </w:rPr>
        <w:t>téměř ve dvou pětinách případů</w:t>
      </w:r>
      <w:r w:rsidR="00557C5E" w:rsidRPr="00656184">
        <w:rPr>
          <w:rFonts w:ascii="Arial" w:hAnsi="Arial" w:cs="Arial"/>
          <w:sz w:val="20"/>
        </w:rPr>
        <w:t xml:space="preserve"> </w:t>
      </w:r>
      <w:r w:rsidR="009A23E1" w:rsidRPr="00656184">
        <w:rPr>
          <w:rFonts w:ascii="Arial" w:hAnsi="Arial" w:cs="Arial"/>
          <w:sz w:val="20"/>
        </w:rPr>
        <w:t>(</w:t>
      </w:r>
      <w:r w:rsidR="00DD39E4" w:rsidRPr="00656184">
        <w:rPr>
          <w:rFonts w:ascii="Arial" w:hAnsi="Arial" w:cs="Arial"/>
          <w:sz w:val="20"/>
        </w:rPr>
        <w:t>37,9 %</w:t>
      </w:r>
      <w:r w:rsidR="009A23E1" w:rsidRPr="00656184">
        <w:rPr>
          <w:rFonts w:ascii="Arial" w:hAnsi="Arial" w:cs="Arial"/>
          <w:sz w:val="20"/>
        </w:rPr>
        <w:t>)</w:t>
      </w:r>
      <w:r w:rsidR="00DD39E4" w:rsidRPr="0065618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Osoby </w:t>
      </w:r>
      <w:r w:rsidR="009A23E1" w:rsidRPr="00656184">
        <w:rPr>
          <w:rFonts w:ascii="Arial" w:hAnsi="Arial" w:cs="Arial"/>
          <w:sz w:val="20"/>
        </w:rPr>
        <w:t>s </w:t>
      </w:r>
      <w:r w:rsidR="00DD39E4" w:rsidRPr="00656184">
        <w:rPr>
          <w:rFonts w:ascii="Arial" w:hAnsi="Arial" w:cs="Arial"/>
          <w:sz w:val="20"/>
        </w:rPr>
        <w:t>vysokoškolsk</w:t>
      </w:r>
      <w:r>
        <w:rPr>
          <w:rFonts w:ascii="Arial" w:hAnsi="Arial" w:cs="Arial"/>
          <w:sz w:val="20"/>
        </w:rPr>
        <w:t xml:space="preserve">ým vzděláním </w:t>
      </w:r>
      <w:r w:rsidR="009A23E1" w:rsidRPr="00656184">
        <w:rPr>
          <w:rFonts w:ascii="Arial" w:hAnsi="Arial" w:cs="Arial"/>
          <w:sz w:val="20"/>
        </w:rPr>
        <w:t>nevyjádřil</w:t>
      </w:r>
      <w:r w:rsidR="00C2503C" w:rsidRPr="00656184">
        <w:rPr>
          <w:rFonts w:ascii="Arial" w:hAnsi="Arial" w:cs="Arial"/>
          <w:sz w:val="20"/>
        </w:rPr>
        <w:t>y</w:t>
      </w:r>
      <w:r w:rsidR="009A23E1" w:rsidRPr="006561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svůj vztah k víře jen ve</w:t>
      </w:r>
      <w:r w:rsidR="009A23E1" w:rsidRPr="00656184">
        <w:rPr>
          <w:rFonts w:ascii="Arial" w:hAnsi="Arial" w:cs="Arial"/>
          <w:sz w:val="20"/>
        </w:rPr>
        <w:t xml:space="preserve"> </w:t>
      </w:r>
      <w:r w:rsidR="00557C5E" w:rsidRPr="00656184">
        <w:rPr>
          <w:rFonts w:ascii="Arial" w:hAnsi="Arial" w:cs="Arial"/>
          <w:sz w:val="20"/>
        </w:rPr>
        <w:t>tř</w:t>
      </w:r>
      <w:r>
        <w:rPr>
          <w:rFonts w:ascii="Arial" w:hAnsi="Arial" w:cs="Arial"/>
          <w:sz w:val="20"/>
        </w:rPr>
        <w:t>ech</w:t>
      </w:r>
      <w:r w:rsidR="00557C5E" w:rsidRPr="00656184">
        <w:rPr>
          <w:rFonts w:ascii="Arial" w:hAnsi="Arial" w:cs="Arial"/>
          <w:sz w:val="20"/>
        </w:rPr>
        <w:t xml:space="preserve"> desetin</w:t>
      </w:r>
      <w:r>
        <w:rPr>
          <w:rFonts w:ascii="Arial" w:hAnsi="Arial" w:cs="Arial"/>
          <w:sz w:val="20"/>
        </w:rPr>
        <w:t>ách</w:t>
      </w:r>
      <w:r w:rsidR="009A23E1" w:rsidRPr="00656184">
        <w:rPr>
          <w:rFonts w:ascii="Arial" w:hAnsi="Arial" w:cs="Arial"/>
          <w:sz w:val="20"/>
        </w:rPr>
        <w:t xml:space="preserve"> (30</w:t>
      </w:r>
      <w:r w:rsidR="00113244" w:rsidRPr="00656184">
        <w:rPr>
          <w:rFonts w:ascii="Arial" w:hAnsi="Arial" w:cs="Arial"/>
          <w:sz w:val="20"/>
        </w:rPr>
        <w:t>,2 %).</w:t>
      </w:r>
    </w:p>
    <w:p w:rsidR="000752DC" w:rsidRPr="00656184" w:rsidRDefault="000752DC" w:rsidP="00B33B50">
      <w:pPr>
        <w:pStyle w:val="Zkladntext"/>
        <w:rPr>
          <w:rFonts w:ascii="Arial" w:hAnsi="Arial" w:cs="Arial"/>
          <w:sz w:val="20"/>
        </w:rPr>
      </w:pPr>
    </w:p>
    <w:p w:rsidR="00C9299D" w:rsidRPr="00656184" w:rsidRDefault="00A7742E" w:rsidP="00C9299D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Rozložení osob s neuvedenou vírou podle velikosti obce kopírovalo rozložení celkového počtu obyvatel. Rozdíly byly v plusových nebo </w:t>
      </w:r>
      <w:proofErr w:type="spellStart"/>
      <w:r w:rsidR="00C9299D">
        <w:rPr>
          <w:rFonts w:ascii="Arial" w:hAnsi="Arial" w:cs="Arial"/>
          <w:sz w:val="20"/>
        </w:rPr>
        <w:t>mí</w:t>
      </w:r>
      <w:r>
        <w:rPr>
          <w:rFonts w:ascii="Arial" w:hAnsi="Arial" w:cs="Arial"/>
          <w:sz w:val="20"/>
        </w:rPr>
        <w:t>nusových</w:t>
      </w:r>
      <w:proofErr w:type="spellEnd"/>
      <w:r>
        <w:rPr>
          <w:rFonts w:ascii="Arial" w:hAnsi="Arial" w:cs="Arial"/>
          <w:sz w:val="20"/>
        </w:rPr>
        <w:t xml:space="preserve"> hodnotách v rozsahu pouhých desetin procentního bodu. </w:t>
      </w:r>
      <w:r w:rsidR="00C9299D" w:rsidRPr="00656184">
        <w:rPr>
          <w:rFonts w:ascii="Arial" w:hAnsi="Arial" w:cs="Arial"/>
          <w:sz w:val="20"/>
        </w:rPr>
        <w:t>Téměř dva miliony z těch, kteří neuvedli odpověď</w:t>
      </w:r>
      <w:r w:rsidR="0012218B">
        <w:rPr>
          <w:rFonts w:ascii="Arial" w:hAnsi="Arial" w:cs="Arial"/>
          <w:sz w:val="20"/>
        </w:rPr>
        <w:t>,</w:t>
      </w:r>
      <w:r w:rsidR="00C9299D" w:rsidRPr="00656184">
        <w:rPr>
          <w:rFonts w:ascii="Arial" w:hAnsi="Arial" w:cs="Arial"/>
          <w:sz w:val="20"/>
        </w:rPr>
        <w:t xml:space="preserve"> žili v městech s více než 20 tisíci obyvateli, a představovali přes dvě pětiny všech (42,5 %). Na velkoměsta, tedy zejména na Prahu, připadalo těchto osob přes milion (1 010 tis.), což odpovídá zhruba jedné pětině všech (21,7 %).</w:t>
      </w:r>
    </w:p>
    <w:p w:rsidR="00C9299D" w:rsidRDefault="00C9299D" w:rsidP="00A0528A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C9299D" w:rsidRDefault="00C9299D" w:rsidP="00A0528A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jde o</w:t>
      </w:r>
      <w:r w:rsidR="00A7742E">
        <w:rPr>
          <w:rFonts w:ascii="Arial" w:hAnsi="Arial" w:cs="Arial"/>
          <w:sz w:val="20"/>
        </w:rPr>
        <w:t xml:space="preserve"> podíly osob s neuvedenou vírou z počtu osob v příslušné velikostní skupině</w:t>
      </w:r>
      <w:r>
        <w:rPr>
          <w:rFonts w:ascii="Arial" w:hAnsi="Arial" w:cs="Arial"/>
          <w:sz w:val="20"/>
        </w:rPr>
        <w:t>, pohybovaly se</w:t>
      </w:r>
      <w:r w:rsidR="00A774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 r</w:t>
      </w:r>
      <w:r w:rsidRPr="00656184">
        <w:rPr>
          <w:rFonts w:ascii="Arial" w:hAnsi="Arial" w:cs="Arial"/>
          <w:sz w:val="20"/>
        </w:rPr>
        <w:t>ozpětí 43,3 - 47,6 %</w:t>
      </w:r>
      <w:r>
        <w:rPr>
          <w:rFonts w:ascii="Arial" w:hAnsi="Arial" w:cs="Arial"/>
          <w:sz w:val="20"/>
        </w:rPr>
        <w:t xml:space="preserve">.  Maximální podíl </w:t>
      </w:r>
      <w:r w:rsidR="00A0528A">
        <w:rPr>
          <w:rFonts w:ascii="Arial" w:hAnsi="Arial" w:cs="Arial"/>
          <w:sz w:val="20"/>
        </w:rPr>
        <w:t>osob, které svůj vztah k víře neuvedly,</w:t>
      </w:r>
      <w:r w:rsidR="00DD6846" w:rsidRPr="006561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byl v</w:t>
      </w:r>
      <w:r w:rsidR="00DD6846" w:rsidRPr="00656184">
        <w:rPr>
          <w:rFonts w:ascii="Arial" w:hAnsi="Arial" w:cs="Arial"/>
          <w:sz w:val="20"/>
        </w:rPr>
        <w:t xml:space="preserve"> nejmenších obcí</w:t>
      </w:r>
      <w:r w:rsidR="00236A43">
        <w:rPr>
          <w:rFonts w:ascii="Arial" w:hAnsi="Arial" w:cs="Arial"/>
          <w:sz w:val="20"/>
        </w:rPr>
        <w:t>ch</w:t>
      </w:r>
      <w:r w:rsidR="00DD6846" w:rsidRPr="00656184">
        <w:rPr>
          <w:rFonts w:ascii="Arial" w:hAnsi="Arial" w:cs="Arial"/>
          <w:sz w:val="20"/>
        </w:rPr>
        <w:t xml:space="preserve">. S růstem velikosti sídla se pak toto procento </w:t>
      </w:r>
      <w:r w:rsidR="00C83AB1" w:rsidRPr="00656184">
        <w:rPr>
          <w:rFonts w:ascii="Arial" w:hAnsi="Arial" w:cs="Arial"/>
          <w:sz w:val="20"/>
        </w:rPr>
        <w:t>snižovalo.</w:t>
      </w:r>
      <w:r w:rsidR="00DD6846" w:rsidRPr="00656184">
        <w:rPr>
          <w:rFonts w:ascii="Arial" w:hAnsi="Arial" w:cs="Arial"/>
          <w:sz w:val="20"/>
        </w:rPr>
        <w:t xml:space="preserve"> </w:t>
      </w:r>
    </w:p>
    <w:p w:rsidR="00E565E9" w:rsidRPr="00656184" w:rsidRDefault="00E565E9" w:rsidP="00A0528A">
      <w:pPr>
        <w:pStyle w:val="Zkladntext"/>
        <w:jc w:val="both"/>
        <w:rPr>
          <w:rFonts w:ascii="Arial" w:hAnsi="Arial" w:cs="Arial"/>
          <w:sz w:val="20"/>
        </w:rPr>
      </w:pPr>
    </w:p>
    <w:tbl>
      <w:tblPr>
        <w:tblpPr w:leftFromText="284" w:rightFromText="284" w:topFromText="142" w:bottomFromText="142" w:vertAnchor="text" w:horzAnchor="margin" w:tblpXSpec="right" w:tblpY="69"/>
        <w:tblOverlap w:val="never"/>
        <w:tblW w:w="4560" w:type="dxa"/>
        <w:tblCellMar>
          <w:left w:w="70" w:type="dxa"/>
          <w:right w:w="70" w:type="dxa"/>
        </w:tblCellMar>
        <w:tblLook w:val="04A0"/>
      </w:tblPr>
      <w:tblGrid>
        <w:gridCol w:w="2380"/>
        <w:gridCol w:w="1360"/>
        <w:gridCol w:w="820"/>
      </w:tblGrid>
      <w:tr w:rsidR="008B742E" w:rsidRPr="00176551" w:rsidTr="0012218B">
        <w:trPr>
          <w:trHeight w:val="63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b/>
                <w:color w:val="000000"/>
              </w:rPr>
            </w:pPr>
            <w:r w:rsidRPr="00176551">
              <w:rPr>
                <w:rFonts w:ascii="Arial" w:hAnsi="Arial" w:cs="Arial"/>
                <w:b/>
                <w:color w:val="000000"/>
              </w:rPr>
              <w:t>Osoby s neuvedenou odpovědí na náboženskou víru podle krajů k 26.3.201</w:t>
            </w:r>
            <w:r w:rsidR="00FE17BE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8B742E" w:rsidRPr="00176551" w:rsidTr="0012218B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sz w:val="18"/>
                <w:szCs w:val="18"/>
              </w:rPr>
            </w:pPr>
            <w:r w:rsidRPr="00176551">
              <w:rPr>
                <w:rFonts w:ascii="Arial" w:hAnsi="Arial" w:cs="Arial"/>
                <w:sz w:val="18"/>
                <w:szCs w:val="18"/>
              </w:rPr>
              <w:t xml:space="preserve">Osoby s neuvedenou odpovědí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4 662 455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Hlavní město Praha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559 409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Středočeský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588 012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Jihočeský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303 360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Plzeňský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267 197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Karlovarský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140 136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Ústecký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369 777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Liberecký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192 713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Královéhradecký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250 676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Pardubický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232 034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Kraj Vysočina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227 634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Jihomoravský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493 578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Olomoucký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275 740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Zlínský kraj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234 586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</w:tr>
      <w:tr w:rsidR="008B742E" w:rsidRPr="00176551" w:rsidTr="0012218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Moravskoslezský kraj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527 603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2E" w:rsidRPr="00176551" w:rsidRDefault="008B742E" w:rsidP="0012218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551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</w:tr>
    </w:tbl>
    <w:p w:rsidR="00C9299D" w:rsidRDefault="00DD6846" w:rsidP="00C9299D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656184">
        <w:rPr>
          <w:rFonts w:ascii="Arial" w:hAnsi="Arial" w:cs="Arial"/>
          <w:sz w:val="20"/>
        </w:rPr>
        <w:t>Mezi kraji,</w:t>
      </w:r>
      <w:r w:rsidR="00E565E9" w:rsidRPr="00656184">
        <w:rPr>
          <w:rFonts w:ascii="Arial" w:hAnsi="Arial" w:cs="Arial"/>
          <w:sz w:val="20"/>
        </w:rPr>
        <w:t xml:space="preserve"> </w:t>
      </w:r>
      <w:r w:rsidRPr="00656184">
        <w:rPr>
          <w:rFonts w:ascii="Arial" w:hAnsi="Arial" w:cs="Arial"/>
          <w:sz w:val="20"/>
        </w:rPr>
        <w:t>kde byla nejmenší ochota se vyjádřit o své náboženské víře</w:t>
      </w:r>
      <w:r w:rsidR="00236A43">
        <w:rPr>
          <w:rFonts w:ascii="Arial" w:hAnsi="Arial" w:cs="Arial"/>
          <w:sz w:val="20"/>
        </w:rPr>
        <w:t>,</w:t>
      </w:r>
      <w:r w:rsidRPr="00656184">
        <w:rPr>
          <w:rFonts w:ascii="Arial" w:hAnsi="Arial" w:cs="Arial"/>
          <w:sz w:val="20"/>
        </w:rPr>
        <w:t xml:space="preserve"> byl na prvém místě Jihočeský kraj</w:t>
      </w:r>
      <w:r w:rsidR="00D66865" w:rsidRPr="00656184">
        <w:rPr>
          <w:rFonts w:ascii="Arial" w:hAnsi="Arial" w:cs="Arial"/>
          <w:sz w:val="20"/>
        </w:rPr>
        <w:t>,</w:t>
      </w:r>
      <w:r w:rsidRPr="00656184">
        <w:rPr>
          <w:rFonts w:ascii="Arial" w:hAnsi="Arial" w:cs="Arial"/>
          <w:sz w:val="20"/>
        </w:rPr>
        <w:t xml:space="preserve"> za kterým pak následoval Karlovarský a </w:t>
      </w:r>
      <w:r w:rsidR="00A703B4" w:rsidRPr="00656184">
        <w:rPr>
          <w:rFonts w:ascii="Arial" w:hAnsi="Arial" w:cs="Arial"/>
          <w:sz w:val="20"/>
        </w:rPr>
        <w:t>Plzeňský</w:t>
      </w:r>
      <w:r w:rsidRPr="00656184">
        <w:rPr>
          <w:rFonts w:ascii="Arial" w:hAnsi="Arial" w:cs="Arial"/>
          <w:sz w:val="20"/>
        </w:rPr>
        <w:t xml:space="preserve"> kraj. Pozitivnější přístup ke svému vyjádření měl</w:t>
      </w:r>
      <w:r w:rsidR="00D66865" w:rsidRPr="00656184">
        <w:rPr>
          <w:rFonts w:ascii="Arial" w:hAnsi="Arial" w:cs="Arial"/>
          <w:sz w:val="20"/>
        </w:rPr>
        <w:t>i</w:t>
      </w:r>
      <w:r w:rsidRPr="00656184">
        <w:rPr>
          <w:rFonts w:ascii="Arial" w:hAnsi="Arial" w:cs="Arial"/>
          <w:sz w:val="20"/>
        </w:rPr>
        <w:t xml:space="preserve"> obecně obyvatelé moravských krajů a</w:t>
      </w:r>
      <w:r w:rsidR="00D66865" w:rsidRPr="00656184">
        <w:rPr>
          <w:rFonts w:ascii="Arial" w:hAnsi="Arial" w:cs="Arial"/>
          <w:sz w:val="20"/>
        </w:rPr>
        <w:t xml:space="preserve"> z</w:t>
      </w:r>
      <w:r w:rsidR="002A10F3" w:rsidRPr="00656184">
        <w:rPr>
          <w:rFonts w:ascii="Arial" w:hAnsi="Arial" w:cs="Arial"/>
          <w:sz w:val="20"/>
        </w:rPr>
        <w:t xml:space="preserve"> nich </w:t>
      </w:r>
      <w:r w:rsidRPr="00656184">
        <w:rPr>
          <w:rFonts w:ascii="Arial" w:hAnsi="Arial" w:cs="Arial"/>
          <w:sz w:val="20"/>
        </w:rPr>
        <w:t>zejména Zlínsk</w:t>
      </w:r>
      <w:r w:rsidR="007F2172" w:rsidRPr="00656184">
        <w:rPr>
          <w:rFonts w:ascii="Arial" w:hAnsi="Arial" w:cs="Arial"/>
          <w:sz w:val="20"/>
        </w:rPr>
        <w:t>ého</w:t>
      </w:r>
      <w:r w:rsidRPr="00656184">
        <w:rPr>
          <w:rFonts w:ascii="Arial" w:hAnsi="Arial" w:cs="Arial"/>
          <w:sz w:val="20"/>
        </w:rPr>
        <w:t xml:space="preserve"> kraj</w:t>
      </w:r>
      <w:r w:rsidR="007F2172" w:rsidRPr="00656184">
        <w:rPr>
          <w:rFonts w:ascii="Arial" w:hAnsi="Arial" w:cs="Arial"/>
          <w:sz w:val="20"/>
        </w:rPr>
        <w:t>e</w:t>
      </w:r>
      <w:r w:rsidRPr="00656184">
        <w:rPr>
          <w:rFonts w:ascii="Arial" w:hAnsi="Arial" w:cs="Arial"/>
          <w:sz w:val="20"/>
        </w:rPr>
        <w:t xml:space="preserve"> (40,4 %), což souviselo i s větší religiozitou </w:t>
      </w:r>
      <w:r w:rsidR="00C9299D">
        <w:rPr>
          <w:rFonts w:ascii="Arial" w:hAnsi="Arial" w:cs="Arial"/>
          <w:sz w:val="20"/>
        </w:rPr>
        <w:t>daného území</w:t>
      </w:r>
      <w:r w:rsidRPr="00656184">
        <w:rPr>
          <w:rFonts w:ascii="Arial" w:hAnsi="Arial" w:cs="Arial"/>
          <w:sz w:val="20"/>
        </w:rPr>
        <w:t>.</w:t>
      </w:r>
      <w:r w:rsidR="002A10F3" w:rsidRPr="00656184">
        <w:rPr>
          <w:rFonts w:ascii="Arial" w:hAnsi="Arial" w:cs="Arial"/>
          <w:sz w:val="20"/>
        </w:rPr>
        <w:t xml:space="preserve"> </w:t>
      </w:r>
      <w:r w:rsidR="00C9299D">
        <w:rPr>
          <w:rFonts w:ascii="Arial" w:hAnsi="Arial" w:cs="Arial"/>
          <w:sz w:val="20"/>
        </w:rPr>
        <w:t>Vyšší hodnoty</w:t>
      </w:r>
      <w:r w:rsidR="00236A43">
        <w:rPr>
          <w:rFonts w:ascii="Arial" w:hAnsi="Arial" w:cs="Arial"/>
          <w:sz w:val="20"/>
        </w:rPr>
        <w:t>,</w:t>
      </w:r>
      <w:r w:rsidR="00C9299D">
        <w:rPr>
          <w:rFonts w:ascii="Arial" w:hAnsi="Arial" w:cs="Arial"/>
          <w:sz w:val="20"/>
        </w:rPr>
        <w:t xml:space="preserve"> než byl průměr za celou republiku</w:t>
      </w:r>
      <w:r w:rsidR="00236A43">
        <w:rPr>
          <w:rFonts w:ascii="Arial" w:hAnsi="Arial" w:cs="Arial"/>
          <w:sz w:val="20"/>
        </w:rPr>
        <w:t>,</w:t>
      </w:r>
      <w:r w:rsidR="00C9299D">
        <w:rPr>
          <w:rFonts w:ascii="Arial" w:hAnsi="Arial" w:cs="Arial"/>
          <w:sz w:val="20"/>
        </w:rPr>
        <w:t xml:space="preserve"> mělo 8 krajů.</w:t>
      </w:r>
    </w:p>
    <w:p w:rsidR="00E565E9" w:rsidRDefault="00E565E9" w:rsidP="00B33B50">
      <w:pPr>
        <w:pStyle w:val="Zkladntext"/>
        <w:rPr>
          <w:rFonts w:ascii="Arial" w:hAnsi="Arial" w:cs="Arial"/>
          <w:sz w:val="20"/>
        </w:rPr>
      </w:pPr>
    </w:p>
    <w:p w:rsidR="00CA23B3" w:rsidRDefault="008B742E" w:rsidP="001804D7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Obdobné </w:t>
      </w:r>
      <w:r w:rsidR="00921FEA" w:rsidRPr="00656184">
        <w:rPr>
          <w:rFonts w:ascii="Arial" w:hAnsi="Arial" w:cs="Arial"/>
          <w:sz w:val="20"/>
        </w:rPr>
        <w:t xml:space="preserve">tendence lze vysledovat </w:t>
      </w:r>
      <w:r w:rsidR="0012218B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územním rozložení dle</w:t>
      </w:r>
      <w:r w:rsidR="00921FEA" w:rsidRPr="00656184">
        <w:rPr>
          <w:rFonts w:ascii="Arial" w:hAnsi="Arial" w:cs="Arial"/>
          <w:sz w:val="20"/>
        </w:rPr>
        <w:t xml:space="preserve"> okresů. </w:t>
      </w:r>
      <w:r>
        <w:rPr>
          <w:rFonts w:ascii="Arial" w:hAnsi="Arial" w:cs="Arial"/>
          <w:sz w:val="20"/>
        </w:rPr>
        <w:t>Územím s</w:t>
      </w:r>
      <w:r w:rsidR="00A703B4" w:rsidRPr="00656184">
        <w:rPr>
          <w:rFonts w:ascii="Arial" w:hAnsi="Arial" w:cs="Arial"/>
          <w:sz w:val="20"/>
        </w:rPr>
        <w:t xml:space="preserve"> nejvyšším procentem nezodpovězení této otázky </w:t>
      </w:r>
      <w:r>
        <w:rPr>
          <w:rFonts w:ascii="Arial" w:hAnsi="Arial" w:cs="Arial"/>
          <w:sz w:val="20"/>
        </w:rPr>
        <w:t>byla</w:t>
      </w:r>
      <w:r w:rsidR="00A703B4" w:rsidRPr="00656184">
        <w:rPr>
          <w:rFonts w:ascii="Arial" w:hAnsi="Arial" w:cs="Arial"/>
          <w:sz w:val="20"/>
        </w:rPr>
        <w:t xml:space="preserve"> celá oblast jižních a západních Čech</w:t>
      </w:r>
      <w:r>
        <w:rPr>
          <w:rFonts w:ascii="Arial" w:hAnsi="Arial" w:cs="Arial"/>
          <w:sz w:val="20"/>
        </w:rPr>
        <w:t>. Maximální podíl (52 %) byl v okrese Strakonice, hodnotě 50 % se blížily okresy Tachov, Klatovy a Plzeň-jih.</w:t>
      </w:r>
      <w:r w:rsidR="0012218B">
        <w:rPr>
          <w:rFonts w:ascii="Arial" w:hAnsi="Arial" w:cs="Arial"/>
          <w:sz w:val="20"/>
        </w:rPr>
        <w:t xml:space="preserve"> </w:t>
      </w:r>
      <w:r w:rsidR="00C512CD" w:rsidRPr="00C512CD">
        <w:rPr>
          <w:rFonts w:ascii="Arial" w:hAnsi="Arial" w:cs="Arial"/>
          <w:sz w:val="20"/>
        </w:rPr>
        <w:t>Minimální hodnoty byly naopak v okresech Uherské Hradiště (36 %)</w:t>
      </w:r>
      <w:r w:rsidR="00C512CD">
        <w:rPr>
          <w:rFonts w:ascii="Arial" w:hAnsi="Arial" w:cs="Arial"/>
          <w:sz w:val="20"/>
        </w:rPr>
        <w:t xml:space="preserve">, </w:t>
      </w:r>
      <w:r w:rsidR="009877EF">
        <w:rPr>
          <w:rFonts w:ascii="Arial" w:hAnsi="Arial" w:cs="Arial"/>
          <w:sz w:val="20"/>
        </w:rPr>
        <w:t xml:space="preserve">dalších 6 okresů mělo hodnoty nižší než 42 %: Hodonín, Zlín, </w:t>
      </w:r>
      <w:proofErr w:type="spellStart"/>
      <w:r w:rsidR="009877EF">
        <w:rPr>
          <w:rFonts w:ascii="Arial" w:hAnsi="Arial" w:cs="Arial"/>
          <w:sz w:val="20"/>
        </w:rPr>
        <w:t>Frýd</w:t>
      </w:r>
      <w:r w:rsidR="0012218B">
        <w:rPr>
          <w:rFonts w:ascii="Arial" w:hAnsi="Arial" w:cs="Arial"/>
          <w:sz w:val="20"/>
        </w:rPr>
        <w:t>ek</w:t>
      </w:r>
      <w:proofErr w:type="spellEnd"/>
      <w:r w:rsidR="0012218B">
        <w:rPr>
          <w:rFonts w:ascii="Arial" w:hAnsi="Arial" w:cs="Arial"/>
          <w:sz w:val="20"/>
        </w:rPr>
        <w:t>-Místek, Kroměříž, Brno-město</w:t>
      </w:r>
      <w:r w:rsidR="009877EF">
        <w:rPr>
          <w:rFonts w:ascii="Arial" w:hAnsi="Arial" w:cs="Arial"/>
          <w:sz w:val="20"/>
        </w:rPr>
        <w:t xml:space="preserve"> a Žďár nad Sázavou.</w:t>
      </w:r>
    </w:p>
    <w:p w:rsidR="009877EF" w:rsidRDefault="009877EF" w:rsidP="001804D7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</w:p>
    <w:p w:rsidR="009877EF" w:rsidRPr="00C512CD" w:rsidRDefault="009877EF" w:rsidP="001804D7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územním detailu SO ORP byly rozdíly mezi maximem a minimem větší. Nejvyšší podíly neuvedených odpovědí byly zaznamenány ve Voticích (53</w:t>
      </w:r>
      <w:r w:rsidR="0012218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%). SO ORP Nepomuk, Strakonice a </w:t>
      </w:r>
      <w:proofErr w:type="spellStart"/>
      <w:r>
        <w:rPr>
          <w:rFonts w:ascii="Arial" w:hAnsi="Arial" w:cs="Arial"/>
          <w:sz w:val="20"/>
        </w:rPr>
        <w:t>Pacov</w:t>
      </w:r>
      <w:proofErr w:type="spellEnd"/>
      <w:r>
        <w:rPr>
          <w:rFonts w:ascii="Arial" w:hAnsi="Arial" w:cs="Arial"/>
          <w:sz w:val="20"/>
        </w:rPr>
        <w:t xml:space="preserve"> měly shodně 52,2 %. Minimum </w:t>
      </w:r>
      <w:r w:rsidR="00A9532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32,9 %  - bylo v SO ORP Uherský Brod. </w:t>
      </w:r>
      <w:proofErr w:type="spellStart"/>
      <w:r>
        <w:rPr>
          <w:rFonts w:ascii="Arial" w:hAnsi="Arial" w:cs="Arial"/>
          <w:sz w:val="20"/>
        </w:rPr>
        <w:t>Jablunkov</w:t>
      </w:r>
      <w:proofErr w:type="spellEnd"/>
      <w:r>
        <w:rPr>
          <w:rFonts w:ascii="Arial" w:hAnsi="Arial" w:cs="Arial"/>
          <w:sz w:val="20"/>
        </w:rPr>
        <w:t xml:space="preserve">, Valašské Klobouky, Uherské Hradiště a Veselí nad Moravou měly hodnoty nižší než 38 %. </w:t>
      </w:r>
    </w:p>
    <w:p w:rsidR="00CA23B3" w:rsidRPr="00656184" w:rsidRDefault="00CA23B3" w:rsidP="001804D7">
      <w:pPr>
        <w:pStyle w:val="Zkladntext"/>
        <w:spacing w:line="276" w:lineRule="auto"/>
        <w:jc w:val="both"/>
        <w:rPr>
          <w:rFonts w:ascii="Arial" w:hAnsi="Arial" w:cs="Arial"/>
          <w:b/>
          <w:sz w:val="20"/>
        </w:rPr>
      </w:pPr>
    </w:p>
    <w:p w:rsidR="005C4597" w:rsidRDefault="007F5FDD" w:rsidP="00B4127C">
      <w:pPr>
        <w:spacing w:line="276" w:lineRule="auto"/>
        <w:jc w:val="both"/>
        <w:rPr>
          <w:rFonts w:ascii="Arial" w:hAnsi="Arial" w:cs="Arial"/>
        </w:rPr>
      </w:pPr>
      <w:r w:rsidRPr="00524253">
        <w:rPr>
          <w:rFonts w:ascii="Arial" w:hAnsi="Arial" w:cs="Arial"/>
          <w:bdr w:val="single" w:sz="4" w:space="0" w:color="595959"/>
        </w:rPr>
        <w:lastRenderedPageBreak/>
        <w:pict>
          <v:shape id="_x0000_i1085" type="#_x0000_t75" style="width:452.25pt;height:318.75pt" o:bordertopcolor="this" o:borderleftcolor="this" o:borderbottomcolor="this" o:borderrightcolor="this">
            <v:imagedata r:id="rId9" o:title="neuvedeno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C4597" w:rsidRDefault="005C4597" w:rsidP="00B4127C">
      <w:pPr>
        <w:spacing w:line="276" w:lineRule="auto"/>
        <w:jc w:val="both"/>
        <w:rPr>
          <w:rFonts w:ascii="Arial" w:hAnsi="Arial" w:cs="Arial"/>
        </w:rPr>
      </w:pPr>
    </w:p>
    <w:p w:rsidR="00506A19" w:rsidRPr="00656184" w:rsidRDefault="001804D7" w:rsidP="007450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úrovni obcí měla mimořádné hodnoty obec </w:t>
      </w:r>
      <w:proofErr w:type="spellStart"/>
      <w:r>
        <w:rPr>
          <w:rFonts w:ascii="Arial" w:hAnsi="Arial" w:cs="Arial"/>
        </w:rPr>
        <w:t>Bělušice</w:t>
      </w:r>
      <w:proofErr w:type="spellEnd"/>
      <w:r>
        <w:rPr>
          <w:rFonts w:ascii="Arial" w:hAnsi="Arial" w:cs="Arial"/>
        </w:rPr>
        <w:t xml:space="preserve"> v okrese Most, kde byl podíl neuvedené víry téměř 89 %. Druhý nejvyšší podíl měla obec </w:t>
      </w:r>
      <w:proofErr w:type="spellStart"/>
      <w:r>
        <w:rPr>
          <w:rFonts w:ascii="Arial" w:hAnsi="Arial" w:cs="Arial"/>
        </w:rPr>
        <w:t>Nehodiv</w:t>
      </w:r>
      <w:proofErr w:type="spellEnd"/>
      <w:r>
        <w:rPr>
          <w:rFonts w:ascii="Arial" w:hAnsi="Arial" w:cs="Arial"/>
        </w:rPr>
        <w:t xml:space="preserve"> v okrese Klatovy, 85 % neuvedených odpovědí znamenalo</w:t>
      </w:r>
      <w:r w:rsidR="00B4127C">
        <w:rPr>
          <w:rFonts w:ascii="Arial" w:hAnsi="Arial" w:cs="Arial"/>
        </w:rPr>
        <w:t xml:space="preserve"> ale absolutně</w:t>
      </w:r>
      <w:r>
        <w:rPr>
          <w:rFonts w:ascii="Arial" w:hAnsi="Arial" w:cs="Arial"/>
        </w:rPr>
        <w:t xml:space="preserve"> pouhých 57 osob  z 67 obyvatel obce. Kromě těchto dvou obcí dalších 1753 mělo podíl osob s neuvedenou vírou větší než 50 %.</w:t>
      </w:r>
      <w:r w:rsidR="00680634">
        <w:rPr>
          <w:rFonts w:ascii="Arial" w:hAnsi="Arial" w:cs="Arial"/>
        </w:rPr>
        <w:t xml:space="preserve"> Podíly nižší než 40 % mělo 972 obcí , z toho 39 obcí mělo podíly 25 % a nižší. Extrémně nízkou hodnotu neuvedených odpovědí zaznamenaly obce </w:t>
      </w:r>
      <w:proofErr w:type="spellStart"/>
      <w:r w:rsidR="00680634">
        <w:rPr>
          <w:rFonts w:ascii="Arial" w:hAnsi="Arial" w:cs="Arial"/>
        </w:rPr>
        <w:t>Zblovice</w:t>
      </w:r>
      <w:proofErr w:type="spellEnd"/>
      <w:r w:rsidR="00680634">
        <w:rPr>
          <w:rFonts w:ascii="Arial" w:hAnsi="Arial" w:cs="Arial"/>
        </w:rPr>
        <w:t xml:space="preserve"> v okrese Znojmo </w:t>
      </w:r>
      <w:r w:rsidR="00A95326">
        <w:rPr>
          <w:rFonts w:ascii="Arial" w:hAnsi="Arial" w:cs="Arial"/>
        </w:rPr>
        <w:t>-</w:t>
      </w:r>
      <w:r w:rsidR="00680634">
        <w:rPr>
          <w:rFonts w:ascii="Arial" w:hAnsi="Arial" w:cs="Arial"/>
        </w:rPr>
        <w:t xml:space="preserve"> 10,8 % (pouhých 7 osob), </w:t>
      </w:r>
      <w:proofErr w:type="spellStart"/>
      <w:r w:rsidR="00680634">
        <w:rPr>
          <w:rFonts w:ascii="Arial" w:hAnsi="Arial" w:cs="Arial"/>
        </w:rPr>
        <w:t>Přeckov</w:t>
      </w:r>
      <w:proofErr w:type="spellEnd"/>
      <w:r w:rsidR="00680634">
        <w:rPr>
          <w:rFonts w:ascii="Arial" w:hAnsi="Arial" w:cs="Arial"/>
        </w:rPr>
        <w:t xml:space="preserve"> v okrese Třebíč </w:t>
      </w:r>
      <w:r w:rsidR="00A95326">
        <w:rPr>
          <w:rFonts w:ascii="Arial" w:hAnsi="Arial" w:cs="Arial"/>
        </w:rPr>
        <w:t>-</w:t>
      </w:r>
      <w:r w:rsidR="00680634">
        <w:rPr>
          <w:rFonts w:ascii="Arial" w:hAnsi="Arial" w:cs="Arial"/>
        </w:rPr>
        <w:t xml:space="preserve"> 14,3% (pouhých 11 osob) a </w:t>
      </w:r>
      <w:proofErr w:type="spellStart"/>
      <w:r w:rsidR="00680634">
        <w:rPr>
          <w:rFonts w:ascii="Arial" w:hAnsi="Arial" w:cs="Arial"/>
        </w:rPr>
        <w:t>Drslavice</w:t>
      </w:r>
      <w:proofErr w:type="spellEnd"/>
      <w:r w:rsidR="00680634">
        <w:rPr>
          <w:rFonts w:ascii="Arial" w:hAnsi="Arial" w:cs="Arial"/>
        </w:rPr>
        <w:t xml:space="preserve"> v okrese Uherské Hradiště </w:t>
      </w:r>
      <w:r w:rsidR="00A95326">
        <w:rPr>
          <w:rFonts w:ascii="Arial" w:hAnsi="Arial" w:cs="Arial"/>
        </w:rPr>
        <w:t>-</w:t>
      </w:r>
      <w:r w:rsidR="007450D3">
        <w:rPr>
          <w:rFonts w:ascii="Arial" w:hAnsi="Arial" w:cs="Arial"/>
        </w:rPr>
        <w:t xml:space="preserve"> 15 % (75 osob).</w:t>
      </w:r>
    </w:p>
    <w:sectPr w:rsidR="00506A19" w:rsidRPr="00656184" w:rsidSect="00932572">
      <w:pgSz w:w="11906" w:h="16838" w:code="9"/>
      <w:pgMar w:top="1417" w:right="1417" w:bottom="1417" w:left="1417" w:header="136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EA" w:rsidRDefault="00D17FEA" w:rsidP="005B332A">
      <w:r>
        <w:separator/>
      </w:r>
    </w:p>
  </w:endnote>
  <w:endnote w:type="continuationSeparator" w:id="0">
    <w:p w:rsidR="00D17FEA" w:rsidRDefault="00D17FEA" w:rsidP="005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EA" w:rsidRDefault="00D17FEA" w:rsidP="005B332A">
      <w:r>
        <w:separator/>
      </w:r>
    </w:p>
  </w:footnote>
  <w:footnote w:type="continuationSeparator" w:id="0">
    <w:p w:rsidR="00D17FEA" w:rsidRDefault="00D17FEA" w:rsidP="005B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7D8"/>
    <w:multiLevelType w:val="hybridMultilevel"/>
    <w:tmpl w:val="96AA6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9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1186"/>
    <w:multiLevelType w:val="hybridMultilevel"/>
    <w:tmpl w:val="FBE2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1C"/>
    <w:rsid w:val="00002949"/>
    <w:rsid w:val="00004761"/>
    <w:rsid w:val="000050DD"/>
    <w:rsid w:val="0000599F"/>
    <w:rsid w:val="00005EEF"/>
    <w:rsid w:val="0000639B"/>
    <w:rsid w:val="00006852"/>
    <w:rsid w:val="000076F3"/>
    <w:rsid w:val="00014460"/>
    <w:rsid w:val="00017400"/>
    <w:rsid w:val="00021A8D"/>
    <w:rsid w:val="00022760"/>
    <w:rsid w:val="0002302A"/>
    <w:rsid w:val="000249BD"/>
    <w:rsid w:val="00031260"/>
    <w:rsid w:val="00031539"/>
    <w:rsid w:val="00032069"/>
    <w:rsid w:val="0003358F"/>
    <w:rsid w:val="000342F2"/>
    <w:rsid w:val="00035357"/>
    <w:rsid w:val="00036F10"/>
    <w:rsid w:val="000375BA"/>
    <w:rsid w:val="0003763E"/>
    <w:rsid w:val="000411EE"/>
    <w:rsid w:val="00041545"/>
    <w:rsid w:val="00041673"/>
    <w:rsid w:val="00041705"/>
    <w:rsid w:val="000441CC"/>
    <w:rsid w:val="00045E9D"/>
    <w:rsid w:val="00050AAE"/>
    <w:rsid w:val="00051517"/>
    <w:rsid w:val="0005197A"/>
    <w:rsid w:val="00052178"/>
    <w:rsid w:val="00052A6A"/>
    <w:rsid w:val="000544F6"/>
    <w:rsid w:val="00056397"/>
    <w:rsid w:val="00056425"/>
    <w:rsid w:val="00061CB7"/>
    <w:rsid w:val="00062BEE"/>
    <w:rsid w:val="00064F23"/>
    <w:rsid w:val="00067344"/>
    <w:rsid w:val="00067563"/>
    <w:rsid w:val="00070463"/>
    <w:rsid w:val="00070AE7"/>
    <w:rsid w:val="00072781"/>
    <w:rsid w:val="000733DC"/>
    <w:rsid w:val="00073C2E"/>
    <w:rsid w:val="00074215"/>
    <w:rsid w:val="000752DC"/>
    <w:rsid w:val="00076C4A"/>
    <w:rsid w:val="000771E6"/>
    <w:rsid w:val="000811B2"/>
    <w:rsid w:val="00081B6B"/>
    <w:rsid w:val="0008257C"/>
    <w:rsid w:val="00082E8A"/>
    <w:rsid w:val="00083691"/>
    <w:rsid w:val="00084D5A"/>
    <w:rsid w:val="00086798"/>
    <w:rsid w:val="0008688B"/>
    <w:rsid w:val="0008704F"/>
    <w:rsid w:val="00087BD7"/>
    <w:rsid w:val="00092031"/>
    <w:rsid w:val="00093A16"/>
    <w:rsid w:val="000974E8"/>
    <w:rsid w:val="00097883"/>
    <w:rsid w:val="00097D24"/>
    <w:rsid w:val="000A00A8"/>
    <w:rsid w:val="000A18DB"/>
    <w:rsid w:val="000A2610"/>
    <w:rsid w:val="000A2825"/>
    <w:rsid w:val="000A3229"/>
    <w:rsid w:val="000A40EB"/>
    <w:rsid w:val="000A4EC0"/>
    <w:rsid w:val="000B016D"/>
    <w:rsid w:val="000B038E"/>
    <w:rsid w:val="000B078F"/>
    <w:rsid w:val="000B0D60"/>
    <w:rsid w:val="000B183B"/>
    <w:rsid w:val="000B2827"/>
    <w:rsid w:val="000B2A21"/>
    <w:rsid w:val="000B3018"/>
    <w:rsid w:val="000B37E7"/>
    <w:rsid w:val="000B3C05"/>
    <w:rsid w:val="000B4EEE"/>
    <w:rsid w:val="000B536F"/>
    <w:rsid w:val="000B7CA6"/>
    <w:rsid w:val="000C20F2"/>
    <w:rsid w:val="000C3525"/>
    <w:rsid w:val="000C595C"/>
    <w:rsid w:val="000C5A26"/>
    <w:rsid w:val="000C66FA"/>
    <w:rsid w:val="000D0C2C"/>
    <w:rsid w:val="000D148F"/>
    <w:rsid w:val="000D1BC3"/>
    <w:rsid w:val="000D2C84"/>
    <w:rsid w:val="000D41D7"/>
    <w:rsid w:val="000D4290"/>
    <w:rsid w:val="000D4F5B"/>
    <w:rsid w:val="000D502F"/>
    <w:rsid w:val="000D5530"/>
    <w:rsid w:val="000E26AC"/>
    <w:rsid w:val="000E3FE6"/>
    <w:rsid w:val="000E44DD"/>
    <w:rsid w:val="000E48DD"/>
    <w:rsid w:val="000E505D"/>
    <w:rsid w:val="000E552E"/>
    <w:rsid w:val="000E5631"/>
    <w:rsid w:val="000E6B9E"/>
    <w:rsid w:val="000E7779"/>
    <w:rsid w:val="000F0F26"/>
    <w:rsid w:val="000F18E1"/>
    <w:rsid w:val="000F2FB6"/>
    <w:rsid w:val="000F3615"/>
    <w:rsid w:val="000F3ECA"/>
    <w:rsid w:val="000F3F67"/>
    <w:rsid w:val="000F45EB"/>
    <w:rsid w:val="000F7B69"/>
    <w:rsid w:val="000F7E9F"/>
    <w:rsid w:val="001000ED"/>
    <w:rsid w:val="00100F03"/>
    <w:rsid w:val="00101173"/>
    <w:rsid w:val="00101E04"/>
    <w:rsid w:val="00102F17"/>
    <w:rsid w:val="00103113"/>
    <w:rsid w:val="001033C9"/>
    <w:rsid w:val="001043A7"/>
    <w:rsid w:val="00110769"/>
    <w:rsid w:val="0011179B"/>
    <w:rsid w:val="0011194F"/>
    <w:rsid w:val="00111B2B"/>
    <w:rsid w:val="00112C0B"/>
    <w:rsid w:val="00112DD6"/>
    <w:rsid w:val="00113244"/>
    <w:rsid w:val="001173D9"/>
    <w:rsid w:val="0012218B"/>
    <w:rsid w:val="0012529E"/>
    <w:rsid w:val="00125358"/>
    <w:rsid w:val="001254D8"/>
    <w:rsid w:val="00130A8D"/>
    <w:rsid w:val="0013117A"/>
    <w:rsid w:val="00132320"/>
    <w:rsid w:val="00133803"/>
    <w:rsid w:val="0013446F"/>
    <w:rsid w:val="00135606"/>
    <w:rsid w:val="0013568C"/>
    <w:rsid w:val="00135895"/>
    <w:rsid w:val="00137A39"/>
    <w:rsid w:val="001412A9"/>
    <w:rsid w:val="00142BEB"/>
    <w:rsid w:val="00142DA3"/>
    <w:rsid w:val="00143225"/>
    <w:rsid w:val="0014525C"/>
    <w:rsid w:val="00146A87"/>
    <w:rsid w:val="00150BF8"/>
    <w:rsid w:val="001512E7"/>
    <w:rsid w:val="0015670E"/>
    <w:rsid w:val="00156C9A"/>
    <w:rsid w:val="0016067D"/>
    <w:rsid w:val="001609F9"/>
    <w:rsid w:val="001611AD"/>
    <w:rsid w:val="00161FD7"/>
    <w:rsid w:val="00162725"/>
    <w:rsid w:val="00163E6D"/>
    <w:rsid w:val="0016451F"/>
    <w:rsid w:val="00164BB0"/>
    <w:rsid w:val="001651A4"/>
    <w:rsid w:val="00167206"/>
    <w:rsid w:val="00167C8B"/>
    <w:rsid w:val="001700EA"/>
    <w:rsid w:val="00170112"/>
    <w:rsid w:val="0017022A"/>
    <w:rsid w:val="00171470"/>
    <w:rsid w:val="0017172C"/>
    <w:rsid w:val="001756DE"/>
    <w:rsid w:val="00176551"/>
    <w:rsid w:val="00176D24"/>
    <w:rsid w:val="001804D7"/>
    <w:rsid w:val="00180D03"/>
    <w:rsid w:val="001814C8"/>
    <w:rsid w:val="001825E2"/>
    <w:rsid w:val="00184500"/>
    <w:rsid w:val="001847DD"/>
    <w:rsid w:val="001849D1"/>
    <w:rsid w:val="00184B8A"/>
    <w:rsid w:val="00185A4B"/>
    <w:rsid w:val="001907C7"/>
    <w:rsid w:val="0019194C"/>
    <w:rsid w:val="001919CF"/>
    <w:rsid w:val="001943C9"/>
    <w:rsid w:val="0019665E"/>
    <w:rsid w:val="00196A2A"/>
    <w:rsid w:val="00197E7C"/>
    <w:rsid w:val="001A365E"/>
    <w:rsid w:val="001A37C3"/>
    <w:rsid w:val="001A4400"/>
    <w:rsid w:val="001A7954"/>
    <w:rsid w:val="001B051E"/>
    <w:rsid w:val="001B088B"/>
    <w:rsid w:val="001B1DDE"/>
    <w:rsid w:val="001B20BD"/>
    <w:rsid w:val="001B363C"/>
    <w:rsid w:val="001B48CC"/>
    <w:rsid w:val="001B49E3"/>
    <w:rsid w:val="001B5D83"/>
    <w:rsid w:val="001B6FFC"/>
    <w:rsid w:val="001B7C5C"/>
    <w:rsid w:val="001C169A"/>
    <w:rsid w:val="001C3348"/>
    <w:rsid w:val="001C4215"/>
    <w:rsid w:val="001C4A70"/>
    <w:rsid w:val="001C54E3"/>
    <w:rsid w:val="001C7809"/>
    <w:rsid w:val="001D0204"/>
    <w:rsid w:val="001D06E5"/>
    <w:rsid w:val="001D1EE9"/>
    <w:rsid w:val="001D4741"/>
    <w:rsid w:val="001D542E"/>
    <w:rsid w:val="001D67CC"/>
    <w:rsid w:val="001D770A"/>
    <w:rsid w:val="001D79C1"/>
    <w:rsid w:val="001E2521"/>
    <w:rsid w:val="001E3661"/>
    <w:rsid w:val="001E56E9"/>
    <w:rsid w:val="001E6370"/>
    <w:rsid w:val="001E6EB8"/>
    <w:rsid w:val="001E767F"/>
    <w:rsid w:val="001E77BB"/>
    <w:rsid w:val="001E7E82"/>
    <w:rsid w:val="001F04DB"/>
    <w:rsid w:val="001F1E49"/>
    <w:rsid w:val="001F2A37"/>
    <w:rsid w:val="001F329F"/>
    <w:rsid w:val="001F46E3"/>
    <w:rsid w:val="001F5480"/>
    <w:rsid w:val="001F54D7"/>
    <w:rsid w:val="001F5EA2"/>
    <w:rsid w:val="001F62FB"/>
    <w:rsid w:val="001F752B"/>
    <w:rsid w:val="00200B04"/>
    <w:rsid w:val="00201009"/>
    <w:rsid w:val="00201612"/>
    <w:rsid w:val="00202E83"/>
    <w:rsid w:val="00203B2B"/>
    <w:rsid w:val="00204081"/>
    <w:rsid w:val="00204433"/>
    <w:rsid w:val="00205D62"/>
    <w:rsid w:val="002074C5"/>
    <w:rsid w:val="00210591"/>
    <w:rsid w:val="0021127D"/>
    <w:rsid w:val="00211820"/>
    <w:rsid w:val="00215654"/>
    <w:rsid w:val="002167B1"/>
    <w:rsid w:val="00216844"/>
    <w:rsid w:val="00220054"/>
    <w:rsid w:val="0022057C"/>
    <w:rsid w:val="0022112C"/>
    <w:rsid w:val="00224EBA"/>
    <w:rsid w:val="00226636"/>
    <w:rsid w:val="00227BA0"/>
    <w:rsid w:val="00231574"/>
    <w:rsid w:val="00233DD2"/>
    <w:rsid w:val="00236A43"/>
    <w:rsid w:val="00236B9D"/>
    <w:rsid w:val="00237CC9"/>
    <w:rsid w:val="002525E3"/>
    <w:rsid w:val="00253401"/>
    <w:rsid w:val="0025437E"/>
    <w:rsid w:val="00254D87"/>
    <w:rsid w:val="002554DF"/>
    <w:rsid w:val="00262D21"/>
    <w:rsid w:val="00263637"/>
    <w:rsid w:val="0026382A"/>
    <w:rsid w:val="00267D86"/>
    <w:rsid w:val="00272345"/>
    <w:rsid w:val="0027254F"/>
    <w:rsid w:val="00272DEC"/>
    <w:rsid w:val="002751C8"/>
    <w:rsid w:val="00275AF3"/>
    <w:rsid w:val="00276CF6"/>
    <w:rsid w:val="002802D5"/>
    <w:rsid w:val="00280EF4"/>
    <w:rsid w:val="00281C5A"/>
    <w:rsid w:val="00282682"/>
    <w:rsid w:val="002826BC"/>
    <w:rsid w:val="002827ED"/>
    <w:rsid w:val="00284DDC"/>
    <w:rsid w:val="0028687C"/>
    <w:rsid w:val="00286887"/>
    <w:rsid w:val="00290002"/>
    <w:rsid w:val="002904CD"/>
    <w:rsid w:val="00290DE8"/>
    <w:rsid w:val="0029118D"/>
    <w:rsid w:val="002917AF"/>
    <w:rsid w:val="0029495F"/>
    <w:rsid w:val="00294E7A"/>
    <w:rsid w:val="00295978"/>
    <w:rsid w:val="002964AA"/>
    <w:rsid w:val="00296514"/>
    <w:rsid w:val="002966CD"/>
    <w:rsid w:val="0029671A"/>
    <w:rsid w:val="00296D38"/>
    <w:rsid w:val="00297397"/>
    <w:rsid w:val="002A03E9"/>
    <w:rsid w:val="002A10F3"/>
    <w:rsid w:val="002A2105"/>
    <w:rsid w:val="002A2794"/>
    <w:rsid w:val="002A2DD7"/>
    <w:rsid w:val="002A4DE8"/>
    <w:rsid w:val="002A563C"/>
    <w:rsid w:val="002A5F94"/>
    <w:rsid w:val="002B0161"/>
    <w:rsid w:val="002B0B92"/>
    <w:rsid w:val="002B106E"/>
    <w:rsid w:val="002B401B"/>
    <w:rsid w:val="002B4EBC"/>
    <w:rsid w:val="002B5D6A"/>
    <w:rsid w:val="002B60DD"/>
    <w:rsid w:val="002C0720"/>
    <w:rsid w:val="002C0967"/>
    <w:rsid w:val="002C0AC8"/>
    <w:rsid w:val="002C27FC"/>
    <w:rsid w:val="002C43C6"/>
    <w:rsid w:val="002C64FD"/>
    <w:rsid w:val="002C7368"/>
    <w:rsid w:val="002D0820"/>
    <w:rsid w:val="002D16F9"/>
    <w:rsid w:val="002D25AA"/>
    <w:rsid w:val="002D274B"/>
    <w:rsid w:val="002D2AE7"/>
    <w:rsid w:val="002D2F1D"/>
    <w:rsid w:val="002D2FDC"/>
    <w:rsid w:val="002D3890"/>
    <w:rsid w:val="002D440A"/>
    <w:rsid w:val="002D5C92"/>
    <w:rsid w:val="002D706F"/>
    <w:rsid w:val="002E0202"/>
    <w:rsid w:val="002E0402"/>
    <w:rsid w:val="002E08D9"/>
    <w:rsid w:val="002E120C"/>
    <w:rsid w:val="002E1C96"/>
    <w:rsid w:val="002E249D"/>
    <w:rsid w:val="002E3BE4"/>
    <w:rsid w:val="002E52F0"/>
    <w:rsid w:val="002E5D08"/>
    <w:rsid w:val="002E6F1E"/>
    <w:rsid w:val="002E795E"/>
    <w:rsid w:val="002F0F71"/>
    <w:rsid w:val="002F2580"/>
    <w:rsid w:val="002F2F9E"/>
    <w:rsid w:val="002F31C4"/>
    <w:rsid w:val="002F3927"/>
    <w:rsid w:val="002F486D"/>
    <w:rsid w:val="002F5901"/>
    <w:rsid w:val="002F620D"/>
    <w:rsid w:val="002F62BD"/>
    <w:rsid w:val="002F63B9"/>
    <w:rsid w:val="00300444"/>
    <w:rsid w:val="00300D9B"/>
    <w:rsid w:val="003014F2"/>
    <w:rsid w:val="00301524"/>
    <w:rsid w:val="00301AAE"/>
    <w:rsid w:val="0030242E"/>
    <w:rsid w:val="00303A97"/>
    <w:rsid w:val="0030522C"/>
    <w:rsid w:val="00306756"/>
    <w:rsid w:val="00307898"/>
    <w:rsid w:val="003079CF"/>
    <w:rsid w:val="00307CC6"/>
    <w:rsid w:val="003113EF"/>
    <w:rsid w:val="0031302B"/>
    <w:rsid w:val="003140BD"/>
    <w:rsid w:val="00314349"/>
    <w:rsid w:val="00314B0A"/>
    <w:rsid w:val="00314D6D"/>
    <w:rsid w:val="00315887"/>
    <w:rsid w:val="00316BF6"/>
    <w:rsid w:val="0032126D"/>
    <w:rsid w:val="003228CC"/>
    <w:rsid w:val="00324B10"/>
    <w:rsid w:val="00330622"/>
    <w:rsid w:val="00331450"/>
    <w:rsid w:val="00331799"/>
    <w:rsid w:val="0033270D"/>
    <w:rsid w:val="003342C3"/>
    <w:rsid w:val="00334FE4"/>
    <w:rsid w:val="00335542"/>
    <w:rsid w:val="0033656C"/>
    <w:rsid w:val="00336A7C"/>
    <w:rsid w:val="00336B3D"/>
    <w:rsid w:val="0033724C"/>
    <w:rsid w:val="0033775D"/>
    <w:rsid w:val="00337E64"/>
    <w:rsid w:val="00345B1E"/>
    <w:rsid w:val="003465DC"/>
    <w:rsid w:val="0034682C"/>
    <w:rsid w:val="00347171"/>
    <w:rsid w:val="00347777"/>
    <w:rsid w:val="00347A87"/>
    <w:rsid w:val="003505EF"/>
    <w:rsid w:val="00350C9A"/>
    <w:rsid w:val="00351BA5"/>
    <w:rsid w:val="00351BEA"/>
    <w:rsid w:val="003533C7"/>
    <w:rsid w:val="0035473E"/>
    <w:rsid w:val="00354C2B"/>
    <w:rsid w:val="00356D48"/>
    <w:rsid w:val="0035799E"/>
    <w:rsid w:val="003579DD"/>
    <w:rsid w:val="00361B09"/>
    <w:rsid w:val="003628C9"/>
    <w:rsid w:val="003635EE"/>
    <w:rsid w:val="00363F78"/>
    <w:rsid w:val="00364F19"/>
    <w:rsid w:val="00365088"/>
    <w:rsid w:val="003662C0"/>
    <w:rsid w:val="003664B2"/>
    <w:rsid w:val="003670A3"/>
    <w:rsid w:val="00367757"/>
    <w:rsid w:val="00370ADD"/>
    <w:rsid w:val="00371787"/>
    <w:rsid w:val="0037310D"/>
    <w:rsid w:val="0037407E"/>
    <w:rsid w:val="00375033"/>
    <w:rsid w:val="00375447"/>
    <w:rsid w:val="00375616"/>
    <w:rsid w:val="0037610F"/>
    <w:rsid w:val="00376C2D"/>
    <w:rsid w:val="00377D04"/>
    <w:rsid w:val="003820D2"/>
    <w:rsid w:val="00382EFE"/>
    <w:rsid w:val="003846AD"/>
    <w:rsid w:val="00386A96"/>
    <w:rsid w:val="0039081E"/>
    <w:rsid w:val="003916A6"/>
    <w:rsid w:val="003928B3"/>
    <w:rsid w:val="003941CE"/>
    <w:rsid w:val="003947E6"/>
    <w:rsid w:val="003949CB"/>
    <w:rsid w:val="003A058C"/>
    <w:rsid w:val="003A12A6"/>
    <w:rsid w:val="003A1A8D"/>
    <w:rsid w:val="003A2F18"/>
    <w:rsid w:val="003A31DA"/>
    <w:rsid w:val="003A5018"/>
    <w:rsid w:val="003A51CB"/>
    <w:rsid w:val="003A538E"/>
    <w:rsid w:val="003A554A"/>
    <w:rsid w:val="003A5C4C"/>
    <w:rsid w:val="003A6167"/>
    <w:rsid w:val="003A61F0"/>
    <w:rsid w:val="003A6CD6"/>
    <w:rsid w:val="003B1C7F"/>
    <w:rsid w:val="003B286F"/>
    <w:rsid w:val="003B39DB"/>
    <w:rsid w:val="003B499E"/>
    <w:rsid w:val="003B537A"/>
    <w:rsid w:val="003B670C"/>
    <w:rsid w:val="003B6B53"/>
    <w:rsid w:val="003C07EB"/>
    <w:rsid w:val="003C0FB3"/>
    <w:rsid w:val="003C1260"/>
    <w:rsid w:val="003C169E"/>
    <w:rsid w:val="003C1924"/>
    <w:rsid w:val="003C1AA0"/>
    <w:rsid w:val="003C25BE"/>
    <w:rsid w:val="003C2CD7"/>
    <w:rsid w:val="003C31AC"/>
    <w:rsid w:val="003C43F9"/>
    <w:rsid w:val="003C4C52"/>
    <w:rsid w:val="003C673E"/>
    <w:rsid w:val="003C7494"/>
    <w:rsid w:val="003D17C9"/>
    <w:rsid w:val="003D20E6"/>
    <w:rsid w:val="003D2396"/>
    <w:rsid w:val="003D3EF9"/>
    <w:rsid w:val="003D47EE"/>
    <w:rsid w:val="003D59CB"/>
    <w:rsid w:val="003D71AC"/>
    <w:rsid w:val="003D79E4"/>
    <w:rsid w:val="003E028A"/>
    <w:rsid w:val="003E0449"/>
    <w:rsid w:val="003E0D40"/>
    <w:rsid w:val="003E19C6"/>
    <w:rsid w:val="003E3062"/>
    <w:rsid w:val="003E3D87"/>
    <w:rsid w:val="003E47CF"/>
    <w:rsid w:val="003E53DF"/>
    <w:rsid w:val="003E5C5E"/>
    <w:rsid w:val="003E68C3"/>
    <w:rsid w:val="003F02CF"/>
    <w:rsid w:val="003F1252"/>
    <w:rsid w:val="003F14DB"/>
    <w:rsid w:val="003F188B"/>
    <w:rsid w:val="003F1DE1"/>
    <w:rsid w:val="003F2AD9"/>
    <w:rsid w:val="003F2BA6"/>
    <w:rsid w:val="003F314F"/>
    <w:rsid w:val="003F331D"/>
    <w:rsid w:val="003F4B17"/>
    <w:rsid w:val="003F5257"/>
    <w:rsid w:val="003F5D6B"/>
    <w:rsid w:val="003F6C4F"/>
    <w:rsid w:val="00406F44"/>
    <w:rsid w:val="00407184"/>
    <w:rsid w:val="00407AC3"/>
    <w:rsid w:val="00411AC4"/>
    <w:rsid w:val="004136C4"/>
    <w:rsid w:val="00414D9C"/>
    <w:rsid w:val="00415311"/>
    <w:rsid w:val="00415ADD"/>
    <w:rsid w:val="00416123"/>
    <w:rsid w:val="0041650D"/>
    <w:rsid w:val="004165CD"/>
    <w:rsid w:val="00416C2B"/>
    <w:rsid w:val="00423741"/>
    <w:rsid w:val="00423D02"/>
    <w:rsid w:val="00424ADA"/>
    <w:rsid w:val="004253F8"/>
    <w:rsid w:val="00432B5E"/>
    <w:rsid w:val="00432E9C"/>
    <w:rsid w:val="00434369"/>
    <w:rsid w:val="00434940"/>
    <w:rsid w:val="004355C7"/>
    <w:rsid w:val="00435CED"/>
    <w:rsid w:val="0044123B"/>
    <w:rsid w:val="00441F15"/>
    <w:rsid w:val="00442673"/>
    <w:rsid w:val="004426B9"/>
    <w:rsid w:val="00443504"/>
    <w:rsid w:val="00445A00"/>
    <w:rsid w:val="00445E1B"/>
    <w:rsid w:val="004460C5"/>
    <w:rsid w:val="00446C20"/>
    <w:rsid w:val="00450C55"/>
    <w:rsid w:val="00451327"/>
    <w:rsid w:val="0045287A"/>
    <w:rsid w:val="00455916"/>
    <w:rsid w:val="00456343"/>
    <w:rsid w:val="00457A2F"/>
    <w:rsid w:val="00460D55"/>
    <w:rsid w:val="00461C77"/>
    <w:rsid w:val="00463BD8"/>
    <w:rsid w:val="0046463E"/>
    <w:rsid w:val="00464655"/>
    <w:rsid w:val="004708AB"/>
    <w:rsid w:val="004714C8"/>
    <w:rsid w:val="00471A0E"/>
    <w:rsid w:val="00471D54"/>
    <w:rsid w:val="0047348F"/>
    <w:rsid w:val="00477102"/>
    <w:rsid w:val="00477FF3"/>
    <w:rsid w:val="00481289"/>
    <w:rsid w:val="00481E79"/>
    <w:rsid w:val="00483275"/>
    <w:rsid w:val="00484B66"/>
    <w:rsid w:val="0049066A"/>
    <w:rsid w:val="00491A3C"/>
    <w:rsid w:val="00491BF5"/>
    <w:rsid w:val="004925BE"/>
    <w:rsid w:val="00493CF0"/>
    <w:rsid w:val="00494CD6"/>
    <w:rsid w:val="004A03FF"/>
    <w:rsid w:val="004A220A"/>
    <w:rsid w:val="004A2968"/>
    <w:rsid w:val="004A2DCF"/>
    <w:rsid w:val="004A553A"/>
    <w:rsid w:val="004A5FC4"/>
    <w:rsid w:val="004B28C2"/>
    <w:rsid w:val="004B4EAE"/>
    <w:rsid w:val="004B66ED"/>
    <w:rsid w:val="004B7159"/>
    <w:rsid w:val="004B79A3"/>
    <w:rsid w:val="004B7E89"/>
    <w:rsid w:val="004C0964"/>
    <w:rsid w:val="004C4597"/>
    <w:rsid w:val="004C64B2"/>
    <w:rsid w:val="004C6D69"/>
    <w:rsid w:val="004C754A"/>
    <w:rsid w:val="004C7F52"/>
    <w:rsid w:val="004D0611"/>
    <w:rsid w:val="004D1835"/>
    <w:rsid w:val="004D2962"/>
    <w:rsid w:val="004D4681"/>
    <w:rsid w:val="004D5620"/>
    <w:rsid w:val="004D59DA"/>
    <w:rsid w:val="004D7618"/>
    <w:rsid w:val="004D7ADC"/>
    <w:rsid w:val="004E071F"/>
    <w:rsid w:val="004E0897"/>
    <w:rsid w:val="004E121F"/>
    <w:rsid w:val="004E220B"/>
    <w:rsid w:val="004E2F8E"/>
    <w:rsid w:val="004E3FA1"/>
    <w:rsid w:val="004E437E"/>
    <w:rsid w:val="004E5079"/>
    <w:rsid w:val="004E6094"/>
    <w:rsid w:val="004F085B"/>
    <w:rsid w:val="004F1128"/>
    <w:rsid w:val="004F123A"/>
    <w:rsid w:val="004F1E4E"/>
    <w:rsid w:val="004F25E0"/>
    <w:rsid w:val="004F2F26"/>
    <w:rsid w:val="004F3128"/>
    <w:rsid w:val="004F5A7C"/>
    <w:rsid w:val="004F6B69"/>
    <w:rsid w:val="004F6BF5"/>
    <w:rsid w:val="004F753D"/>
    <w:rsid w:val="00500710"/>
    <w:rsid w:val="00501059"/>
    <w:rsid w:val="005037D4"/>
    <w:rsid w:val="00506A19"/>
    <w:rsid w:val="00506B48"/>
    <w:rsid w:val="0050754D"/>
    <w:rsid w:val="0050786E"/>
    <w:rsid w:val="00507C3B"/>
    <w:rsid w:val="00507CC7"/>
    <w:rsid w:val="00510194"/>
    <w:rsid w:val="005106B6"/>
    <w:rsid w:val="00510C8D"/>
    <w:rsid w:val="00513A95"/>
    <w:rsid w:val="0051418B"/>
    <w:rsid w:val="00515029"/>
    <w:rsid w:val="005169DF"/>
    <w:rsid w:val="00516CB0"/>
    <w:rsid w:val="00517674"/>
    <w:rsid w:val="005203DC"/>
    <w:rsid w:val="00520C63"/>
    <w:rsid w:val="00521F17"/>
    <w:rsid w:val="00522317"/>
    <w:rsid w:val="00524253"/>
    <w:rsid w:val="0052488B"/>
    <w:rsid w:val="005256AA"/>
    <w:rsid w:val="00526B4B"/>
    <w:rsid w:val="00526F42"/>
    <w:rsid w:val="00530884"/>
    <w:rsid w:val="00530B39"/>
    <w:rsid w:val="00532115"/>
    <w:rsid w:val="0053395E"/>
    <w:rsid w:val="005343AF"/>
    <w:rsid w:val="0053666B"/>
    <w:rsid w:val="005402E3"/>
    <w:rsid w:val="00540D34"/>
    <w:rsid w:val="00541042"/>
    <w:rsid w:val="0054191B"/>
    <w:rsid w:val="005420BC"/>
    <w:rsid w:val="00542643"/>
    <w:rsid w:val="00543871"/>
    <w:rsid w:val="005453BE"/>
    <w:rsid w:val="00545F02"/>
    <w:rsid w:val="005465A9"/>
    <w:rsid w:val="00547D8B"/>
    <w:rsid w:val="005523CF"/>
    <w:rsid w:val="0055259D"/>
    <w:rsid w:val="00553140"/>
    <w:rsid w:val="00553509"/>
    <w:rsid w:val="00554469"/>
    <w:rsid w:val="005553B2"/>
    <w:rsid w:val="00555E90"/>
    <w:rsid w:val="005562B0"/>
    <w:rsid w:val="00556874"/>
    <w:rsid w:val="00557C5E"/>
    <w:rsid w:val="0056084B"/>
    <w:rsid w:val="005625FF"/>
    <w:rsid w:val="0056417A"/>
    <w:rsid w:val="005643FC"/>
    <w:rsid w:val="00564677"/>
    <w:rsid w:val="0056472B"/>
    <w:rsid w:val="00565A45"/>
    <w:rsid w:val="00565E67"/>
    <w:rsid w:val="0056734C"/>
    <w:rsid w:val="00570555"/>
    <w:rsid w:val="005720FB"/>
    <w:rsid w:val="00572D7C"/>
    <w:rsid w:val="005754DC"/>
    <w:rsid w:val="00575BB3"/>
    <w:rsid w:val="00575D90"/>
    <w:rsid w:val="0057647F"/>
    <w:rsid w:val="0058132D"/>
    <w:rsid w:val="0058169E"/>
    <w:rsid w:val="00581DC7"/>
    <w:rsid w:val="005829CD"/>
    <w:rsid w:val="00582B2E"/>
    <w:rsid w:val="00583A83"/>
    <w:rsid w:val="005849A2"/>
    <w:rsid w:val="00584E33"/>
    <w:rsid w:val="00585DE9"/>
    <w:rsid w:val="00586018"/>
    <w:rsid w:val="005874A4"/>
    <w:rsid w:val="005875E4"/>
    <w:rsid w:val="00587758"/>
    <w:rsid w:val="00590A1B"/>
    <w:rsid w:val="005929F8"/>
    <w:rsid w:val="00592EA5"/>
    <w:rsid w:val="00592F4C"/>
    <w:rsid w:val="00593264"/>
    <w:rsid w:val="005932EE"/>
    <w:rsid w:val="00594E76"/>
    <w:rsid w:val="005978A2"/>
    <w:rsid w:val="005A0274"/>
    <w:rsid w:val="005A0D1B"/>
    <w:rsid w:val="005A1459"/>
    <w:rsid w:val="005A3016"/>
    <w:rsid w:val="005A3276"/>
    <w:rsid w:val="005A3EC2"/>
    <w:rsid w:val="005A416B"/>
    <w:rsid w:val="005A6B78"/>
    <w:rsid w:val="005B17BC"/>
    <w:rsid w:val="005B2F7A"/>
    <w:rsid w:val="005B332A"/>
    <w:rsid w:val="005B336D"/>
    <w:rsid w:val="005B3E14"/>
    <w:rsid w:val="005B5528"/>
    <w:rsid w:val="005B7FC0"/>
    <w:rsid w:val="005C4597"/>
    <w:rsid w:val="005C7B54"/>
    <w:rsid w:val="005C7D4E"/>
    <w:rsid w:val="005D082E"/>
    <w:rsid w:val="005D31F5"/>
    <w:rsid w:val="005D32D5"/>
    <w:rsid w:val="005D4177"/>
    <w:rsid w:val="005D45A5"/>
    <w:rsid w:val="005D720A"/>
    <w:rsid w:val="005D7267"/>
    <w:rsid w:val="005D7DAF"/>
    <w:rsid w:val="005E1FC9"/>
    <w:rsid w:val="005E3D42"/>
    <w:rsid w:val="005E6907"/>
    <w:rsid w:val="005E728B"/>
    <w:rsid w:val="005E791D"/>
    <w:rsid w:val="005F03C3"/>
    <w:rsid w:val="005F42FF"/>
    <w:rsid w:val="005F45A8"/>
    <w:rsid w:val="005F4DA7"/>
    <w:rsid w:val="00600BCA"/>
    <w:rsid w:val="0060134A"/>
    <w:rsid w:val="006016B1"/>
    <w:rsid w:val="00601E70"/>
    <w:rsid w:val="00601FF0"/>
    <w:rsid w:val="006049D3"/>
    <w:rsid w:val="00605753"/>
    <w:rsid w:val="00606423"/>
    <w:rsid w:val="00606973"/>
    <w:rsid w:val="0061279E"/>
    <w:rsid w:val="0061324C"/>
    <w:rsid w:val="00614760"/>
    <w:rsid w:val="00620F0C"/>
    <w:rsid w:val="006214BB"/>
    <w:rsid w:val="00621590"/>
    <w:rsid w:val="006222BF"/>
    <w:rsid w:val="00622AC4"/>
    <w:rsid w:val="00624D9F"/>
    <w:rsid w:val="00625934"/>
    <w:rsid w:val="00627C6F"/>
    <w:rsid w:val="0063155E"/>
    <w:rsid w:val="006319D3"/>
    <w:rsid w:val="00632576"/>
    <w:rsid w:val="00633976"/>
    <w:rsid w:val="00633D93"/>
    <w:rsid w:val="00634C20"/>
    <w:rsid w:val="00634F34"/>
    <w:rsid w:val="00636B61"/>
    <w:rsid w:val="0063722B"/>
    <w:rsid w:val="00637806"/>
    <w:rsid w:val="00640541"/>
    <w:rsid w:val="0064330E"/>
    <w:rsid w:val="0064459C"/>
    <w:rsid w:val="0064574B"/>
    <w:rsid w:val="0064574C"/>
    <w:rsid w:val="006457CA"/>
    <w:rsid w:val="0064599D"/>
    <w:rsid w:val="00646610"/>
    <w:rsid w:val="0065087E"/>
    <w:rsid w:val="0065277F"/>
    <w:rsid w:val="00652F57"/>
    <w:rsid w:val="0065300D"/>
    <w:rsid w:val="00653B28"/>
    <w:rsid w:val="00654572"/>
    <w:rsid w:val="00655293"/>
    <w:rsid w:val="00656184"/>
    <w:rsid w:val="00656239"/>
    <w:rsid w:val="00656409"/>
    <w:rsid w:val="006576A6"/>
    <w:rsid w:val="006604C5"/>
    <w:rsid w:val="00660B3B"/>
    <w:rsid w:val="006614DE"/>
    <w:rsid w:val="00661C75"/>
    <w:rsid w:val="0066238F"/>
    <w:rsid w:val="006631AE"/>
    <w:rsid w:val="006636BC"/>
    <w:rsid w:val="00664E95"/>
    <w:rsid w:val="00665F58"/>
    <w:rsid w:val="00665FBD"/>
    <w:rsid w:val="006660C0"/>
    <w:rsid w:val="006668BB"/>
    <w:rsid w:val="00667F1B"/>
    <w:rsid w:val="006725A3"/>
    <w:rsid w:val="00675773"/>
    <w:rsid w:val="0067657C"/>
    <w:rsid w:val="00677F9B"/>
    <w:rsid w:val="006801C0"/>
    <w:rsid w:val="00680634"/>
    <w:rsid w:val="00680F23"/>
    <w:rsid w:val="0068114D"/>
    <w:rsid w:val="006820E6"/>
    <w:rsid w:val="006821DE"/>
    <w:rsid w:val="00684F1E"/>
    <w:rsid w:val="006875DF"/>
    <w:rsid w:val="00690C2E"/>
    <w:rsid w:val="00690F84"/>
    <w:rsid w:val="00691A23"/>
    <w:rsid w:val="00692374"/>
    <w:rsid w:val="00693F04"/>
    <w:rsid w:val="00694F2F"/>
    <w:rsid w:val="006956EB"/>
    <w:rsid w:val="0069596A"/>
    <w:rsid w:val="00696A1F"/>
    <w:rsid w:val="006A13E2"/>
    <w:rsid w:val="006A57A9"/>
    <w:rsid w:val="006A5A9E"/>
    <w:rsid w:val="006A616E"/>
    <w:rsid w:val="006A7C31"/>
    <w:rsid w:val="006B0200"/>
    <w:rsid w:val="006B1C0D"/>
    <w:rsid w:val="006B46C8"/>
    <w:rsid w:val="006B4B82"/>
    <w:rsid w:val="006B600F"/>
    <w:rsid w:val="006B6ADE"/>
    <w:rsid w:val="006B70FD"/>
    <w:rsid w:val="006C29CA"/>
    <w:rsid w:val="006C3904"/>
    <w:rsid w:val="006C50BD"/>
    <w:rsid w:val="006C67F6"/>
    <w:rsid w:val="006C7B9A"/>
    <w:rsid w:val="006C7C31"/>
    <w:rsid w:val="006D0CA3"/>
    <w:rsid w:val="006D135A"/>
    <w:rsid w:val="006D2F99"/>
    <w:rsid w:val="006D3001"/>
    <w:rsid w:val="006D3163"/>
    <w:rsid w:val="006D344B"/>
    <w:rsid w:val="006D3AFF"/>
    <w:rsid w:val="006D604E"/>
    <w:rsid w:val="006D6B0B"/>
    <w:rsid w:val="006D7D5D"/>
    <w:rsid w:val="006E0C94"/>
    <w:rsid w:val="006E11F9"/>
    <w:rsid w:val="006E15E5"/>
    <w:rsid w:val="006E2022"/>
    <w:rsid w:val="006E2386"/>
    <w:rsid w:val="006E32B7"/>
    <w:rsid w:val="006E3C4F"/>
    <w:rsid w:val="006F0C65"/>
    <w:rsid w:val="006F109A"/>
    <w:rsid w:val="006F12C7"/>
    <w:rsid w:val="006F2988"/>
    <w:rsid w:val="006F31A9"/>
    <w:rsid w:val="006F36B0"/>
    <w:rsid w:val="006F4A62"/>
    <w:rsid w:val="006F5E96"/>
    <w:rsid w:val="00701739"/>
    <w:rsid w:val="00701790"/>
    <w:rsid w:val="00701955"/>
    <w:rsid w:val="00701CC4"/>
    <w:rsid w:val="00702313"/>
    <w:rsid w:val="00703A5E"/>
    <w:rsid w:val="007048CF"/>
    <w:rsid w:val="00704901"/>
    <w:rsid w:val="007064BB"/>
    <w:rsid w:val="00710B82"/>
    <w:rsid w:val="0071123C"/>
    <w:rsid w:val="007124FB"/>
    <w:rsid w:val="00712551"/>
    <w:rsid w:val="00713FFE"/>
    <w:rsid w:val="00715BC3"/>
    <w:rsid w:val="00716C2C"/>
    <w:rsid w:val="00717093"/>
    <w:rsid w:val="00720329"/>
    <w:rsid w:val="00721478"/>
    <w:rsid w:val="00721742"/>
    <w:rsid w:val="00724B7A"/>
    <w:rsid w:val="00724DAB"/>
    <w:rsid w:val="007255DC"/>
    <w:rsid w:val="007259DA"/>
    <w:rsid w:val="00726721"/>
    <w:rsid w:val="007277D2"/>
    <w:rsid w:val="00727EF1"/>
    <w:rsid w:val="00730189"/>
    <w:rsid w:val="007302FC"/>
    <w:rsid w:val="0073501C"/>
    <w:rsid w:val="0073595D"/>
    <w:rsid w:val="0073613F"/>
    <w:rsid w:val="007366AF"/>
    <w:rsid w:val="00736918"/>
    <w:rsid w:val="007371BE"/>
    <w:rsid w:val="00740176"/>
    <w:rsid w:val="00740806"/>
    <w:rsid w:val="007434A8"/>
    <w:rsid w:val="007447BE"/>
    <w:rsid w:val="007450D3"/>
    <w:rsid w:val="00746421"/>
    <w:rsid w:val="00746AAE"/>
    <w:rsid w:val="0074786E"/>
    <w:rsid w:val="00751505"/>
    <w:rsid w:val="00751DB8"/>
    <w:rsid w:val="007525DD"/>
    <w:rsid w:val="0075505E"/>
    <w:rsid w:val="0075519D"/>
    <w:rsid w:val="00756A9C"/>
    <w:rsid w:val="007624C7"/>
    <w:rsid w:val="00762952"/>
    <w:rsid w:val="00763A69"/>
    <w:rsid w:val="007658D4"/>
    <w:rsid w:val="00766577"/>
    <w:rsid w:val="00766AA2"/>
    <w:rsid w:val="00767DAA"/>
    <w:rsid w:val="007709A5"/>
    <w:rsid w:val="00770E96"/>
    <w:rsid w:val="007734A8"/>
    <w:rsid w:val="0077496F"/>
    <w:rsid w:val="00774A0D"/>
    <w:rsid w:val="00774B0D"/>
    <w:rsid w:val="0077541C"/>
    <w:rsid w:val="0077700E"/>
    <w:rsid w:val="007776B5"/>
    <w:rsid w:val="007778EF"/>
    <w:rsid w:val="0078110D"/>
    <w:rsid w:val="007817EF"/>
    <w:rsid w:val="00781C3C"/>
    <w:rsid w:val="00782539"/>
    <w:rsid w:val="00782827"/>
    <w:rsid w:val="00782EEE"/>
    <w:rsid w:val="00785572"/>
    <w:rsid w:val="00790BD8"/>
    <w:rsid w:val="00790E55"/>
    <w:rsid w:val="007943B3"/>
    <w:rsid w:val="00794C53"/>
    <w:rsid w:val="00795ABA"/>
    <w:rsid w:val="00795C38"/>
    <w:rsid w:val="00797BBA"/>
    <w:rsid w:val="007A013A"/>
    <w:rsid w:val="007A07E5"/>
    <w:rsid w:val="007A0D77"/>
    <w:rsid w:val="007A18D1"/>
    <w:rsid w:val="007A2428"/>
    <w:rsid w:val="007A25AF"/>
    <w:rsid w:val="007A2CEB"/>
    <w:rsid w:val="007A3ED7"/>
    <w:rsid w:val="007A4A5D"/>
    <w:rsid w:val="007A5780"/>
    <w:rsid w:val="007A5885"/>
    <w:rsid w:val="007A66DB"/>
    <w:rsid w:val="007A7BFF"/>
    <w:rsid w:val="007A7EB3"/>
    <w:rsid w:val="007B0759"/>
    <w:rsid w:val="007B2100"/>
    <w:rsid w:val="007B29DC"/>
    <w:rsid w:val="007B5BA7"/>
    <w:rsid w:val="007B5E2D"/>
    <w:rsid w:val="007B62B7"/>
    <w:rsid w:val="007B6C66"/>
    <w:rsid w:val="007C06B3"/>
    <w:rsid w:val="007C1409"/>
    <w:rsid w:val="007C16C6"/>
    <w:rsid w:val="007C20A6"/>
    <w:rsid w:val="007C33BF"/>
    <w:rsid w:val="007C4020"/>
    <w:rsid w:val="007C51BF"/>
    <w:rsid w:val="007C5588"/>
    <w:rsid w:val="007C5652"/>
    <w:rsid w:val="007C59EC"/>
    <w:rsid w:val="007C682E"/>
    <w:rsid w:val="007D1C07"/>
    <w:rsid w:val="007D2D2D"/>
    <w:rsid w:val="007D2D65"/>
    <w:rsid w:val="007D31FB"/>
    <w:rsid w:val="007D3DDF"/>
    <w:rsid w:val="007D4A97"/>
    <w:rsid w:val="007D61E1"/>
    <w:rsid w:val="007D66A1"/>
    <w:rsid w:val="007D7DAB"/>
    <w:rsid w:val="007E0E34"/>
    <w:rsid w:val="007E115C"/>
    <w:rsid w:val="007E1264"/>
    <w:rsid w:val="007E16F1"/>
    <w:rsid w:val="007E36CB"/>
    <w:rsid w:val="007E3FC8"/>
    <w:rsid w:val="007E4830"/>
    <w:rsid w:val="007F0CD2"/>
    <w:rsid w:val="007F1438"/>
    <w:rsid w:val="007F2172"/>
    <w:rsid w:val="007F3094"/>
    <w:rsid w:val="007F3384"/>
    <w:rsid w:val="007F414D"/>
    <w:rsid w:val="007F460A"/>
    <w:rsid w:val="007F5020"/>
    <w:rsid w:val="007F5FDD"/>
    <w:rsid w:val="007F6FD9"/>
    <w:rsid w:val="007F782C"/>
    <w:rsid w:val="008027E9"/>
    <w:rsid w:val="00802E4A"/>
    <w:rsid w:val="008030A9"/>
    <w:rsid w:val="008041C1"/>
    <w:rsid w:val="0080487E"/>
    <w:rsid w:val="00805EFA"/>
    <w:rsid w:val="0080781C"/>
    <w:rsid w:val="008101BD"/>
    <w:rsid w:val="00811328"/>
    <w:rsid w:val="008121B4"/>
    <w:rsid w:val="0081244B"/>
    <w:rsid w:val="00814128"/>
    <w:rsid w:val="00814E8A"/>
    <w:rsid w:val="00815F66"/>
    <w:rsid w:val="00816190"/>
    <w:rsid w:val="00816C87"/>
    <w:rsid w:val="00817835"/>
    <w:rsid w:val="00820AB1"/>
    <w:rsid w:val="008221F2"/>
    <w:rsid w:val="00823C96"/>
    <w:rsid w:val="00824607"/>
    <w:rsid w:val="008268AA"/>
    <w:rsid w:val="00830807"/>
    <w:rsid w:val="00830E53"/>
    <w:rsid w:val="008313B3"/>
    <w:rsid w:val="008325C2"/>
    <w:rsid w:val="008344DE"/>
    <w:rsid w:val="00837194"/>
    <w:rsid w:val="00837680"/>
    <w:rsid w:val="00840076"/>
    <w:rsid w:val="00841F69"/>
    <w:rsid w:val="0084381B"/>
    <w:rsid w:val="008439EB"/>
    <w:rsid w:val="008441CC"/>
    <w:rsid w:val="00844746"/>
    <w:rsid w:val="00850596"/>
    <w:rsid w:val="0085223B"/>
    <w:rsid w:val="008529A1"/>
    <w:rsid w:val="00854A1F"/>
    <w:rsid w:val="00855976"/>
    <w:rsid w:val="008566B9"/>
    <w:rsid w:val="00856AF5"/>
    <w:rsid w:val="00857336"/>
    <w:rsid w:val="00861A83"/>
    <w:rsid w:val="008635D7"/>
    <w:rsid w:val="00864A8E"/>
    <w:rsid w:val="00864CB7"/>
    <w:rsid w:val="0086701A"/>
    <w:rsid w:val="00870653"/>
    <w:rsid w:val="008706F5"/>
    <w:rsid w:val="00873D28"/>
    <w:rsid w:val="0087537B"/>
    <w:rsid w:val="00875513"/>
    <w:rsid w:val="00875B2B"/>
    <w:rsid w:val="00875EA3"/>
    <w:rsid w:val="00876EF6"/>
    <w:rsid w:val="00877495"/>
    <w:rsid w:val="00887425"/>
    <w:rsid w:val="008874E7"/>
    <w:rsid w:val="008900D8"/>
    <w:rsid w:val="00891398"/>
    <w:rsid w:val="008913A4"/>
    <w:rsid w:val="008916CC"/>
    <w:rsid w:val="00891736"/>
    <w:rsid w:val="00893A7C"/>
    <w:rsid w:val="00895DF5"/>
    <w:rsid w:val="0089627D"/>
    <w:rsid w:val="00896949"/>
    <w:rsid w:val="00897564"/>
    <w:rsid w:val="008A3920"/>
    <w:rsid w:val="008A3FBD"/>
    <w:rsid w:val="008A4283"/>
    <w:rsid w:val="008A502B"/>
    <w:rsid w:val="008A5775"/>
    <w:rsid w:val="008A6429"/>
    <w:rsid w:val="008A78EF"/>
    <w:rsid w:val="008B0718"/>
    <w:rsid w:val="008B32EC"/>
    <w:rsid w:val="008B32ED"/>
    <w:rsid w:val="008B657A"/>
    <w:rsid w:val="008B6661"/>
    <w:rsid w:val="008B67A0"/>
    <w:rsid w:val="008B6EDF"/>
    <w:rsid w:val="008B742E"/>
    <w:rsid w:val="008C22F9"/>
    <w:rsid w:val="008C24CD"/>
    <w:rsid w:val="008C2A7E"/>
    <w:rsid w:val="008C35D7"/>
    <w:rsid w:val="008C3657"/>
    <w:rsid w:val="008C5A7B"/>
    <w:rsid w:val="008C63E3"/>
    <w:rsid w:val="008D04D3"/>
    <w:rsid w:val="008D0648"/>
    <w:rsid w:val="008D331C"/>
    <w:rsid w:val="008D53F8"/>
    <w:rsid w:val="008D56D5"/>
    <w:rsid w:val="008D5C56"/>
    <w:rsid w:val="008D6A7C"/>
    <w:rsid w:val="008D74F6"/>
    <w:rsid w:val="008E0720"/>
    <w:rsid w:val="008E125F"/>
    <w:rsid w:val="008E219C"/>
    <w:rsid w:val="008E42F2"/>
    <w:rsid w:val="008E5C6F"/>
    <w:rsid w:val="008E78FD"/>
    <w:rsid w:val="008E7B4D"/>
    <w:rsid w:val="008E7B9B"/>
    <w:rsid w:val="008F0E6C"/>
    <w:rsid w:val="008F2366"/>
    <w:rsid w:val="008F30EC"/>
    <w:rsid w:val="008F48EF"/>
    <w:rsid w:val="008F52B4"/>
    <w:rsid w:val="008F5686"/>
    <w:rsid w:val="008F70F4"/>
    <w:rsid w:val="008F7900"/>
    <w:rsid w:val="0090102B"/>
    <w:rsid w:val="0090185F"/>
    <w:rsid w:val="00902A0F"/>
    <w:rsid w:val="009035D9"/>
    <w:rsid w:val="0090404D"/>
    <w:rsid w:val="00905AD7"/>
    <w:rsid w:val="0090612C"/>
    <w:rsid w:val="009067D0"/>
    <w:rsid w:val="00906F5D"/>
    <w:rsid w:val="00907419"/>
    <w:rsid w:val="009075A0"/>
    <w:rsid w:val="00907E8F"/>
    <w:rsid w:val="00910166"/>
    <w:rsid w:val="00910C93"/>
    <w:rsid w:val="00910E6E"/>
    <w:rsid w:val="009130AA"/>
    <w:rsid w:val="0091327A"/>
    <w:rsid w:val="00913399"/>
    <w:rsid w:val="00913538"/>
    <w:rsid w:val="00913BAE"/>
    <w:rsid w:val="0091436B"/>
    <w:rsid w:val="00914BEC"/>
    <w:rsid w:val="009162E9"/>
    <w:rsid w:val="00921982"/>
    <w:rsid w:val="00921F91"/>
    <w:rsid w:val="00921FEA"/>
    <w:rsid w:val="00922166"/>
    <w:rsid w:val="0092459C"/>
    <w:rsid w:val="00926E47"/>
    <w:rsid w:val="00932572"/>
    <w:rsid w:val="00932A1D"/>
    <w:rsid w:val="00936D99"/>
    <w:rsid w:val="00940AD6"/>
    <w:rsid w:val="00940FC4"/>
    <w:rsid w:val="00942147"/>
    <w:rsid w:val="0094293A"/>
    <w:rsid w:val="00943788"/>
    <w:rsid w:val="00943A5B"/>
    <w:rsid w:val="009456EE"/>
    <w:rsid w:val="00946A9B"/>
    <w:rsid w:val="009479C1"/>
    <w:rsid w:val="00947B74"/>
    <w:rsid w:val="00947C85"/>
    <w:rsid w:val="00951327"/>
    <w:rsid w:val="009522A4"/>
    <w:rsid w:val="00953CB5"/>
    <w:rsid w:val="00955022"/>
    <w:rsid w:val="0095660B"/>
    <w:rsid w:val="009566A8"/>
    <w:rsid w:val="00960E12"/>
    <w:rsid w:val="00961099"/>
    <w:rsid w:val="00962743"/>
    <w:rsid w:val="00963611"/>
    <w:rsid w:val="00965BDC"/>
    <w:rsid w:val="00966AD0"/>
    <w:rsid w:val="00966AEC"/>
    <w:rsid w:val="00967CCB"/>
    <w:rsid w:val="00967D9D"/>
    <w:rsid w:val="00967F57"/>
    <w:rsid w:val="00970E03"/>
    <w:rsid w:val="00971AFC"/>
    <w:rsid w:val="00971BA9"/>
    <w:rsid w:val="00973C84"/>
    <w:rsid w:val="009767B3"/>
    <w:rsid w:val="00976985"/>
    <w:rsid w:val="0097720B"/>
    <w:rsid w:val="009800D8"/>
    <w:rsid w:val="009808E2"/>
    <w:rsid w:val="00980D40"/>
    <w:rsid w:val="00981D40"/>
    <w:rsid w:val="0098288B"/>
    <w:rsid w:val="0098444C"/>
    <w:rsid w:val="00985DB1"/>
    <w:rsid w:val="00986E44"/>
    <w:rsid w:val="0098754A"/>
    <w:rsid w:val="009877EF"/>
    <w:rsid w:val="00987E44"/>
    <w:rsid w:val="00992CDC"/>
    <w:rsid w:val="0099319F"/>
    <w:rsid w:val="009940A5"/>
    <w:rsid w:val="00994127"/>
    <w:rsid w:val="00994446"/>
    <w:rsid w:val="00995C99"/>
    <w:rsid w:val="00996267"/>
    <w:rsid w:val="00996689"/>
    <w:rsid w:val="0099674B"/>
    <w:rsid w:val="009A0C3B"/>
    <w:rsid w:val="009A23E1"/>
    <w:rsid w:val="009A2C55"/>
    <w:rsid w:val="009A4BAB"/>
    <w:rsid w:val="009B0183"/>
    <w:rsid w:val="009B0374"/>
    <w:rsid w:val="009B1984"/>
    <w:rsid w:val="009B1F10"/>
    <w:rsid w:val="009B2331"/>
    <w:rsid w:val="009B3775"/>
    <w:rsid w:val="009B3A45"/>
    <w:rsid w:val="009B3A92"/>
    <w:rsid w:val="009B3CDF"/>
    <w:rsid w:val="009B451B"/>
    <w:rsid w:val="009B4721"/>
    <w:rsid w:val="009B5540"/>
    <w:rsid w:val="009B578B"/>
    <w:rsid w:val="009B598E"/>
    <w:rsid w:val="009B7E2F"/>
    <w:rsid w:val="009B7EBB"/>
    <w:rsid w:val="009C1E9D"/>
    <w:rsid w:val="009C2670"/>
    <w:rsid w:val="009C352A"/>
    <w:rsid w:val="009C44AD"/>
    <w:rsid w:val="009C49FE"/>
    <w:rsid w:val="009C4DCD"/>
    <w:rsid w:val="009C53A0"/>
    <w:rsid w:val="009C586E"/>
    <w:rsid w:val="009C6006"/>
    <w:rsid w:val="009C60F9"/>
    <w:rsid w:val="009C73DF"/>
    <w:rsid w:val="009D0517"/>
    <w:rsid w:val="009D0B26"/>
    <w:rsid w:val="009D35EA"/>
    <w:rsid w:val="009D4639"/>
    <w:rsid w:val="009D479F"/>
    <w:rsid w:val="009D5448"/>
    <w:rsid w:val="009D562B"/>
    <w:rsid w:val="009D6B22"/>
    <w:rsid w:val="009D6CEA"/>
    <w:rsid w:val="009D7465"/>
    <w:rsid w:val="009D7CF1"/>
    <w:rsid w:val="009D7EB8"/>
    <w:rsid w:val="009E04E0"/>
    <w:rsid w:val="009E07C7"/>
    <w:rsid w:val="009E19C8"/>
    <w:rsid w:val="009E234D"/>
    <w:rsid w:val="009E2493"/>
    <w:rsid w:val="009E4BA6"/>
    <w:rsid w:val="009E6284"/>
    <w:rsid w:val="009E6D42"/>
    <w:rsid w:val="009E6F80"/>
    <w:rsid w:val="009E767D"/>
    <w:rsid w:val="009F0A7D"/>
    <w:rsid w:val="009F28E4"/>
    <w:rsid w:val="009F2B1A"/>
    <w:rsid w:val="009F4271"/>
    <w:rsid w:val="009F5057"/>
    <w:rsid w:val="009F60CE"/>
    <w:rsid w:val="009F6B3C"/>
    <w:rsid w:val="009F7815"/>
    <w:rsid w:val="009F7995"/>
    <w:rsid w:val="00A02752"/>
    <w:rsid w:val="00A02E4B"/>
    <w:rsid w:val="00A03DA1"/>
    <w:rsid w:val="00A0528A"/>
    <w:rsid w:val="00A06982"/>
    <w:rsid w:val="00A07B1C"/>
    <w:rsid w:val="00A10D79"/>
    <w:rsid w:val="00A13312"/>
    <w:rsid w:val="00A16F20"/>
    <w:rsid w:val="00A2082D"/>
    <w:rsid w:val="00A21F8A"/>
    <w:rsid w:val="00A238F6"/>
    <w:rsid w:val="00A23F75"/>
    <w:rsid w:val="00A2469B"/>
    <w:rsid w:val="00A246A7"/>
    <w:rsid w:val="00A273FA"/>
    <w:rsid w:val="00A30939"/>
    <w:rsid w:val="00A30E00"/>
    <w:rsid w:val="00A311CB"/>
    <w:rsid w:val="00A317EE"/>
    <w:rsid w:val="00A3187B"/>
    <w:rsid w:val="00A3212E"/>
    <w:rsid w:val="00A34B56"/>
    <w:rsid w:val="00A36080"/>
    <w:rsid w:val="00A40425"/>
    <w:rsid w:val="00A40994"/>
    <w:rsid w:val="00A410B0"/>
    <w:rsid w:val="00A411E4"/>
    <w:rsid w:val="00A4164C"/>
    <w:rsid w:val="00A432E6"/>
    <w:rsid w:val="00A4558C"/>
    <w:rsid w:val="00A4778E"/>
    <w:rsid w:val="00A51635"/>
    <w:rsid w:val="00A52BF2"/>
    <w:rsid w:val="00A52DCE"/>
    <w:rsid w:val="00A52E50"/>
    <w:rsid w:val="00A54DB1"/>
    <w:rsid w:val="00A559A2"/>
    <w:rsid w:val="00A630C9"/>
    <w:rsid w:val="00A6336B"/>
    <w:rsid w:val="00A64AC5"/>
    <w:rsid w:val="00A64D14"/>
    <w:rsid w:val="00A64E05"/>
    <w:rsid w:val="00A6695E"/>
    <w:rsid w:val="00A702DC"/>
    <w:rsid w:val="00A703B4"/>
    <w:rsid w:val="00A72CF4"/>
    <w:rsid w:val="00A76D97"/>
    <w:rsid w:val="00A7742E"/>
    <w:rsid w:val="00A8117A"/>
    <w:rsid w:val="00A82347"/>
    <w:rsid w:val="00A824DE"/>
    <w:rsid w:val="00A8293E"/>
    <w:rsid w:val="00A82DBD"/>
    <w:rsid w:val="00A8438B"/>
    <w:rsid w:val="00A84E66"/>
    <w:rsid w:val="00A90BCE"/>
    <w:rsid w:val="00A91095"/>
    <w:rsid w:val="00A92492"/>
    <w:rsid w:val="00A9480E"/>
    <w:rsid w:val="00A94AA3"/>
    <w:rsid w:val="00A94BD6"/>
    <w:rsid w:val="00A950B0"/>
    <w:rsid w:val="00A95326"/>
    <w:rsid w:val="00A9626D"/>
    <w:rsid w:val="00AA1818"/>
    <w:rsid w:val="00AA206A"/>
    <w:rsid w:val="00AA4ACA"/>
    <w:rsid w:val="00AA61C5"/>
    <w:rsid w:val="00AB0396"/>
    <w:rsid w:val="00AB10EF"/>
    <w:rsid w:val="00AB229C"/>
    <w:rsid w:val="00AB3A4A"/>
    <w:rsid w:val="00AC0078"/>
    <w:rsid w:val="00AC0C42"/>
    <w:rsid w:val="00AC172E"/>
    <w:rsid w:val="00AC35B6"/>
    <w:rsid w:val="00AC3648"/>
    <w:rsid w:val="00AC370C"/>
    <w:rsid w:val="00AC3CEE"/>
    <w:rsid w:val="00AC50D4"/>
    <w:rsid w:val="00AC6794"/>
    <w:rsid w:val="00AD04E6"/>
    <w:rsid w:val="00AD0972"/>
    <w:rsid w:val="00AD0DBE"/>
    <w:rsid w:val="00AD1617"/>
    <w:rsid w:val="00AD1A5D"/>
    <w:rsid w:val="00AD2286"/>
    <w:rsid w:val="00AD40BE"/>
    <w:rsid w:val="00AD4B99"/>
    <w:rsid w:val="00AD66F7"/>
    <w:rsid w:val="00AE0997"/>
    <w:rsid w:val="00AE0D3F"/>
    <w:rsid w:val="00AE18F9"/>
    <w:rsid w:val="00AE3A2F"/>
    <w:rsid w:val="00AE58E2"/>
    <w:rsid w:val="00AE66C3"/>
    <w:rsid w:val="00AE68CE"/>
    <w:rsid w:val="00AF08D9"/>
    <w:rsid w:val="00AF165F"/>
    <w:rsid w:val="00AF1DFA"/>
    <w:rsid w:val="00AF3F21"/>
    <w:rsid w:val="00AF63E8"/>
    <w:rsid w:val="00AF6ED0"/>
    <w:rsid w:val="00AF70E9"/>
    <w:rsid w:val="00B004DE"/>
    <w:rsid w:val="00B009D5"/>
    <w:rsid w:val="00B0497D"/>
    <w:rsid w:val="00B04D49"/>
    <w:rsid w:val="00B07880"/>
    <w:rsid w:val="00B07B15"/>
    <w:rsid w:val="00B10F98"/>
    <w:rsid w:val="00B1195B"/>
    <w:rsid w:val="00B11AB6"/>
    <w:rsid w:val="00B122D8"/>
    <w:rsid w:val="00B126AD"/>
    <w:rsid w:val="00B12F97"/>
    <w:rsid w:val="00B13272"/>
    <w:rsid w:val="00B13A75"/>
    <w:rsid w:val="00B13A9B"/>
    <w:rsid w:val="00B14078"/>
    <w:rsid w:val="00B14D3F"/>
    <w:rsid w:val="00B160C0"/>
    <w:rsid w:val="00B165AA"/>
    <w:rsid w:val="00B16C1D"/>
    <w:rsid w:val="00B172DE"/>
    <w:rsid w:val="00B248D9"/>
    <w:rsid w:val="00B24F60"/>
    <w:rsid w:val="00B250CB"/>
    <w:rsid w:val="00B259C1"/>
    <w:rsid w:val="00B270E9"/>
    <w:rsid w:val="00B271AC"/>
    <w:rsid w:val="00B30658"/>
    <w:rsid w:val="00B311C0"/>
    <w:rsid w:val="00B3269F"/>
    <w:rsid w:val="00B33B49"/>
    <w:rsid w:val="00B33B50"/>
    <w:rsid w:val="00B35585"/>
    <w:rsid w:val="00B36896"/>
    <w:rsid w:val="00B370F0"/>
    <w:rsid w:val="00B37951"/>
    <w:rsid w:val="00B40067"/>
    <w:rsid w:val="00B40992"/>
    <w:rsid w:val="00B4127C"/>
    <w:rsid w:val="00B4179C"/>
    <w:rsid w:val="00B438B2"/>
    <w:rsid w:val="00B4670B"/>
    <w:rsid w:val="00B50DE0"/>
    <w:rsid w:val="00B5151F"/>
    <w:rsid w:val="00B51FB3"/>
    <w:rsid w:val="00B5398D"/>
    <w:rsid w:val="00B551F8"/>
    <w:rsid w:val="00B56AE1"/>
    <w:rsid w:val="00B56F32"/>
    <w:rsid w:val="00B57D51"/>
    <w:rsid w:val="00B60519"/>
    <w:rsid w:val="00B60B23"/>
    <w:rsid w:val="00B61C24"/>
    <w:rsid w:val="00B63D9C"/>
    <w:rsid w:val="00B66224"/>
    <w:rsid w:val="00B6636F"/>
    <w:rsid w:val="00B669B1"/>
    <w:rsid w:val="00B71F03"/>
    <w:rsid w:val="00B730BC"/>
    <w:rsid w:val="00B73F80"/>
    <w:rsid w:val="00B74054"/>
    <w:rsid w:val="00B758B5"/>
    <w:rsid w:val="00B75B75"/>
    <w:rsid w:val="00B76CD8"/>
    <w:rsid w:val="00B773BF"/>
    <w:rsid w:val="00B775F1"/>
    <w:rsid w:val="00B81551"/>
    <w:rsid w:val="00B82DC7"/>
    <w:rsid w:val="00B82E91"/>
    <w:rsid w:val="00B83938"/>
    <w:rsid w:val="00B8495C"/>
    <w:rsid w:val="00B85AD3"/>
    <w:rsid w:val="00B85C46"/>
    <w:rsid w:val="00B86018"/>
    <w:rsid w:val="00B86880"/>
    <w:rsid w:val="00B86EE9"/>
    <w:rsid w:val="00B91321"/>
    <w:rsid w:val="00B91CA8"/>
    <w:rsid w:val="00B937D7"/>
    <w:rsid w:val="00B94B6C"/>
    <w:rsid w:val="00B95F9F"/>
    <w:rsid w:val="00B96590"/>
    <w:rsid w:val="00B96E22"/>
    <w:rsid w:val="00BA048E"/>
    <w:rsid w:val="00BA175F"/>
    <w:rsid w:val="00BA2C07"/>
    <w:rsid w:val="00BA3C94"/>
    <w:rsid w:val="00BA4FB0"/>
    <w:rsid w:val="00BA5309"/>
    <w:rsid w:val="00BA5B7F"/>
    <w:rsid w:val="00BA5CCE"/>
    <w:rsid w:val="00BB1371"/>
    <w:rsid w:val="00BB5908"/>
    <w:rsid w:val="00BB6168"/>
    <w:rsid w:val="00BB6990"/>
    <w:rsid w:val="00BC0235"/>
    <w:rsid w:val="00BC24E9"/>
    <w:rsid w:val="00BC2910"/>
    <w:rsid w:val="00BC2ACE"/>
    <w:rsid w:val="00BC33C1"/>
    <w:rsid w:val="00BC3861"/>
    <w:rsid w:val="00BC5513"/>
    <w:rsid w:val="00BC5AA4"/>
    <w:rsid w:val="00BC7D47"/>
    <w:rsid w:val="00BD1C4F"/>
    <w:rsid w:val="00BD248E"/>
    <w:rsid w:val="00BD5B05"/>
    <w:rsid w:val="00BD5FE1"/>
    <w:rsid w:val="00BD69C8"/>
    <w:rsid w:val="00BE0BCC"/>
    <w:rsid w:val="00BE0EA3"/>
    <w:rsid w:val="00BE1AA9"/>
    <w:rsid w:val="00BE1B78"/>
    <w:rsid w:val="00BE32DC"/>
    <w:rsid w:val="00BE3397"/>
    <w:rsid w:val="00BE363A"/>
    <w:rsid w:val="00BE3B6F"/>
    <w:rsid w:val="00BE6D03"/>
    <w:rsid w:val="00BF0835"/>
    <w:rsid w:val="00BF0D4E"/>
    <w:rsid w:val="00BF490A"/>
    <w:rsid w:val="00C01CC0"/>
    <w:rsid w:val="00C02C94"/>
    <w:rsid w:val="00C0328C"/>
    <w:rsid w:val="00C03FDB"/>
    <w:rsid w:val="00C04841"/>
    <w:rsid w:val="00C051C3"/>
    <w:rsid w:val="00C06273"/>
    <w:rsid w:val="00C0637D"/>
    <w:rsid w:val="00C11CC8"/>
    <w:rsid w:val="00C11E62"/>
    <w:rsid w:val="00C1366F"/>
    <w:rsid w:val="00C1413E"/>
    <w:rsid w:val="00C148D4"/>
    <w:rsid w:val="00C15FFC"/>
    <w:rsid w:val="00C16485"/>
    <w:rsid w:val="00C164DD"/>
    <w:rsid w:val="00C17B69"/>
    <w:rsid w:val="00C17EBA"/>
    <w:rsid w:val="00C201FD"/>
    <w:rsid w:val="00C21051"/>
    <w:rsid w:val="00C2202E"/>
    <w:rsid w:val="00C23861"/>
    <w:rsid w:val="00C2503C"/>
    <w:rsid w:val="00C25135"/>
    <w:rsid w:val="00C268C0"/>
    <w:rsid w:val="00C27B22"/>
    <w:rsid w:val="00C303FF"/>
    <w:rsid w:val="00C32392"/>
    <w:rsid w:val="00C40120"/>
    <w:rsid w:val="00C40937"/>
    <w:rsid w:val="00C4154A"/>
    <w:rsid w:val="00C42845"/>
    <w:rsid w:val="00C429B8"/>
    <w:rsid w:val="00C445CD"/>
    <w:rsid w:val="00C45259"/>
    <w:rsid w:val="00C46895"/>
    <w:rsid w:val="00C46B51"/>
    <w:rsid w:val="00C512CD"/>
    <w:rsid w:val="00C5183C"/>
    <w:rsid w:val="00C526F3"/>
    <w:rsid w:val="00C5508E"/>
    <w:rsid w:val="00C606C2"/>
    <w:rsid w:val="00C616CC"/>
    <w:rsid w:val="00C62C75"/>
    <w:rsid w:val="00C630D5"/>
    <w:rsid w:val="00C658A1"/>
    <w:rsid w:val="00C6707A"/>
    <w:rsid w:val="00C67A22"/>
    <w:rsid w:val="00C71900"/>
    <w:rsid w:val="00C737F8"/>
    <w:rsid w:val="00C752F1"/>
    <w:rsid w:val="00C77D28"/>
    <w:rsid w:val="00C83AB1"/>
    <w:rsid w:val="00C852DC"/>
    <w:rsid w:val="00C858C4"/>
    <w:rsid w:val="00C85B47"/>
    <w:rsid w:val="00C86615"/>
    <w:rsid w:val="00C86F86"/>
    <w:rsid w:val="00C90B18"/>
    <w:rsid w:val="00C920CF"/>
    <w:rsid w:val="00C9291E"/>
    <w:rsid w:val="00C9299D"/>
    <w:rsid w:val="00C93601"/>
    <w:rsid w:val="00C93755"/>
    <w:rsid w:val="00C93DD7"/>
    <w:rsid w:val="00C96EE3"/>
    <w:rsid w:val="00CA03B4"/>
    <w:rsid w:val="00CA2077"/>
    <w:rsid w:val="00CA21BC"/>
    <w:rsid w:val="00CA23B3"/>
    <w:rsid w:val="00CA245E"/>
    <w:rsid w:val="00CA251E"/>
    <w:rsid w:val="00CA3CD6"/>
    <w:rsid w:val="00CA6D93"/>
    <w:rsid w:val="00CA78F4"/>
    <w:rsid w:val="00CB1C94"/>
    <w:rsid w:val="00CB352B"/>
    <w:rsid w:val="00CB495E"/>
    <w:rsid w:val="00CC0E06"/>
    <w:rsid w:val="00CC0F31"/>
    <w:rsid w:val="00CC1BA3"/>
    <w:rsid w:val="00CC3292"/>
    <w:rsid w:val="00CC3936"/>
    <w:rsid w:val="00CC4590"/>
    <w:rsid w:val="00CC4851"/>
    <w:rsid w:val="00CC59CB"/>
    <w:rsid w:val="00CC6085"/>
    <w:rsid w:val="00CC73F6"/>
    <w:rsid w:val="00CC7577"/>
    <w:rsid w:val="00CD059B"/>
    <w:rsid w:val="00CD095C"/>
    <w:rsid w:val="00CD2ED5"/>
    <w:rsid w:val="00CD3E04"/>
    <w:rsid w:val="00CD45F6"/>
    <w:rsid w:val="00CD7B26"/>
    <w:rsid w:val="00CE03D8"/>
    <w:rsid w:val="00CE0550"/>
    <w:rsid w:val="00CE16CB"/>
    <w:rsid w:val="00CE29EA"/>
    <w:rsid w:val="00CE4931"/>
    <w:rsid w:val="00CE50E4"/>
    <w:rsid w:val="00CE54BE"/>
    <w:rsid w:val="00CE5736"/>
    <w:rsid w:val="00CE591B"/>
    <w:rsid w:val="00CE63C1"/>
    <w:rsid w:val="00CF1E2F"/>
    <w:rsid w:val="00CF27AF"/>
    <w:rsid w:val="00CF2BFD"/>
    <w:rsid w:val="00CF3125"/>
    <w:rsid w:val="00CF3395"/>
    <w:rsid w:val="00CF3605"/>
    <w:rsid w:val="00CF6C42"/>
    <w:rsid w:val="00CF6F60"/>
    <w:rsid w:val="00CF7471"/>
    <w:rsid w:val="00D0080F"/>
    <w:rsid w:val="00D021A4"/>
    <w:rsid w:val="00D02526"/>
    <w:rsid w:val="00D02D07"/>
    <w:rsid w:val="00D03631"/>
    <w:rsid w:val="00D03781"/>
    <w:rsid w:val="00D04C1D"/>
    <w:rsid w:val="00D04CA8"/>
    <w:rsid w:val="00D06D62"/>
    <w:rsid w:val="00D07E70"/>
    <w:rsid w:val="00D103FB"/>
    <w:rsid w:val="00D114B9"/>
    <w:rsid w:val="00D12607"/>
    <w:rsid w:val="00D12A7F"/>
    <w:rsid w:val="00D15196"/>
    <w:rsid w:val="00D15327"/>
    <w:rsid w:val="00D15B03"/>
    <w:rsid w:val="00D16B60"/>
    <w:rsid w:val="00D16F6A"/>
    <w:rsid w:val="00D17FEA"/>
    <w:rsid w:val="00D20752"/>
    <w:rsid w:val="00D2076A"/>
    <w:rsid w:val="00D20C42"/>
    <w:rsid w:val="00D21151"/>
    <w:rsid w:val="00D233A4"/>
    <w:rsid w:val="00D237FF"/>
    <w:rsid w:val="00D23B95"/>
    <w:rsid w:val="00D23E67"/>
    <w:rsid w:val="00D247BE"/>
    <w:rsid w:val="00D267C8"/>
    <w:rsid w:val="00D26F41"/>
    <w:rsid w:val="00D277B4"/>
    <w:rsid w:val="00D27AE7"/>
    <w:rsid w:val="00D30C5D"/>
    <w:rsid w:val="00D31D4D"/>
    <w:rsid w:val="00D32CE6"/>
    <w:rsid w:val="00D33203"/>
    <w:rsid w:val="00D33BF4"/>
    <w:rsid w:val="00D3629B"/>
    <w:rsid w:val="00D3684E"/>
    <w:rsid w:val="00D37687"/>
    <w:rsid w:val="00D37A94"/>
    <w:rsid w:val="00D4281B"/>
    <w:rsid w:val="00D44539"/>
    <w:rsid w:val="00D44823"/>
    <w:rsid w:val="00D47448"/>
    <w:rsid w:val="00D47DC7"/>
    <w:rsid w:val="00D50F49"/>
    <w:rsid w:val="00D50F57"/>
    <w:rsid w:val="00D5102C"/>
    <w:rsid w:val="00D51A69"/>
    <w:rsid w:val="00D52086"/>
    <w:rsid w:val="00D52338"/>
    <w:rsid w:val="00D52ECF"/>
    <w:rsid w:val="00D5317A"/>
    <w:rsid w:val="00D5407D"/>
    <w:rsid w:val="00D558F1"/>
    <w:rsid w:val="00D613E0"/>
    <w:rsid w:val="00D618FD"/>
    <w:rsid w:val="00D621E7"/>
    <w:rsid w:val="00D626D5"/>
    <w:rsid w:val="00D62D52"/>
    <w:rsid w:val="00D65DF6"/>
    <w:rsid w:val="00D66865"/>
    <w:rsid w:val="00D6748F"/>
    <w:rsid w:val="00D67ABF"/>
    <w:rsid w:val="00D7089A"/>
    <w:rsid w:val="00D70BA6"/>
    <w:rsid w:val="00D7178E"/>
    <w:rsid w:val="00D71CB1"/>
    <w:rsid w:val="00D71EDC"/>
    <w:rsid w:val="00D71EF9"/>
    <w:rsid w:val="00D722D1"/>
    <w:rsid w:val="00D72F97"/>
    <w:rsid w:val="00D74CC5"/>
    <w:rsid w:val="00D75E29"/>
    <w:rsid w:val="00D809AE"/>
    <w:rsid w:val="00D814BA"/>
    <w:rsid w:val="00D81E9B"/>
    <w:rsid w:val="00D8224B"/>
    <w:rsid w:val="00D8290C"/>
    <w:rsid w:val="00D82AC4"/>
    <w:rsid w:val="00D82FE9"/>
    <w:rsid w:val="00D83137"/>
    <w:rsid w:val="00D852F6"/>
    <w:rsid w:val="00D85D97"/>
    <w:rsid w:val="00D86FCF"/>
    <w:rsid w:val="00D87067"/>
    <w:rsid w:val="00D872CF"/>
    <w:rsid w:val="00D87B4A"/>
    <w:rsid w:val="00D87E58"/>
    <w:rsid w:val="00D90CE6"/>
    <w:rsid w:val="00D91D1A"/>
    <w:rsid w:val="00D92560"/>
    <w:rsid w:val="00D93E8F"/>
    <w:rsid w:val="00D954E9"/>
    <w:rsid w:val="00D95F9A"/>
    <w:rsid w:val="00DA1136"/>
    <w:rsid w:val="00DA1A35"/>
    <w:rsid w:val="00DB072C"/>
    <w:rsid w:val="00DB1675"/>
    <w:rsid w:val="00DB17BE"/>
    <w:rsid w:val="00DB1CCA"/>
    <w:rsid w:val="00DB29F4"/>
    <w:rsid w:val="00DB2F41"/>
    <w:rsid w:val="00DB3828"/>
    <w:rsid w:val="00DB4674"/>
    <w:rsid w:val="00DC0635"/>
    <w:rsid w:val="00DC0D2B"/>
    <w:rsid w:val="00DC1001"/>
    <w:rsid w:val="00DC106F"/>
    <w:rsid w:val="00DC4D1A"/>
    <w:rsid w:val="00DC4DBE"/>
    <w:rsid w:val="00DC7E1A"/>
    <w:rsid w:val="00DD002A"/>
    <w:rsid w:val="00DD0257"/>
    <w:rsid w:val="00DD06F7"/>
    <w:rsid w:val="00DD1C8C"/>
    <w:rsid w:val="00DD39E4"/>
    <w:rsid w:val="00DD548B"/>
    <w:rsid w:val="00DD5D81"/>
    <w:rsid w:val="00DD61AE"/>
    <w:rsid w:val="00DD6846"/>
    <w:rsid w:val="00DE0CAC"/>
    <w:rsid w:val="00DE23B7"/>
    <w:rsid w:val="00DE25E6"/>
    <w:rsid w:val="00DE46E9"/>
    <w:rsid w:val="00DE713A"/>
    <w:rsid w:val="00DF0311"/>
    <w:rsid w:val="00DF0E8B"/>
    <w:rsid w:val="00DF0EF9"/>
    <w:rsid w:val="00DF19DC"/>
    <w:rsid w:val="00DF2239"/>
    <w:rsid w:val="00DF2CDE"/>
    <w:rsid w:val="00DF3C53"/>
    <w:rsid w:val="00DF5323"/>
    <w:rsid w:val="00DF54FA"/>
    <w:rsid w:val="00DF5EB2"/>
    <w:rsid w:val="00DF728D"/>
    <w:rsid w:val="00DF7434"/>
    <w:rsid w:val="00E00F80"/>
    <w:rsid w:val="00E01A3E"/>
    <w:rsid w:val="00E03305"/>
    <w:rsid w:val="00E03887"/>
    <w:rsid w:val="00E03D24"/>
    <w:rsid w:val="00E03E19"/>
    <w:rsid w:val="00E0581E"/>
    <w:rsid w:val="00E07AD6"/>
    <w:rsid w:val="00E07C1A"/>
    <w:rsid w:val="00E07DD6"/>
    <w:rsid w:val="00E102A9"/>
    <w:rsid w:val="00E107E6"/>
    <w:rsid w:val="00E10C6E"/>
    <w:rsid w:val="00E115B2"/>
    <w:rsid w:val="00E134BE"/>
    <w:rsid w:val="00E135BC"/>
    <w:rsid w:val="00E15F0D"/>
    <w:rsid w:val="00E16DE9"/>
    <w:rsid w:val="00E207A5"/>
    <w:rsid w:val="00E20810"/>
    <w:rsid w:val="00E225FE"/>
    <w:rsid w:val="00E231C5"/>
    <w:rsid w:val="00E23566"/>
    <w:rsid w:val="00E271DD"/>
    <w:rsid w:val="00E30BF9"/>
    <w:rsid w:val="00E31DB5"/>
    <w:rsid w:val="00E32818"/>
    <w:rsid w:val="00E35712"/>
    <w:rsid w:val="00E3599D"/>
    <w:rsid w:val="00E35AF3"/>
    <w:rsid w:val="00E35E9C"/>
    <w:rsid w:val="00E3755F"/>
    <w:rsid w:val="00E400C8"/>
    <w:rsid w:val="00E404B7"/>
    <w:rsid w:val="00E417AE"/>
    <w:rsid w:val="00E41931"/>
    <w:rsid w:val="00E42ACB"/>
    <w:rsid w:val="00E43ACA"/>
    <w:rsid w:val="00E44294"/>
    <w:rsid w:val="00E442F9"/>
    <w:rsid w:val="00E4490C"/>
    <w:rsid w:val="00E458E9"/>
    <w:rsid w:val="00E464AA"/>
    <w:rsid w:val="00E471E1"/>
    <w:rsid w:val="00E47719"/>
    <w:rsid w:val="00E509D8"/>
    <w:rsid w:val="00E5138C"/>
    <w:rsid w:val="00E51927"/>
    <w:rsid w:val="00E54C16"/>
    <w:rsid w:val="00E565E9"/>
    <w:rsid w:val="00E566B7"/>
    <w:rsid w:val="00E5701C"/>
    <w:rsid w:val="00E60507"/>
    <w:rsid w:val="00E605DF"/>
    <w:rsid w:val="00E60B35"/>
    <w:rsid w:val="00E60E58"/>
    <w:rsid w:val="00E61097"/>
    <w:rsid w:val="00E63096"/>
    <w:rsid w:val="00E633EA"/>
    <w:rsid w:val="00E63E7C"/>
    <w:rsid w:val="00E66BF4"/>
    <w:rsid w:val="00E67170"/>
    <w:rsid w:val="00E6740B"/>
    <w:rsid w:val="00E706E2"/>
    <w:rsid w:val="00E719AA"/>
    <w:rsid w:val="00E75298"/>
    <w:rsid w:val="00E7600C"/>
    <w:rsid w:val="00E767BF"/>
    <w:rsid w:val="00E778D6"/>
    <w:rsid w:val="00E8145A"/>
    <w:rsid w:val="00E82FA3"/>
    <w:rsid w:val="00E84138"/>
    <w:rsid w:val="00E850D8"/>
    <w:rsid w:val="00E85DC1"/>
    <w:rsid w:val="00E86145"/>
    <w:rsid w:val="00E86F02"/>
    <w:rsid w:val="00E87AEA"/>
    <w:rsid w:val="00E902DA"/>
    <w:rsid w:val="00E93236"/>
    <w:rsid w:val="00E94CAF"/>
    <w:rsid w:val="00E954D3"/>
    <w:rsid w:val="00E96426"/>
    <w:rsid w:val="00E97012"/>
    <w:rsid w:val="00EA06C2"/>
    <w:rsid w:val="00EA0EBB"/>
    <w:rsid w:val="00EA41CA"/>
    <w:rsid w:val="00EB01D1"/>
    <w:rsid w:val="00EB4F7E"/>
    <w:rsid w:val="00EB5226"/>
    <w:rsid w:val="00EB6E7D"/>
    <w:rsid w:val="00EB76CF"/>
    <w:rsid w:val="00EB78AD"/>
    <w:rsid w:val="00EC0516"/>
    <w:rsid w:val="00EC131A"/>
    <w:rsid w:val="00EC1B1B"/>
    <w:rsid w:val="00EC1D2A"/>
    <w:rsid w:val="00EC497F"/>
    <w:rsid w:val="00EC5366"/>
    <w:rsid w:val="00EC7DA1"/>
    <w:rsid w:val="00ED0D0F"/>
    <w:rsid w:val="00ED32EC"/>
    <w:rsid w:val="00ED3B88"/>
    <w:rsid w:val="00ED43FC"/>
    <w:rsid w:val="00ED4EDB"/>
    <w:rsid w:val="00ED592D"/>
    <w:rsid w:val="00ED74F7"/>
    <w:rsid w:val="00ED788C"/>
    <w:rsid w:val="00EE13AD"/>
    <w:rsid w:val="00EE31DF"/>
    <w:rsid w:val="00EE4AF2"/>
    <w:rsid w:val="00EE4D3C"/>
    <w:rsid w:val="00EE5175"/>
    <w:rsid w:val="00EF0CC2"/>
    <w:rsid w:val="00EF194B"/>
    <w:rsid w:val="00EF20C9"/>
    <w:rsid w:val="00EF249A"/>
    <w:rsid w:val="00EF36FC"/>
    <w:rsid w:val="00EF53CB"/>
    <w:rsid w:val="00EF615C"/>
    <w:rsid w:val="00EF61FC"/>
    <w:rsid w:val="00EF6C4F"/>
    <w:rsid w:val="00EF6F06"/>
    <w:rsid w:val="00F04ADD"/>
    <w:rsid w:val="00F058A8"/>
    <w:rsid w:val="00F0626B"/>
    <w:rsid w:val="00F06DBD"/>
    <w:rsid w:val="00F07480"/>
    <w:rsid w:val="00F10593"/>
    <w:rsid w:val="00F11219"/>
    <w:rsid w:val="00F12F20"/>
    <w:rsid w:val="00F13EA7"/>
    <w:rsid w:val="00F13ECB"/>
    <w:rsid w:val="00F14CB1"/>
    <w:rsid w:val="00F1537D"/>
    <w:rsid w:val="00F15E80"/>
    <w:rsid w:val="00F16AE6"/>
    <w:rsid w:val="00F20CF2"/>
    <w:rsid w:val="00F23973"/>
    <w:rsid w:val="00F23D9E"/>
    <w:rsid w:val="00F25261"/>
    <w:rsid w:val="00F254F8"/>
    <w:rsid w:val="00F25E86"/>
    <w:rsid w:val="00F25FE3"/>
    <w:rsid w:val="00F26F1D"/>
    <w:rsid w:val="00F274F0"/>
    <w:rsid w:val="00F27B1F"/>
    <w:rsid w:val="00F3068A"/>
    <w:rsid w:val="00F308B9"/>
    <w:rsid w:val="00F30B4B"/>
    <w:rsid w:val="00F31E30"/>
    <w:rsid w:val="00F3222E"/>
    <w:rsid w:val="00F324AF"/>
    <w:rsid w:val="00F336D8"/>
    <w:rsid w:val="00F343BF"/>
    <w:rsid w:val="00F3547B"/>
    <w:rsid w:val="00F37E3E"/>
    <w:rsid w:val="00F416C6"/>
    <w:rsid w:val="00F416E2"/>
    <w:rsid w:val="00F41DF0"/>
    <w:rsid w:val="00F4218E"/>
    <w:rsid w:val="00F4482C"/>
    <w:rsid w:val="00F449D8"/>
    <w:rsid w:val="00F4551C"/>
    <w:rsid w:val="00F46DF8"/>
    <w:rsid w:val="00F46E9C"/>
    <w:rsid w:val="00F471E0"/>
    <w:rsid w:val="00F50374"/>
    <w:rsid w:val="00F50442"/>
    <w:rsid w:val="00F5111C"/>
    <w:rsid w:val="00F52BCC"/>
    <w:rsid w:val="00F562CC"/>
    <w:rsid w:val="00F567B1"/>
    <w:rsid w:val="00F569D4"/>
    <w:rsid w:val="00F601A6"/>
    <w:rsid w:val="00F60208"/>
    <w:rsid w:val="00F629E7"/>
    <w:rsid w:val="00F637B4"/>
    <w:rsid w:val="00F63C38"/>
    <w:rsid w:val="00F641EC"/>
    <w:rsid w:val="00F64467"/>
    <w:rsid w:val="00F64F57"/>
    <w:rsid w:val="00F65A80"/>
    <w:rsid w:val="00F65C4A"/>
    <w:rsid w:val="00F678E3"/>
    <w:rsid w:val="00F7140C"/>
    <w:rsid w:val="00F71617"/>
    <w:rsid w:val="00F71894"/>
    <w:rsid w:val="00F72431"/>
    <w:rsid w:val="00F75423"/>
    <w:rsid w:val="00F772FB"/>
    <w:rsid w:val="00F77654"/>
    <w:rsid w:val="00F80841"/>
    <w:rsid w:val="00F80E97"/>
    <w:rsid w:val="00F816FD"/>
    <w:rsid w:val="00F83A18"/>
    <w:rsid w:val="00F84293"/>
    <w:rsid w:val="00F848F2"/>
    <w:rsid w:val="00F85A23"/>
    <w:rsid w:val="00F85F4A"/>
    <w:rsid w:val="00F86F80"/>
    <w:rsid w:val="00F91B44"/>
    <w:rsid w:val="00F93437"/>
    <w:rsid w:val="00F940FB"/>
    <w:rsid w:val="00F94276"/>
    <w:rsid w:val="00F94ADD"/>
    <w:rsid w:val="00F95C8B"/>
    <w:rsid w:val="00FA0345"/>
    <w:rsid w:val="00FA08B6"/>
    <w:rsid w:val="00FA1371"/>
    <w:rsid w:val="00FA2CC3"/>
    <w:rsid w:val="00FA3B3F"/>
    <w:rsid w:val="00FA70A5"/>
    <w:rsid w:val="00FA7209"/>
    <w:rsid w:val="00FA7D8A"/>
    <w:rsid w:val="00FB0DF7"/>
    <w:rsid w:val="00FB204D"/>
    <w:rsid w:val="00FB5385"/>
    <w:rsid w:val="00FB5428"/>
    <w:rsid w:val="00FB6D64"/>
    <w:rsid w:val="00FC080C"/>
    <w:rsid w:val="00FC0E08"/>
    <w:rsid w:val="00FC1732"/>
    <w:rsid w:val="00FC19D2"/>
    <w:rsid w:val="00FC28B9"/>
    <w:rsid w:val="00FC48AB"/>
    <w:rsid w:val="00FC4E56"/>
    <w:rsid w:val="00FC73D6"/>
    <w:rsid w:val="00FD1326"/>
    <w:rsid w:val="00FD146A"/>
    <w:rsid w:val="00FD1AD0"/>
    <w:rsid w:val="00FD260A"/>
    <w:rsid w:val="00FD4BA3"/>
    <w:rsid w:val="00FD501C"/>
    <w:rsid w:val="00FD564A"/>
    <w:rsid w:val="00FD57AE"/>
    <w:rsid w:val="00FD585B"/>
    <w:rsid w:val="00FD715A"/>
    <w:rsid w:val="00FD7585"/>
    <w:rsid w:val="00FD77A7"/>
    <w:rsid w:val="00FD7A94"/>
    <w:rsid w:val="00FE09D0"/>
    <w:rsid w:val="00FE17BE"/>
    <w:rsid w:val="00FE2A4C"/>
    <w:rsid w:val="00FE3106"/>
    <w:rsid w:val="00FE3461"/>
    <w:rsid w:val="00FE357D"/>
    <w:rsid w:val="00FE487F"/>
    <w:rsid w:val="00FE4D2B"/>
    <w:rsid w:val="00FE513B"/>
    <w:rsid w:val="00FE7A24"/>
    <w:rsid w:val="00FF428C"/>
    <w:rsid w:val="00FF469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428"/>
  </w:style>
  <w:style w:type="paragraph" w:styleId="Nadpis1">
    <w:name w:val="heading 1"/>
    <w:basedOn w:val="Normln"/>
    <w:next w:val="Normln"/>
    <w:link w:val="Nadpis1Char"/>
    <w:qFormat/>
    <w:rsid w:val="007A2428"/>
    <w:pPr>
      <w:keepNext/>
      <w:outlineLvl w:val="0"/>
    </w:pPr>
    <w:rPr>
      <w:rFonts w:ascii="Arial" w:hAnsi="Arial"/>
      <w:b/>
      <w:snapToGrid w:val="0"/>
      <w:color w:val="000000"/>
      <w:sz w:val="16"/>
    </w:rPr>
  </w:style>
  <w:style w:type="paragraph" w:styleId="Nadpis2">
    <w:name w:val="heading 2"/>
    <w:basedOn w:val="Normln"/>
    <w:next w:val="Normln"/>
    <w:qFormat/>
    <w:rsid w:val="007A2428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A2428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7A2428"/>
    <w:pPr>
      <w:keepNext/>
      <w:outlineLvl w:val="4"/>
    </w:pPr>
    <w:rPr>
      <w:i/>
      <w:sz w:val="24"/>
    </w:rPr>
  </w:style>
  <w:style w:type="paragraph" w:styleId="Nadpis8">
    <w:name w:val="heading 8"/>
    <w:basedOn w:val="Normln"/>
    <w:next w:val="Normln"/>
    <w:qFormat/>
    <w:rsid w:val="007A2428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7A2428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428"/>
    <w:rPr>
      <w:sz w:val="24"/>
    </w:rPr>
  </w:style>
  <w:style w:type="paragraph" w:customStyle="1" w:styleId="Normln0">
    <w:name w:val="Normln"/>
    <w:rsid w:val="007A2428"/>
    <w:rPr>
      <w:rFonts w:ascii="MS Sans Serif" w:hAnsi="MS Sans Serif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A2428"/>
    <w:rPr>
      <w:rFonts w:ascii="Arial" w:hAnsi="Arial"/>
    </w:rPr>
  </w:style>
  <w:style w:type="paragraph" w:styleId="Zkladntext3">
    <w:name w:val="Body Text 3"/>
    <w:basedOn w:val="Normln"/>
    <w:semiHidden/>
    <w:rsid w:val="007A2428"/>
    <w:rPr>
      <w:sz w:val="22"/>
    </w:rPr>
  </w:style>
  <w:style w:type="character" w:styleId="Znakapoznpodarou">
    <w:name w:val="footnote reference"/>
    <w:basedOn w:val="Standardnpsmoodstavce"/>
    <w:uiPriority w:val="99"/>
    <w:semiHidden/>
    <w:rsid w:val="007A2428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A2428"/>
    <w:pPr>
      <w:jc w:val="center"/>
    </w:pPr>
    <w:rPr>
      <w:rFonts w:ascii="Arial" w:hAnsi="Arial"/>
    </w:rPr>
  </w:style>
  <w:style w:type="paragraph" w:customStyle="1" w:styleId="xl24">
    <w:name w:val="xl24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ln"/>
    <w:rsid w:val="007A24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A2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A24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A2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Normln"/>
    <w:rsid w:val="007A2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character" w:styleId="Odkaznavysvtlivky">
    <w:name w:val="endnote reference"/>
    <w:basedOn w:val="Standardnpsmoodstavce"/>
    <w:semiHidden/>
    <w:rsid w:val="007A2428"/>
    <w:rPr>
      <w:vertAlign w:val="superscript"/>
    </w:rPr>
  </w:style>
  <w:style w:type="paragraph" w:customStyle="1" w:styleId="xl49">
    <w:name w:val="xl49"/>
    <w:basedOn w:val="Normln"/>
    <w:rsid w:val="007A242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ln"/>
    <w:rsid w:val="007A242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1">
    <w:name w:val="xl51"/>
    <w:basedOn w:val="Normln"/>
    <w:rsid w:val="007A24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2">
    <w:name w:val="xl52"/>
    <w:basedOn w:val="Normln"/>
    <w:rsid w:val="007A2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ln"/>
    <w:rsid w:val="007A242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ln"/>
    <w:rsid w:val="007A242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6">
    <w:name w:val="xl56"/>
    <w:basedOn w:val="Normln"/>
    <w:rsid w:val="007A242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36FC"/>
    <w:pPr>
      <w:ind w:left="708"/>
    </w:pPr>
  </w:style>
  <w:style w:type="character" w:customStyle="1" w:styleId="Nadpis3Char">
    <w:name w:val="Nadpis 3 Char"/>
    <w:basedOn w:val="Standardnpsmoodstavce"/>
    <w:link w:val="Nadpis3"/>
    <w:rsid w:val="001B05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051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051E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B051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34369"/>
    <w:rPr>
      <w:rFonts w:ascii="Arial" w:hAnsi="Arial"/>
      <w:b/>
      <w:snapToGrid w:val="0"/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369"/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F77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2FB"/>
  </w:style>
  <w:style w:type="paragraph" w:styleId="Zpat">
    <w:name w:val="footer"/>
    <w:basedOn w:val="Normln"/>
    <w:link w:val="ZpatChar"/>
    <w:uiPriority w:val="99"/>
    <w:unhideWhenUsed/>
    <w:rsid w:val="00F77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2FB"/>
  </w:style>
  <w:style w:type="paragraph" w:customStyle="1" w:styleId="Rbntext">
    <w:name w:val="R běžný text"/>
    <w:rsid w:val="00B71F03"/>
    <w:pPr>
      <w:spacing w:after="12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2E02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1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6BF6"/>
  </w:style>
  <w:style w:type="character" w:customStyle="1" w:styleId="TextkomenteChar">
    <w:name w:val="Text komentáře Char"/>
    <w:basedOn w:val="Standardnpsmoodstavce"/>
    <w:link w:val="Textkomente"/>
    <w:uiPriority w:val="99"/>
    <w:rsid w:val="00316B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F6"/>
    <w:rPr>
      <w:rFonts w:ascii="Tahoma" w:hAnsi="Tahoma" w:cs="Tahoma"/>
      <w:sz w:val="16"/>
      <w:szCs w:val="16"/>
    </w:rPr>
  </w:style>
  <w:style w:type="paragraph" w:customStyle="1" w:styleId="drobek">
    <w:name w:val="drobek"/>
    <w:basedOn w:val="Normln"/>
    <w:rsid w:val="00BC2AC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BC2ACE"/>
    <w:rPr>
      <w:color w:val="0000FF"/>
      <w:u w:val="single"/>
    </w:rPr>
  </w:style>
  <w:style w:type="character" w:customStyle="1" w:styleId="ata11y">
    <w:name w:val="at_a11y"/>
    <w:basedOn w:val="Standardnpsmoodstavce"/>
    <w:rsid w:val="00BC2ACE"/>
  </w:style>
  <w:style w:type="character" w:customStyle="1" w:styleId="iceouttxt">
    <w:name w:val="iceouttxt"/>
    <w:basedOn w:val="Standardnpsmoodstavce"/>
    <w:rsid w:val="00C11CC8"/>
  </w:style>
  <w:style w:type="character" w:customStyle="1" w:styleId="Nadpis1Char">
    <w:name w:val="Nadpis 1 Char"/>
    <w:basedOn w:val="Standardnpsmoodstavce"/>
    <w:link w:val="Nadpis1"/>
    <w:uiPriority w:val="9"/>
    <w:rsid w:val="00300D9B"/>
    <w:rPr>
      <w:rFonts w:ascii="Arial" w:hAnsi="Arial"/>
      <w:b/>
      <w:snapToGrid w:val="0"/>
      <w:color w:val="000000"/>
      <w:sz w:val="16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00D9B"/>
    <w:pPr>
      <w:numPr>
        <w:numId w:val="1"/>
      </w:numPr>
      <w:spacing w:after="120"/>
      <w:ind w:left="584" w:hanging="227"/>
      <w:jc w:val="both"/>
    </w:pPr>
    <w:rPr>
      <w:rFonts w:ascii="Arial" w:hAnsi="Arial"/>
    </w:rPr>
  </w:style>
  <w:style w:type="character" w:customStyle="1" w:styleId="odrkyzlevaodsazeno0Char">
    <w:name w:val="odrážky zleva odsazení o 0 Char"/>
    <w:aliases w:val="6 cm Char"/>
    <w:basedOn w:val="Standardnpsmoodstavce"/>
    <w:link w:val="odrkyzlevaodsazeno0"/>
    <w:rsid w:val="00300D9B"/>
    <w:rPr>
      <w:rFonts w:ascii="Arial" w:hAnsi="Arial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300D9B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300D9B"/>
  </w:style>
  <w:style w:type="character" w:customStyle="1" w:styleId="FontStyle19">
    <w:name w:val="Font Style19"/>
    <w:basedOn w:val="Standardnpsmoodstavce"/>
    <w:rsid w:val="00300D9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D9B"/>
  </w:style>
  <w:style w:type="paragraph" w:customStyle="1" w:styleId="Styl1">
    <w:name w:val="Styl1"/>
    <w:rsid w:val="005A327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nzevlnku">
    <w:name w:val="název článku"/>
    <w:basedOn w:val="Zkladntext2"/>
    <w:rsid w:val="005A32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sz w:val="26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C14D-C9EC-4874-A5F8-1856C330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Náboženské vyznání</vt:lpstr>
    </vt:vector>
  </TitlesOfParts>
  <Company>CSU</Company>
  <LinksUpToDate>false</LinksUpToDate>
  <CharactersWithSpaces>9518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Náboženské vyznání</dc:title>
  <dc:subject/>
  <dc:creator>SystemService</dc:creator>
  <cp:keywords/>
  <dc:description/>
  <cp:lastModifiedBy>System Service</cp:lastModifiedBy>
  <cp:revision>2</cp:revision>
  <cp:lastPrinted>2014-02-12T12:02:00Z</cp:lastPrinted>
  <dcterms:created xsi:type="dcterms:W3CDTF">2014-02-12T12:49:00Z</dcterms:created>
  <dcterms:modified xsi:type="dcterms:W3CDTF">2014-02-12T12:49:00Z</dcterms:modified>
</cp:coreProperties>
</file>