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354C" w:rsidRPr="006717BB" w:rsidRDefault="006717BB" w:rsidP="006717BB">
      <w:pPr>
        <w:spacing w:line="276" w:lineRule="auto"/>
        <w:ind w:left="851" w:hanging="851"/>
        <w:jc w:val="both"/>
        <w:rPr>
          <w:b/>
          <w:sz w:val="24"/>
        </w:rPr>
      </w:pPr>
      <w:r>
        <w:rPr>
          <w:b/>
          <w:sz w:val="24"/>
        </w:rPr>
        <w:t>6.</w:t>
      </w:r>
      <w:r>
        <w:rPr>
          <w:b/>
          <w:sz w:val="24"/>
        </w:rPr>
        <w:tab/>
      </w:r>
      <w:r w:rsidR="0051354C" w:rsidRPr="006717BB">
        <w:rPr>
          <w:b/>
          <w:sz w:val="24"/>
        </w:rPr>
        <w:t>Bezdomovci</w:t>
      </w:r>
    </w:p>
    <w:p w:rsidR="0051354C" w:rsidRDefault="0051354C" w:rsidP="00A45B5A">
      <w:pPr>
        <w:pStyle w:val="Textodstavce"/>
        <w:tabs>
          <w:tab w:val="clear" w:pos="720"/>
          <w:tab w:val="clear" w:pos="851"/>
          <w:tab w:val="left" w:pos="0"/>
        </w:tabs>
        <w:spacing w:line="276" w:lineRule="auto"/>
        <w:ind w:left="0" w:firstLine="0"/>
        <w:rPr>
          <w:rFonts w:ascii="Arial" w:hAnsi="Arial" w:cs="Arial"/>
          <w:sz w:val="20"/>
        </w:rPr>
      </w:pPr>
      <w:r>
        <w:rPr>
          <w:rFonts w:ascii="Arial" w:hAnsi="Arial" w:cs="Arial"/>
          <w:sz w:val="20"/>
        </w:rPr>
        <w:t xml:space="preserve">Bezdomovci představovali z hlediska způsobu bydlení obyvatel doplňkovou kategorii, protože jako osoby bez přístřeší způsob bydlení fakticky nemají. </w:t>
      </w:r>
    </w:p>
    <w:p w:rsidR="0051354C" w:rsidRDefault="0051354C" w:rsidP="00165156">
      <w:pPr>
        <w:pStyle w:val="Textodstavce"/>
        <w:tabs>
          <w:tab w:val="clear" w:pos="720"/>
        </w:tabs>
        <w:spacing w:line="276" w:lineRule="auto"/>
        <w:ind w:left="0" w:firstLine="0"/>
        <w:rPr>
          <w:rFonts w:ascii="Arial" w:hAnsi="Arial" w:cs="Arial"/>
          <w:sz w:val="20"/>
        </w:rPr>
      </w:pPr>
      <w:r>
        <w:rPr>
          <w:rFonts w:ascii="Arial" w:hAnsi="Arial" w:cs="Arial"/>
          <w:sz w:val="20"/>
        </w:rPr>
        <w:t>Kvantifikace počtu bezdomovců byla poprvé v historii sčítání možná až při sčítání 2011. Umožnilo to zpracování výstupů podle obvyklého pobytu, kdy osobám bez domova byla přiřazena jako adresa obvyklého pobytu adresa místa sečtení. V předchozích cenzech byly tyto osoby v rámci sčítání rovněž sečteny, ale podle trvalého bydliště byly v průběhu zpracování přeřazeny na příslušné evidenční adresy, přestože se na nich fakticky nezdržovaly. Informace o tom, že jde o osobu bez přístřeší, se v rámci zpracování ztratila a bezdomovec se tak zařadil do bydlícího obyvatelstva.</w:t>
      </w:r>
    </w:p>
    <w:p w:rsidR="0051354C" w:rsidRDefault="0051354C" w:rsidP="00165156">
      <w:pPr>
        <w:pStyle w:val="Textodstavce"/>
        <w:tabs>
          <w:tab w:val="clear" w:pos="720"/>
        </w:tabs>
        <w:spacing w:line="276" w:lineRule="auto"/>
        <w:ind w:left="0" w:firstLine="0"/>
        <w:rPr>
          <w:rFonts w:ascii="Arial" w:hAnsi="Arial" w:cs="Arial"/>
          <w:sz w:val="20"/>
        </w:rPr>
      </w:pPr>
      <w:r>
        <w:rPr>
          <w:rFonts w:ascii="Arial" w:hAnsi="Arial" w:cs="Arial"/>
          <w:sz w:val="20"/>
        </w:rPr>
        <w:t xml:space="preserve">Kvantifikovat počty bezdomovců předpokládalo i „Nařízení Komise (EU) č. 519/2010, ze dne 16. června. 2010, kterým se přijímá program statistických údajů a metadat pro sčítání lidu, domů a bytů stanovený nařízením Evropského parlamentu a Rady (ES) č. 763/2008“, které definovalo tuto skupinu osob jako osoby primárně bez domova, žijící na ulici, tedy primární bezdomovce. Mezinárodní doporučení rozlišovala i tzv. osoby sekundárně bez domova, které často mění místo svého dočasného ubytování. Podle výše uvedeného Nařízení měly být obě skupiny osob zahrnuty do celkového počtu obyvatel, přičemž členění na primární a sekundární bezdomovce již nebylo povinně vyžadováno. </w:t>
      </w:r>
    </w:p>
    <w:p w:rsidR="0051354C" w:rsidRDefault="0051354C" w:rsidP="00165156">
      <w:pPr>
        <w:pStyle w:val="Textodstavce"/>
        <w:tabs>
          <w:tab w:val="clear" w:pos="720"/>
        </w:tabs>
        <w:spacing w:line="276" w:lineRule="auto"/>
        <w:ind w:left="0" w:firstLine="0"/>
        <w:rPr>
          <w:rFonts w:ascii="Arial" w:hAnsi="Arial" w:cs="Arial"/>
          <w:sz w:val="20"/>
        </w:rPr>
      </w:pPr>
      <w:r>
        <w:rPr>
          <w:rFonts w:ascii="Arial" w:hAnsi="Arial" w:cs="Arial"/>
          <w:sz w:val="20"/>
        </w:rPr>
        <w:t>České sčítání kategorizaci bezdomovců neaplikovalo, protože pro určení sekundárního bezdomovectví neposkytovaly zjištěné informace dostatek podkladů. Stanovený postup provedení sčítání a následného zpracování výsledků dokázal určit pouze primární bezdomovce. Sekundární bezdomovci se sečetli standardním způsobem v místě ubytování v rozhodný okamžik sčítání a délka pobytu na dané adrese nebyla zjišťována. Místem jejich obvyklého pobytu se stalo většinou místo sečtení, pokud nedeklarovali jinou adresu jako faktické bydliště. Zahrnuti byli do celkového počtu obyvatel podle místa obvyklého pobytu a podle způsobu jejich bydlení v rozhodný okamžik (v bytě, v zařízení, nouzově mimo byt). Tyto osoby jako bezdomovci tedy identifikovány nebyly, přestože individuálně mohly mít charakteristiky sekundárního bezdomovectví podle mezinárodní metodiky.</w:t>
      </w:r>
    </w:p>
    <w:p w:rsidR="0051354C" w:rsidRDefault="0051354C" w:rsidP="00165156">
      <w:pPr>
        <w:pStyle w:val="Textodstavce"/>
        <w:tabs>
          <w:tab w:val="clear" w:pos="720"/>
        </w:tabs>
        <w:spacing w:line="276" w:lineRule="auto"/>
        <w:ind w:left="0" w:firstLine="0"/>
        <w:rPr>
          <w:rFonts w:ascii="Arial" w:hAnsi="Arial" w:cs="Arial"/>
          <w:sz w:val="20"/>
        </w:rPr>
      </w:pPr>
      <w:r>
        <w:rPr>
          <w:rFonts w:ascii="Arial" w:hAnsi="Arial" w:cs="Arial"/>
          <w:sz w:val="20"/>
        </w:rPr>
        <w:t>Sčítání bezdomovců mělo specifická pravidla. Zásadní bylo, že bezdomovce identifikoval sčítací komisař a použil v jejich sčítacím listu osoby číslo bytu ve speciálním intervalu. Toto číslo bytu se neměnilo po celou dobu zpracování a bylo signálem pro speciální algoritmus odvození adresy obvyklého pobytu. Místem obvyklého pobytu bezdomovce se stala adresa místa sečtení. I tato adresa plnila ale jinou roli než v případě ostatních osob. Vazba bezdomovce na konkrétní dům neznamenala v daném případě informaci o jejich bydlení, ale plnila úlohu územní lokalizace (více nebo méně přesnou) pobytu osob bez přístřeší.</w:t>
      </w:r>
    </w:p>
    <w:p w:rsidR="0051354C" w:rsidRDefault="0051354C" w:rsidP="00165156">
      <w:pPr>
        <w:pStyle w:val="Textodstavce"/>
        <w:tabs>
          <w:tab w:val="clear" w:pos="720"/>
        </w:tabs>
        <w:spacing w:line="276" w:lineRule="auto"/>
        <w:ind w:left="0" w:firstLine="0"/>
        <w:rPr>
          <w:rFonts w:ascii="Arial" w:hAnsi="Arial" w:cs="Arial"/>
          <w:sz w:val="20"/>
        </w:rPr>
      </w:pPr>
      <w:r>
        <w:rPr>
          <w:rFonts w:ascii="Arial" w:hAnsi="Arial" w:cs="Arial"/>
          <w:sz w:val="20"/>
        </w:rPr>
        <w:t>Sčítání bezdomovců probíhalo převážně ve spolupráci se Sdružením azylových domů a Asociací poskytovatelů sociálních služeb. Sečteny byly proto zejména osoby, které využívaly k datu sčítání služeb příslušných zařízení. Aktivní přístup jednotlivých zařízení, jejich rozmístění do krajů a jejich zaměření druhotně ovlivnilo jak počet sečtených bezdomovců, tak především jejich složení z hlediska věku, pohlaví a dalších demografických charakteristik, které v úhrnu neodpovídaly odhadům z jiných datových zdrojů (výzkumné projekty, odhady magistrátů velkých měst aj.) Plošné sčítání osob žijících „na ulici“ nebylo prostřednictvím cenzu možné, zejména proto, že sčítání provádělo cílenou distribuci formulářů do objektů určených k bydlení, neumožňovalo vyhledávat osoby mimo tyto objekty</w:t>
      </w:r>
      <w:r w:rsidR="00925CEF">
        <w:rPr>
          <w:rFonts w:ascii="Arial" w:hAnsi="Arial" w:cs="Arial"/>
          <w:sz w:val="20"/>
        </w:rPr>
        <w:t>,</w:t>
      </w:r>
      <w:r>
        <w:rPr>
          <w:rFonts w:ascii="Arial" w:hAnsi="Arial" w:cs="Arial"/>
          <w:sz w:val="20"/>
        </w:rPr>
        <w:t xml:space="preserve"> ani nemělo k dispozici speciálně vyškolené pracovníky pro specifickou komunikaci s bezdomovci. Spolupráce s výše uvedenými zařízeními byla proto jediným možným postupem, byť s sebou nesla určitá omezení zjištěných výsledků.</w:t>
      </w:r>
    </w:p>
    <w:p w:rsidR="0051354C" w:rsidRDefault="0051354C" w:rsidP="00165156">
      <w:pPr>
        <w:pStyle w:val="Textodstavce"/>
        <w:tabs>
          <w:tab w:val="clear" w:pos="720"/>
        </w:tabs>
        <w:spacing w:line="276" w:lineRule="auto"/>
        <w:ind w:left="0" w:firstLine="0"/>
        <w:rPr>
          <w:rFonts w:ascii="Arial" w:hAnsi="Arial" w:cs="Arial"/>
          <w:sz w:val="20"/>
        </w:rPr>
      </w:pPr>
      <w:r>
        <w:rPr>
          <w:rFonts w:ascii="Arial" w:hAnsi="Arial" w:cs="Arial"/>
          <w:sz w:val="20"/>
        </w:rPr>
        <w:t xml:space="preserve">Sčítání bezdomovců probíhalo ve 270 domech – azylových domech, domech na půli cesty, v noclehárnách a nízkoprahových denních centrech. Sčítáni byli klienti těchto zařízení k rozhodnému okamžiku. Součástí některých zařízení byly i byty. V případech pobytu v délce 12 měsíců byly bydlící osoby sečteny jako bydlící v bytech s tím, že pouze podle druhu domu se poznalo, že se jedná o speciální zařízení a nikoliv o </w:t>
      </w:r>
      <w:r>
        <w:rPr>
          <w:rFonts w:ascii="Arial" w:hAnsi="Arial" w:cs="Arial"/>
          <w:sz w:val="20"/>
        </w:rPr>
        <w:lastRenderedPageBreak/>
        <w:t>obytný dům. Osoby sice ubytované, ale pouze krátkodobě, které řešily tímto způsobem aktuální krizovou situaci, byly sečteny jako primární bezdomovci.</w:t>
      </w:r>
    </w:p>
    <w:p w:rsidR="0051354C" w:rsidRDefault="0051354C" w:rsidP="00165156">
      <w:pPr>
        <w:pStyle w:val="Textodstavce"/>
        <w:tabs>
          <w:tab w:val="clear" w:pos="720"/>
        </w:tabs>
        <w:spacing w:line="276" w:lineRule="auto"/>
        <w:ind w:left="0" w:firstLine="0"/>
        <w:rPr>
          <w:rFonts w:ascii="Arial" w:hAnsi="Arial" w:cs="Arial"/>
          <w:sz w:val="20"/>
        </w:rPr>
      </w:pPr>
      <w:r>
        <w:rPr>
          <w:rFonts w:ascii="Arial" w:hAnsi="Arial" w:cs="Arial"/>
          <w:sz w:val="20"/>
        </w:rPr>
        <w:t xml:space="preserve">Nejvíce zařízení se zapojilo do sčítání v Moravskoslezském a Ústeckém kraji. Tyto dva kraje spolu s Prahou tvořily polovinu kapacity všech zařízení pro bezdomovce, která se sčítání zúčastnila. Na počtu sečtených se ale tyto tři kraje podílely jen o něco více než dvěma pětinami. </w:t>
      </w:r>
    </w:p>
    <w:p w:rsidR="0051354C" w:rsidRPr="00E73ED3" w:rsidRDefault="0051354C" w:rsidP="00E73ED3">
      <w:pPr>
        <w:spacing w:line="276" w:lineRule="auto"/>
        <w:jc w:val="both"/>
        <w:rPr>
          <w:rFonts w:cs="Arial"/>
          <w:sz w:val="20"/>
          <w:szCs w:val="20"/>
        </w:rPr>
      </w:pPr>
      <w:r w:rsidRPr="00E73ED3">
        <w:rPr>
          <w:sz w:val="20"/>
          <w:szCs w:val="20"/>
        </w:rPr>
        <w:t>K 26.</w:t>
      </w:r>
      <w:r w:rsidR="00E73ED3" w:rsidRPr="00E73ED3">
        <w:rPr>
          <w:sz w:val="20"/>
          <w:szCs w:val="20"/>
        </w:rPr>
        <w:t xml:space="preserve"> </w:t>
      </w:r>
      <w:r w:rsidRPr="00E73ED3">
        <w:rPr>
          <w:sz w:val="20"/>
          <w:szCs w:val="20"/>
        </w:rPr>
        <w:t>3.</w:t>
      </w:r>
      <w:r w:rsidR="00E73ED3" w:rsidRPr="00E73ED3">
        <w:rPr>
          <w:sz w:val="20"/>
          <w:szCs w:val="20"/>
        </w:rPr>
        <w:t xml:space="preserve"> </w:t>
      </w:r>
      <w:r w:rsidRPr="00E73ED3">
        <w:rPr>
          <w:sz w:val="20"/>
          <w:szCs w:val="20"/>
        </w:rPr>
        <w:t>2011 bylo sečteno celkem 11 496 osob, které byly označeny jako bezdomovci. Rozložení do krajů bylo ve vztahu k počtu obyvatel kraje disproporční. Čtvrtina z počtu bezdomovců byla zjištěna</w:t>
      </w:r>
      <w:r w:rsidRPr="00E73ED3">
        <w:rPr>
          <w:rFonts w:cs="Arial"/>
          <w:sz w:val="20"/>
          <w:szCs w:val="20"/>
        </w:rPr>
        <w:t xml:space="preserve"> v Moravskoslezském kraji, což v tomto případě korespondovalo s počtem zařízení, která na sčítání spolupracovala. </w:t>
      </w:r>
    </w:p>
    <w:p w:rsidR="00E73ED3" w:rsidRDefault="00E73ED3" w:rsidP="00E73ED3">
      <w:pPr>
        <w:spacing w:line="276" w:lineRule="auto"/>
        <w:jc w:val="both"/>
        <w:rPr>
          <w:rFonts w:cs="Arial"/>
        </w:rPr>
      </w:pPr>
    </w:p>
    <w:p w:rsidR="00E73ED3" w:rsidRPr="00E73ED3" w:rsidRDefault="00E73ED3" w:rsidP="00E73ED3">
      <w:pPr>
        <w:spacing w:line="276" w:lineRule="auto"/>
        <w:jc w:val="both"/>
        <w:rPr>
          <w:rFonts w:cs="Arial"/>
          <w:sz w:val="20"/>
          <w:szCs w:val="20"/>
        </w:rPr>
      </w:pPr>
      <w:r w:rsidRPr="00E73ED3">
        <w:rPr>
          <w:rFonts w:cs="Arial"/>
          <w:sz w:val="20"/>
          <w:szCs w:val="20"/>
        </w:rPr>
        <w:t>Porovnáním adresy trvalého bydliště a místa obvyklého pobytu (v případě bezdomovců místa sečtení) bylo zjištěno, že většina bezdomovců neopustila region svého trvalého bydliště. Shoda obvyklého a trvalého pobytu na úrovni kraje se pohybovala mezi 63 až téměř 96 %. Nejnižší podíl shody byl v Praze, kde dvě pětiny bezdomovců měli trvalé bydliště v jiném kraji.</w:t>
      </w:r>
    </w:p>
    <w:p w:rsidR="00B679F7" w:rsidRDefault="00B679F7" w:rsidP="00B679F7">
      <w:pPr>
        <w:spacing w:line="276" w:lineRule="auto"/>
        <w:rPr>
          <w:b/>
          <w:sz w:val="20"/>
          <w:szCs w:val="20"/>
        </w:rPr>
      </w:pPr>
    </w:p>
    <w:p w:rsidR="00B679F7" w:rsidRDefault="00B679F7" w:rsidP="00B679F7">
      <w:pPr>
        <w:spacing w:line="276" w:lineRule="auto"/>
        <w:rPr>
          <w:b/>
          <w:bCs/>
          <w:sz w:val="20"/>
          <w:szCs w:val="20"/>
        </w:rPr>
      </w:pPr>
      <w:r w:rsidRPr="001770AA">
        <w:rPr>
          <w:b/>
          <w:sz w:val="20"/>
          <w:szCs w:val="20"/>
        </w:rPr>
        <w:t xml:space="preserve">Graf č. </w:t>
      </w:r>
      <w:r>
        <w:rPr>
          <w:b/>
          <w:sz w:val="20"/>
          <w:szCs w:val="20"/>
        </w:rPr>
        <w:t>18</w:t>
      </w:r>
      <w:r w:rsidRPr="008E478F">
        <w:rPr>
          <w:b/>
          <w:sz w:val="20"/>
          <w:szCs w:val="20"/>
        </w:rPr>
        <w:t xml:space="preserve"> </w:t>
      </w:r>
      <w:r>
        <w:rPr>
          <w:b/>
          <w:sz w:val="20"/>
          <w:szCs w:val="20"/>
        </w:rPr>
        <w:t>Bezdomovci</w:t>
      </w:r>
      <w:r>
        <w:rPr>
          <w:b/>
          <w:bCs/>
          <w:sz w:val="20"/>
          <w:szCs w:val="20"/>
        </w:rPr>
        <w:t xml:space="preserve"> podle kraje obvyklého a trvalého pobytu </w:t>
      </w:r>
      <w:r w:rsidRPr="001770AA">
        <w:rPr>
          <w:b/>
          <w:bCs/>
          <w:sz w:val="20"/>
          <w:szCs w:val="20"/>
        </w:rPr>
        <w:t>k 26.</w:t>
      </w:r>
      <w:r>
        <w:rPr>
          <w:b/>
          <w:bCs/>
          <w:sz w:val="20"/>
          <w:szCs w:val="20"/>
        </w:rPr>
        <w:t xml:space="preserve"> </w:t>
      </w:r>
      <w:r w:rsidRPr="001770AA">
        <w:rPr>
          <w:b/>
          <w:bCs/>
          <w:sz w:val="20"/>
          <w:szCs w:val="20"/>
        </w:rPr>
        <w:t>3.</w:t>
      </w:r>
      <w:r>
        <w:rPr>
          <w:b/>
          <w:bCs/>
          <w:sz w:val="20"/>
          <w:szCs w:val="20"/>
        </w:rPr>
        <w:t xml:space="preserve"> </w:t>
      </w:r>
      <w:r w:rsidRPr="001770AA">
        <w:rPr>
          <w:b/>
          <w:bCs/>
          <w:sz w:val="20"/>
          <w:szCs w:val="20"/>
        </w:rPr>
        <w:t>2011</w:t>
      </w:r>
    </w:p>
    <w:p w:rsidR="0008568E" w:rsidRDefault="0008568E" w:rsidP="00B679F7">
      <w:pPr>
        <w:spacing w:line="276" w:lineRule="auto"/>
        <w:rPr>
          <w:b/>
          <w:bCs/>
          <w:sz w:val="20"/>
          <w:szCs w:val="20"/>
        </w:rPr>
      </w:pPr>
      <w:r w:rsidRPr="0008568E">
        <w:rPr>
          <w:b/>
          <w:bCs/>
          <w:sz w:val="20"/>
          <w:szCs w:val="20"/>
          <w:lang w:eastAsia="cs-CZ"/>
        </w:rPr>
        <w:drawing>
          <wp:inline distT="0" distB="0" distL="0" distR="0">
            <wp:extent cx="5972810" cy="3310255"/>
            <wp:effectExtent l="19050" t="0" r="27940" b="4445"/>
            <wp:docPr id="33"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568E" w:rsidRPr="001770AA" w:rsidRDefault="0008568E" w:rsidP="00B679F7">
      <w:pPr>
        <w:spacing w:line="276" w:lineRule="auto"/>
        <w:rPr>
          <w:b/>
          <w:bCs/>
          <w:sz w:val="20"/>
          <w:szCs w:val="20"/>
        </w:rPr>
      </w:pPr>
    </w:p>
    <w:p w:rsidR="00165156" w:rsidRDefault="00165156" w:rsidP="00165156">
      <w:pPr>
        <w:pStyle w:val="Textodstavce"/>
        <w:tabs>
          <w:tab w:val="clear" w:pos="720"/>
        </w:tabs>
        <w:spacing w:line="276" w:lineRule="auto"/>
        <w:ind w:left="0" w:firstLine="0"/>
        <w:rPr>
          <w:rFonts w:ascii="Arial" w:hAnsi="Arial" w:cs="Arial"/>
          <w:sz w:val="20"/>
        </w:rPr>
      </w:pPr>
      <w:r>
        <w:rPr>
          <w:rFonts w:ascii="Arial" w:hAnsi="Arial" w:cs="Arial"/>
          <w:sz w:val="20"/>
        </w:rPr>
        <w:t xml:space="preserve">Významná byla shoda na úrovni obce a to výraznější u žen než u mužů. U žen byla vazba na původní resp. evidenční bydliště pevnější a v případě ztráty bydlení zůstávaly častěji v obci původního trvalého bydliště. </w:t>
      </w:r>
    </w:p>
    <w:p w:rsidR="00165156" w:rsidRDefault="00165156" w:rsidP="0051354C">
      <w:pPr>
        <w:pStyle w:val="Textodstavce"/>
        <w:tabs>
          <w:tab w:val="clear" w:pos="720"/>
        </w:tabs>
        <w:ind w:left="0" w:firstLine="0"/>
        <w:rPr>
          <w:rFonts w:ascii="Arial" w:hAnsi="Arial" w:cs="Arial"/>
          <w:sz w:val="20"/>
        </w:rPr>
      </w:pPr>
    </w:p>
    <w:p w:rsidR="00165156" w:rsidRDefault="00165156" w:rsidP="0051354C">
      <w:pPr>
        <w:pStyle w:val="Textodstavce"/>
        <w:tabs>
          <w:tab w:val="clear" w:pos="720"/>
        </w:tabs>
        <w:ind w:left="0" w:firstLine="0"/>
        <w:rPr>
          <w:rFonts w:ascii="Arial" w:hAnsi="Arial" w:cs="Arial"/>
          <w:sz w:val="20"/>
        </w:rPr>
      </w:pPr>
    </w:p>
    <w:p w:rsidR="00165156" w:rsidRDefault="00165156" w:rsidP="0051354C">
      <w:pPr>
        <w:pStyle w:val="Textodstavce"/>
        <w:tabs>
          <w:tab w:val="clear" w:pos="720"/>
        </w:tabs>
        <w:ind w:left="0" w:firstLine="0"/>
        <w:rPr>
          <w:rFonts w:ascii="Arial" w:hAnsi="Arial" w:cs="Arial"/>
          <w:sz w:val="20"/>
        </w:rPr>
      </w:pPr>
    </w:p>
    <w:tbl>
      <w:tblPr>
        <w:tblW w:w="6773" w:type="dxa"/>
        <w:jc w:val="center"/>
        <w:tblInd w:w="482" w:type="dxa"/>
        <w:tblCellMar>
          <w:left w:w="70" w:type="dxa"/>
          <w:right w:w="70" w:type="dxa"/>
        </w:tblCellMar>
        <w:tblLook w:val="04A0"/>
      </w:tblPr>
      <w:tblGrid>
        <w:gridCol w:w="2951"/>
        <w:gridCol w:w="676"/>
        <w:gridCol w:w="598"/>
        <w:gridCol w:w="676"/>
        <w:gridCol w:w="598"/>
        <w:gridCol w:w="676"/>
        <w:gridCol w:w="598"/>
      </w:tblGrid>
      <w:tr w:rsidR="00E73ED3" w:rsidRPr="00E73ED3" w:rsidTr="00E73ED3">
        <w:trPr>
          <w:trHeight w:val="555"/>
          <w:jc w:val="center"/>
        </w:trPr>
        <w:tc>
          <w:tcPr>
            <w:tcW w:w="6773" w:type="dxa"/>
            <w:gridSpan w:val="7"/>
            <w:tcBorders>
              <w:top w:val="nil"/>
              <w:left w:val="nil"/>
              <w:bottom w:val="single" w:sz="4" w:space="0" w:color="auto"/>
              <w:right w:val="nil"/>
            </w:tcBorders>
            <w:shd w:val="clear" w:color="auto" w:fill="auto"/>
            <w:vAlign w:val="center"/>
            <w:hideMark/>
          </w:tcPr>
          <w:p w:rsidR="00E73ED3" w:rsidRPr="003E16DB" w:rsidRDefault="00760C72" w:rsidP="00B679F7">
            <w:pPr>
              <w:keepNext/>
              <w:keepLines/>
              <w:suppressAutoHyphens w:val="0"/>
              <w:rPr>
                <w:rFonts w:cs="Arial"/>
                <w:b/>
                <w:noProof w:val="0"/>
                <w:color w:val="000000"/>
                <w:sz w:val="20"/>
                <w:szCs w:val="20"/>
                <w:lang w:eastAsia="cs-CZ"/>
              </w:rPr>
            </w:pPr>
            <w:r>
              <w:rPr>
                <w:rFonts w:cs="Arial"/>
                <w:b/>
                <w:bCs/>
                <w:sz w:val="20"/>
                <w:szCs w:val="20"/>
              </w:rPr>
              <w:lastRenderedPageBreak/>
              <w:t xml:space="preserve">Tab. č.  15 </w:t>
            </w:r>
            <w:r w:rsidR="00E73ED3" w:rsidRPr="003E16DB">
              <w:rPr>
                <w:rFonts w:cs="Arial"/>
                <w:b/>
                <w:noProof w:val="0"/>
                <w:color w:val="000000"/>
                <w:sz w:val="20"/>
                <w:szCs w:val="20"/>
                <w:lang w:eastAsia="cs-CZ"/>
              </w:rPr>
              <w:t xml:space="preserve">Porovnání místa sečtení (místa obvyklého pobytu) a místa trvalého pobytu bezdomovců k 26. 3. 2011 </w:t>
            </w:r>
          </w:p>
        </w:tc>
      </w:tr>
      <w:tr w:rsidR="00E73ED3" w:rsidRPr="00E73ED3" w:rsidTr="00E73ED3">
        <w:trPr>
          <w:trHeight w:val="255"/>
          <w:jc w:val="center"/>
        </w:trPr>
        <w:tc>
          <w:tcPr>
            <w:tcW w:w="29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rPr>
                <w:rFonts w:cs="Arial"/>
                <w:noProof w:val="0"/>
                <w:color w:val="000000"/>
                <w:sz w:val="18"/>
                <w:szCs w:val="18"/>
                <w:lang w:eastAsia="cs-CZ"/>
              </w:rPr>
            </w:pPr>
            <w:r w:rsidRPr="00E73ED3">
              <w:rPr>
                <w:rFonts w:cs="Arial"/>
                <w:noProof w:val="0"/>
                <w:color w:val="000000"/>
                <w:sz w:val="18"/>
                <w:szCs w:val="18"/>
                <w:lang w:eastAsia="cs-CZ"/>
              </w:rPr>
              <w:t> </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center"/>
              <w:rPr>
                <w:rFonts w:cs="Arial"/>
                <w:noProof w:val="0"/>
                <w:color w:val="000000"/>
                <w:sz w:val="18"/>
                <w:szCs w:val="18"/>
                <w:lang w:eastAsia="cs-CZ"/>
              </w:rPr>
            </w:pPr>
            <w:r w:rsidRPr="00E73ED3">
              <w:rPr>
                <w:rFonts w:cs="Arial"/>
                <w:noProof w:val="0"/>
                <w:color w:val="000000"/>
                <w:sz w:val="18"/>
                <w:szCs w:val="18"/>
                <w:lang w:eastAsia="cs-CZ"/>
              </w:rPr>
              <w:t>muži</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center"/>
              <w:rPr>
                <w:rFonts w:cs="Arial"/>
                <w:noProof w:val="0"/>
                <w:color w:val="000000"/>
                <w:sz w:val="18"/>
                <w:szCs w:val="18"/>
                <w:lang w:eastAsia="cs-CZ"/>
              </w:rPr>
            </w:pPr>
            <w:r w:rsidRPr="00E73ED3">
              <w:rPr>
                <w:rFonts w:cs="Arial"/>
                <w:noProof w:val="0"/>
                <w:color w:val="000000"/>
                <w:sz w:val="18"/>
                <w:szCs w:val="18"/>
                <w:lang w:eastAsia="cs-CZ"/>
              </w:rPr>
              <w:t>ženy</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center"/>
              <w:rPr>
                <w:rFonts w:cs="Arial"/>
                <w:noProof w:val="0"/>
                <w:color w:val="000000"/>
                <w:sz w:val="18"/>
                <w:szCs w:val="18"/>
                <w:lang w:eastAsia="cs-CZ"/>
              </w:rPr>
            </w:pPr>
            <w:r w:rsidRPr="00E73ED3">
              <w:rPr>
                <w:rFonts w:cs="Arial"/>
                <w:noProof w:val="0"/>
                <w:color w:val="000000"/>
                <w:sz w:val="18"/>
                <w:szCs w:val="18"/>
                <w:lang w:eastAsia="cs-CZ"/>
              </w:rPr>
              <w:t>celkem</w:t>
            </w:r>
          </w:p>
        </w:tc>
      </w:tr>
      <w:tr w:rsidR="00E73ED3" w:rsidRPr="00E73ED3" w:rsidTr="00E73ED3">
        <w:trPr>
          <w:trHeight w:val="255"/>
          <w:jc w:val="center"/>
        </w:trPr>
        <w:tc>
          <w:tcPr>
            <w:tcW w:w="2951" w:type="dxa"/>
            <w:vMerge/>
            <w:tcBorders>
              <w:top w:val="nil"/>
              <w:left w:val="single" w:sz="4" w:space="0" w:color="auto"/>
              <w:bottom w:val="single" w:sz="4" w:space="0" w:color="auto"/>
              <w:right w:val="single" w:sz="4" w:space="0" w:color="auto"/>
            </w:tcBorders>
            <w:vAlign w:val="center"/>
            <w:hideMark/>
          </w:tcPr>
          <w:p w:rsidR="00E73ED3" w:rsidRPr="00E73ED3" w:rsidRDefault="00E73ED3" w:rsidP="00A45B5A">
            <w:pPr>
              <w:keepNext/>
              <w:keepLines/>
              <w:suppressAutoHyphens w:val="0"/>
              <w:rPr>
                <w:rFonts w:cs="Arial"/>
                <w:noProof w:val="0"/>
                <w:color w:val="000000"/>
                <w:sz w:val="18"/>
                <w:szCs w:val="18"/>
                <w:lang w:eastAsia="cs-CZ"/>
              </w:rPr>
            </w:pPr>
          </w:p>
        </w:tc>
        <w:tc>
          <w:tcPr>
            <w:tcW w:w="676" w:type="dxa"/>
            <w:tcBorders>
              <w:top w:val="nil"/>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center"/>
              <w:rPr>
                <w:rFonts w:cs="Arial"/>
                <w:noProof w:val="0"/>
                <w:color w:val="000000"/>
                <w:sz w:val="18"/>
                <w:szCs w:val="18"/>
                <w:lang w:eastAsia="cs-CZ"/>
              </w:rPr>
            </w:pPr>
            <w:r w:rsidRPr="00E73ED3">
              <w:rPr>
                <w:rFonts w:cs="Arial"/>
                <w:noProof w:val="0"/>
                <w:color w:val="000000"/>
                <w:sz w:val="18"/>
                <w:szCs w:val="18"/>
                <w:lang w:eastAsia="cs-CZ"/>
              </w:rPr>
              <w:t>abs.</w:t>
            </w:r>
          </w:p>
        </w:tc>
        <w:tc>
          <w:tcPr>
            <w:tcW w:w="598" w:type="dxa"/>
            <w:tcBorders>
              <w:top w:val="nil"/>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center"/>
              <w:rPr>
                <w:rFonts w:cs="Arial"/>
                <w:noProof w:val="0"/>
                <w:color w:val="000000"/>
                <w:sz w:val="18"/>
                <w:szCs w:val="18"/>
                <w:lang w:eastAsia="cs-CZ"/>
              </w:rPr>
            </w:pPr>
            <w:r w:rsidRPr="00E73ED3">
              <w:rPr>
                <w:rFonts w:cs="Arial"/>
                <w:noProof w:val="0"/>
                <w:color w:val="000000"/>
                <w:sz w:val="18"/>
                <w:szCs w:val="18"/>
                <w:lang w:eastAsia="cs-CZ"/>
              </w:rPr>
              <w:t>%</w:t>
            </w:r>
          </w:p>
        </w:tc>
        <w:tc>
          <w:tcPr>
            <w:tcW w:w="676" w:type="dxa"/>
            <w:tcBorders>
              <w:top w:val="nil"/>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center"/>
              <w:rPr>
                <w:rFonts w:cs="Arial"/>
                <w:noProof w:val="0"/>
                <w:color w:val="000000"/>
                <w:sz w:val="18"/>
                <w:szCs w:val="18"/>
                <w:lang w:eastAsia="cs-CZ"/>
              </w:rPr>
            </w:pPr>
            <w:r w:rsidRPr="00E73ED3">
              <w:rPr>
                <w:rFonts w:cs="Arial"/>
                <w:noProof w:val="0"/>
                <w:color w:val="000000"/>
                <w:sz w:val="18"/>
                <w:szCs w:val="18"/>
                <w:lang w:eastAsia="cs-CZ"/>
              </w:rPr>
              <w:t>abs.</w:t>
            </w:r>
          </w:p>
        </w:tc>
        <w:tc>
          <w:tcPr>
            <w:tcW w:w="598" w:type="dxa"/>
            <w:tcBorders>
              <w:top w:val="nil"/>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center"/>
              <w:rPr>
                <w:rFonts w:cs="Arial"/>
                <w:noProof w:val="0"/>
                <w:color w:val="000000"/>
                <w:sz w:val="18"/>
                <w:szCs w:val="18"/>
                <w:lang w:eastAsia="cs-CZ"/>
              </w:rPr>
            </w:pPr>
            <w:r w:rsidRPr="00E73ED3">
              <w:rPr>
                <w:rFonts w:cs="Arial"/>
                <w:noProof w:val="0"/>
                <w:color w:val="000000"/>
                <w:sz w:val="18"/>
                <w:szCs w:val="18"/>
                <w:lang w:eastAsia="cs-CZ"/>
              </w:rPr>
              <w:t>%</w:t>
            </w:r>
          </w:p>
        </w:tc>
        <w:tc>
          <w:tcPr>
            <w:tcW w:w="676" w:type="dxa"/>
            <w:tcBorders>
              <w:top w:val="nil"/>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center"/>
              <w:rPr>
                <w:rFonts w:cs="Arial"/>
                <w:noProof w:val="0"/>
                <w:color w:val="000000"/>
                <w:sz w:val="18"/>
                <w:szCs w:val="18"/>
                <w:lang w:eastAsia="cs-CZ"/>
              </w:rPr>
            </w:pPr>
            <w:r w:rsidRPr="00E73ED3">
              <w:rPr>
                <w:rFonts w:cs="Arial"/>
                <w:noProof w:val="0"/>
                <w:color w:val="000000"/>
                <w:sz w:val="18"/>
                <w:szCs w:val="18"/>
                <w:lang w:eastAsia="cs-CZ"/>
              </w:rPr>
              <w:t>abs.</w:t>
            </w:r>
          </w:p>
        </w:tc>
        <w:tc>
          <w:tcPr>
            <w:tcW w:w="598" w:type="dxa"/>
            <w:tcBorders>
              <w:top w:val="nil"/>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center"/>
              <w:rPr>
                <w:rFonts w:cs="Arial"/>
                <w:noProof w:val="0"/>
                <w:color w:val="000000"/>
                <w:sz w:val="18"/>
                <w:szCs w:val="18"/>
                <w:lang w:eastAsia="cs-CZ"/>
              </w:rPr>
            </w:pPr>
            <w:r w:rsidRPr="00E73ED3">
              <w:rPr>
                <w:rFonts w:cs="Arial"/>
                <w:noProof w:val="0"/>
                <w:color w:val="000000"/>
                <w:sz w:val="18"/>
                <w:szCs w:val="18"/>
                <w:lang w:eastAsia="cs-CZ"/>
              </w:rPr>
              <w:t>%</w:t>
            </w:r>
          </w:p>
        </w:tc>
      </w:tr>
      <w:tr w:rsidR="00E73ED3" w:rsidRPr="00E73ED3" w:rsidTr="00E73ED3">
        <w:trPr>
          <w:trHeight w:val="255"/>
          <w:jc w:val="center"/>
        </w:trPr>
        <w:tc>
          <w:tcPr>
            <w:tcW w:w="2951" w:type="dxa"/>
            <w:tcBorders>
              <w:top w:val="nil"/>
              <w:left w:val="single" w:sz="4" w:space="0" w:color="auto"/>
              <w:bottom w:val="nil"/>
              <w:right w:val="single" w:sz="4" w:space="0" w:color="auto"/>
            </w:tcBorders>
            <w:shd w:val="clear" w:color="auto" w:fill="auto"/>
            <w:noWrap/>
            <w:vAlign w:val="bottom"/>
            <w:hideMark/>
          </w:tcPr>
          <w:p w:rsidR="00E73ED3" w:rsidRPr="00E73ED3" w:rsidRDefault="00E73ED3" w:rsidP="00A45B5A">
            <w:pPr>
              <w:keepNext/>
              <w:keepLines/>
              <w:suppressAutoHyphens w:val="0"/>
              <w:rPr>
                <w:rFonts w:cs="Arial"/>
                <w:noProof w:val="0"/>
                <w:color w:val="000000"/>
                <w:sz w:val="18"/>
                <w:szCs w:val="18"/>
                <w:lang w:eastAsia="cs-CZ"/>
              </w:rPr>
            </w:pPr>
            <w:r w:rsidRPr="00E73ED3">
              <w:rPr>
                <w:rFonts w:cs="Arial"/>
                <w:noProof w:val="0"/>
                <w:color w:val="000000"/>
                <w:sz w:val="18"/>
                <w:szCs w:val="18"/>
                <w:lang w:eastAsia="cs-CZ"/>
              </w:rPr>
              <w:t>ve stejné obci</w:t>
            </w:r>
          </w:p>
        </w:tc>
        <w:tc>
          <w:tcPr>
            <w:tcW w:w="676"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6</w:t>
            </w:r>
            <w:r>
              <w:rPr>
                <w:rFonts w:cs="Arial"/>
                <w:noProof w:val="0"/>
                <w:color w:val="000000"/>
                <w:sz w:val="18"/>
                <w:szCs w:val="18"/>
                <w:lang w:eastAsia="cs-CZ"/>
              </w:rPr>
              <w:t xml:space="preserve"> </w:t>
            </w:r>
            <w:r w:rsidRPr="00E73ED3">
              <w:rPr>
                <w:rFonts w:cs="Arial"/>
                <w:noProof w:val="0"/>
                <w:color w:val="000000"/>
                <w:sz w:val="18"/>
                <w:szCs w:val="18"/>
                <w:lang w:eastAsia="cs-CZ"/>
              </w:rPr>
              <w:t>430</w:t>
            </w:r>
          </w:p>
        </w:tc>
        <w:tc>
          <w:tcPr>
            <w:tcW w:w="598"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71,3</w:t>
            </w:r>
          </w:p>
        </w:tc>
        <w:tc>
          <w:tcPr>
            <w:tcW w:w="676"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w:t>
            </w:r>
            <w:r>
              <w:rPr>
                <w:rFonts w:cs="Arial"/>
                <w:noProof w:val="0"/>
                <w:color w:val="000000"/>
                <w:sz w:val="18"/>
                <w:szCs w:val="18"/>
                <w:lang w:eastAsia="cs-CZ"/>
              </w:rPr>
              <w:t xml:space="preserve"> </w:t>
            </w:r>
            <w:r w:rsidRPr="00E73ED3">
              <w:rPr>
                <w:rFonts w:cs="Arial"/>
                <w:noProof w:val="0"/>
                <w:color w:val="000000"/>
                <w:sz w:val="18"/>
                <w:szCs w:val="18"/>
                <w:lang w:eastAsia="cs-CZ"/>
              </w:rPr>
              <w:t>881</w:t>
            </w:r>
          </w:p>
        </w:tc>
        <w:tc>
          <w:tcPr>
            <w:tcW w:w="598"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76,1</w:t>
            </w:r>
          </w:p>
        </w:tc>
        <w:tc>
          <w:tcPr>
            <w:tcW w:w="676"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8</w:t>
            </w:r>
            <w:r>
              <w:rPr>
                <w:rFonts w:cs="Arial"/>
                <w:noProof w:val="0"/>
                <w:color w:val="000000"/>
                <w:sz w:val="18"/>
                <w:szCs w:val="18"/>
                <w:lang w:eastAsia="cs-CZ"/>
              </w:rPr>
              <w:t xml:space="preserve"> </w:t>
            </w:r>
            <w:r w:rsidRPr="00E73ED3">
              <w:rPr>
                <w:rFonts w:cs="Arial"/>
                <w:noProof w:val="0"/>
                <w:color w:val="000000"/>
                <w:sz w:val="18"/>
                <w:szCs w:val="18"/>
                <w:lang w:eastAsia="cs-CZ"/>
              </w:rPr>
              <w:t>311</w:t>
            </w:r>
          </w:p>
        </w:tc>
        <w:tc>
          <w:tcPr>
            <w:tcW w:w="598"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72,3</w:t>
            </w:r>
          </w:p>
        </w:tc>
      </w:tr>
      <w:tr w:rsidR="00E73ED3" w:rsidRPr="00E73ED3" w:rsidTr="00E73ED3">
        <w:trPr>
          <w:trHeight w:val="255"/>
          <w:jc w:val="center"/>
        </w:trPr>
        <w:tc>
          <w:tcPr>
            <w:tcW w:w="2951" w:type="dxa"/>
            <w:tcBorders>
              <w:top w:val="nil"/>
              <w:left w:val="single" w:sz="4" w:space="0" w:color="auto"/>
              <w:bottom w:val="nil"/>
              <w:right w:val="single" w:sz="4" w:space="0" w:color="auto"/>
            </w:tcBorders>
            <w:shd w:val="clear" w:color="auto" w:fill="auto"/>
            <w:noWrap/>
            <w:vAlign w:val="bottom"/>
            <w:hideMark/>
          </w:tcPr>
          <w:p w:rsidR="00E73ED3" w:rsidRPr="00E73ED3" w:rsidRDefault="00E73ED3" w:rsidP="00A45B5A">
            <w:pPr>
              <w:keepNext/>
              <w:keepLines/>
              <w:suppressAutoHyphens w:val="0"/>
              <w:rPr>
                <w:rFonts w:cs="Arial"/>
                <w:noProof w:val="0"/>
                <w:color w:val="000000"/>
                <w:sz w:val="18"/>
                <w:szCs w:val="18"/>
                <w:lang w:eastAsia="cs-CZ"/>
              </w:rPr>
            </w:pPr>
            <w:r w:rsidRPr="00E73ED3">
              <w:rPr>
                <w:rFonts w:cs="Arial"/>
                <w:noProof w:val="0"/>
                <w:color w:val="000000"/>
                <w:sz w:val="18"/>
                <w:szCs w:val="18"/>
                <w:lang w:eastAsia="cs-CZ"/>
              </w:rPr>
              <w:t>v jiné obci stejného okresu</w:t>
            </w:r>
          </w:p>
        </w:tc>
        <w:tc>
          <w:tcPr>
            <w:tcW w:w="676"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959</w:t>
            </w:r>
          </w:p>
        </w:tc>
        <w:tc>
          <w:tcPr>
            <w:tcW w:w="598"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10,6</w:t>
            </w:r>
          </w:p>
        </w:tc>
        <w:tc>
          <w:tcPr>
            <w:tcW w:w="676"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210</w:t>
            </w:r>
          </w:p>
        </w:tc>
        <w:tc>
          <w:tcPr>
            <w:tcW w:w="598"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8,5</w:t>
            </w:r>
          </w:p>
        </w:tc>
        <w:tc>
          <w:tcPr>
            <w:tcW w:w="676"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w:t>
            </w:r>
            <w:r>
              <w:rPr>
                <w:rFonts w:cs="Arial"/>
                <w:noProof w:val="0"/>
                <w:color w:val="000000"/>
                <w:sz w:val="18"/>
                <w:szCs w:val="18"/>
                <w:lang w:eastAsia="cs-CZ"/>
              </w:rPr>
              <w:t xml:space="preserve"> </w:t>
            </w:r>
            <w:r w:rsidRPr="00E73ED3">
              <w:rPr>
                <w:rFonts w:cs="Arial"/>
                <w:noProof w:val="0"/>
                <w:color w:val="000000"/>
                <w:sz w:val="18"/>
                <w:szCs w:val="18"/>
                <w:lang w:eastAsia="cs-CZ"/>
              </w:rPr>
              <w:t>169</w:t>
            </w:r>
          </w:p>
        </w:tc>
        <w:tc>
          <w:tcPr>
            <w:tcW w:w="598"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10,2</w:t>
            </w:r>
          </w:p>
        </w:tc>
      </w:tr>
      <w:tr w:rsidR="00E73ED3" w:rsidRPr="00E73ED3" w:rsidTr="00E73ED3">
        <w:trPr>
          <w:trHeight w:val="255"/>
          <w:jc w:val="center"/>
        </w:trPr>
        <w:tc>
          <w:tcPr>
            <w:tcW w:w="2951" w:type="dxa"/>
            <w:tcBorders>
              <w:top w:val="nil"/>
              <w:left w:val="single" w:sz="4" w:space="0" w:color="auto"/>
              <w:bottom w:val="nil"/>
              <w:right w:val="single" w:sz="4" w:space="0" w:color="auto"/>
            </w:tcBorders>
            <w:shd w:val="clear" w:color="auto" w:fill="auto"/>
            <w:noWrap/>
            <w:vAlign w:val="bottom"/>
            <w:hideMark/>
          </w:tcPr>
          <w:p w:rsidR="00E73ED3" w:rsidRPr="00E73ED3" w:rsidRDefault="00E73ED3" w:rsidP="00A45B5A">
            <w:pPr>
              <w:keepNext/>
              <w:keepLines/>
              <w:suppressAutoHyphens w:val="0"/>
              <w:rPr>
                <w:rFonts w:cs="Arial"/>
                <w:noProof w:val="0"/>
                <w:color w:val="000000"/>
                <w:sz w:val="18"/>
                <w:szCs w:val="18"/>
                <w:lang w:eastAsia="cs-CZ"/>
              </w:rPr>
            </w:pPr>
            <w:r w:rsidRPr="00E73ED3">
              <w:rPr>
                <w:rFonts w:cs="Arial"/>
                <w:noProof w:val="0"/>
                <w:color w:val="000000"/>
                <w:sz w:val="18"/>
                <w:szCs w:val="18"/>
                <w:lang w:eastAsia="cs-CZ"/>
              </w:rPr>
              <w:t>v jiném okrese kraje</w:t>
            </w:r>
          </w:p>
        </w:tc>
        <w:tc>
          <w:tcPr>
            <w:tcW w:w="676"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517</w:t>
            </w:r>
          </w:p>
        </w:tc>
        <w:tc>
          <w:tcPr>
            <w:tcW w:w="598"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5,7</w:t>
            </w:r>
          </w:p>
        </w:tc>
        <w:tc>
          <w:tcPr>
            <w:tcW w:w="676"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137</w:t>
            </w:r>
          </w:p>
        </w:tc>
        <w:tc>
          <w:tcPr>
            <w:tcW w:w="598"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5,5</w:t>
            </w:r>
          </w:p>
        </w:tc>
        <w:tc>
          <w:tcPr>
            <w:tcW w:w="676"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654</w:t>
            </w:r>
          </w:p>
        </w:tc>
        <w:tc>
          <w:tcPr>
            <w:tcW w:w="598"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5,7</w:t>
            </w:r>
          </w:p>
        </w:tc>
      </w:tr>
      <w:tr w:rsidR="00E73ED3" w:rsidRPr="00E73ED3" w:rsidTr="00E73ED3">
        <w:trPr>
          <w:trHeight w:val="255"/>
          <w:jc w:val="center"/>
        </w:trPr>
        <w:tc>
          <w:tcPr>
            <w:tcW w:w="2951" w:type="dxa"/>
            <w:tcBorders>
              <w:top w:val="nil"/>
              <w:left w:val="single" w:sz="4" w:space="0" w:color="auto"/>
              <w:bottom w:val="nil"/>
              <w:right w:val="single" w:sz="4" w:space="0" w:color="auto"/>
            </w:tcBorders>
            <w:shd w:val="clear" w:color="auto" w:fill="auto"/>
            <w:noWrap/>
            <w:vAlign w:val="bottom"/>
            <w:hideMark/>
          </w:tcPr>
          <w:p w:rsidR="00E73ED3" w:rsidRPr="00E73ED3" w:rsidRDefault="00E73ED3" w:rsidP="00A45B5A">
            <w:pPr>
              <w:keepNext/>
              <w:keepLines/>
              <w:suppressAutoHyphens w:val="0"/>
              <w:rPr>
                <w:rFonts w:cs="Arial"/>
                <w:noProof w:val="0"/>
                <w:color w:val="000000"/>
                <w:sz w:val="18"/>
                <w:szCs w:val="18"/>
                <w:lang w:eastAsia="cs-CZ"/>
              </w:rPr>
            </w:pPr>
            <w:r w:rsidRPr="00E73ED3">
              <w:rPr>
                <w:rFonts w:cs="Arial"/>
                <w:noProof w:val="0"/>
                <w:color w:val="000000"/>
                <w:sz w:val="18"/>
                <w:szCs w:val="18"/>
                <w:lang w:eastAsia="cs-CZ"/>
              </w:rPr>
              <w:t>v jiném kraji</w:t>
            </w:r>
          </w:p>
        </w:tc>
        <w:tc>
          <w:tcPr>
            <w:tcW w:w="676"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959</w:t>
            </w:r>
          </w:p>
        </w:tc>
        <w:tc>
          <w:tcPr>
            <w:tcW w:w="598"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10,6</w:t>
            </w:r>
          </w:p>
        </w:tc>
        <w:tc>
          <w:tcPr>
            <w:tcW w:w="676"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205</w:t>
            </w:r>
          </w:p>
        </w:tc>
        <w:tc>
          <w:tcPr>
            <w:tcW w:w="598"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8,3</w:t>
            </w:r>
          </w:p>
        </w:tc>
        <w:tc>
          <w:tcPr>
            <w:tcW w:w="676"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w:t>
            </w:r>
            <w:r>
              <w:rPr>
                <w:rFonts w:cs="Arial"/>
                <w:noProof w:val="0"/>
                <w:color w:val="000000"/>
                <w:sz w:val="18"/>
                <w:szCs w:val="18"/>
                <w:lang w:eastAsia="cs-CZ"/>
              </w:rPr>
              <w:t xml:space="preserve"> </w:t>
            </w:r>
            <w:r w:rsidRPr="00E73ED3">
              <w:rPr>
                <w:rFonts w:cs="Arial"/>
                <w:noProof w:val="0"/>
                <w:color w:val="000000"/>
                <w:sz w:val="18"/>
                <w:szCs w:val="18"/>
                <w:lang w:eastAsia="cs-CZ"/>
              </w:rPr>
              <w:t>164</w:t>
            </w:r>
          </w:p>
        </w:tc>
        <w:tc>
          <w:tcPr>
            <w:tcW w:w="598" w:type="dxa"/>
            <w:tcBorders>
              <w:top w:val="nil"/>
              <w:left w:val="nil"/>
              <w:bottom w:val="nil"/>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10,1</w:t>
            </w:r>
          </w:p>
        </w:tc>
      </w:tr>
      <w:tr w:rsidR="00E73ED3" w:rsidRPr="00E73ED3" w:rsidTr="00E73ED3">
        <w:trPr>
          <w:trHeight w:val="255"/>
          <w:jc w:val="center"/>
        </w:trPr>
        <w:tc>
          <w:tcPr>
            <w:tcW w:w="2951" w:type="dxa"/>
            <w:tcBorders>
              <w:top w:val="nil"/>
              <w:left w:val="single" w:sz="4" w:space="0" w:color="auto"/>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rPr>
                <w:rFonts w:cs="Arial"/>
                <w:noProof w:val="0"/>
                <w:color w:val="000000"/>
                <w:sz w:val="18"/>
                <w:szCs w:val="18"/>
                <w:lang w:eastAsia="cs-CZ"/>
              </w:rPr>
            </w:pPr>
            <w:r w:rsidRPr="00E73ED3">
              <w:rPr>
                <w:rFonts w:cs="Arial"/>
                <w:noProof w:val="0"/>
                <w:color w:val="000000"/>
                <w:sz w:val="18"/>
                <w:szCs w:val="18"/>
                <w:lang w:eastAsia="cs-CZ"/>
              </w:rPr>
              <w:t xml:space="preserve">bez </w:t>
            </w:r>
            <w:proofErr w:type="spellStart"/>
            <w:r w:rsidRPr="00E73ED3">
              <w:rPr>
                <w:rFonts w:cs="Arial"/>
                <w:noProof w:val="0"/>
                <w:color w:val="000000"/>
                <w:sz w:val="18"/>
                <w:szCs w:val="18"/>
                <w:lang w:eastAsia="cs-CZ"/>
              </w:rPr>
              <w:t>trv</w:t>
            </w:r>
            <w:proofErr w:type="spellEnd"/>
            <w:r w:rsidRPr="00E73ED3">
              <w:rPr>
                <w:rFonts w:cs="Arial"/>
                <w:noProof w:val="0"/>
                <w:color w:val="000000"/>
                <w:sz w:val="18"/>
                <w:szCs w:val="18"/>
                <w:lang w:eastAsia="cs-CZ"/>
              </w:rPr>
              <w:t>. pobytu</w:t>
            </w:r>
          </w:p>
        </w:tc>
        <w:tc>
          <w:tcPr>
            <w:tcW w:w="676" w:type="dxa"/>
            <w:tcBorders>
              <w:top w:val="nil"/>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158</w:t>
            </w:r>
          </w:p>
        </w:tc>
        <w:tc>
          <w:tcPr>
            <w:tcW w:w="598" w:type="dxa"/>
            <w:tcBorders>
              <w:top w:val="nil"/>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1,8</w:t>
            </w:r>
          </w:p>
        </w:tc>
        <w:tc>
          <w:tcPr>
            <w:tcW w:w="676" w:type="dxa"/>
            <w:tcBorders>
              <w:top w:val="nil"/>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40</w:t>
            </w:r>
          </w:p>
        </w:tc>
        <w:tc>
          <w:tcPr>
            <w:tcW w:w="598" w:type="dxa"/>
            <w:tcBorders>
              <w:top w:val="nil"/>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1,6</w:t>
            </w:r>
          </w:p>
        </w:tc>
        <w:tc>
          <w:tcPr>
            <w:tcW w:w="676" w:type="dxa"/>
            <w:tcBorders>
              <w:top w:val="nil"/>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198</w:t>
            </w:r>
          </w:p>
        </w:tc>
        <w:tc>
          <w:tcPr>
            <w:tcW w:w="598" w:type="dxa"/>
            <w:tcBorders>
              <w:top w:val="nil"/>
              <w:left w:val="nil"/>
              <w:bottom w:val="single" w:sz="4" w:space="0" w:color="auto"/>
              <w:right w:val="single" w:sz="4" w:space="0" w:color="auto"/>
            </w:tcBorders>
            <w:shd w:val="clear" w:color="auto" w:fill="auto"/>
            <w:noWrap/>
            <w:vAlign w:val="bottom"/>
            <w:hideMark/>
          </w:tcPr>
          <w:p w:rsidR="00E73ED3" w:rsidRPr="00E73ED3" w:rsidRDefault="00E73ED3" w:rsidP="00A45B5A">
            <w:pPr>
              <w:keepNext/>
              <w:keepLines/>
              <w:suppressAutoHyphens w:val="0"/>
              <w:jc w:val="right"/>
              <w:rPr>
                <w:rFonts w:cs="Arial"/>
                <w:noProof w:val="0"/>
                <w:color w:val="000000"/>
                <w:sz w:val="18"/>
                <w:szCs w:val="18"/>
                <w:lang w:eastAsia="cs-CZ"/>
              </w:rPr>
            </w:pPr>
            <w:r w:rsidRPr="00E73ED3">
              <w:rPr>
                <w:rFonts w:cs="Arial"/>
                <w:noProof w:val="0"/>
                <w:color w:val="000000"/>
                <w:sz w:val="18"/>
                <w:szCs w:val="18"/>
                <w:lang w:eastAsia="cs-CZ"/>
              </w:rPr>
              <w:t>1,7</w:t>
            </w:r>
          </w:p>
        </w:tc>
      </w:tr>
    </w:tbl>
    <w:p w:rsidR="00920338" w:rsidRDefault="00920338" w:rsidP="00E73ED3">
      <w:pPr>
        <w:pStyle w:val="Textodstavce"/>
        <w:tabs>
          <w:tab w:val="clear" w:pos="720"/>
        </w:tabs>
        <w:spacing w:line="276" w:lineRule="auto"/>
        <w:ind w:left="0" w:firstLine="0"/>
        <w:rPr>
          <w:rFonts w:ascii="Arial" w:hAnsi="Arial" w:cs="Arial"/>
          <w:sz w:val="20"/>
        </w:rPr>
      </w:pPr>
    </w:p>
    <w:p w:rsidR="00572B3A" w:rsidRDefault="00E73ED3" w:rsidP="00E73ED3">
      <w:pPr>
        <w:pStyle w:val="Textodstavce"/>
        <w:tabs>
          <w:tab w:val="clear" w:pos="720"/>
        </w:tabs>
        <w:spacing w:line="276" w:lineRule="auto"/>
        <w:ind w:left="0" w:firstLine="0"/>
        <w:rPr>
          <w:rFonts w:ascii="Arial" w:hAnsi="Arial" w:cs="Arial"/>
          <w:sz w:val="20"/>
        </w:rPr>
      </w:pPr>
      <w:r w:rsidRPr="00E73ED3">
        <w:rPr>
          <w:rFonts w:ascii="Arial" w:hAnsi="Arial" w:cs="Arial"/>
          <w:sz w:val="20"/>
        </w:rPr>
        <w:t>Charakteristickým rysem byl u bezdomovců i vysoký podíl osob s trvalým bydlištěm na ohlašovně. Zatímco v populaci celkem mělo z počtu obyvatel s obvyklým pobytem adresu trvalého bydliště na ohlašovně 0,2 % osob, u bezdomovců to bylo 16 %. Ztráta</w:t>
      </w:r>
      <w:r w:rsidR="00572B3A">
        <w:rPr>
          <w:rFonts w:ascii="Arial" w:hAnsi="Arial" w:cs="Arial"/>
          <w:sz w:val="20"/>
        </w:rPr>
        <w:t xml:space="preserve"> původního stálého</w:t>
      </w:r>
      <w:r w:rsidRPr="00E73ED3">
        <w:rPr>
          <w:rFonts w:ascii="Arial" w:hAnsi="Arial" w:cs="Arial"/>
          <w:sz w:val="20"/>
        </w:rPr>
        <w:t xml:space="preserve"> bydliště patří obecně k nejčastějším příčinám  bezdomovectví. </w:t>
      </w:r>
    </w:p>
    <w:p w:rsidR="00B679F7" w:rsidRDefault="00E73ED3" w:rsidP="00E73ED3">
      <w:pPr>
        <w:pStyle w:val="Textodstavce"/>
        <w:tabs>
          <w:tab w:val="clear" w:pos="720"/>
        </w:tabs>
        <w:spacing w:line="276" w:lineRule="auto"/>
        <w:ind w:left="0" w:firstLine="0"/>
        <w:rPr>
          <w:rFonts w:ascii="Arial" w:hAnsi="Arial" w:cs="Arial"/>
          <w:sz w:val="20"/>
        </w:rPr>
      </w:pPr>
      <w:r w:rsidRPr="00E73ED3">
        <w:rPr>
          <w:rFonts w:ascii="Arial" w:hAnsi="Arial" w:cs="Arial"/>
          <w:sz w:val="20"/>
        </w:rPr>
        <w:t>Údaje o bydlišti před rokem dávají zprostředkovanou informaci o délce bezdomovectví a o migraci těchto osob. U poloviny bezdomovců bylo zjištěno, že byli ve stejném regionu i před rokem. Dvě pětiny bezdomovců otázku na bydliště před rokem nezodpověděly.</w:t>
      </w:r>
    </w:p>
    <w:p w:rsidR="00B679F7" w:rsidRDefault="00B679F7" w:rsidP="00B679F7">
      <w:pPr>
        <w:spacing w:line="276" w:lineRule="auto"/>
        <w:rPr>
          <w:b/>
          <w:bCs/>
          <w:sz w:val="20"/>
          <w:szCs w:val="20"/>
        </w:rPr>
      </w:pPr>
      <w:r w:rsidRPr="001770AA">
        <w:rPr>
          <w:b/>
          <w:sz w:val="20"/>
          <w:szCs w:val="20"/>
        </w:rPr>
        <w:t xml:space="preserve">Graf č. </w:t>
      </w:r>
      <w:r>
        <w:rPr>
          <w:b/>
          <w:sz w:val="20"/>
          <w:szCs w:val="20"/>
        </w:rPr>
        <w:t xml:space="preserve">19 Bezdomovci podle věku </w:t>
      </w:r>
      <w:r w:rsidRPr="001770AA">
        <w:rPr>
          <w:b/>
          <w:bCs/>
          <w:sz w:val="20"/>
          <w:szCs w:val="20"/>
        </w:rPr>
        <w:t>k 26.</w:t>
      </w:r>
      <w:r>
        <w:rPr>
          <w:b/>
          <w:bCs/>
          <w:sz w:val="20"/>
          <w:szCs w:val="20"/>
        </w:rPr>
        <w:t xml:space="preserve"> </w:t>
      </w:r>
      <w:r w:rsidRPr="001770AA">
        <w:rPr>
          <w:b/>
          <w:bCs/>
          <w:sz w:val="20"/>
          <w:szCs w:val="20"/>
        </w:rPr>
        <w:t>3.</w:t>
      </w:r>
      <w:r>
        <w:rPr>
          <w:b/>
          <w:bCs/>
          <w:sz w:val="20"/>
          <w:szCs w:val="20"/>
        </w:rPr>
        <w:t xml:space="preserve"> </w:t>
      </w:r>
      <w:r w:rsidRPr="001770AA">
        <w:rPr>
          <w:b/>
          <w:bCs/>
          <w:sz w:val="20"/>
          <w:szCs w:val="20"/>
        </w:rPr>
        <w:t>2011</w:t>
      </w:r>
    </w:p>
    <w:p w:rsidR="0051354C" w:rsidRDefault="00EF5C39" w:rsidP="002714B1">
      <w:pPr>
        <w:spacing w:line="276" w:lineRule="auto"/>
        <w:rPr>
          <w:rFonts w:cs="Arial"/>
          <w:sz w:val="20"/>
        </w:rPr>
      </w:pPr>
      <w:r w:rsidRPr="00EF5C39">
        <w:rPr>
          <w:b/>
          <w:bCs/>
          <w:sz w:val="20"/>
          <w:szCs w:val="20"/>
          <w:lang w:eastAsia="cs-CZ"/>
        </w:rPr>
        <w:drawing>
          <wp:anchor distT="0" distB="0" distL="114300" distR="114300" simplePos="0" relativeHeight="251678720" behindDoc="0" locked="0" layoutInCell="1" allowOverlap="1">
            <wp:simplePos x="0" y="0"/>
            <wp:positionH relativeFrom="column">
              <wp:posOffset>20320</wp:posOffset>
            </wp:positionH>
            <wp:positionV relativeFrom="paragraph">
              <wp:posOffset>3175</wp:posOffset>
            </wp:positionV>
            <wp:extent cx="3324225" cy="2257425"/>
            <wp:effectExtent l="19050" t="0" r="9525" b="0"/>
            <wp:wrapSquare wrapText="bothSides"/>
            <wp:docPr id="2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73ED3" w:rsidRPr="00E73ED3">
        <w:rPr>
          <w:rFonts w:cs="Arial"/>
          <w:sz w:val="20"/>
        </w:rPr>
        <w:t xml:space="preserve"> </w:t>
      </w:r>
      <w:r w:rsidR="0051354C">
        <w:rPr>
          <w:rFonts w:cs="Arial"/>
          <w:sz w:val="20"/>
        </w:rPr>
        <w:t>Základní charakteristiky bezdomovců byly poplatné zařízením, prostřednictvím kterých byli sečteni. Např. poměrně značný počet zařízení pro matky s dětmi ovlivnil strukturu podle pohlaví a věku. Počet žen ve skupině osob bez domova činil 22 %, ve struktuře podle věku se objevily i děti, např. 300 dětí ve věku 0-9 let (2,6 % z počtu sečtených bezdomovců).</w:t>
      </w:r>
      <w:r w:rsidR="00920338">
        <w:rPr>
          <w:rFonts w:cs="Arial"/>
          <w:sz w:val="20"/>
        </w:rPr>
        <w:t xml:space="preserve"> </w:t>
      </w:r>
      <w:r w:rsidR="0051354C">
        <w:rPr>
          <w:rFonts w:cs="Arial"/>
          <w:sz w:val="20"/>
        </w:rPr>
        <w:t>Z věkové struktury je zřejmá vyrovnanost zastoupení desetiletých věkových skupin, zejména mezi 20 a 50 lety. U mužů byla nejpočetněji zastoupena věková kategorie 40-49 let, u žen 20-29 let. Okrajovými kategoriemi byly nejnižší (do 14 let) a nejvyšší (nad 65 let) věkové skupiny.</w:t>
      </w:r>
    </w:p>
    <w:p w:rsidR="0051354C" w:rsidRDefault="0051354C" w:rsidP="00572B3A">
      <w:pPr>
        <w:pStyle w:val="Textodstavce"/>
        <w:tabs>
          <w:tab w:val="clear" w:pos="720"/>
        </w:tabs>
        <w:spacing w:line="276" w:lineRule="auto"/>
        <w:ind w:left="0" w:firstLine="0"/>
        <w:rPr>
          <w:rFonts w:ascii="Arial" w:hAnsi="Arial" w:cs="Arial"/>
          <w:sz w:val="20"/>
        </w:rPr>
      </w:pPr>
      <w:r>
        <w:rPr>
          <w:rFonts w:ascii="Arial" w:hAnsi="Arial" w:cs="Arial"/>
          <w:sz w:val="20"/>
        </w:rPr>
        <w:t xml:space="preserve">Podíl svobodných z celkového počtu sečtených bezdomovců se blížil polovině, dvě pětiny připadly na rozvedené. Dokumentuje to tedy předpoklad, že do krizových životních situací se dostávají spíše osoby bez rodinného zázemí resp. osoby, které o toto zázemí z různých důvodů přišly. Proporčně platilo toto rozložení jak pro ženy, tak pro muže. U žen bylo ale méně svobodných (44 % proti 50 % u mužů), méně rozvedených a naopak dvojnásobný podíl vdaných (16 %) proti ženatým mužům (8 %). </w:t>
      </w:r>
    </w:p>
    <w:p w:rsidR="0051354C" w:rsidRDefault="0051354C" w:rsidP="00572B3A">
      <w:pPr>
        <w:pStyle w:val="Textodstavce"/>
        <w:tabs>
          <w:tab w:val="clear" w:pos="720"/>
        </w:tabs>
        <w:spacing w:line="276" w:lineRule="auto"/>
        <w:ind w:left="0" w:firstLine="0"/>
        <w:rPr>
          <w:rFonts w:ascii="Arial" w:hAnsi="Arial" w:cs="Arial"/>
          <w:sz w:val="20"/>
        </w:rPr>
      </w:pPr>
      <w:r>
        <w:rPr>
          <w:rFonts w:ascii="Arial" w:hAnsi="Arial" w:cs="Arial"/>
          <w:sz w:val="20"/>
        </w:rPr>
        <w:t>Většina sečtených bezdomovců byla českými státními občany, pouze 332 osob uvedlo jiné státní občanství, z nich pak 157 státní občanství Slovenska.</w:t>
      </w:r>
    </w:p>
    <w:p w:rsidR="0051354C" w:rsidRDefault="0051354C" w:rsidP="00572B3A">
      <w:pPr>
        <w:pStyle w:val="Normln-web"/>
        <w:spacing w:line="276" w:lineRule="auto"/>
        <w:rPr>
          <w:sz w:val="20"/>
          <w:szCs w:val="20"/>
        </w:rPr>
      </w:pPr>
      <w:r>
        <w:rPr>
          <w:sz w:val="20"/>
          <w:szCs w:val="20"/>
        </w:rPr>
        <w:t xml:space="preserve">Rovněž ekonomická aktivita bezdomovců byla poplatná způsobu sečtení prostřednictvím azylových zařízení. Převaha osob nezaměstnaných nebo ekonomicky neaktivních byla očekávaná, přesto údaj o podílu pracujících bezdomovců (29 %) byl neočekávaně vysoký. Z počtu bezdomovců v produktivním věku (15-64 let) pracovalo více než 31 %. Tento podíl je zhruba poloviční ve srovnání s podílem pracujících osob v produktivním věku v populaci celkem. Téměř třetina pracujících sečtených bezdomovců souvisí </w:t>
      </w:r>
      <w:r>
        <w:rPr>
          <w:sz w:val="20"/>
          <w:szCs w:val="20"/>
        </w:rPr>
        <w:lastRenderedPageBreak/>
        <w:t>pravděpodobně s typy zařízení, prostřednictvím kterých byly tyto osoby sečteny. Zařízení poskytující ubytování vyžadují většinou spoluúčast (byť minimální) při financování poskytovaných služeb, proto tato zařízení vyhledávají zejména osoby, které se snaží svou tíživou životní situaci řešit a mají-li příležitost, pracují.</w:t>
      </w:r>
    </w:p>
    <w:p w:rsidR="0051354C" w:rsidRDefault="0051354C" w:rsidP="0051354C">
      <w:pPr>
        <w:pStyle w:val="Normln-web"/>
        <w:rPr>
          <w:sz w:val="20"/>
          <w:szCs w:val="20"/>
        </w:rPr>
      </w:pPr>
    </w:p>
    <w:tbl>
      <w:tblPr>
        <w:tblW w:w="9087" w:type="dxa"/>
        <w:tblInd w:w="55" w:type="dxa"/>
        <w:tblLayout w:type="fixed"/>
        <w:tblCellMar>
          <w:left w:w="70" w:type="dxa"/>
          <w:right w:w="70" w:type="dxa"/>
        </w:tblCellMar>
        <w:tblLook w:val="04A0"/>
      </w:tblPr>
      <w:tblGrid>
        <w:gridCol w:w="1754"/>
        <w:gridCol w:w="1213"/>
        <w:gridCol w:w="1017"/>
        <w:gridCol w:w="1134"/>
        <w:gridCol w:w="993"/>
        <w:gridCol w:w="1134"/>
        <w:gridCol w:w="992"/>
        <w:gridCol w:w="850"/>
      </w:tblGrid>
      <w:tr w:rsidR="0051354C" w:rsidRPr="00572B3A" w:rsidTr="00851E06">
        <w:trPr>
          <w:trHeight w:val="255"/>
        </w:trPr>
        <w:tc>
          <w:tcPr>
            <w:tcW w:w="9087" w:type="dxa"/>
            <w:gridSpan w:val="8"/>
            <w:tcBorders>
              <w:top w:val="nil"/>
              <w:left w:val="nil"/>
              <w:bottom w:val="nil"/>
              <w:right w:val="nil"/>
            </w:tcBorders>
            <w:shd w:val="clear" w:color="auto" w:fill="auto"/>
            <w:noWrap/>
            <w:vAlign w:val="bottom"/>
            <w:hideMark/>
          </w:tcPr>
          <w:p w:rsidR="0051354C" w:rsidRPr="00A45B5A" w:rsidRDefault="00760C72" w:rsidP="00760C72">
            <w:pPr>
              <w:rPr>
                <w:rFonts w:cs="Arial"/>
                <w:b/>
                <w:color w:val="000000"/>
                <w:sz w:val="20"/>
                <w:szCs w:val="20"/>
              </w:rPr>
            </w:pPr>
            <w:r>
              <w:rPr>
                <w:rFonts w:cs="Arial"/>
                <w:b/>
                <w:bCs/>
                <w:sz w:val="20"/>
                <w:szCs w:val="20"/>
              </w:rPr>
              <w:t xml:space="preserve">Tab. č. 16  </w:t>
            </w:r>
            <w:r w:rsidR="0051354C" w:rsidRPr="00A45B5A">
              <w:rPr>
                <w:rFonts w:cs="Arial"/>
                <w:b/>
                <w:color w:val="000000"/>
                <w:sz w:val="20"/>
                <w:szCs w:val="20"/>
              </w:rPr>
              <w:t>Bezdomovci podle ekonomické aktivity a postavení v zaměstnání k 26.</w:t>
            </w:r>
            <w:r>
              <w:rPr>
                <w:rFonts w:cs="Arial"/>
                <w:b/>
                <w:color w:val="000000"/>
                <w:sz w:val="20"/>
                <w:szCs w:val="20"/>
              </w:rPr>
              <w:t xml:space="preserve"> </w:t>
            </w:r>
            <w:r w:rsidR="0051354C" w:rsidRPr="00A45B5A">
              <w:rPr>
                <w:rFonts w:cs="Arial"/>
                <w:b/>
                <w:color w:val="000000"/>
                <w:sz w:val="20"/>
                <w:szCs w:val="20"/>
              </w:rPr>
              <w:t>3.</w:t>
            </w:r>
            <w:r>
              <w:rPr>
                <w:rFonts w:cs="Arial"/>
                <w:b/>
                <w:color w:val="000000"/>
                <w:sz w:val="20"/>
                <w:szCs w:val="20"/>
              </w:rPr>
              <w:t xml:space="preserve"> </w:t>
            </w:r>
            <w:r w:rsidR="0051354C" w:rsidRPr="00A45B5A">
              <w:rPr>
                <w:rFonts w:cs="Arial"/>
                <w:b/>
                <w:color w:val="000000"/>
                <w:sz w:val="20"/>
                <w:szCs w:val="20"/>
              </w:rPr>
              <w:t>2011</w:t>
            </w:r>
          </w:p>
        </w:tc>
      </w:tr>
      <w:tr w:rsidR="0051354C" w:rsidRPr="00572B3A" w:rsidTr="00851E06">
        <w:trPr>
          <w:trHeight w:val="255"/>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4C" w:rsidRPr="00572B3A" w:rsidRDefault="0051354C" w:rsidP="00851E06">
            <w:pPr>
              <w:jc w:val="center"/>
              <w:rPr>
                <w:rFonts w:cs="Arial"/>
                <w:color w:val="000000"/>
                <w:sz w:val="18"/>
                <w:szCs w:val="18"/>
              </w:rPr>
            </w:pPr>
            <w:r w:rsidRPr="00572B3A">
              <w:rPr>
                <w:rFonts w:cs="Arial"/>
                <w:color w:val="000000"/>
                <w:sz w:val="18"/>
                <w:szCs w:val="18"/>
              </w:rPr>
              <w:t> </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54C" w:rsidRPr="00572B3A" w:rsidRDefault="0051354C" w:rsidP="00851E06">
            <w:pPr>
              <w:jc w:val="center"/>
              <w:rPr>
                <w:rFonts w:cs="Arial"/>
                <w:color w:val="000000"/>
                <w:sz w:val="18"/>
                <w:szCs w:val="18"/>
              </w:rPr>
            </w:pPr>
            <w:r w:rsidRPr="00572B3A">
              <w:rPr>
                <w:rFonts w:cs="Arial"/>
                <w:color w:val="000000"/>
                <w:sz w:val="18"/>
                <w:szCs w:val="18"/>
              </w:rPr>
              <w:t>Bezdomovci celkem</w:t>
            </w:r>
          </w:p>
        </w:tc>
        <w:tc>
          <w:tcPr>
            <w:tcW w:w="3144" w:type="dxa"/>
            <w:gridSpan w:val="3"/>
            <w:tcBorders>
              <w:top w:val="single" w:sz="4" w:space="0" w:color="auto"/>
              <w:left w:val="nil"/>
              <w:bottom w:val="single" w:sz="4" w:space="0" w:color="auto"/>
              <w:right w:val="single" w:sz="4" w:space="0" w:color="auto"/>
            </w:tcBorders>
            <w:shd w:val="clear" w:color="auto" w:fill="auto"/>
            <w:vAlign w:val="center"/>
            <w:hideMark/>
          </w:tcPr>
          <w:p w:rsidR="0051354C" w:rsidRPr="00572B3A" w:rsidRDefault="0051354C" w:rsidP="00851E06">
            <w:pPr>
              <w:jc w:val="center"/>
              <w:rPr>
                <w:rFonts w:cs="Arial"/>
                <w:color w:val="000000"/>
                <w:sz w:val="18"/>
                <w:szCs w:val="18"/>
              </w:rPr>
            </w:pPr>
            <w:r w:rsidRPr="00572B3A">
              <w:rPr>
                <w:rFonts w:cs="Arial"/>
                <w:color w:val="000000"/>
                <w:sz w:val="18"/>
                <w:szCs w:val="18"/>
              </w:rPr>
              <w:t>Ekonomicky aktivní</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54C" w:rsidRPr="00572B3A" w:rsidRDefault="0051354C" w:rsidP="00851E06">
            <w:pPr>
              <w:jc w:val="center"/>
              <w:rPr>
                <w:rFonts w:cs="Arial"/>
                <w:color w:val="000000"/>
                <w:sz w:val="18"/>
                <w:szCs w:val="18"/>
              </w:rPr>
            </w:pPr>
            <w:r w:rsidRPr="00572B3A">
              <w:rPr>
                <w:rFonts w:cs="Arial"/>
                <w:color w:val="000000"/>
                <w:sz w:val="18"/>
                <w:szCs w:val="18"/>
              </w:rPr>
              <w:t>Ekonomicky neaktivní</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54C" w:rsidRPr="00572B3A" w:rsidRDefault="0051354C" w:rsidP="00851E06">
            <w:pPr>
              <w:jc w:val="center"/>
              <w:rPr>
                <w:rFonts w:cs="Arial"/>
                <w:color w:val="000000"/>
                <w:sz w:val="18"/>
                <w:szCs w:val="18"/>
              </w:rPr>
            </w:pPr>
            <w:r w:rsidRPr="00572B3A">
              <w:rPr>
                <w:rFonts w:cs="Arial"/>
                <w:color w:val="000000"/>
                <w:sz w:val="18"/>
                <w:szCs w:val="18"/>
              </w:rPr>
              <w:t xml:space="preserve">z toho </w:t>
            </w:r>
            <w:r w:rsidRPr="00572B3A">
              <w:rPr>
                <w:rFonts w:cs="Arial"/>
                <w:color w:val="000000"/>
                <w:sz w:val="18"/>
                <w:szCs w:val="18"/>
              </w:rPr>
              <w:br/>
              <w:t>neprac. důchodci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54C" w:rsidRPr="00572B3A" w:rsidRDefault="0051354C" w:rsidP="00851E06">
            <w:pPr>
              <w:jc w:val="center"/>
              <w:rPr>
                <w:rFonts w:cs="Arial"/>
                <w:color w:val="000000"/>
                <w:sz w:val="18"/>
                <w:szCs w:val="18"/>
              </w:rPr>
            </w:pPr>
            <w:r w:rsidRPr="00572B3A">
              <w:rPr>
                <w:rFonts w:cs="Arial"/>
                <w:color w:val="000000"/>
                <w:sz w:val="18"/>
                <w:szCs w:val="18"/>
              </w:rPr>
              <w:t>Nezj. ekon. aktivita</w:t>
            </w:r>
          </w:p>
        </w:tc>
      </w:tr>
      <w:tr w:rsidR="0051354C" w:rsidRPr="00572B3A" w:rsidTr="00851E06">
        <w:trPr>
          <w:trHeight w:val="795"/>
        </w:trPr>
        <w:tc>
          <w:tcPr>
            <w:tcW w:w="1754" w:type="dxa"/>
            <w:vMerge/>
            <w:tcBorders>
              <w:top w:val="single" w:sz="4" w:space="0" w:color="auto"/>
              <w:left w:val="single" w:sz="4" w:space="0" w:color="auto"/>
              <w:bottom w:val="single" w:sz="4" w:space="0" w:color="auto"/>
              <w:right w:val="single" w:sz="4" w:space="0" w:color="auto"/>
            </w:tcBorders>
            <w:vAlign w:val="center"/>
            <w:hideMark/>
          </w:tcPr>
          <w:p w:rsidR="0051354C" w:rsidRPr="00572B3A" w:rsidRDefault="0051354C" w:rsidP="00851E06">
            <w:pPr>
              <w:rPr>
                <w:rFonts w:cs="Arial"/>
                <w:color w:val="000000"/>
                <w:sz w:val="18"/>
                <w:szCs w:val="18"/>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51354C" w:rsidRPr="00572B3A" w:rsidRDefault="0051354C" w:rsidP="00851E06">
            <w:pPr>
              <w:rPr>
                <w:rFonts w:cs="Arial"/>
                <w:color w:val="000000"/>
                <w:sz w:val="18"/>
                <w:szCs w:val="18"/>
              </w:rPr>
            </w:pPr>
          </w:p>
        </w:tc>
        <w:tc>
          <w:tcPr>
            <w:tcW w:w="1017" w:type="dxa"/>
            <w:tcBorders>
              <w:top w:val="nil"/>
              <w:left w:val="nil"/>
              <w:bottom w:val="single" w:sz="4" w:space="0" w:color="auto"/>
              <w:right w:val="single" w:sz="4" w:space="0" w:color="auto"/>
            </w:tcBorders>
            <w:shd w:val="clear" w:color="auto" w:fill="auto"/>
            <w:vAlign w:val="center"/>
            <w:hideMark/>
          </w:tcPr>
          <w:p w:rsidR="0051354C" w:rsidRPr="00572B3A" w:rsidRDefault="0051354C" w:rsidP="00851E06">
            <w:pPr>
              <w:jc w:val="center"/>
              <w:rPr>
                <w:rFonts w:cs="Arial"/>
                <w:color w:val="000000"/>
                <w:sz w:val="18"/>
                <w:szCs w:val="18"/>
              </w:rPr>
            </w:pPr>
            <w:r w:rsidRPr="00572B3A">
              <w:rPr>
                <w:rFonts w:cs="Arial"/>
                <w:color w:val="000000"/>
                <w:sz w:val="18"/>
                <w:szCs w:val="18"/>
              </w:rPr>
              <w:t>Pracující</w:t>
            </w:r>
          </w:p>
        </w:tc>
        <w:tc>
          <w:tcPr>
            <w:tcW w:w="1134" w:type="dxa"/>
            <w:tcBorders>
              <w:top w:val="nil"/>
              <w:left w:val="nil"/>
              <w:bottom w:val="single" w:sz="4" w:space="0" w:color="auto"/>
              <w:right w:val="single" w:sz="4" w:space="0" w:color="auto"/>
            </w:tcBorders>
            <w:shd w:val="clear" w:color="auto" w:fill="auto"/>
            <w:vAlign w:val="center"/>
            <w:hideMark/>
          </w:tcPr>
          <w:p w:rsidR="0051354C" w:rsidRPr="00572B3A" w:rsidRDefault="0051354C" w:rsidP="00851E06">
            <w:pPr>
              <w:jc w:val="center"/>
              <w:rPr>
                <w:rFonts w:cs="Arial"/>
                <w:color w:val="000000"/>
                <w:sz w:val="18"/>
                <w:szCs w:val="18"/>
              </w:rPr>
            </w:pPr>
            <w:r w:rsidRPr="00572B3A">
              <w:rPr>
                <w:rFonts w:cs="Arial"/>
                <w:color w:val="000000"/>
                <w:sz w:val="18"/>
                <w:szCs w:val="18"/>
              </w:rPr>
              <w:t xml:space="preserve">z toho </w:t>
            </w:r>
            <w:r w:rsidRPr="00572B3A">
              <w:rPr>
                <w:rFonts w:cs="Arial"/>
                <w:color w:val="000000"/>
                <w:sz w:val="18"/>
                <w:szCs w:val="18"/>
              </w:rPr>
              <w:br/>
              <w:t>v pozici zaměst--nance</w:t>
            </w:r>
          </w:p>
        </w:tc>
        <w:tc>
          <w:tcPr>
            <w:tcW w:w="993" w:type="dxa"/>
            <w:tcBorders>
              <w:top w:val="nil"/>
              <w:left w:val="nil"/>
              <w:bottom w:val="single" w:sz="4" w:space="0" w:color="auto"/>
              <w:right w:val="single" w:sz="4" w:space="0" w:color="auto"/>
            </w:tcBorders>
            <w:shd w:val="clear" w:color="auto" w:fill="auto"/>
            <w:vAlign w:val="center"/>
            <w:hideMark/>
          </w:tcPr>
          <w:p w:rsidR="0051354C" w:rsidRPr="00572B3A" w:rsidRDefault="0051354C" w:rsidP="00851E06">
            <w:pPr>
              <w:jc w:val="center"/>
              <w:rPr>
                <w:rFonts w:cs="Arial"/>
                <w:color w:val="000000"/>
                <w:sz w:val="18"/>
                <w:szCs w:val="18"/>
              </w:rPr>
            </w:pPr>
            <w:r w:rsidRPr="00572B3A">
              <w:rPr>
                <w:rFonts w:cs="Arial"/>
                <w:color w:val="000000"/>
                <w:sz w:val="18"/>
                <w:szCs w:val="18"/>
              </w:rPr>
              <w:t>Neza</w:t>
            </w:r>
            <w:r w:rsidR="00572B3A" w:rsidRPr="00572B3A">
              <w:rPr>
                <w:rFonts w:cs="Arial"/>
                <w:color w:val="000000"/>
                <w:sz w:val="18"/>
                <w:szCs w:val="18"/>
              </w:rPr>
              <w:t>--</w:t>
            </w:r>
            <w:r w:rsidRPr="00572B3A">
              <w:rPr>
                <w:rFonts w:cs="Arial"/>
                <w:color w:val="000000"/>
                <w:sz w:val="18"/>
                <w:szCs w:val="18"/>
              </w:rPr>
              <w:t>městnaní</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354C" w:rsidRPr="00572B3A" w:rsidRDefault="0051354C" w:rsidP="00851E06">
            <w:pPr>
              <w:rPr>
                <w:rFonts w:cs="Arial"/>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354C" w:rsidRPr="00572B3A" w:rsidRDefault="0051354C" w:rsidP="00851E06">
            <w:pPr>
              <w:rPr>
                <w:rFonts w:cs="Arial"/>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354C" w:rsidRPr="00572B3A" w:rsidRDefault="0051354C" w:rsidP="00851E06">
            <w:pPr>
              <w:rPr>
                <w:rFonts w:cs="Arial"/>
                <w:color w:val="000000"/>
                <w:sz w:val="18"/>
                <w:szCs w:val="18"/>
              </w:rPr>
            </w:pPr>
          </w:p>
        </w:tc>
      </w:tr>
      <w:tr w:rsidR="0051354C" w:rsidRPr="00572B3A" w:rsidTr="00851E06">
        <w:trPr>
          <w:trHeight w:val="225"/>
        </w:trPr>
        <w:tc>
          <w:tcPr>
            <w:tcW w:w="1754" w:type="dxa"/>
            <w:tcBorders>
              <w:top w:val="nil"/>
              <w:left w:val="single" w:sz="4" w:space="0" w:color="auto"/>
              <w:bottom w:val="nil"/>
              <w:right w:val="single" w:sz="4" w:space="0" w:color="auto"/>
            </w:tcBorders>
            <w:shd w:val="clear" w:color="auto" w:fill="auto"/>
            <w:noWrap/>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7333" w:type="dxa"/>
            <w:gridSpan w:val="7"/>
            <w:tcBorders>
              <w:top w:val="single" w:sz="4" w:space="0" w:color="auto"/>
              <w:left w:val="nil"/>
              <w:bottom w:val="single" w:sz="4" w:space="0" w:color="auto"/>
              <w:right w:val="single" w:sz="4" w:space="0" w:color="auto"/>
            </w:tcBorders>
            <w:shd w:val="clear" w:color="auto" w:fill="auto"/>
            <w:vAlign w:val="bottom"/>
            <w:hideMark/>
          </w:tcPr>
          <w:p w:rsidR="0051354C" w:rsidRPr="00572B3A" w:rsidRDefault="0051354C" w:rsidP="00851E06">
            <w:pPr>
              <w:jc w:val="center"/>
              <w:rPr>
                <w:rFonts w:cs="Arial"/>
                <w:color w:val="000000"/>
                <w:sz w:val="18"/>
                <w:szCs w:val="18"/>
              </w:rPr>
            </w:pPr>
            <w:r w:rsidRPr="00572B3A">
              <w:rPr>
                <w:rFonts w:cs="Arial"/>
                <w:color w:val="000000"/>
                <w:sz w:val="18"/>
                <w:szCs w:val="18"/>
              </w:rPr>
              <w:t>abs.</w:t>
            </w:r>
          </w:p>
        </w:tc>
      </w:tr>
      <w:tr w:rsidR="0051354C" w:rsidRPr="00572B3A" w:rsidTr="00851E06">
        <w:trPr>
          <w:trHeight w:val="255"/>
        </w:trPr>
        <w:tc>
          <w:tcPr>
            <w:tcW w:w="1754" w:type="dxa"/>
            <w:tcBorders>
              <w:top w:val="nil"/>
              <w:left w:val="single" w:sz="4" w:space="0" w:color="auto"/>
              <w:bottom w:val="nil"/>
              <w:right w:val="single" w:sz="4" w:space="0" w:color="auto"/>
            </w:tcBorders>
            <w:shd w:val="clear" w:color="auto" w:fill="auto"/>
            <w:noWrap/>
            <w:vAlign w:val="bottom"/>
            <w:hideMark/>
          </w:tcPr>
          <w:p w:rsidR="0051354C" w:rsidRPr="00572B3A" w:rsidRDefault="0051354C" w:rsidP="00851E06">
            <w:pPr>
              <w:rPr>
                <w:rFonts w:cs="Arial"/>
                <w:color w:val="000000"/>
                <w:sz w:val="18"/>
                <w:szCs w:val="18"/>
              </w:rPr>
            </w:pPr>
            <w:r w:rsidRPr="00572B3A">
              <w:rPr>
                <w:rFonts w:cs="Arial"/>
                <w:color w:val="000000"/>
                <w:sz w:val="18"/>
                <w:szCs w:val="18"/>
              </w:rPr>
              <w:t>Bezdomovci celkem</w:t>
            </w:r>
          </w:p>
        </w:tc>
        <w:tc>
          <w:tcPr>
            <w:tcW w:w="1213" w:type="dxa"/>
            <w:tcBorders>
              <w:top w:val="nil"/>
              <w:left w:val="nil"/>
              <w:bottom w:val="nil"/>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11496</w:t>
            </w:r>
          </w:p>
        </w:tc>
        <w:tc>
          <w:tcPr>
            <w:tcW w:w="1017" w:type="dxa"/>
            <w:tcBorders>
              <w:top w:val="nil"/>
              <w:left w:val="nil"/>
              <w:bottom w:val="nil"/>
              <w:right w:val="single" w:sz="4" w:space="0" w:color="auto"/>
            </w:tcBorders>
            <w:shd w:val="clear" w:color="auto" w:fill="auto"/>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3332</w:t>
            </w:r>
          </w:p>
        </w:tc>
        <w:tc>
          <w:tcPr>
            <w:tcW w:w="1134" w:type="dxa"/>
            <w:tcBorders>
              <w:top w:val="nil"/>
              <w:left w:val="nil"/>
              <w:bottom w:val="nil"/>
              <w:right w:val="single" w:sz="4" w:space="0" w:color="auto"/>
            </w:tcBorders>
            <w:shd w:val="clear" w:color="auto" w:fill="auto"/>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2426</w:t>
            </w:r>
          </w:p>
        </w:tc>
        <w:tc>
          <w:tcPr>
            <w:tcW w:w="993" w:type="dxa"/>
            <w:tcBorders>
              <w:top w:val="nil"/>
              <w:left w:val="nil"/>
              <w:bottom w:val="nil"/>
              <w:right w:val="single" w:sz="4" w:space="0" w:color="auto"/>
            </w:tcBorders>
            <w:shd w:val="clear" w:color="auto" w:fill="auto"/>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4464</w:t>
            </w:r>
          </w:p>
        </w:tc>
        <w:tc>
          <w:tcPr>
            <w:tcW w:w="1134" w:type="dxa"/>
            <w:tcBorders>
              <w:top w:val="nil"/>
              <w:left w:val="nil"/>
              <w:bottom w:val="nil"/>
              <w:right w:val="single" w:sz="4" w:space="0" w:color="auto"/>
            </w:tcBorders>
            <w:shd w:val="clear" w:color="auto" w:fill="auto"/>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2872</w:t>
            </w:r>
          </w:p>
        </w:tc>
        <w:tc>
          <w:tcPr>
            <w:tcW w:w="992" w:type="dxa"/>
            <w:tcBorders>
              <w:top w:val="nil"/>
              <w:left w:val="nil"/>
              <w:bottom w:val="nil"/>
              <w:right w:val="single" w:sz="4" w:space="0" w:color="auto"/>
            </w:tcBorders>
            <w:shd w:val="clear" w:color="auto" w:fill="auto"/>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1581</w:t>
            </w:r>
          </w:p>
        </w:tc>
        <w:tc>
          <w:tcPr>
            <w:tcW w:w="850" w:type="dxa"/>
            <w:tcBorders>
              <w:top w:val="nil"/>
              <w:left w:val="nil"/>
              <w:bottom w:val="nil"/>
              <w:right w:val="single" w:sz="4" w:space="0" w:color="auto"/>
            </w:tcBorders>
            <w:shd w:val="clear" w:color="auto" w:fill="auto"/>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828</w:t>
            </w:r>
          </w:p>
        </w:tc>
      </w:tr>
      <w:tr w:rsidR="0051354C" w:rsidRPr="00572B3A" w:rsidTr="00851E06">
        <w:trPr>
          <w:trHeight w:val="255"/>
        </w:trPr>
        <w:tc>
          <w:tcPr>
            <w:tcW w:w="1754" w:type="dxa"/>
            <w:tcBorders>
              <w:top w:val="nil"/>
              <w:left w:val="single" w:sz="4" w:space="0" w:color="auto"/>
              <w:bottom w:val="nil"/>
              <w:right w:val="single" w:sz="4" w:space="0" w:color="auto"/>
            </w:tcBorders>
            <w:shd w:val="clear" w:color="auto" w:fill="auto"/>
            <w:noWrap/>
            <w:vAlign w:val="bottom"/>
            <w:hideMark/>
          </w:tcPr>
          <w:p w:rsidR="0051354C" w:rsidRPr="00572B3A" w:rsidRDefault="0051354C" w:rsidP="00851E06">
            <w:pPr>
              <w:rPr>
                <w:rFonts w:cs="Arial"/>
                <w:color w:val="000000"/>
                <w:sz w:val="18"/>
                <w:szCs w:val="18"/>
              </w:rPr>
            </w:pPr>
            <w:r w:rsidRPr="00572B3A">
              <w:rPr>
                <w:rFonts w:cs="Arial"/>
                <w:color w:val="000000"/>
                <w:sz w:val="18"/>
                <w:szCs w:val="18"/>
              </w:rPr>
              <w:t>z toho</w:t>
            </w:r>
          </w:p>
        </w:tc>
        <w:tc>
          <w:tcPr>
            <w:tcW w:w="1213" w:type="dxa"/>
            <w:tcBorders>
              <w:top w:val="nil"/>
              <w:left w:val="nil"/>
              <w:bottom w:val="nil"/>
              <w:right w:val="single" w:sz="4" w:space="0" w:color="auto"/>
            </w:tcBorders>
            <w:shd w:val="clear" w:color="auto" w:fill="auto"/>
            <w:noWrap/>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1017" w:type="dxa"/>
            <w:tcBorders>
              <w:top w:val="nil"/>
              <w:left w:val="nil"/>
              <w:bottom w:val="nil"/>
              <w:right w:val="single" w:sz="4" w:space="0" w:color="auto"/>
            </w:tcBorders>
            <w:shd w:val="clear" w:color="auto" w:fill="auto"/>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1134" w:type="dxa"/>
            <w:tcBorders>
              <w:top w:val="nil"/>
              <w:left w:val="nil"/>
              <w:bottom w:val="nil"/>
              <w:right w:val="single" w:sz="4" w:space="0" w:color="auto"/>
            </w:tcBorders>
            <w:shd w:val="clear" w:color="auto" w:fill="auto"/>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993" w:type="dxa"/>
            <w:tcBorders>
              <w:top w:val="nil"/>
              <w:left w:val="nil"/>
              <w:bottom w:val="nil"/>
              <w:right w:val="single" w:sz="4" w:space="0" w:color="auto"/>
            </w:tcBorders>
            <w:shd w:val="clear" w:color="auto" w:fill="auto"/>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1134" w:type="dxa"/>
            <w:tcBorders>
              <w:top w:val="nil"/>
              <w:left w:val="nil"/>
              <w:bottom w:val="nil"/>
              <w:right w:val="single" w:sz="4" w:space="0" w:color="auto"/>
            </w:tcBorders>
            <w:shd w:val="clear" w:color="auto" w:fill="auto"/>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992" w:type="dxa"/>
            <w:tcBorders>
              <w:top w:val="nil"/>
              <w:left w:val="nil"/>
              <w:bottom w:val="nil"/>
              <w:right w:val="single" w:sz="4" w:space="0" w:color="auto"/>
            </w:tcBorders>
            <w:shd w:val="clear" w:color="auto" w:fill="auto"/>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850" w:type="dxa"/>
            <w:tcBorders>
              <w:top w:val="nil"/>
              <w:left w:val="nil"/>
              <w:bottom w:val="nil"/>
              <w:right w:val="single" w:sz="4" w:space="0" w:color="auto"/>
            </w:tcBorders>
            <w:shd w:val="clear" w:color="auto" w:fill="auto"/>
            <w:noWrap/>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r>
      <w:tr w:rsidR="0051354C" w:rsidRPr="00572B3A" w:rsidTr="00851E06">
        <w:trPr>
          <w:trHeight w:val="255"/>
        </w:trPr>
        <w:tc>
          <w:tcPr>
            <w:tcW w:w="1754" w:type="dxa"/>
            <w:tcBorders>
              <w:top w:val="nil"/>
              <w:left w:val="single" w:sz="4" w:space="0" w:color="auto"/>
              <w:bottom w:val="nil"/>
              <w:right w:val="single" w:sz="4" w:space="0" w:color="auto"/>
            </w:tcBorders>
            <w:shd w:val="clear" w:color="auto" w:fill="auto"/>
            <w:noWrap/>
            <w:vAlign w:val="bottom"/>
            <w:hideMark/>
          </w:tcPr>
          <w:p w:rsidR="0051354C" w:rsidRPr="00572B3A" w:rsidRDefault="00A45B5A" w:rsidP="00851E06">
            <w:pPr>
              <w:rPr>
                <w:rFonts w:cs="Arial"/>
                <w:color w:val="000000"/>
                <w:sz w:val="18"/>
                <w:szCs w:val="18"/>
              </w:rPr>
            </w:pPr>
            <w:r>
              <w:rPr>
                <w:rFonts w:cs="Arial"/>
                <w:color w:val="000000"/>
                <w:sz w:val="18"/>
                <w:szCs w:val="18"/>
              </w:rPr>
              <w:t xml:space="preserve">   </w:t>
            </w:r>
            <w:r w:rsidR="0051354C" w:rsidRPr="00572B3A">
              <w:rPr>
                <w:rFonts w:cs="Arial"/>
                <w:color w:val="000000"/>
                <w:sz w:val="18"/>
                <w:szCs w:val="18"/>
              </w:rPr>
              <w:t>ve věku 15-64 let</w:t>
            </w:r>
          </w:p>
        </w:tc>
        <w:tc>
          <w:tcPr>
            <w:tcW w:w="1213" w:type="dxa"/>
            <w:tcBorders>
              <w:top w:val="nil"/>
              <w:left w:val="nil"/>
              <w:bottom w:val="nil"/>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10597</w:t>
            </w:r>
          </w:p>
        </w:tc>
        <w:tc>
          <w:tcPr>
            <w:tcW w:w="1017" w:type="dxa"/>
            <w:tcBorders>
              <w:top w:val="nil"/>
              <w:left w:val="nil"/>
              <w:bottom w:val="nil"/>
              <w:right w:val="single" w:sz="4" w:space="0" w:color="auto"/>
            </w:tcBorders>
            <w:shd w:val="clear" w:color="auto" w:fill="auto"/>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3302</w:t>
            </w:r>
          </w:p>
        </w:tc>
        <w:tc>
          <w:tcPr>
            <w:tcW w:w="1134" w:type="dxa"/>
            <w:tcBorders>
              <w:top w:val="nil"/>
              <w:left w:val="nil"/>
              <w:bottom w:val="nil"/>
              <w:right w:val="single" w:sz="4" w:space="0" w:color="auto"/>
            </w:tcBorders>
            <w:shd w:val="clear" w:color="auto" w:fill="auto"/>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2410</w:t>
            </w:r>
          </w:p>
        </w:tc>
        <w:tc>
          <w:tcPr>
            <w:tcW w:w="993" w:type="dxa"/>
            <w:tcBorders>
              <w:top w:val="nil"/>
              <w:left w:val="nil"/>
              <w:bottom w:val="nil"/>
              <w:right w:val="single" w:sz="4" w:space="0" w:color="auto"/>
            </w:tcBorders>
            <w:shd w:val="clear" w:color="auto" w:fill="auto"/>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4457</w:t>
            </w:r>
          </w:p>
        </w:tc>
        <w:tc>
          <w:tcPr>
            <w:tcW w:w="1134" w:type="dxa"/>
            <w:tcBorders>
              <w:top w:val="nil"/>
              <w:left w:val="nil"/>
              <w:bottom w:val="nil"/>
              <w:right w:val="single" w:sz="4" w:space="0" w:color="auto"/>
            </w:tcBorders>
            <w:shd w:val="clear" w:color="auto" w:fill="auto"/>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2051</w:t>
            </w:r>
          </w:p>
        </w:tc>
        <w:tc>
          <w:tcPr>
            <w:tcW w:w="992" w:type="dxa"/>
            <w:tcBorders>
              <w:top w:val="nil"/>
              <w:left w:val="nil"/>
              <w:bottom w:val="nil"/>
              <w:right w:val="single" w:sz="4" w:space="0" w:color="auto"/>
            </w:tcBorders>
            <w:shd w:val="clear" w:color="auto" w:fill="auto"/>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1170</w:t>
            </w:r>
          </w:p>
        </w:tc>
        <w:tc>
          <w:tcPr>
            <w:tcW w:w="850" w:type="dxa"/>
            <w:tcBorders>
              <w:top w:val="nil"/>
              <w:left w:val="nil"/>
              <w:bottom w:val="nil"/>
              <w:right w:val="single" w:sz="4" w:space="0" w:color="auto"/>
            </w:tcBorders>
            <w:shd w:val="clear" w:color="auto" w:fill="auto"/>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787</w:t>
            </w:r>
          </w:p>
        </w:tc>
      </w:tr>
      <w:tr w:rsidR="0051354C" w:rsidRPr="00572B3A" w:rsidTr="00851E06">
        <w:trPr>
          <w:trHeight w:val="255"/>
        </w:trPr>
        <w:tc>
          <w:tcPr>
            <w:tcW w:w="1754" w:type="dxa"/>
            <w:tcBorders>
              <w:top w:val="nil"/>
              <w:left w:val="single" w:sz="4" w:space="0" w:color="auto"/>
              <w:bottom w:val="nil"/>
              <w:right w:val="single" w:sz="4" w:space="0" w:color="auto"/>
            </w:tcBorders>
            <w:shd w:val="clear" w:color="auto" w:fill="auto"/>
            <w:noWrap/>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7333" w:type="dxa"/>
            <w:gridSpan w:val="7"/>
            <w:tcBorders>
              <w:top w:val="single" w:sz="4" w:space="0" w:color="auto"/>
              <w:left w:val="nil"/>
              <w:bottom w:val="single" w:sz="4" w:space="0" w:color="auto"/>
              <w:right w:val="single" w:sz="4" w:space="0" w:color="auto"/>
            </w:tcBorders>
            <w:shd w:val="clear" w:color="auto" w:fill="auto"/>
            <w:vAlign w:val="bottom"/>
            <w:hideMark/>
          </w:tcPr>
          <w:p w:rsidR="0051354C" w:rsidRPr="00572B3A" w:rsidRDefault="0051354C" w:rsidP="00851E06">
            <w:pPr>
              <w:jc w:val="center"/>
              <w:rPr>
                <w:rFonts w:cs="Arial"/>
                <w:color w:val="000000"/>
                <w:sz w:val="18"/>
                <w:szCs w:val="18"/>
              </w:rPr>
            </w:pPr>
            <w:r w:rsidRPr="00572B3A">
              <w:rPr>
                <w:rFonts w:cs="Arial"/>
                <w:color w:val="000000"/>
                <w:sz w:val="18"/>
                <w:szCs w:val="18"/>
              </w:rPr>
              <w:t>%</w:t>
            </w:r>
          </w:p>
        </w:tc>
      </w:tr>
      <w:tr w:rsidR="0051354C" w:rsidRPr="00572B3A" w:rsidTr="00851E06">
        <w:trPr>
          <w:trHeight w:val="255"/>
        </w:trPr>
        <w:tc>
          <w:tcPr>
            <w:tcW w:w="1754" w:type="dxa"/>
            <w:tcBorders>
              <w:top w:val="nil"/>
              <w:left w:val="single" w:sz="4" w:space="0" w:color="auto"/>
              <w:bottom w:val="nil"/>
              <w:right w:val="single" w:sz="4" w:space="0" w:color="auto"/>
            </w:tcBorders>
            <w:shd w:val="clear" w:color="auto" w:fill="auto"/>
            <w:noWrap/>
            <w:vAlign w:val="bottom"/>
            <w:hideMark/>
          </w:tcPr>
          <w:p w:rsidR="0051354C" w:rsidRPr="00572B3A" w:rsidRDefault="0051354C" w:rsidP="00851E06">
            <w:pPr>
              <w:rPr>
                <w:rFonts w:cs="Arial"/>
                <w:color w:val="000000"/>
                <w:sz w:val="18"/>
                <w:szCs w:val="18"/>
              </w:rPr>
            </w:pPr>
            <w:r w:rsidRPr="00572B3A">
              <w:rPr>
                <w:rFonts w:cs="Arial"/>
                <w:color w:val="000000"/>
                <w:sz w:val="18"/>
                <w:szCs w:val="18"/>
              </w:rPr>
              <w:t>Bezdomovci celkem</w:t>
            </w:r>
          </w:p>
        </w:tc>
        <w:tc>
          <w:tcPr>
            <w:tcW w:w="1213" w:type="dxa"/>
            <w:tcBorders>
              <w:top w:val="nil"/>
              <w:left w:val="nil"/>
              <w:bottom w:val="nil"/>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100,0</w:t>
            </w:r>
          </w:p>
        </w:tc>
        <w:tc>
          <w:tcPr>
            <w:tcW w:w="1017" w:type="dxa"/>
            <w:tcBorders>
              <w:top w:val="nil"/>
              <w:left w:val="nil"/>
              <w:bottom w:val="nil"/>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29,0</w:t>
            </w:r>
          </w:p>
        </w:tc>
        <w:tc>
          <w:tcPr>
            <w:tcW w:w="1134" w:type="dxa"/>
            <w:tcBorders>
              <w:top w:val="nil"/>
              <w:left w:val="nil"/>
              <w:bottom w:val="nil"/>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21,1</w:t>
            </w:r>
          </w:p>
        </w:tc>
        <w:tc>
          <w:tcPr>
            <w:tcW w:w="993" w:type="dxa"/>
            <w:tcBorders>
              <w:top w:val="nil"/>
              <w:left w:val="nil"/>
              <w:bottom w:val="nil"/>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38,8</w:t>
            </w:r>
          </w:p>
        </w:tc>
        <w:tc>
          <w:tcPr>
            <w:tcW w:w="1134" w:type="dxa"/>
            <w:tcBorders>
              <w:top w:val="nil"/>
              <w:left w:val="nil"/>
              <w:bottom w:val="nil"/>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25,0</w:t>
            </w:r>
          </w:p>
        </w:tc>
        <w:tc>
          <w:tcPr>
            <w:tcW w:w="992" w:type="dxa"/>
            <w:tcBorders>
              <w:top w:val="nil"/>
              <w:left w:val="nil"/>
              <w:bottom w:val="nil"/>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13,8</w:t>
            </w:r>
          </w:p>
        </w:tc>
        <w:tc>
          <w:tcPr>
            <w:tcW w:w="850" w:type="dxa"/>
            <w:tcBorders>
              <w:top w:val="nil"/>
              <w:left w:val="nil"/>
              <w:bottom w:val="nil"/>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7,2</w:t>
            </w:r>
          </w:p>
        </w:tc>
      </w:tr>
      <w:tr w:rsidR="0051354C" w:rsidRPr="00572B3A" w:rsidTr="00851E06">
        <w:trPr>
          <w:trHeight w:val="255"/>
        </w:trPr>
        <w:tc>
          <w:tcPr>
            <w:tcW w:w="1754" w:type="dxa"/>
            <w:tcBorders>
              <w:top w:val="nil"/>
              <w:left w:val="single" w:sz="4" w:space="0" w:color="auto"/>
              <w:bottom w:val="nil"/>
              <w:right w:val="single" w:sz="4" w:space="0" w:color="auto"/>
            </w:tcBorders>
            <w:shd w:val="clear" w:color="auto" w:fill="auto"/>
            <w:noWrap/>
            <w:vAlign w:val="bottom"/>
            <w:hideMark/>
          </w:tcPr>
          <w:p w:rsidR="0051354C" w:rsidRPr="00572B3A" w:rsidRDefault="0051354C" w:rsidP="00851E06">
            <w:pPr>
              <w:rPr>
                <w:rFonts w:cs="Arial"/>
                <w:color w:val="000000"/>
                <w:sz w:val="18"/>
                <w:szCs w:val="18"/>
              </w:rPr>
            </w:pPr>
            <w:r w:rsidRPr="00572B3A">
              <w:rPr>
                <w:rFonts w:cs="Arial"/>
                <w:color w:val="000000"/>
                <w:sz w:val="18"/>
                <w:szCs w:val="18"/>
              </w:rPr>
              <w:t>z toho</w:t>
            </w:r>
          </w:p>
        </w:tc>
        <w:tc>
          <w:tcPr>
            <w:tcW w:w="1213" w:type="dxa"/>
            <w:tcBorders>
              <w:top w:val="nil"/>
              <w:left w:val="nil"/>
              <w:bottom w:val="nil"/>
              <w:right w:val="single" w:sz="4" w:space="0" w:color="auto"/>
            </w:tcBorders>
            <w:shd w:val="clear" w:color="auto" w:fill="auto"/>
            <w:noWrap/>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1017" w:type="dxa"/>
            <w:tcBorders>
              <w:top w:val="nil"/>
              <w:left w:val="nil"/>
              <w:bottom w:val="nil"/>
              <w:right w:val="single" w:sz="4" w:space="0" w:color="auto"/>
            </w:tcBorders>
            <w:shd w:val="clear" w:color="auto" w:fill="auto"/>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1134" w:type="dxa"/>
            <w:tcBorders>
              <w:top w:val="nil"/>
              <w:left w:val="nil"/>
              <w:bottom w:val="nil"/>
              <w:right w:val="single" w:sz="4" w:space="0" w:color="auto"/>
            </w:tcBorders>
            <w:shd w:val="clear" w:color="auto" w:fill="auto"/>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993" w:type="dxa"/>
            <w:tcBorders>
              <w:top w:val="nil"/>
              <w:left w:val="nil"/>
              <w:bottom w:val="nil"/>
              <w:right w:val="single" w:sz="4" w:space="0" w:color="auto"/>
            </w:tcBorders>
            <w:shd w:val="clear" w:color="auto" w:fill="auto"/>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1134" w:type="dxa"/>
            <w:tcBorders>
              <w:top w:val="nil"/>
              <w:left w:val="nil"/>
              <w:bottom w:val="nil"/>
              <w:right w:val="single" w:sz="4" w:space="0" w:color="auto"/>
            </w:tcBorders>
            <w:shd w:val="clear" w:color="auto" w:fill="auto"/>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992" w:type="dxa"/>
            <w:tcBorders>
              <w:top w:val="nil"/>
              <w:left w:val="nil"/>
              <w:bottom w:val="nil"/>
              <w:right w:val="single" w:sz="4" w:space="0" w:color="auto"/>
            </w:tcBorders>
            <w:shd w:val="clear" w:color="auto" w:fill="auto"/>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c>
          <w:tcPr>
            <w:tcW w:w="850" w:type="dxa"/>
            <w:tcBorders>
              <w:top w:val="nil"/>
              <w:left w:val="nil"/>
              <w:bottom w:val="nil"/>
              <w:right w:val="single" w:sz="4" w:space="0" w:color="auto"/>
            </w:tcBorders>
            <w:shd w:val="clear" w:color="auto" w:fill="auto"/>
            <w:noWrap/>
            <w:vAlign w:val="bottom"/>
            <w:hideMark/>
          </w:tcPr>
          <w:p w:rsidR="0051354C" w:rsidRPr="00572B3A" w:rsidRDefault="0051354C" w:rsidP="00851E06">
            <w:pPr>
              <w:rPr>
                <w:rFonts w:cs="Arial"/>
                <w:color w:val="000000"/>
                <w:sz w:val="18"/>
                <w:szCs w:val="18"/>
              </w:rPr>
            </w:pPr>
            <w:r w:rsidRPr="00572B3A">
              <w:rPr>
                <w:rFonts w:cs="Arial"/>
                <w:color w:val="000000"/>
                <w:sz w:val="18"/>
                <w:szCs w:val="18"/>
              </w:rPr>
              <w:t> </w:t>
            </w:r>
          </w:p>
        </w:tc>
      </w:tr>
      <w:tr w:rsidR="0051354C" w:rsidRPr="00572B3A" w:rsidTr="00851E06">
        <w:trPr>
          <w:trHeight w:val="255"/>
        </w:trPr>
        <w:tc>
          <w:tcPr>
            <w:tcW w:w="1754" w:type="dxa"/>
            <w:tcBorders>
              <w:top w:val="nil"/>
              <w:left w:val="single" w:sz="4" w:space="0" w:color="auto"/>
              <w:bottom w:val="single" w:sz="4" w:space="0" w:color="auto"/>
              <w:right w:val="single" w:sz="4" w:space="0" w:color="auto"/>
            </w:tcBorders>
            <w:shd w:val="clear" w:color="auto" w:fill="auto"/>
            <w:noWrap/>
            <w:vAlign w:val="bottom"/>
            <w:hideMark/>
          </w:tcPr>
          <w:p w:rsidR="0051354C" w:rsidRPr="00572B3A" w:rsidRDefault="00A45B5A" w:rsidP="00851E06">
            <w:pPr>
              <w:rPr>
                <w:rFonts w:cs="Arial"/>
                <w:color w:val="000000"/>
                <w:sz w:val="18"/>
                <w:szCs w:val="18"/>
              </w:rPr>
            </w:pPr>
            <w:r>
              <w:rPr>
                <w:rFonts w:cs="Arial"/>
                <w:color w:val="000000"/>
                <w:sz w:val="18"/>
                <w:szCs w:val="18"/>
              </w:rPr>
              <w:t xml:space="preserve">   </w:t>
            </w:r>
            <w:r w:rsidR="0051354C" w:rsidRPr="00572B3A">
              <w:rPr>
                <w:rFonts w:cs="Arial"/>
                <w:color w:val="000000"/>
                <w:sz w:val="18"/>
                <w:szCs w:val="18"/>
              </w:rPr>
              <w:t>ve věku 15-64 let</w:t>
            </w:r>
          </w:p>
        </w:tc>
        <w:tc>
          <w:tcPr>
            <w:tcW w:w="1213" w:type="dxa"/>
            <w:tcBorders>
              <w:top w:val="nil"/>
              <w:left w:val="nil"/>
              <w:bottom w:val="single" w:sz="4" w:space="0" w:color="auto"/>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100,0</w:t>
            </w:r>
          </w:p>
        </w:tc>
        <w:tc>
          <w:tcPr>
            <w:tcW w:w="1017" w:type="dxa"/>
            <w:tcBorders>
              <w:top w:val="nil"/>
              <w:left w:val="nil"/>
              <w:bottom w:val="single" w:sz="4" w:space="0" w:color="auto"/>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31,2</w:t>
            </w:r>
          </w:p>
        </w:tc>
        <w:tc>
          <w:tcPr>
            <w:tcW w:w="1134" w:type="dxa"/>
            <w:tcBorders>
              <w:top w:val="nil"/>
              <w:left w:val="nil"/>
              <w:bottom w:val="single" w:sz="4" w:space="0" w:color="auto"/>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22,7</w:t>
            </w:r>
          </w:p>
        </w:tc>
        <w:tc>
          <w:tcPr>
            <w:tcW w:w="993" w:type="dxa"/>
            <w:tcBorders>
              <w:top w:val="nil"/>
              <w:left w:val="nil"/>
              <w:bottom w:val="single" w:sz="4" w:space="0" w:color="auto"/>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42,1</w:t>
            </w:r>
          </w:p>
        </w:tc>
        <w:tc>
          <w:tcPr>
            <w:tcW w:w="1134" w:type="dxa"/>
            <w:tcBorders>
              <w:top w:val="nil"/>
              <w:left w:val="nil"/>
              <w:bottom w:val="single" w:sz="4" w:space="0" w:color="auto"/>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19,4</w:t>
            </w:r>
          </w:p>
        </w:tc>
        <w:tc>
          <w:tcPr>
            <w:tcW w:w="992" w:type="dxa"/>
            <w:tcBorders>
              <w:top w:val="nil"/>
              <w:left w:val="nil"/>
              <w:bottom w:val="single" w:sz="4" w:space="0" w:color="auto"/>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11,0</w:t>
            </w:r>
          </w:p>
        </w:tc>
        <w:tc>
          <w:tcPr>
            <w:tcW w:w="850" w:type="dxa"/>
            <w:tcBorders>
              <w:top w:val="nil"/>
              <w:left w:val="nil"/>
              <w:bottom w:val="single" w:sz="4" w:space="0" w:color="auto"/>
              <w:right w:val="single" w:sz="4" w:space="0" w:color="auto"/>
            </w:tcBorders>
            <w:shd w:val="clear" w:color="auto" w:fill="auto"/>
            <w:noWrap/>
            <w:vAlign w:val="bottom"/>
            <w:hideMark/>
          </w:tcPr>
          <w:p w:rsidR="0051354C" w:rsidRPr="00572B3A" w:rsidRDefault="0051354C" w:rsidP="00851E06">
            <w:pPr>
              <w:jc w:val="right"/>
              <w:rPr>
                <w:rFonts w:cs="Arial"/>
                <w:color w:val="000000"/>
                <w:sz w:val="18"/>
                <w:szCs w:val="18"/>
              </w:rPr>
            </w:pPr>
            <w:r w:rsidRPr="00572B3A">
              <w:rPr>
                <w:rFonts w:cs="Arial"/>
                <w:color w:val="000000"/>
                <w:sz w:val="18"/>
                <w:szCs w:val="18"/>
              </w:rPr>
              <w:t>7,4</w:t>
            </w:r>
          </w:p>
        </w:tc>
      </w:tr>
    </w:tbl>
    <w:p w:rsidR="0051354C" w:rsidRDefault="0051354C" w:rsidP="0051354C">
      <w:pPr>
        <w:pStyle w:val="Normln-web"/>
        <w:rPr>
          <w:sz w:val="20"/>
          <w:szCs w:val="20"/>
        </w:rPr>
      </w:pPr>
    </w:p>
    <w:p w:rsidR="002714B1" w:rsidRDefault="0051354C" w:rsidP="00572B3A">
      <w:pPr>
        <w:pStyle w:val="Normln-web"/>
        <w:spacing w:line="276" w:lineRule="auto"/>
        <w:rPr>
          <w:sz w:val="20"/>
          <w:szCs w:val="20"/>
        </w:rPr>
      </w:pPr>
      <w:r>
        <w:rPr>
          <w:sz w:val="20"/>
          <w:szCs w:val="20"/>
        </w:rPr>
        <w:t xml:space="preserve">Se statusem bezdomovce a úrovní ekonomické aktivity koresponduje struktura podle nejvyššího ukončeného vzdělání. Tři čtvrtiny sečtených bezdomovců měly střední nebo základní vzdělání, přičemž na jednoho bezdomovce se základním vzděláním připadli zhruba dva se vzděláním středním.  Právě vzdělání střední (bez maturity) bylo nejpočetnější skupinou – mělo ho více než 47 % sečtených bezdomovců starších 15 let. Tyto osoby tedy určitou kvalifikaci pro případný výkon povolání měly a měly tudíž i předpoklady najít si uplatnění na trhu práce. </w:t>
      </w:r>
    </w:p>
    <w:p w:rsidR="002714B1" w:rsidRDefault="002714B1" w:rsidP="00572B3A">
      <w:pPr>
        <w:pStyle w:val="Normln-web"/>
        <w:spacing w:line="276" w:lineRule="auto"/>
        <w:rPr>
          <w:sz w:val="20"/>
          <w:szCs w:val="20"/>
        </w:rPr>
      </w:pPr>
    </w:p>
    <w:p w:rsidR="00DD1433" w:rsidRDefault="002714B1" w:rsidP="002714B1">
      <w:pPr>
        <w:spacing w:line="276" w:lineRule="auto"/>
        <w:rPr>
          <w:b/>
          <w:sz w:val="20"/>
          <w:szCs w:val="20"/>
        </w:rPr>
      </w:pPr>
      <w:r w:rsidRPr="001770AA">
        <w:rPr>
          <w:b/>
          <w:sz w:val="20"/>
          <w:szCs w:val="20"/>
        </w:rPr>
        <w:t xml:space="preserve">Graf č. </w:t>
      </w:r>
      <w:r>
        <w:rPr>
          <w:b/>
          <w:sz w:val="20"/>
          <w:szCs w:val="20"/>
        </w:rPr>
        <w:t xml:space="preserve">20 Bezdomovci podle nejvyššího ukončeného vzdělání </w:t>
      </w:r>
    </w:p>
    <w:p w:rsidR="002714B1" w:rsidRDefault="002714B1" w:rsidP="002714B1">
      <w:pPr>
        <w:spacing w:line="276" w:lineRule="auto"/>
        <w:rPr>
          <w:b/>
          <w:bCs/>
          <w:sz w:val="20"/>
          <w:szCs w:val="20"/>
        </w:rPr>
      </w:pPr>
      <w:r w:rsidRPr="001770AA">
        <w:rPr>
          <w:b/>
          <w:bCs/>
          <w:sz w:val="20"/>
          <w:szCs w:val="20"/>
        </w:rPr>
        <w:t>k 26.</w:t>
      </w:r>
      <w:r>
        <w:rPr>
          <w:b/>
          <w:bCs/>
          <w:sz w:val="20"/>
          <w:szCs w:val="20"/>
        </w:rPr>
        <w:t xml:space="preserve"> </w:t>
      </w:r>
      <w:r w:rsidRPr="001770AA">
        <w:rPr>
          <w:b/>
          <w:bCs/>
          <w:sz w:val="20"/>
          <w:szCs w:val="20"/>
        </w:rPr>
        <w:t>3.</w:t>
      </w:r>
      <w:r>
        <w:rPr>
          <w:b/>
          <w:bCs/>
          <w:sz w:val="20"/>
          <w:szCs w:val="20"/>
        </w:rPr>
        <w:t xml:space="preserve"> </w:t>
      </w:r>
      <w:r w:rsidRPr="001770AA">
        <w:rPr>
          <w:b/>
          <w:bCs/>
          <w:sz w:val="20"/>
          <w:szCs w:val="20"/>
        </w:rPr>
        <w:t>2011</w:t>
      </w:r>
    </w:p>
    <w:p w:rsidR="0051354C" w:rsidRDefault="002714B1" w:rsidP="00DD1433">
      <w:pPr>
        <w:spacing w:line="276" w:lineRule="auto"/>
        <w:rPr>
          <w:sz w:val="20"/>
          <w:szCs w:val="20"/>
        </w:rPr>
      </w:pPr>
      <w:r w:rsidRPr="002714B1">
        <w:rPr>
          <w:b/>
          <w:bCs/>
          <w:sz w:val="20"/>
          <w:szCs w:val="20"/>
          <w:lang w:eastAsia="cs-CZ"/>
        </w:rPr>
        <w:drawing>
          <wp:anchor distT="0" distB="0" distL="114300" distR="114300" simplePos="0" relativeHeight="251679744" behindDoc="0" locked="0" layoutInCell="1" allowOverlap="1">
            <wp:simplePos x="0" y="0"/>
            <wp:positionH relativeFrom="column">
              <wp:posOffset>20320</wp:posOffset>
            </wp:positionH>
            <wp:positionV relativeFrom="paragraph">
              <wp:posOffset>66040</wp:posOffset>
            </wp:positionV>
            <wp:extent cx="3695700" cy="2105025"/>
            <wp:effectExtent l="19050" t="0" r="19050" b="0"/>
            <wp:wrapSquare wrapText="bothSides"/>
            <wp:docPr id="26"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51354C">
        <w:rPr>
          <w:sz w:val="20"/>
          <w:szCs w:val="20"/>
        </w:rPr>
        <w:t xml:space="preserve">Že je vzdělání poměrně důležitým faktorem pro pracovní uplatnění dokumentuje i srovnání s bezdomovci se vzděláním základním (tedy bez jakékoliv kvalifikace). Zatímco z počtu sečtených bezdomovců se středním vzděláním pracovala třetina, z počtu bezdomovců se vzděláním základním pracovalo necelých 18 %. </w:t>
      </w:r>
    </w:p>
    <w:p w:rsidR="0051354C" w:rsidRDefault="0051354C" w:rsidP="00572B3A">
      <w:pPr>
        <w:pStyle w:val="Normln-web"/>
        <w:spacing w:line="276" w:lineRule="auto"/>
        <w:rPr>
          <w:sz w:val="20"/>
          <w:szCs w:val="20"/>
        </w:rPr>
      </w:pPr>
      <w:r>
        <w:rPr>
          <w:sz w:val="20"/>
          <w:szCs w:val="20"/>
        </w:rPr>
        <w:t>Nej</w:t>
      </w:r>
      <w:r w:rsidR="00220D4D">
        <w:rPr>
          <w:sz w:val="20"/>
          <w:szCs w:val="20"/>
        </w:rPr>
        <w:t>více pracujících bezdomovců (25 </w:t>
      </w:r>
      <w:r>
        <w:rPr>
          <w:sz w:val="20"/>
          <w:szCs w:val="20"/>
        </w:rPr>
        <w:t>%) našlo uplatnění ve zpracovatelském průmyslu, zejména v kovodělné výrobě a výrobě motorový</w:t>
      </w:r>
      <w:r w:rsidR="00220D4D">
        <w:rPr>
          <w:sz w:val="20"/>
          <w:szCs w:val="20"/>
        </w:rPr>
        <w:t>ch vozidel, ve stavebnictví (12 </w:t>
      </w:r>
      <w:r>
        <w:rPr>
          <w:sz w:val="20"/>
          <w:szCs w:val="20"/>
        </w:rPr>
        <w:t xml:space="preserve">%), dopravě a skladování (9 %) a obchodě (necelých 8 %). Z hlediska konkrétních vykonávaných zaměstnání byly zhruba stejně (cca 22 %) zastoupeny skupina řemeslníků (zejména řemeslníci na stavbách, nástrojaři a svářeči) a pracovníci obsluhy strojů a zařízení (především řidiči nákladních automobilů a montážní dělníci). Třetí nejpočetnější skupinu (12,5 %) tvořili pracovníci ve službách a prodeji – většinou prodavači nebo jiní pracovníci v prodejnách. </w:t>
      </w:r>
    </w:p>
    <w:p w:rsidR="0051354C" w:rsidRDefault="0051354C" w:rsidP="00E1165F">
      <w:pPr>
        <w:pStyle w:val="Normln-web"/>
        <w:spacing w:line="276" w:lineRule="auto"/>
        <w:rPr>
          <w:sz w:val="20"/>
          <w:szCs w:val="20"/>
        </w:rPr>
      </w:pPr>
      <w:r>
        <w:rPr>
          <w:sz w:val="20"/>
          <w:szCs w:val="20"/>
        </w:rPr>
        <w:lastRenderedPageBreak/>
        <w:t>Stejně jako u celkové populace i bezdomovci využili ve velké míře dobrovolnosti odpovědí na otázky na národnost nebo náboženskou víru a nechali tyto otázky často bez odpovědi. Národnost neuvedla téměř čtvrtina z nich, náboženskou víru neuvedlo téměř 47 % osob bez domova.</w:t>
      </w:r>
    </w:p>
    <w:p w:rsidR="0051354C" w:rsidRDefault="0051354C" w:rsidP="00E1165F">
      <w:pPr>
        <w:pStyle w:val="Normln-web"/>
        <w:spacing w:line="276" w:lineRule="auto"/>
        <w:rPr>
          <w:sz w:val="20"/>
          <w:szCs w:val="20"/>
        </w:rPr>
      </w:pPr>
      <w:r>
        <w:rPr>
          <w:sz w:val="20"/>
          <w:szCs w:val="20"/>
        </w:rPr>
        <w:t xml:space="preserve">Dominantní národností </w:t>
      </w:r>
      <w:r w:rsidR="00E1165F">
        <w:rPr>
          <w:sz w:val="20"/>
          <w:szCs w:val="20"/>
        </w:rPr>
        <w:t xml:space="preserve">bezdomovců </w:t>
      </w:r>
      <w:r>
        <w:rPr>
          <w:sz w:val="20"/>
          <w:szCs w:val="20"/>
        </w:rPr>
        <w:t xml:space="preserve">byla národnost česká, kterou deklarovaly více než dvě třetiny </w:t>
      </w:r>
      <w:r w:rsidR="00E1165F">
        <w:rPr>
          <w:sz w:val="20"/>
          <w:szCs w:val="20"/>
        </w:rPr>
        <w:t>z nich</w:t>
      </w:r>
      <w:r>
        <w:rPr>
          <w:sz w:val="20"/>
          <w:szCs w:val="20"/>
        </w:rPr>
        <w:t>, jinou než českou příp. dvojí národnost uvedla desetina osob bez domova. Ačkoliv národnost byla vnímána jako citlivá otázka, u mateřského jazyka tomu tak nebylo. Pouhá 2 % bezdomovců svůj mateřský jazyk neuvedla. Současně z</w:t>
      </w:r>
      <w:r w:rsidR="00E1165F">
        <w:rPr>
          <w:sz w:val="20"/>
          <w:szCs w:val="20"/>
        </w:rPr>
        <w:t> </w:t>
      </w:r>
      <w:r>
        <w:rPr>
          <w:sz w:val="20"/>
          <w:szCs w:val="20"/>
        </w:rPr>
        <w:t>2</w:t>
      </w:r>
      <w:r w:rsidR="00E1165F">
        <w:rPr>
          <w:sz w:val="20"/>
          <w:szCs w:val="20"/>
        </w:rPr>
        <w:t xml:space="preserve"> </w:t>
      </w:r>
      <w:r>
        <w:rPr>
          <w:sz w:val="20"/>
          <w:szCs w:val="20"/>
        </w:rPr>
        <w:t xml:space="preserve">637 bezdomovců, kteří neuvedli svou národnost, pouze 151 osob neuvedlo ani mateřský jazyk (tj. necelých 6 % z počtu bezdomovců bez uvedené národnosti resp. 1,3 % z celkového počtu bezdomovců). </w:t>
      </w:r>
    </w:p>
    <w:p w:rsidR="00DD1433" w:rsidRDefault="00DD1433" w:rsidP="00DD1433">
      <w:pPr>
        <w:spacing w:line="276" w:lineRule="auto"/>
        <w:rPr>
          <w:b/>
          <w:sz w:val="20"/>
          <w:szCs w:val="20"/>
        </w:rPr>
      </w:pPr>
    </w:p>
    <w:p w:rsidR="00DD1433" w:rsidRDefault="00DD1433" w:rsidP="00DD1433">
      <w:pPr>
        <w:spacing w:line="276" w:lineRule="auto"/>
        <w:rPr>
          <w:b/>
          <w:bCs/>
          <w:sz w:val="20"/>
          <w:szCs w:val="20"/>
        </w:rPr>
      </w:pPr>
      <w:r w:rsidRPr="001770AA">
        <w:rPr>
          <w:b/>
          <w:sz w:val="20"/>
          <w:szCs w:val="20"/>
        </w:rPr>
        <w:t>Graf</w:t>
      </w:r>
      <w:r>
        <w:rPr>
          <w:b/>
          <w:sz w:val="20"/>
          <w:szCs w:val="20"/>
        </w:rPr>
        <w:t>y</w:t>
      </w:r>
      <w:r w:rsidRPr="001770AA">
        <w:rPr>
          <w:b/>
          <w:sz w:val="20"/>
          <w:szCs w:val="20"/>
        </w:rPr>
        <w:t xml:space="preserve"> č. </w:t>
      </w:r>
      <w:r>
        <w:rPr>
          <w:b/>
          <w:sz w:val="20"/>
          <w:szCs w:val="20"/>
        </w:rPr>
        <w:t xml:space="preserve">21, 22 Bezdomovci podle mateřského jazyka a národnosti </w:t>
      </w:r>
      <w:r w:rsidRPr="001770AA">
        <w:rPr>
          <w:b/>
          <w:bCs/>
          <w:sz w:val="20"/>
          <w:szCs w:val="20"/>
        </w:rPr>
        <w:t>k 26.</w:t>
      </w:r>
      <w:r>
        <w:rPr>
          <w:b/>
          <w:bCs/>
          <w:sz w:val="20"/>
          <w:szCs w:val="20"/>
        </w:rPr>
        <w:t xml:space="preserve"> </w:t>
      </w:r>
      <w:r w:rsidRPr="001770AA">
        <w:rPr>
          <w:b/>
          <w:bCs/>
          <w:sz w:val="20"/>
          <w:szCs w:val="20"/>
        </w:rPr>
        <w:t>3.</w:t>
      </w:r>
      <w:r>
        <w:rPr>
          <w:b/>
          <w:bCs/>
          <w:sz w:val="20"/>
          <w:szCs w:val="20"/>
        </w:rPr>
        <w:t xml:space="preserve"> </w:t>
      </w:r>
      <w:r w:rsidRPr="001770AA">
        <w:rPr>
          <w:b/>
          <w:bCs/>
          <w:sz w:val="20"/>
          <w:szCs w:val="20"/>
        </w:rPr>
        <w:t>2011</w:t>
      </w:r>
    </w:p>
    <w:p w:rsidR="00EE0737" w:rsidRDefault="00185204" w:rsidP="00DD1433">
      <w:pPr>
        <w:spacing w:line="276" w:lineRule="auto"/>
        <w:rPr>
          <w:b/>
          <w:bCs/>
          <w:sz w:val="20"/>
          <w:szCs w:val="20"/>
        </w:rPr>
      </w:pPr>
      <w:r>
        <w:rPr>
          <w:b/>
          <w:bCs/>
          <w:sz w:val="20"/>
          <w:szCs w:val="20"/>
          <w:lang w:eastAsia="cs-CZ"/>
        </w:rPr>
        <w:drawing>
          <wp:anchor distT="0" distB="0" distL="36195" distR="36195" simplePos="0" relativeHeight="251681792" behindDoc="0" locked="0" layoutInCell="1" allowOverlap="1">
            <wp:simplePos x="0" y="0"/>
            <wp:positionH relativeFrom="column">
              <wp:posOffset>19685</wp:posOffset>
            </wp:positionH>
            <wp:positionV relativeFrom="paragraph">
              <wp:posOffset>172085</wp:posOffset>
            </wp:positionV>
            <wp:extent cx="3057525" cy="2105025"/>
            <wp:effectExtent l="19050" t="0" r="9525" b="0"/>
            <wp:wrapSquare wrapText="bothSides"/>
            <wp:docPr id="34"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b/>
          <w:bCs/>
          <w:sz w:val="20"/>
          <w:szCs w:val="20"/>
          <w:lang w:eastAsia="cs-CZ"/>
        </w:rPr>
        <w:drawing>
          <wp:anchor distT="0" distB="0" distL="36195" distR="36195" simplePos="0" relativeHeight="251682816" behindDoc="0" locked="0" layoutInCell="1" allowOverlap="1">
            <wp:simplePos x="0" y="0"/>
            <wp:positionH relativeFrom="column">
              <wp:posOffset>3077845</wp:posOffset>
            </wp:positionH>
            <wp:positionV relativeFrom="paragraph">
              <wp:posOffset>172085</wp:posOffset>
            </wp:positionV>
            <wp:extent cx="2933700" cy="2105025"/>
            <wp:effectExtent l="19050" t="0" r="19050" b="0"/>
            <wp:wrapSquare wrapText="bothSides"/>
            <wp:docPr id="35"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1354C" w:rsidRDefault="0051354C" w:rsidP="009A629E">
      <w:pPr>
        <w:pStyle w:val="Normln-web"/>
        <w:spacing w:line="276" w:lineRule="auto"/>
        <w:rPr>
          <w:sz w:val="20"/>
          <w:szCs w:val="20"/>
        </w:rPr>
      </w:pPr>
      <w:r>
        <w:rPr>
          <w:sz w:val="20"/>
          <w:szCs w:val="20"/>
        </w:rPr>
        <w:t>K náboženské víře se přihlásila necelá pětina bezdomovců. Přitom 10 % bezdomovců uvedlo konkrétní církev nebo náboženskou společnost (6 % Církev římskokatolickou) a 8 % zvolilo na sčítacím formuláři „věřící-nehlásící se k žádné církvi ani náboženské společnosti“. Více než třetina bezdomovců (35 %) deklaroval</w:t>
      </w:r>
      <w:r w:rsidR="00067BCE">
        <w:rPr>
          <w:sz w:val="20"/>
          <w:szCs w:val="20"/>
        </w:rPr>
        <w:t>a</w:t>
      </w:r>
      <w:r>
        <w:rPr>
          <w:sz w:val="20"/>
          <w:szCs w:val="20"/>
        </w:rPr>
        <w:t>, že je bez náboženské víry. Ostatní nechali otázku bez odpovědi. Podíl neuvedených odpovědí u otázky na náboženskou víru byl stejně jako u celkové populace výrazně vyšší než podíl neuvedených národností. V případě bezdomovců byl tento podíl více než dvojnásobný.</w:t>
      </w:r>
    </w:p>
    <w:p w:rsidR="00B903FD" w:rsidRDefault="00114D49" w:rsidP="00114D49">
      <w:pPr>
        <w:pStyle w:val="Normln-web"/>
        <w:spacing w:line="276" w:lineRule="auto"/>
        <w:rPr>
          <w:sz w:val="20"/>
        </w:rPr>
      </w:pPr>
      <w:r>
        <w:rPr>
          <w:sz w:val="20"/>
        </w:rPr>
        <w:t xml:space="preserve"> </w:t>
      </w:r>
    </w:p>
    <w:sectPr w:rsidR="00B903FD" w:rsidSect="002C669A">
      <w:headerReference w:type="default" r:id="rId13"/>
      <w:pgSz w:w="11905" w:h="16837"/>
      <w:pgMar w:top="2269" w:right="851" w:bottom="1418" w:left="158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B2" w:rsidRDefault="007D6DB2">
      <w:r>
        <w:separator/>
      </w:r>
    </w:p>
  </w:endnote>
  <w:endnote w:type="continuationSeparator" w:id="0">
    <w:p w:rsidR="007D6DB2" w:rsidRDefault="007D6D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sig w:usb0="00000000" w:usb1="00000000" w:usb2="00000000" w:usb3="00000000" w:csb0="00000000" w:csb1="00000000"/>
  </w:font>
  <w:font w:name="Times">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B2" w:rsidRDefault="007D6DB2">
      <w:r>
        <w:separator/>
      </w:r>
    </w:p>
  </w:footnote>
  <w:footnote w:type="continuationSeparator" w:id="0">
    <w:p w:rsidR="007D6DB2" w:rsidRDefault="007D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9" w:type="dxa"/>
      <w:tblInd w:w="108" w:type="dxa"/>
      <w:tblLayout w:type="fixed"/>
      <w:tblLook w:val="0000"/>
    </w:tblPr>
    <w:tblGrid>
      <w:gridCol w:w="2835"/>
      <w:gridCol w:w="3079"/>
      <w:gridCol w:w="3655"/>
    </w:tblGrid>
    <w:tr w:rsidR="001F2998" w:rsidTr="00220D4D">
      <w:tc>
        <w:tcPr>
          <w:tcW w:w="2835" w:type="dxa"/>
          <w:vAlign w:val="center"/>
        </w:tcPr>
        <w:p w:rsidR="001F2998" w:rsidRDefault="001F2998" w:rsidP="00375D96">
          <w:pPr>
            <w:pStyle w:val="Zhlav"/>
            <w:tabs>
              <w:tab w:val="right" w:pos="9072"/>
            </w:tabs>
            <w:snapToGrid w:val="0"/>
            <w:rPr>
              <w:sz w:val="20"/>
              <w:lang w:val="en-GB"/>
            </w:rPr>
          </w:pPr>
          <w:r>
            <w:rPr>
              <w:lang w:eastAsia="cs-CZ"/>
            </w:rPr>
            <w:drawing>
              <wp:anchor distT="0" distB="0" distL="0" distR="0" simplePos="0" relativeHeight="251660288" behindDoc="0" locked="0" layoutInCell="1" allowOverlap="1">
                <wp:simplePos x="0" y="0"/>
                <wp:positionH relativeFrom="column">
                  <wp:posOffset>-1270</wp:posOffset>
                </wp:positionH>
                <wp:positionV relativeFrom="paragraph">
                  <wp:posOffset>0</wp:posOffset>
                </wp:positionV>
                <wp:extent cx="1673860" cy="828040"/>
                <wp:effectExtent l="19050" t="0" r="2540" b="0"/>
                <wp:wrapTopAndBottom/>
                <wp:docPr id="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3860" cy="828040"/>
                        </a:xfrm>
                        <a:prstGeom prst="rect">
                          <a:avLst/>
                        </a:prstGeom>
                        <a:solidFill>
                          <a:srgbClr val="FFFFFF"/>
                        </a:solidFill>
                        <a:ln w="9525">
                          <a:noFill/>
                          <a:miter lim="800000"/>
                          <a:headEnd/>
                          <a:tailEnd/>
                        </a:ln>
                      </pic:spPr>
                    </pic:pic>
                  </a:graphicData>
                </a:graphic>
              </wp:anchor>
            </w:drawing>
          </w:r>
        </w:p>
      </w:tc>
      <w:tc>
        <w:tcPr>
          <w:tcW w:w="3079" w:type="dxa"/>
          <w:vAlign w:val="center"/>
        </w:tcPr>
        <w:p w:rsidR="001F2998" w:rsidRDefault="001F2998" w:rsidP="00375D96">
          <w:pPr>
            <w:pStyle w:val="Zhlav"/>
            <w:tabs>
              <w:tab w:val="left" w:pos="709"/>
              <w:tab w:val="right" w:pos="9072"/>
            </w:tabs>
            <w:snapToGrid w:val="0"/>
            <w:jc w:val="center"/>
            <w:rPr>
              <w:b/>
              <w:sz w:val="28"/>
              <w:lang w:val="en-GB"/>
            </w:rPr>
          </w:pPr>
        </w:p>
      </w:tc>
      <w:tc>
        <w:tcPr>
          <w:tcW w:w="3655" w:type="dxa"/>
          <w:vAlign w:val="center"/>
        </w:tcPr>
        <w:p w:rsidR="001F2998" w:rsidRDefault="001F2998" w:rsidP="00375D96">
          <w:pPr>
            <w:pStyle w:val="Zhlav"/>
            <w:tabs>
              <w:tab w:val="left" w:pos="709"/>
              <w:tab w:val="right" w:pos="9072"/>
            </w:tabs>
            <w:snapToGrid w:val="0"/>
            <w:jc w:val="right"/>
            <w:rPr>
              <w:sz w:val="20"/>
              <w:lang w:val="en-GB"/>
            </w:rPr>
          </w:pPr>
          <w:r>
            <w:rPr>
              <w:sz w:val="20"/>
              <w:lang w:eastAsia="cs-CZ"/>
            </w:rPr>
            <w:drawing>
              <wp:anchor distT="0" distB="0" distL="114300" distR="114300" simplePos="0" relativeHeight="251661312" behindDoc="1" locked="0" layoutInCell="1" allowOverlap="1">
                <wp:simplePos x="0" y="0"/>
                <wp:positionH relativeFrom="page">
                  <wp:posOffset>466090</wp:posOffset>
                </wp:positionH>
                <wp:positionV relativeFrom="page">
                  <wp:posOffset>261620</wp:posOffset>
                </wp:positionV>
                <wp:extent cx="1741170" cy="450215"/>
                <wp:effectExtent l="19050" t="0" r="0" b="0"/>
                <wp:wrapNone/>
                <wp:docPr id="18"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2"/>
                        <a:srcRect r="61736"/>
                        <a:stretch>
                          <a:fillRect/>
                        </a:stretch>
                      </pic:blipFill>
                      <pic:spPr bwMode="auto">
                        <a:xfrm>
                          <a:off x="0" y="0"/>
                          <a:ext cx="1741170" cy="450215"/>
                        </a:xfrm>
                        <a:prstGeom prst="rect">
                          <a:avLst/>
                        </a:prstGeom>
                        <a:noFill/>
                        <a:ln w="9525">
                          <a:noFill/>
                          <a:miter lim="800000"/>
                          <a:headEnd/>
                          <a:tailEnd/>
                        </a:ln>
                      </pic:spPr>
                    </pic:pic>
                  </a:graphicData>
                </a:graphic>
              </wp:anchor>
            </w:drawing>
          </w:r>
        </w:p>
      </w:tc>
    </w:tr>
  </w:tbl>
  <w:p w:rsidR="001F2998" w:rsidRDefault="001F2998">
    <w:pPr>
      <w:pStyle w:val="Zhlav"/>
      <w:tabs>
        <w:tab w:val="left" w:pos="709"/>
        <w:tab w:val="right" w:pos="9072"/>
      </w:tabs>
      <w:rPr>
        <w:sz w:val="2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33"/>
    <w:lvl w:ilvl="0">
      <w:start w:val="1"/>
      <w:numFmt w:val="decimal"/>
      <w:lvlText w:val="%1"/>
      <w:lvlJc w:val="left"/>
      <w:pPr>
        <w:tabs>
          <w:tab w:val="num" w:pos="0"/>
        </w:tabs>
        <w:ind w:left="360" w:hanging="360"/>
      </w:pPr>
      <w:rPr>
        <w:rFonts w:ascii="Arial" w:hAnsi="Arial"/>
        <w:b/>
        <w:i w:val="0"/>
        <w:sz w:val="19"/>
      </w:rPr>
    </w:lvl>
    <w:lvl w:ilvl="1">
      <w:start w:val="1"/>
      <w:numFmt w:val="decimal"/>
      <w:lvlText w:val="%1.%2"/>
      <w:lvlJc w:val="left"/>
      <w:pPr>
        <w:tabs>
          <w:tab w:val="num" w:pos="0"/>
        </w:tabs>
        <w:ind w:left="720" w:hanging="360"/>
      </w:pPr>
      <w:rPr>
        <w:rFonts w:ascii="Arial" w:hAnsi="Arial"/>
        <w:b w:val="0"/>
        <w:i w:val="0"/>
        <w:sz w:val="19"/>
      </w:rPr>
    </w:lvl>
    <w:lvl w:ilvl="2">
      <w:start w:val="1"/>
      <w:numFmt w:val="decimal"/>
      <w:lvlText w:val="%1.%2.%3"/>
      <w:lvlJc w:val="left"/>
      <w:pPr>
        <w:tabs>
          <w:tab w:val="num" w:pos="0"/>
        </w:tabs>
        <w:ind w:left="1080" w:hanging="360"/>
      </w:pPr>
      <w:rPr>
        <w:rFonts w:ascii="Arial" w:hAnsi="Arial"/>
        <w:b w:val="0"/>
        <w:i w:val="0"/>
        <w:sz w:val="19"/>
      </w:rPr>
    </w:lvl>
    <w:lvl w:ilvl="3">
      <w:start w:val="1"/>
      <w:numFmt w:val="decimal"/>
      <w:lvlText w:val="%1.%2.%3.%4"/>
      <w:lvlJc w:val="left"/>
      <w:pPr>
        <w:tabs>
          <w:tab w:val="num" w:pos="0"/>
        </w:tabs>
        <w:ind w:left="1440" w:hanging="360"/>
      </w:pPr>
      <w:rPr>
        <w:rFonts w:ascii="Arial" w:hAnsi="Arial"/>
        <w:b w:val="0"/>
        <w:i w:val="0"/>
        <w:sz w:val="19"/>
      </w:rPr>
    </w:lvl>
    <w:lvl w:ilvl="4">
      <w:start w:val="1"/>
      <w:numFmt w:val="none"/>
      <w:lvlText w:val=""/>
      <w:lvlJc w:val="left"/>
      <w:pPr>
        <w:tabs>
          <w:tab w:val="num" w:pos="0"/>
        </w:tabs>
        <w:ind w:left="1800" w:hanging="360"/>
      </w:pPr>
      <w:rPr>
        <w:rFonts w:ascii="Arial" w:hAnsi="Arial"/>
        <w:b w:val="0"/>
        <w:i/>
        <w:sz w:val="19"/>
      </w:rPr>
    </w:lvl>
    <w:lvl w:ilvl="5">
      <w:start w:val="1"/>
      <w:numFmt w:val="none"/>
      <w:lvlText w:val=""/>
      <w:lvlJc w:val="left"/>
      <w:pPr>
        <w:tabs>
          <w:tab w:val="num" w:pos="0"/>
        </w:tabs>
        <w:ind w:left="2160" w:hanging="360"/>
      </w:pPr>
      <w:rPr>
        <w:rFonts w:ascii="Arial" w:hAnsi="Arial"/>
        <w:b w:val="0"/>
        <w:i/>
        <w:sz w:val="19"/>
      </w:r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7E21487"/>
    <w:multiLevelType w:val="hybridMultilevel"/>
    <w:tmpl w:val="A162A74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1D280E"/>
    <w:multiLevelType w:val="hybridMultilevel"/>
    <w:tmpl w:val="7CEA95E4"/>
    <w:lvl w:ilvl="0" w:tplc="C21ADF7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821C9E"/>
    <w:multiLevelType w:val="hybridMultilevel"/>
    <w:tmpl w:val="344227B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8631BF"/>
    <w:multiLevelType w:val="hybridMultilevel"/>
    <w:tmpl w:val="9852FDFC"/>
    <w:lvl w:ilvl="0" w:tplc="55787480">
      <w:start w:val="1"/>
      <w:numFmt w:val="decimal"/>
      <w:lvlText w:val="%1."/>
      <w:lvlJc w:val="left"/>
      <w:pPr>
        <w:ind w:left="502" w:hanging="360"/>
      </w:pPr>
      <w:rPr>
        <w:rFonts w:ascii="Arial" w:eastAsia="Times New Roman" w:hAnsi="Arial" w:cs="Arial"/>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1F082C05"/>
    <w:multiLevelType w:val="hybridMultilevel"/>
    <w:tmpl w:val="08DEAE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EB372C"/>
    <w:multiLevelType w:val="hybridMultilevel"/>
    <w:tmpl w:val="C5C81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2110DD"/>
    <w:multiLevelType w:val="multilevel"/>
    <w:tmpl w:val="D3D41B5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1246C9F"/>
    <w:multiLevelType w:val="hybridMultilevel"/>
    <w:tmpl w:val="CBEA4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3D0BFB"/>
    <w:multiLevelType w:val="hybridMultilevel"/>
    <w:tmpl w:val="9378FAC4"/>
    <w:lvl w:ilvl="0" w:tplc="5888C54C">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4DC11A06"/>
    <w:multiLevelType w:val="hybridMultilevel"/>
    <w:tmpl w:val="943E9F4A"/>
    <w:lvl w:ilvl="0" w:tplc="22546BEC">
      <w:start w:val="1"/>
      <w:numFmt w:val="bullet"/>
      <w:lvlText w:val=""/>
      <w:lvlJc w:val="left"/>
      <w:pPr>
        <w:ind w:left="720" w:hanging="360"/>
      </w:pPr>
      <w:rPr>
        <w:rFonts w:ascii="Symbol" w:hAnsi="Symbol" w:hint="default"/>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E5D1782"/>
    <w:multiLevelType w:val="hybridMultilevel"/>
    <w:tmpl w:val="9DFC6328"/>
    <w:lvl w:ilvl="0" w:tplc="27B21D76">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C264DA5"/>
    <w:multiLevelType w:val="hybridMultilevel"/>
    <w:tmpl w:val="F1D65D52"/>
    <w:lvl w:ilvl="0" w:tplc="22546BEC">
      <w:start w:val="1"/>
      <w:numFmt w:val="bullet"/>
      <w:lvlText w:val=""/>
      <w:lvlJc w:val="left"/>
      <w:pPr>
        <w:ind w:left="720" w:hanging="360"/>
      </w:pPr>
      <w:rPr>
        <w:rFonts w:ascii="Symbol" w:hAnsi="Symbol" w:hint="default"/>
        <w:sz w:val="3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090407"/>
    <w:multiLevelType w:val="hybridMultilevel"/>
    <w:tmpl w:val="715C4E9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9EB04C4"/>
    <w:multiLevelType w:val="hybridMultilevel"/>
    <w:tmpl w:val="A75A9E5A"/>
    <w:lvl w:ilvl="0" w:tplc="D62AC1FE">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nsid w:val="7D836F37"/>
    <w:multiLevelType w:val="hybridMultilevel"/>
    <w:tmpl w:val="E57E9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8"/>
  </w:num>
  <w:num w:numId="6">
    <w:abstractNumId w:val="14"/>
  </w:num>
  <w:num w:numId="7">
    <w:abstractNumId w:val="9"/>
  </w:num>
  <w:num w:numId="8">
    <w:abstractNumId w:val="16"/>
  </w:num>
  <w:num w:numId="9">
    <w:abstractNumId w:val="2"/>
  </w:num>
  <w:num w:numId="10">
    <w:abstractNumId w:val="15"/>
  </w:num>
  <w:num w:numId="11">
    <w:abstractNumId w:val="7"/>
  </w:num>
  <w:num w:numId="12">
    <w:abstractNumId w:val="10"/>
  </w:num>
  <w:num w:numId="13">
    <w:abstractNumId w:val="12"/>
  </w:num>
  <w:num w:numId="14">
    <w:abstractNumId w:val="6"/>
  </w:num>
  <w:num w:numId="15">
    <w:abstractNumId w:val="4"/>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cs-CZ" w:vendorID="7" w:dllVersion="514" w:checkStyle="1"/>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4930"/>
  </w:hdrShapeDefaults>
  <w:footnotePr>
    <w:footnote w:id="-1"/>
    <w:footnote w:id="0"/>
  </w:footnotePr>
  <w:endnotePr>
    <w:endnote w:id="-1"/>
    <w:endnote w:id="0"/>
  </w:endnotePr>
  <w:compat/>
  <w:rsids>
    <w:rsidRoot w:val="00A43350"/>
    <w:rsid w:val="000027BD"/>
    <w:rsid w:val="000061AF"/>
    <w:rsid w:val="0000699C"/>
    <w:rsid w:val="00013296"/>
    <w:rsid w:val="0001649E"/>
    <w:rsid w:val="00024FFB"/>
    <w:rsid w:val="00033EF7"/>
    <w:rsid w:val="00034AD1"/>
    <w:rsid w:val="0003647C"/>
    <w:rsid w:val="00037C67"/>
    <w:rsid w:val="00046889"/>
    <w:rsid w:val="0004727B"/>
    <w:rsid w:val="00047E82"/>
    <w:rsid w:val="0005747A"/>
    <w:rsid w:val="00061472"/>
    <w:rsid w:val="00061F3F"/>
    <w:rsid w:val="00067BCE"/>
    <w:rsid w:val="00072F99"/>
    <w:rsid w:val="00082788"/>
    <w:rsid w:val="00084B9C"/>
    <w:rsid w:val="0008568E"/>
    <w:rsid w:val="000867F7"/>
    <w:rsid w:val="00091E81"/>
    <w:rsid w:val="000933E8"/>
    <w:rsid w:val="000A2D41"/>
    <w:rsid w:val="000A7854"/>
    <w:rsid w:val="000B7DED"/>
    <w:rsid w:val="000C0495"/>
    <w:rsid w:val="000C0514"/>
    <w:rsid w:val="000C2170"/>
    <w:rsid w:val="000C4C22"/>
    <w:rsid w:val="000C6FA3"/>
    <w:rsid w:val="000D02C3"/>
    <w:rsid w:val="000D1E4D"/>
    <w:rsid w:val="000D2754"/>
    <w:rsid w:val="000D57B9"/>
    <w:rsid w:val="000E10FC"/>
    <w:rsid w:val="000E43EC"/>
    <w:rsid w:val="000E5F8B"/>
    <w:rsid w:val="000F3DA7"/>
    <w:rsid w:val="00100B0F"/>
    <w:rsid w:val="00100BD6"/>
    <w:rsid w:val="00100BE2"/>
    <w:rsid w:val="00112079"/>
    <w:rsid w:val="00112B68"/>
    <w:rsid w:val="001133B5"/>
    <w:rsid w:val="00114D49"/>
    <w:rsid w:val="00123BB9"/>
    <w:rsid w:val="001361EF"/>
    <w:rsid w:val="00137CBE"/>
    <w:rsid w:val="00144135"/>
    <w:rsid w:val="00144A68"/>
    <w:rsid w:val="001475BB"/>
    <w:rsid w:val="00160035"/>
    <w:rsid w:val="00165156"/>
    <w:rsid w:val="00165DC3"/>
    <w:rsid w:val="00165E65"/>
    <w:rsid w:val="00171994"/>
    <w:rsid w:val="001770AA"/>
    <w:rsid w:val="00185204"/>
    <w:rsid w:val="00185D3A"/>
    <w:rsid w:val="001867B3"/>
    <w:rsid w:val="00190A4D"/>
    <w:rsid w:val="00192052"/>
    <w:rsid w:val="001929D6"/>
    <w:rsid w:val="00192BC1"/>
    <w:rsid w:val="001948FF"/>
    <w:rsid w:val="001A021A"/>
    <w:rsid w:val="001A35EA"/>
    <w:rsid w:val="001B3330"/>
    <w:rsid w:val="001B557E"/>
    <w:rsid w:val="001C15A1"/>
    <w:rsid w:val="001C2D10"/>
    <w:rsid w:val="001C4BD3"/>
    <w:rsid w:val="001C6ADC"/>
    <w:rsid w:val="001D5A67"/>
    <w:rsid w:val="001E4771"/>
    <w:rsid w:val="001E730D"/>
    <w:rsid w:val="001F2998"/>
    <w:rsid w:val="001F7B1F"/>
    <w:rsid w:val="00202DE1"/>
    <w:rsid w:val="00203689"/>
    <w:rsid w:val="00205C4C"/>
    <w:rsid w:val="002070C6"/>
    <w:rsid w:val="00217930"/>
    <w:rsid w:val="00220D4D"/>
    <w:rsid w:val="002262F3"/>
    <w:rsid w:val="002337AE"/>
    <w:rsid w:val="002371AD"/>
    <w:rsid w:val="00240500"/>
    <w:rsid w:val="002451DB"/>
    <w:rsid w:val="002460A4"/>
    <w:rsid w:val="002503A3"/>
    <w:rsid w:val="002521AC"/>
    <w:rsid w:val="00256B0A"/>
    <w:rsid w:val="00262417"/>
    <w:rsid w:val="00263C0C"/>
    <w:rsid w:val="0026488A"/>
    <w:rsid w:val="00264BF8"/>
    <w:rsid w:val="00266D4E"/>
    <w:rsid w:val="002714B1"/>
    <w:rsid w:val="00280C69"/>
    <w:rsid w:val="00282C4C"/>
    <w:rsid w:val="00286DC6"/>
    <w:rsid w:val="00290472"/>
    <w:rsid w:val="0029061A"/>
    <w:rsid w:val="002971B1"/>
    <w:rsid w:val="002A6808"/>
    <w:rsid w:val="002B2884"/>
    <w:rsid w:val="002B2E31"/>
    <w:rsid w:val="002C2385"/>
    <w:rsid w:val="002C36A9"/>
    <w:rsid w:val="002C669A"/>
    <w:rsid w:val="002C6AB4"/>
    <w:rsid w:val="002D2B6E"/>
    <w:rsid w:val="002D3629"/>
    <w:rsid w:val="002D74C1"/>
    <w:rsid w:val="002F1ECE"/>
    <w:rsid w:val="00300C83"/>
    <w:rsid w:val="003019C6"/>
    <w:rsid w:val="00301D97"/>
    <w:rsid w:val="003031C0"/>
    <w:rsid w:val="00305B4D"/>
    <w:rsid w:val="00306C5A"/>
    <w:rsid w:val="00315C1E"/>
    <w:rsid w:val="00331266"/>
    <w:rsid w:val="00333073"/>
    <w:rsid w:val="00333BE2"/>
    <w:rsid w:val="00336D49"/>
    <w:rsid w:val="00341839"/>
    <w:rsid w:val="00355BF6"/>
    <w:rsid w:val="0035684E"/>
    <w:rsid w:val="00360705"/>
    <w:rsid w:val="00360A03"/>
    <w:rsid w:val="00361FA5"/>
    <w:rsid w:val="003620C3"/>
    <w:rsid w:val="0036434D"/>
    <w:rsid w:val="00370F79"/>
    <w:rsid w:val="0037279D"/>
    <w:rsid w:val="003728C9"/>
    <w:rsid w:val="003730BB"/>
    <w:rsid w:val="00373752"/>
    <w:rsid w:val="00374029"/>
    <w:rsid w:val="00375D96"/>
    <w:rsid w:val="003774F2"/>
    <w:rsid w:val="00380306"/>
    <w:rsid w:val="00385D95"/>
    <w:rsid w:val="00386878"/>
    <w:rsid w:val="0039015A"/>
    <w:rsid w:val="0039282B"/>
    <w:rsid w:val="00394D79"/>
    <w:rsid w:val="00397E72"/>
    <w:rsid w:val="003A027D"/>
    <w:rsid w:val="003A060A"/>
    <w:rsid w:val="003A44FD"/>
    <w:rsid w:val="003B0EED"/>
    <w:rsid w:val="003B29E3"/>
    <w:rsid w:val="003B3622"/>
    <w:rsid w:val="003B68CB"/>
    <w:rsid w:val="003B794D"/>
    <w:rsid w:val="003C2331"/>
    <w:rsid w:val="003C3568"/>
    <w:rsid w:val="003C5019"/>
    <w:rsid w:val="003C5316"/>
    <w:rsid w:val="003D07B5"/>
    <w:rsid w:val="003E16DB"/>
    <w:rsid w:val="003E596D"/>
    <w:rsid w:val="003F0458"/>
    <w:rsid w:val="003F3012"/>
    <w:rsid w:val="003F465C"/>
    <w:rsid w:val="003F5EFE"/>
    <w:rsid w:val="003F5FFE"/>
    <w:rsid w:val="003F627B"/>
    <w:rsid w:val="003F67A8"/>
    <w:rsid w:val="004009D7"/>
    <w:rsid w:val="00402F28"/>
    <w:rsid w:val="00406B1F"/>
    <w:rsid w:val="00406B82"/>
    <w:rsid w:val="00407ED2"/>
    <w:rsid w:val="00413F59"/>
    <w:rsid w:val="00416794"/>
    <w:rsid w:val="0042539C"/>
    <w:rsid w:val="0042568C"/>
    <w:rsid w:val="00426029"/>
    <w:rsid w:val="00433AF9"/>
    <w:rsid w:val="0043470F"/>
    <w:rsid w:val="00434CB4"/>
    <w:rsid w:val="00437BD7"/>
    <w:rsid w:val="00441D06"/>
    <w:rsid w:val="00443222"/>
    <w:rsid w:val="00443FFA"/>
    <w:rsid w:val="00447F97"/>
    <w:rsid w:val="00450FD7"/>
    <w:rsid w:val="004532F5"/>
    <w:rsid w:val="00461252"/>
    <w:rsid w:val="0046418F"/>
    <w:rsid w:val="00464653"/>
    <w:rsid w:val="004675C1"/>
    <w:rsid w:val="004701CA"/>
    <w:rsid w:val="00471506"/>
    <w:rsid w:val="0047261A"/>
    <w:rsid w:val="00474198"/>
    <w:rsid w:val="004808AA"/>
    <w:rsid w:val="0048109A"/>
    <w:rsid w:val="00482E89"/>
    <w:rsid w:val="00492844"/>
    <w:rsid w:val="00493AEB"/>
    <w:rsid w:val="00494D30"/>
    <w:rsid w:val="004A16CC"/>
    <w:rsid w:val="004A5D14"/>
    <w:rsid w:val="004B12AB"/>
    <w:rsid w:val="004B2DC6"/>
    <w:rsid w:val="004C011D"/>
    <w:rsid w:val="004C0502"/>
    <w:rsid w:val="004C0C78"/>
    <w:rsid w:val="004C4847"/>
    <w:rsid w:val="004C5116"/>
    <w:rsid w:val="004D30D8"/>
    <w:rsid w:val="004D4B17"/>
    <w:rsid w:val="004D60B0"/>
    <w:rsid w:val="004D7FC2"/>
    <w:rsid w:val="004E1261"/>
    <w:rsid w:val="004E27E8"/>
    <w:rsid w:val="004F1145"/>
    <w:rsid w:val="004F1C91"/>
    <w:rsid w:val="004F4C67"/>
    <w:rsid w:val="004F71A1"/>
    <w:rsid w:val="004F756D"/>
    <w:rsid w:val="005039F6"/>
    <w:rsid w:val="005043DD"/>
    <w:rsid w:val="0051354C"/>
    <w:rsid w:val="00513E37"/>
    <w:rsid w:val="00515740"/>
    <w:rsid w:val="00520968"/>
    <w:rsid w:val="00531924"/>
    <w:rsid w:val="00533EBF"/>
    <w:rsid w:val="0053587E"/>
    <w:rsid w:val="00537191"/>
    <w:rsid w:val="00547DC5"/>
    <w:rsid w:val="00557239"/>
    <w:rsid w:val="00557D92"/>
    <w:rsid w:val="0056190C"/>
    <w:rsid w:val="00563BB4"/>
    <w:rsid w:val="00566545"/>
    <w:rsid w:val="0056725A"/>
    <w:rsid w:val="00572438"/>
    <w:rsid w:val="00572831"/>
    <w:rsid w:val="00572B3A"/>
    <w:rsid w:val="00576717"/>
    <w:rsid w:val="00576861"/>
    <w:rsid w:val="005776A2"/>
    <w:rsid w:val="00586100"/>
    <w:rsid w:val="00593406"/>
    <w:rsid w:val="00596D24"/>
    <w:rsid w:val="005A15AE"/>
    <w:rsid w:val="005A20B0"/>
    <w:rsid w:val="005A2BAA"/>
    <w:rsid w:val="005B7456"/>
    <w:rsid w:val="005C32F8"/>
    <w:rsid w:val="005D5808"/>
    <w:rsid w:val="005D66DF"/>
    <w:rsid w:val="005E1E43"/>
    <w:rsid w:val="005E5343"/>
    <w:rsid w:val="005F44BD"/>
    <w:rsid w:val="0060050E"/>
    <w:rsid w:val="0060534A"/>
    <w:rsid w:val="00611EA2"/>
    <w:rsid w:val="00613DCD"/>
    <w:rsid w:val="00627A32"/>
    <w:rsid w:val="00633C42"/>
    <w:rsid w:val="00634E58"/>
    <w:rsid w:val="00640086"/>
    <w:rsid w:val="00653754"/>
    <w:rsid w:val="006561DB"/>
    <w:rsid w:val="006563B4"/>
    <w:rsid w:val="00656EF6"/>
    <w:rsid w:val="00664601"/>
    <w:rsid w:val="00666CC7"/>
    <w:rsid w:val="006717BB"/>
    <w:rsid w:val="00674616"/>
    <w:rsid w:val="00674E34"/>
    <w:rsid w:val="0068051B"/>
    <w:rsid w:val="00683BE4"/>
    <w:rsid w:val="0068496D"/>
    <w:rsid w:val="00690BB3"/>
    <w:rsid w:val="00692997"/>
    <w:rsid w:val="00694020"/>
    <w:rsid w:val="006A2980"/>
    <w:rsid w:val="006A31EB"/>
    <w:rsid w:val="006A54EA"/>
    <w:rsid w:val="006C1DC5"/>
    <w:rsid w:val="006C4926"/>
    <w:rsid w:val="006D33FE"/>
    <w:rsid w:val="006D7537"/>
    <w:rsid w:val="006E0203"/>
    <w:rsid w:val="006E41A1"/>
    <w:rsid w:val="006E4E84"/>
    <w:rsid w:val="006E6536"/>
    <w:rsid w:val="006E6AB4"/>
    <w:rsid w:val="006F3A7C"/>
    <w:rsid w:val="006F4A12"/>
    <w:rsid w:val="006F59C7"/>
    <w:rsid w:val="00712232"/>
    <w:rsid w:val="007156E9"/>
    <w:rsid w:val="00717C4E"/>
    <w:rsid w:val="00720280"/>
    <w:rsid w:val="007206C0"/>
    <w:rsid w:val="00721DF9"/>
    <w:rsid w:val="00725E0C"/>
    <w:rsid w:val="007315B5"/>
    <w:rsid w:val="007346C9"/>
    <w:rsid w:val="0073476F"/>
    <w:rsid w:val="00735BF0"/>
    <w:rsid w:val="00735FC8"/>
    <w:rsid w:val="00741BDA"/>
    <w:rsid w:val="00742168"/>
    <w:rsid w:val="0074450D"/>
    <w:rsid w:val="00746369"/>
    <w:rsid w:val="00754193"/>
    <w:rsid w:val="007560B0"/>
    <w:rsid w:val="007564B9"/>
    <w:rsid w:val="0075761B"/>
    <w:rsid w:val="007607E6"/>
    <w:rsid w:val="00760C72"/>
    <w:rsid w:val="00762FD9"/>
    <w:rsid w:val="00765C76"/>
    <w:rsid w:val="0076670A"/>
    <w:rsid w:val="0077255D"/>
    <w:rsid w:val="00774640"/>
    <w:rsid w:val="00775164"/>
    <w:rsid w:val="007757B8"/>
    <w:rsid w:val="00777A4C"/>
    <w:rsid w:val="00782C08"/>
    <w:rsid w:val="007962B8"/>
    <w:rsid w:val="00797948"/>
    <w:rsid w:val="00797BC3"/>
    <w:rsid w:val="007A34AA"/>
    <w:rsid w:val="007A44C6"/>
    <w:rsid w:val="007A5222"/>
    <w:rsid w:val="007B34CD"/>
    <w:rsid w:val="007B6288"/>
    <w:rsid w:val="007C022F"/>
    <w:rsid w:val="007C6437"/>
    <w:rsid w:val="007C6E1A"/>
    <w:rsid w:val="007D2C10"/>
    <w:rsid w:val="007D35A0"/>
    <w:rsid w:val="007D6DB2"/>
    <w:rsid w:val="007E61AF"/>
    <w:rsid w:val="007E70B2"/>
    <w:rsid w:val="007F05D2"/>
    <w:rsid w:val="007F0C7C"/>
    <w:rsid w:val="007F2E8C"/>
    <w:rsid w:val="007F7617"/>
    <w:rsid w:val="007F78D3"/>
    <w:rsid w:val="0080236A"/>
    <w:rsid w:val="00802AFC"/>
    <w:rsid w:val="00807462"/>
    <w:rsid w:val="00807764"/>
    <w:rsid w:val="008103D6"/>
    <w:rsid w:val="008110EF"/>
    <w:rsid w:val="008115DB"/>
    <w:rsid w:val="00811CB1"/>
    <w:rsid w:val="00813644"/>
    <w:rsid w:val="00813743"/>
    <w:rsid w:val="008220BB"/>
    <w:rsid w:val="00825DC1"/>
    <w:rsid w:val="00826508"/>
    <w:rsid w:val="00830A13"/>
    <w:rsid w:val="00833EE1"/>
    <w:rsid w:val="00834423"/>
    <w:rsid w:val="00834432"/>
    <w:rsid w:val="00840075"/>
    <w:rsid w:val="00841A52"/>
    <w:rsid w:val="0084286F"/>
    <w:rsid w:val="00844633"/>
    <w:rsid w:val="0084560C"/>
    <w:rsid w:val="008463AC"/>
    <w:rsid w:val="00846713"/>
    <w:rsid w:val="00850952"/>
    <w:rsid w:val="00851E06"/>
    <w:rsid w:val="00852146"/>
    <w:rsid w:val="00864782"/>
    <w:rsid w:val="0087228E"/>
    <w:rsid w:val="008732F0"/>
    <w:rsid w:val="008749FF"/>
    <w:rsid w:val="00877E12"/>
    <w:rsid w:val="0088193B"/>
    <w:rsid w:val="00885A87"/>
    <w:rsid w:val="00890A66"/>
    <w:rsid w:val="00890DD9"/>
    <w:rsid w:val="00893EFF"/>
    <w:rsid w:val="008A0C74"/>
    <w:rsid w:val="008A11CE"/>
    <w:rsid w:val="008A2104"/>
    <w:rsid w:val="008A4180"/>
    <w:rsid w:val="008B0B49"/>
    <w:rsid w:val="008C4593"/>
    <w:rsid w:val="008C59E1"/>
    <w:rsid w:val="008D140A"/>
    <w:rsid w:val="008D1F14"/>
    <w:rsid w:val="008D44AD"/>
    <w:rsid w:val="008E478F"/>
    <w:rsid w:val="008F2C5C"/>
    <w:rsid w:val="009022A0"/>
    <w:rsid w:val="00904EA7"/>
    <w:rsid w:val="0091209F"/>
    <w:rsid w:val="0091696C"/>
    <w:rsid w:val="00920338"/>
    <w:rsid w:val="009227D1"/>
    <w:rsid w:val="00925CEF"/>
    <w:rsid w:val="00926496"/>
    <w:rsid w:val="009306A0"/>
    <w:rsid w:val="00930C18"/>
    <w:rsid w:val="0093417B"/>
    <w:rsid w:val="00956BAB"/>
    <w:rsid w:val="00957985"/>
    <w:rsid w:val="00960A32"/>
    <w:rsid w:val="009662F2"/>
    <w:rsid w:val="00971BE2"/>
    <w:rsid w:val="009725E2"/>
    <w:rsid w:val="00972D8E"/>
    <w:rsid w:val="00976CD1"/>
    <w:rsid w:val="0097751D"/>
    <w:rsid w:val="00980DFB"/>
    <w:rsid w:val="00981981"/>
    <w:rsid w:val="009829E6"/>
    <w:rsid w:val="00992EF3"/>
    <w:rsid w:val="009939B1"/>
    <w:rsid w:val="00994BF3"/>
    <w:rsid w:val="009966B7"/>
    <w:rsid w:val="009A1D50"/>
    <w:rsid w:val="009A629E"/>
    <w:rsid w:val="009B266B"/>
    <w:rsid w:val="009B2919"/>
    <w:rsid w:val="009B32DE"/>
    <w:rsid w:val="009B5FC7"/>
    <w:rsid w:val="009C16DE"/>
    <w:rsid w:val="009D0018"/>
    <w:rsid w:val="009D3BBA"/>
    <w:rsid w:val="009E029E"/>
    <w:rsid w:val="009F0BD8"/>
    <w:rsid w:val="009F3141"/>
    <w:rsid w:val="00A0300C"/>
    <w:rsid w:val="00A06082"/>
    <w:rsid w:val="00A07130"/>
    <w:rsid w:val="00A13732"/>
    <w:rsid w:val="00A16FFB"/>
    <w:rsid w:val="00A21780"/>
    <w:rsid w:val="00A21966"/>
    <w:rsid w:val="00A27222"/>
    <w:rsid w:val="00A30C16"/>
    <w:rsid w:val="00A33915"/>
    <w:rsid w:val="00A3535B"/>
    <w:rsid w:val="00A40282"/>
    <w:rsid w:val="00A4116D"/>
    <w:rsid w:val="00A4183C"/>
    <w:rsid w:val="00A41999"/>
    <w:rsid w:val="00A43350"/>
    <w:rsid w:val="00A45B5A"/>
    <w:rsid w:val="00A4679E"/>
    <w:rsid w:val="00A50EC1"/>
    <w:rsid w:val="00A54910"/>
    <w:rsid w:val="00A576F4"/>
    <w:rsid w:val="00A57CF9"/>
    <w:rsid w:val="00A62C9C"/>
    <w:rsid w:val="00A66E34"/>
    <w:rsid w:val="00A6769D"/>
    <w:rsid w:val="00A710D8"/>
    <w:rsid w:val="00A84380"/>
    <w:rsid w:val="00A8515D"/>
    <w:rsid w:val="00A92FC8"/>
    <w:rsid w:val="00AA0854"/>
    <w:rsid w:val="00AA40D3"/>
    <w:rsid w:val="00AB094A"/>
    <w:rsid w:val="00AB0AC0"/>
    <w:rsid w:val="00AB2D60"/>
    <w:rsid w:val="00AB3F12"/>
    <w:rsid w:val="00AB46F5"/>
    <w:rsid w:val="00AB5F6A"/>
    <w:rsid w:val="00AC2069"/>
    <w:rsid w:val="00AC7DB3"/>
    <w:rsid w:val="00AD7182"/>
    <w:rsid w:val="00AE066F"/>
    <w:rsid w:val="00AE1338"/>
    <w:rsid w:val="00AE45C3"/>
    <w:rsid w:val="00AF38BD"/>
    <w:rsid w:val="00AF50AF"/>
    <w:rsid w:val="00AF73E8"/>
    <w:rsid w:val="00B00744"/>
    <w:rsid w:val="00B02A61"/>
    <w:rsid w:val="00B02F11"/>
    <w:rsid w:val="00B078AE"/>
    <w:rsid w:val="00B109CA"/>
    <w:rsid w:val="00B201EA"/>
    <w:rsid w:val="00B225CF"/>
    <w:rsid w:val="00B24D10"/>
    <w:rsid w:val="00B258EC"/>
    <w:rsid w:val="00B35AC2"/>
    <w:rsid w:val="00B36551"/>
    <w:rsid w:val="00B36AF5"/>
    <w:rsid w:val="00B4210F"/>
    <w:rsid w:val="00B452EA"/>
    <w:rsid w:val="00B516F4"/>
    <w:rsid w:val="00B61275"/>
    <w:rsid w:val="00B679F7"/>
    <w:rsid w:val="00B70887"/>
    <w:rsid w:val="00B8291A"/>
    <w:rsid w:val="00B82F65"/>
    <w:rsid w:val="00B86F81"/>
    <w:rsid w:val="00B903FD"/>
    <w:rsid w:val="00B93AE1"/>
    <w:rsid w:val="00BA0583"/>
    <w:rsid w:val="00BA2890"/>
    <w:rsid w:val="00BB125D"/>
    <w:rsid w:val="00BB400A"/>
    <w:rsid w:val="00BB5235"/>
    <w:rsid w:val="00BB5905"/>
    <w:rsid w:val="00BB7C6C"/>
    <w:rsid w:val="00BC65EB"/>
    <w:rsid w:val="00BD48D5"/>
    <w:rsid w:val="00BE0728"/>
    <w:rsid w:val="00BE54A1"/>
    <w:rsid w:val="00BE7A51"/>
    <w:rsid w:val="00BF5AFA"/>
    <w:rsid w:val="00BF70FF"/>
    <w:rsid w:val="00C042BD"/>
    <w:rsid w:val="00C0594D"/>
    <w:rsid w:val="00C117FF"/>
    <w:rsid w:val="00C12AF8"/>
    <w:rsid w:val="00C15BD5"/>
    <w:rsid w:val="00C16D7E"/>
    <w:rsid w:val="00C321C7"/>
    <w:rsid w:val="00C416D7"/>
    <w:rsid w:val="00C431EE"/>
    <w:rsid w:val="00C444D7"/>
    <w:rsid w:val="00C5001A"/>
    <w:rsid w:val="00C570F4"/>
    <w:rsid w:val="00C722E8"/>
    <w:rsid w:val="00C72651"/>
    <w:rsid w:val="00C72AD3"/>
    <w:rsid w:val="00C73231"/>
    <w:rsid w:val="00C74CC1"/>
    <w:rsid w:val="00C80A23"/>
    <w:rsid w:val="00C83D68"/>
    <w:rsid w:val="00C84A14"/>
    <w:rsid w:val="00C90F6F"/>
    <w:rsid w:val="00CA2329"/>
    <w:rsid w:val="00CA4012"/>
    <w:rsid w:val="00CA5B63"/>
    <w:rsid w:val="00CA7B27"/>
    <w:rsid w:val="00CC098F"/>
    <w:rsid w:val="00CC112B"/>
    <w:rsid w:val="00CD63ED"/>
    <w:rsid w:val="00CE0D0A"/>
    <w:rsid w:val="00CE1BB5"/>
    <w:rsid w:val="00CF1FE3"/>
    <w:rsid w:val="00D01658"/>
    <w:rsid w:val="00D04D1D"/>
    <w:rsid w:val="00D05629"/>
    <w:rsid w:val="00D17C88"/>
    <w:rsid w:val="00D20394"/>
    <w:rsid w:val="00D2062A"/>
    <w:rsid w:val="00D22D5F"/>
    <w:rsid w:val="00D24D92"/>
    <w:rsid w:val="00D25021"/>
    <w:rsid w:val="00D30AEB"/>
    <w:rsid w:val="00D4082A"/>
    <w:rsid w:val="00D44169"/>
    <w:rsid w:val="00D474BC"/>
    <w:rsid w:val="00D524B1"/>
    <w:rsid w:val="00D56645"/>
    <w:rsid w:val="00D57959"/>
    <w:rsid w:val="00D60D29"/>
    <w:rsid w:val="00D61129"/>
    <w:rsid w:val="00D61A51"/>
    <w:rsid w:val="00D71F47"/>
    <w:rsid w:val="00D72689"/>
    <w:rsid w:val="00D73197"/>
    <w:rsid w:val="00D75AB0"/>
    <w:rsid w:val="00D7658E"/>
    <w:rsid w:val="00D7770A"/>
    <w:rsid w:val="00D82095"/>
    <w:rsid w:val="00D85544"/>
    <w:rsid w:val="00D85825"/>
    <w:rsid w:val="00D903DC"/>
    <w:rsid w:val="00D90880"/>
    <w:rsid w:val="00D96332"/>
    <w:rsid w:val="00DA05FC"/>
    <w:rsid w:val="00DA23D4"/>
    <w:rsid w:val="00DA2841"/>
    <w:rsid w:val="00DA2C4F"/>
    <w:rsid w:val="00DB1E5E"/>
    <w:rsid w:val="00DB2238"/>
    <w:rsid w:val="00DB2853"/>
    <w:rsid w:val="00DB4DF6"/>
    <w:rsid w:val="00DB5F54"/>
    <w:rsid w:val="00DC0C7F"/>
    <w:rsid w:val="00DC1985"/>
    <w:rsid w:val="00DD0301"/>
    <w:rsid w:val="00DD1433"/>
    <w:rsid w:val="00DD1E2B"/>
    <w:rsid w:val="00DD28F1"/>
    <w:rsid w:val="00DD3831"/>
    <w:rsid w:val="00DD3F8E"/>
    <w:rsid w:val="00DE0DFA"/>
    <w:rsid w:val="00DF2482"/>
    <w:rsid w:val="00DF2AF0"/>
    <w:rsid w:val="00DF3194"/>
    <w:rsid w:val="00DF4439"/>
    <w:rsid w:val="00DF5A71"/>
    <w:rsid w:val="00E00460"/>
    <w:rsid w:val="00E00C0E"/>
    <w:rsid w:val="00E02AC7"/>
    <w:rsid w:val="00E03350"/>
    <w:rsid w:val="00E049E3"/>
    <w:rsid w:val="00E06791"/>
    <w:rsid w:val="00E1165F"/>
    <w:rsid w:val="00E17DA6"/>
    <w:rsid w:val="00E20DE8"/>
    <w:rsid w:val="00E378ED"/>
    <w:rsid w:val="00E47793"/>
    <w:rsid w:val="00E60CED"/>
    <w:rsid w:val="00E736AC"/>
    <w:rsid w:val="00E73ED3"/>
    <w:rsid w:val="00E74AD7"/>
    <w:rsid w:val="00E74EC8"/>
    <w:rsid w:val="00E77465"/>
    <w:rsid w:val="00E77EDA"/>
    <w:rsid w:val="00E80801"/>
    <w:rsid w:val="00E93FC1"/>
    <w:rsid w:val="00E955B5"/>
    <w:rsid w:val="00E96922"/>
    <w:rsid w:val="00EA0259"/>
    <w:rsid w:val="00EA379A"/>
    <w:rsid w:val="00EA38CF"/>
    <w:rsid w:val="00EA54FF"/>
    <w:rsid w:val="00EB1EDB"/>
    <w:rsid w:val="00EB4C96"/>
    <w:rsid w:val="00EB7E47"/>
    <w:rsid w:val="00EC2575"/>
    <w:rsid w:val="00EC7146"/>
    <w:rsid w:val="00ED01C9"/>
    <w:rsid w:val="00ED078D"/>
    <w:rsid w:val="00ED3099"/>
    <w:rsid w:val="00ED36CE"/>
    <w:rsid w:val="00ED42A5"/>
    <w:rsid w:val="00EE0737"/>
    <w:rsid w:val="00EF568B"/>
    <w:rsid w:val="00EF5C39"/>
    <w:rsid w:val="00F03DB2"/>
    <w:rsid w:val="00F1401C"/>
    <w:rsid w:val="00F14651"/>
    <w:rsid w:val="00F245C4"/>
    <w:rsid w:val="00F27438"/>
    <w:rsid w:val="00F309E9"/>
    <w:rsid w:val="00F31F91"/>
    <w:rsid w:val="00F373FD"/>
    <w:rsid w:val="00F429CD"/>
    <w:rsid w:val="00F44CB0"/>
    <w:rsid w:val="00F5229C"/>
    <w:rsid w:val="00F63CFB"/>
    <w:rsid w:val="00F64BE1"/>
    <w:rsid w:val="00F672CB"/>
    <w:rsid w:val="00F70323"/>
    <w:rsid w:val="00F709AC"/>
    <w:rsid w:val="00F723B5"/>
    <w:rsid w:val="00F7485B"/>
    <w:rsid w:val="00F74D06"/>
    <w:rsid w:val="00F85C69"/>
    <w:rsid w:val="00F90CA1"/>
    <w:rsid w:val="00F91AFA"/>
    <w:rsid w:val="00F91F8B"/>
    <w:rsid w:val="00F92ADE"/>
    <w:rsid w:val="00F9328B"/>
    <w:rsid w:val="00FA1C09"/>
    <w:rsid w:val="00FA4F8D"/>
    <w:rsid w:val="00FB3970"/>
    <w:rsid w:val="00FB4116"/>
    <w:rsid w:val="00FC1331"/>
    <w:rsid w:val="00FC6C6D"/>
    <w:rsid w:val="00FC7DD2"/>
    <w:rsid w:val="00FD0A2B"/>
    <w:rsid w:val="00FD1E05"/>
    <w:rsid w:val="00FD35EB"/>
    <w:rsid w:val="00FD74EF"/>
    <w:rsid w:val="00FE1445"/>
    <w:rsid w:val="00FE2C46"/>
    <w:rsid w:val="00FE7D05"/>
    <w:rsid w:val="00FF054E"/>
    <w:rsid w:val="00FF5D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8AA"/>
    <w:pPr>
      <w:suppressAutoHyphens/>
    </w:pPr>
    <w:rPr>
      <w:rFonts w:ascii="Arial" w:hAnsi="Arial"/>
      <w:noProof/>
      <w:sz w:val="19"/>
      <w:szCs w:val="24"/>
      <w:lang w:eastAsia="ar-SA"/>
    </w:rPr>
  </w:style>
  <w:style w:type="paragraph" w:styleId="Nadpis1">
    <w:name w:val="heading 1"/>
    <w:next w:val="Nadpis2"/>
    <w:qFormat/>
    <w:rsid w:val="004808AA"/>
    <w:pPr>
      <w:keepNext/>
      <w:pageBreakBefore/>
      <w:tabs>
        <w:tab w:val="num" w:pos="0"/>
      </w:tabs>
      <w:suppressAutoHyphens/>
      <w:spacing w:after="800"/>
      <w:ind w:left="851" w:hanging="851"/>
      <w:outlineLvl w:val="0"/>
    </w:pPr>
    <w:rPr>
      <w:rFonts w:ascii="Times New Roman Bold" w:eastAsia="Arial" w:hAnsi="Times New Roman Bold" w:cs="Arial"/>
      <w:bCs/>
      <w:color w:val="002776"/>
      <w:kern w:val="1"/>
      <w:sz w:val="60"/>
      <w:szCs w:val="32"/>
      <w:lang w:val="en-US" w:eastAsia="ar-SA"/>
    </w:rPr>
  </w:style>
  <w:style w:type="paragraph" w:styleId="Nadpis2">
    <w:name w:val="heading 2"/>
    <w:basedOn w:val="Nadpis1"/>
    <w:next w:val="Nadpis3"/>
    <w:qFormat/>
    <w:rsid w:val="004808AA"/>
    <w:pPr>
      <w:pageBreakBefore w:val="0"/>
      <w:tabs>
        <w:tab w:val="clear" w:pos="0"/>
      </w:tabs>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
    <w:qFormat/>
    <w:rsid w:val="004808AA"/>
    <w:pPr>
      <w:outlineLvl w:val="2"/>
    </w:pPr>
    <w:rPr>
      <w:bCs/>
      <w:color w:val="3C8A2E"/>
      <w:szCs w:val="26"/>
    </w:rPr>
  </w:style>
  <w:style w:type="paragraph" w:styleId="Nadpis4">
    <w:name w:val="heading 4"/>
    <w:basedOn w:val="Normln"/>
    <w:next w:val="Normln"/>
    <w:qFormat/>
    <w:rsid w:val="004808AA"/>
    <w:pPr>
      <w:keepNext/>
      <w:keepLines/>
      <w:tabs>
        <w:tab w:val="num" w:pos="0"/>
      </w:tabs>
      <w:spacing w:before="240" w:after="240"/>
      <w:ind w:left="864" w:hanging="864"/>
      <w:outlineLvl w:val="3"/>
    </w:pPr>
    <w:rPr>
      <w:b/>
      <w:bCs/>
      <w:iCs/>
      <w:sz w:val="24"/>
    </w:rPr>
  </w:style>
  <w:style w:type="paragraph" w:styleId="Nadpis5">
    <w:name w:val="heading 5"/>
    <w:basedOn w:val="Normln"/>
    <w:next w:val="Normln"/>
    <w:qFormat/>
    <w:rsid w:val="004808AA"/>
    <w:pPr>
      <w:keepNext/>
      <w:keepLines/>
      <w:tabs>
        <w:tab w:val="num" w:pos="0"/>
      </w:tabs>
      <w:spacing w:before="240" w:after="240"/>
      <w:ind w:left="1008" w:hanging="1008"/>
      <w:outlineLvl w:val="4"/>
    </w:pPr>
    <w:rPr>
      <w:b/>
      <w:i/>
      <w:color w:val="00133A"/>
      <w:sz w:val="24"/>
    </w:rPr>
  </w:style>
  <w:style w:type="paragraph" w:styleId="Nadpis6">
    <w:name w:val="heading 6"/>
    <w:basedOn w:val="Normln"/>
    <w:next w:val="Normln"/>
    <w:qFormat/>
    <w:rsid w:val="004808AA"/>
    <w:pPr>
      <w:keepNext/>
      <w:keepLines/>
      <w:tabs>
        <w:tab w:val="num" w:pos="0"/>
      </w:tabs>
      <w:spacing w:before="240" w:after="240"/>
      <w:ind w:left="1418" w:hanging="1418"/>
      <w:outlineLvl w:val="5"/>
    </w:pPr>
    <w:rPr>
      <w:i/>
      <w:iCs/>
      <w:color w:val="00133A"/>
      <w:sz w:val="24"/>
    </w:rPr>
  </w:style>
  <w:style w:type="paragraph" w:styleId="Nadpis7">
    <w:name w:val="heading 7"/>
    <w:basedOn w:val="Normln"/>
    <w:next w:val="Normln"/>
    <w:qFormat/>
    <w:rsid w:val="004808AA"/>
    <w:pPr>
      <w:keepNext/>
      <w:keepLines/>
      <w:tabs>
        <w:tab w:val="num" w:pos="0"/>
      </w:tabs>
      <w:spacing w:before="240" w:after="240"/>
      <w:ind w:left="1576" w:hanging="1576"/>
      <w:outlineLvl w:val="6"/>
    </w:pPr>
    <w:rPr>
      <w:i/>
      <w:iCs/>
      <w:color w:val="404040"/>
      <w:sz w:val="22"/>
    </w:rPr>
  </w:style>
  <w:style w:type="paragraph" w:styleId="Nadpis8">
    <w:name w:val="heading 8"/>
    <w:basedOn w:val="Normln"/>
    <w:next w:val="Normln"/>
    <w:qFormat/>
    <w:rsid w:val="004808AA"/>
    <w:pPr>
      <w:keepNext/>
      <w:keepLines/>
      <w:tabs>
        <w:tab w:val="num" w:pos="0"/>
      </w:tabs>
      <w:spacing w:before="240" w:after="240"/>
      <w:ind w:left="1701" w:hanging="1701"/>
      <w:outlineLvl w:val="7"/>
    </w:pPr>
    <w:rPr>
      <w:i/>
      <w:color w:val="404040"/>
      <w:sz w:val="20"/>
      <w:szCs w:val="20"/>
    </w:rPr>
  </w:style>
  <w:style w:type="paragraph" w:styleId="Nadpis9">
    <w:name w:val="heading 9"/>
    <w:basedOn w:val="Normln"/>
    <w:next w:val="Normln"/>
    <w:qFormat/>
    <w:rsid w:val="004808AA"/>
    <w:pPr>
      <w:keepNext/>
      <w:keepLines/>
      <w:tabs>
        <w:tab w:val="num" w:pos="0"/>
      </w:tabs>
      <w:spacing w:before="240" w:after="240"/>
      <w:ind w:left="1985" w:hanging="1985"/>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sid w:val="004808AA"/>
    <w:rPr>
      <w:rFonts w:ascii="Symbol" w:hAnsi="Symbol"/>
    </w:rPr>
  </w:style>
  <w:style w:type="character" w:customStyle="1" w:styleId="WW8Num6z0">
    <w:name w:val="WW8Num6z0"/>
    <w:rsid w:val="004808AA"/>
    <w:rPr>
      <w:rFonts w:ascii="Symbol" w:hAnsi="Symbol"/>
    </w:rPr>
  </w:style>
  <w:style w:type="character" w:customStyle="1" w:styleId="WW8Num7z0">
    <w:name w:val="WW8Num7z0"/>
    <w:rsid w:val="004808AA"/>
    <w:rPr>
      <w:rFonts w:ascii="Symbol" w:hAnsi="Symbol"/>
    </w:rPr>
  </w:style>
  <w:style w:type="character" w:customStyle="1" w:styleId="WW8Num8z0">
    <w:name w:val="WW8Num8z0"/>
    <w:rsid w:val="004808AA"/>
    <w:rPr>
      <w:rFonts w:ascii="Symbol" w:hAnsi="Symbol"/>
      <w:b w:val="0"/>
      <w:i w:val="0"/>
      <w:sz w:val="19"/>
    </w:rPr>
  </w:style>
  <w:style w:type="character" w:customStyle="1" w:styleId="WW8Num10z0">
    <w:name w:val="WW8Num10z0"/>
    <w:rsid w:val="004808AA"/>
    <w:rPr>
      <w:rFonts w:ascii="Symbol" w:hAnsi="Symbol"/>
    </w:rPr>
  </w:style>
  <w:style w:type="character" w:customStyle="1" w:styleId="WW8Num11z0">
    <w:name w:val="WW8Num11z0"/>
    <w:rsid w:val="004808AA"/>
    <w:rPr>
      <w:b/>
    </w:rPr>
  </w:style>
  <w:style w:type="character" w:customStyle="1" w:styleId="WW8Num12z0">
    <w:name w:val="WW8Num12z0"/>
    <w:rsid w:val="004808AA"/>
    <w:rPr>
      <w:b/>
    </w:rPr>
  </w:style>
  <w:style w:type="character" w:customStyle="1" w:styleId="WW8Num13z0">
    <w:name w:val="WW8Num13z0"/>
    <w:rsid w:val="004808AA"/>
    <w:rPr>
      <w:rFonts w:ascii="Arial" w:hAnsi="Arial"/>
      <w:b/>
      <w:i w:val="0"/>
      <w:sz w:val="19"/>
    </w:rPr>
  </w:style>
  <w:style w:type="character" w:customStyle="1" w:styleId="WW8Num13z1">
    <w:name w:val="WW8Num13z1"/>
    <w:rsid w:val="004808AA"/>
    <w:rPr>
      <w:rFonts w:ascii="Arial" w:hAnsi="Arial"/>
      <w:b w:val="0"/>
      <w:i w:val="0"/>
      <w:sz w:val="19"/>
    </w:rPr>
  </w:style>
  <w:style w:type="character" w:customStyle="1" w:styleId="WW8Num13z4">
    <w:name w:val="WW8Num13z4"/>
    <w:rsid w:val="004808AA"/>
    <w:rPr>
      <w:rFonts w:ascii="Arial" w:hAnsi="Arial"/>
      <w:b w:val="0"/>
      <w:i/>
      <w:sz w:val="19"/>
    </w:rPr>
  </w:style>
  <w:style w:type="character" w:customStyle="1" w:styleId="WW8Num14z0">
    <w:name w:val="WW8Num14z0"/>
    <w:rsid w:val="004808AA"/>
    <w:rPr>
      <w:rFonts w:ascii="Symbol" w:hAnsi="Symbol"/>
    </w:rPr>
  </w:style>
  <w:style w:type="character" w:customStyle="1" w:styleId="WW8Num14z1">
    <w:name w:val="WW8Num14z1"/>
    <w:rsid w:val="004808AA"/>
    <w:rPr>
      <w:rFonts w:ascii="Courier New" w:hAnsi="Courier New" w:cs="Courier New"/>
    </w:rPr>
  </w:style>
  <w:style w:type="character" w:customStyle="1" w:styleId="WW8Num14z2">
    <w:name w:val="WW8Num14z2"/>
    <w:rsid w:val="004808AA"/>
    <w:rPr>
      <w:rFonts w:ascii="Wingdings" w:hAnsi="Wingdings"/>
    </w:rPr>
  </w:style>
  <w:style w:type="character" w:customStyle="1" w:styleId="WW8Num15z0">
    <w:name w:val="WW8Num15z0"/>
    <w:rsid w:val="004808AA"/>
    <w:rPr>
      <w:rFonts w:ascii="Wingdings" w:hAnsi="Wingdings"/>
      <w:color w:val="000080"/>
    </w:rPr>
  </w:style>
  <w:style w:type="character" w:customStyle="1" w:styleId="WW8Num15z1">
    <w:name w:val="WW8Num15z1"/>
    <w:rsid w:val="004808AA"/>
    <w:rPr>
      <w:rFonts w:ascii="Courier New" w:hAnsi="Courier New" w:cs="Courier New"/>
    </w:rPr>
  </w:style>
  <w:style w:type="character" w:customStyle="1" w:styleId="WW8Num15z2">
    <w:name w:val="WW8Num15z2"/>
    <w:rsid w:val="004808AA"/>
    <w:rPr>
      <w:rFonts w:ascii="Wingdings" w:hAnsi="Wingdings"/>
    </w:rPr>
  </w:style>
  <w:style w:type="character" w:customStyle="1" w:styleId="WW8Num15z3">
    <w:name w:val="WW8Num15z3"/>
    <w:rsid w:val="004808AA"/>
    <w:rPr>
      <w:rFonts w:ascii="Symbol" w:hAnsi="Symbol"/>
    </w:rPr>
  </w:style>
  <w:style w:type="character" w:customStyle="1" w:styleId="WW8Num16z0">
    <w:name w:val="WW8Num16z0"/>
    <w:rsid w:val="004808AA"/>
    <w:rPr>
      <w:rFonts w:ascii="Arial" w:hAnsi="Arial"/>
      <w:b/>
      <w:i w:val="0"/>
      <w:sz w:val="19"/>
    </w:rPr>
  </w:style>
  <w:style w:type="character" w:customStyle="1" w:styleId="WW8Num16z1">
    <w:name w:val="WW8Num16z1"/>
    <w:rsid w:val="004808AA"/>
    <w:rPr>
      <w:rFonts w:ascii="Arial" w:hAnsi="Arial"/>
      <w:b w:val="0"/>
      <w:i w:val="0"/>
      <w:sz w:val="19"/>
    </w:rPr>
  </w:style>
  <w:style w:type="character" w:customStyle="1" w:styleId="WW8Num16z4">
    <w:name w:val="WW8Num16z4"/>
    <w:rsid w:val="004808AA"/>
    <w:rPr>
      <w:rFonts w:ascii="Arial" w:hAnsi="Arial"/>
      <w:b w:val="0"/>
      <w:i/>
      <w:sz w:val="19"/>
    </w:rPr>
  </w:style>
  <w:style w:type="character" w:customStyle="1" w:styleId="WW8Num17z0">
    <w:name w:val="WW8Num17z0"/>
    <w:rsid w:val="004808AA"/>
    <w:rPr>
      <w:rFonts w:ascii="Arial" w:hAnsi="Arial"/>
      <w:b/>
      <w:i w:val="0"/>
      <w:sz w:val="19"/>
    </w:rPr>
  </w:style>
  <w:style w:type="character" w:customStyle="1" w:styleId="WW8Num17z1">
    <w:name w:val="WW8Num17z1"/>
    <w:rsid w:val="004808AA"/>
    <w:rPr>
      <w:rFonts w:ascii="Arial" w:hAnsi="Arial"/>
      <w:b w:val="0"/>
      <w:i w:val="0"/>
      <w:sz w:val="19"/>
    </w:rPr>
  </w:style>
  <w:style w:type="character" w:customStyle="1" w:styleId="WW8Num17z4">
    <w:name w:val="WW8Num17z4"/>
    <w:rsid w:val="004808AA"/>
    <w:rPr>
      <w:rFonts w:ascii="Arial" w:hAnsi="Arial"/>
      <w:b w:val="0"/>
      <w:i/>
      <w:sz w:val="19"/>
    </w:rPr>
  </w:style>
  <w:style w:type="character" w:customStyle="1" w:styleId="WW8Num19z0">
    <w:name w:val="WW8Num19z0"/>
    <w:rsid w:val="004808AA"/>
    <w:rPr>
      <w:rFonts w:ascii="Symbol" w:hAnsi="Symbol"/>
    </w:rPr>
  </w:style>
  <w:style w:type="character" w:customStyle="1" w:styleId="WW8Num19z1">
    <w:name w:val="WW8Num19z1"/>
    <w:rsid w:val="004808AA"/>
    <w:rPr>
      <w:rFonts w:ascii="Courier New" w:hAnsi="Courier New" w:cs="Courier New"/>
    </w:rPr>
  </w:style>
  <w:style w:type="character" w:customStyle="1" w:styleId="WW8Num19z2">
    <w:name w:val="WW8Num19z2"/>
    <w:rsid w:val="004808AA"/>
    <w:rPr>
      <w:rFonts w:ascii="Wingdings" w:hAnsi="Wingdings"/>
    </w:rPr>
  </w:style>
  <w:style w:type="character" w:customStyle="1" w:styleId="WW8Num21z0">
    <w:name w:val="WW8Num21z0"/>
    <w:rsid w:val="004808AA"/>
    <w:rPr>
      <w:rFonts w:ascii="Arial" w:hAnsi="Arial"/>
      <w:b/>
      <w:i w:val="0"/>
      <w:sz w:val="19"/>
    </w:rPr>
  </w:style>
  <w:style w:type="character" w:customStyle="1" w:styleId="WW8Num21z1">
    <w:name w:val="WW8Num21z1"/>
    <w:rsid w:val="004808AA"/>
    <w:rPr>
      <w:rFonts w:ascii="Arial" w:hAnsi="Arial"/>
      <w:b w:val="0"/>
      <w:i w:val="0"/>
      <w:sz w:val="19"/>
    </w:rPr>
  </w:style>
  <w:style w:type="character" w:customStyle="1" w:styleId="WW8Num21z4">
    <w:name w:val="WW8Num21z4"/>
    <w:rsid w:val="004808AA"/>
    <w:rPr>
      <w:rFonts w:ascii="Arial" w:hAnsi="Arial"/>
      <w:b w:val="0"/>
      <w:i/>
      <w:sz w:val="19"/>
    </w:rPr>
  </w:style>
  <w:style w:type="character" w:customStyle="1" w:styleId="WW8Num23z0">
    <w:name w:val="WW8Num23z0"/>
    <w:rsid w:val="004808AA"/>
    <w:rPr>
      <w:rFonts w:ascii="Arial" w:hAnsi="Arial"/>
      <w:b/>
      <w:i w:val="0"/>
      <w:sz w:val="19"/>
    </w:rPr>
  </w:style>
  <w:style w:type="character" w:customStyle="1" w:styleId="WW8Num23z1">
    <w:name w:val="WW8Num23z1"/>
    <w:rsid w:val="004808AA"/>
    <w:rPr>
      <w:rFonts w:ascii="Arial" w:hAnsi="Arial"/>
      <w:b w:val="0"/>
      <w:i w:val="0"/>
      <w:sz w:val="19"/>
    </w:rPr>
  </w:style>
  <w:style w:type="character" w:customStyle="1" w:styleId="WW8Num23z4">
    <w:name w:val="WW8Num23z4"/>
    <w:rsid w:val="004808AA"/>
    <w:rPr>
      <w:rFonts w:ascii="Arial" w:hAnsi="Arial"/>
      <w:b w:val="0"/>
      <w:i/>
      <w:sz w:val="19"/>
    </w:rPr>
  </w:style>
  <w:style w:type="character" w:customStyle="1" w:styleId="WW8Num24z0">
    <w:name w:val="WW8Num24z0"/>
    <w:rsid w:val="004808AA"/>
    <w:rPr>
      <w:rFonts w:ascii="Times New Roman" w:hAnsi="Times New Roman"/>
      <w:b w:val="0"/>
      <w:i w:val="0"/>
      <w:color w:val="002776"/>
      <w:sz w:val="60"/>
      <w:szCs w:val="32"/>
    </w:rPr>
  </w:style>
  <w:style w:type="character" w:customStyle="1" w:styleId="WW8Num24z1">
    <w:name w:val="WW8Num24z1"/>
    <w:rsid w:val="004808AA"/>
    <w:rPr>
      <w:rFonts w:ascii="Times New Roman Bold" w:hAnsi="Times New Roman Bold"/>
      <w:b/>
      <w:i w:val="0"/>
      <w:color w:val="000066"/>
      <w:sz w:val="24"/>
      <w:szCs w:val="24"/>
    </w:rPr>
  </w:style>
  <w:style w:type="character" w:customStyle="1" w:styleId="WW8Num25z0">
    <w:name w:val="WW8Num25z0"/>
    <w:rsid w:val="004808AA"/>
    <w:rPr>
      <w:rFonts w:ascii="Arial" w:hAnsi="Arial"/>
      <w:b/>
      <w:i w:val="0"/>
      <w:sz w:val="19"/>
    </w:rPr>
  </w:style>
  <w:style w:type="character" w:customStyle="1" w:styleId="WW8Num25z1">
    <w:name w:val="WW8Num25z1"/>
    <w:rsid w:val="004808AA"/>
    <w:rPr>
      <w:rFonts w:ascii="Arial" w:hAnsi="Arial"/>
      <w:b w:val="0"/>
      <w:i w:val="0"/>
      <w:sz w:val="19"/>
    </w:rPr>
  </w:style>
  <w:style w:type="character" w:customStyle="1" w:styleId="WW8Num25z4">
    <w:name w:val="WW8Num25z4"/>
    <w:rsid w:val="004808AA"/>
    <w:rPr>
      <w:rFonts w:ascii="Arial" w:hAnsi="Arial"/>
      <w:b w:val="0"/>
      <w:i/>
      <w:sz w:val="19"/>
    </w:rPr>
  </w:style>
  <w:style w:type="character" w:customStyle="1" w:styleId="WW8Num26z0">
    <w:name w:val="WW8Num26z0"/>
    <w:rsid w:val="004808AA"/>
    <w:rPr>
      <w:rFonts w:ascii="Arial" w:hAnsi="Arial"/>
      <w:b/>
      <w:i w:val="0"/>
      <w:sz w:val="19"/>
    </w:rPr>
  </w:style>
  <w:style w:type="character" w:customStyle="1" w:styleId="WW8Num26z1">
    <w:name w:val="WW8Num26z1"/>
    <w:rsid w:val="004808AA"/>
    <w:rPr>
      <w:rFonts w:ascii="Arial" w:hAnsi="Arial"/>
      <w:b w:val="0"/>
      <w:i w:val="0"/>
      <w:sz w:val="19"/>
    </w:rPr>
  </w:style>
  <w:style w:type="character" w:customStyle="1" w:styleId="WW8Num26z4">
    <w:name w:val="WW8Num26z4"/>
    <w:rsid w:val="004808AA"/>
    <w:rPr>
      <w:rFonts w:ascii="Arial" w:hAnsi="Arial"/>
      <w:b w:val="0"/>
      <w:i/>
      <w:sz w:val="19"/>
    </w:rPr>
  </w:style>
  <w:style w:type="character" w:customStyle="1" w:styleId="WW8Num27z0">
    <w:name w:val="WW8Num27z0"/>
    <w:rsid w:val="004808AA"/>
    <w:rPr>
      <w:rFonts w:ascii="Arial" w:hAnsi="Arial"/>
      <w:b/>
      <w:i w:val="0"/>
      <w:sz w:val="19"/>
    </w:rPr>
  </w:style>
  <w:style w:type="character" w:customStyle="1" w:styleId="WW8Num27z1">
    <w:name w:val="WW8Num27z1"/>
    <w:rsid w:val="004808AA"/>
    <w:rPr>
      <w:rFonts w:ascii="Arial" w:hAnsi="Arial"/>
      <w:b w:val="0"/>
      <w:i w:val="0"/>
      <w:sz w:val="19"/>
    </w:rPr>
  </w:style>
  <w:style w:type="character" w:customStyle="1" w:styleId="WW8Num27z4">
    <w:name w:val="WW8Num27z4"/>
    <w:rsid w:val="004808AA"/>
    <w:rPr>
      <w:rFonts w:ascii="Arial" w:hAnsi="Arial"/>
      <w:b w:val="0"/>
      <w:i/>
      <w:sz w:val="19"/>
    </w:rPr>
  </w:style>
  <w:style w:type="character" w:customStyle="1" w:styleId="WW8Num28z0">
    <w:name w:val="WW8Num28z0"/>
    <w:rsid w:val="004808AA"/>
    <w:rPr>
      <w:rFonts w:ascii="Times New Roman" w:hAnsi="Times New Roman"/>
      <w:b w:val="0"/>
      <w:i w:val="0"/>
      <w:color w:val="002776"/>
      <w:sz w:val="60"/>
    </w:rPr>
  </w:style>
  <w:style w:type="character" w:customStyle="1" w:styleId="WW8Num28z1">
    <w:name w:val="WW8Num28z1"/>
    <w:rsid w:val="004808AA"/>
    <w:rPr>
      <w:rFonts w:ascii="Arial" w:hAnsi="Arial"/>
      <w:b/>
      <w:i w:val="0"/>
      <w:color w:val="92D400"/>
      <w:sz w:val="24"/>
    </w:rPr>
  </w:style>
  <w:style w:type="character" w:customStyle="1" w:styleId="WW8Num28z2">
    <w:name w:val="WW8Num28z2"/>
    <w:rsid w:val="004808AA"/>
    <w:rPr>
      <w:rFonts w:ascii="Arial" w:hAnsi="Arial"/>
      <w:b/>
      <w:i w:val="0"/>
      <w:color w:val="3C8A2E"/>
      <w:sz w:val="24"/>
    </w:rPr>
  </w:style>
  <w:style w:type="character" w:customStyle="1" w:styleId="WW8Num28z3">
    <w:name w:val="WW8Num28z3"/>
    <w:rsid w:val="004808AA"/>
    <w:rPr>
      <w:rFonts w:ascii="Arial" w:hAnsi="Arial"/>
      <w:b/>
      <w:i w:val="0"/>
      <w:color w:val="auto"/>
      <w:sz w:val="24"/>
    </w:rPr>
  </w:style>
  <w:style w:type="character" w:customStyle="1" w:styleId="WW8Num28z4">
    <w:name w:val="WW8Num28z4"/>
    <w:rsid w:val="004808AA"/>
    <w:rPr>
      <w:rFonts w:ascii="Arial" w:hAnsi="Arial"/>
      <w:b/>
      <w:i/>
      <w:color w:val="000000"/>
      <w:sz w:val="24"/>
    </w:rPr>
  </w:style>
  <w:style w:type="character" w:customStyle="1" w:styleId="WW8Num28z5">
    <w:name w:val="WW8Num28z5"/>
    <w:rsid w:val="004808AA"/>
    <w:rPr>
      <w:rFonts w:ascii="Arial" w:hAnsi="Arial"/>
      <w:b w:val="0"/>
      <w:i/>
      <w:color w:val="auto"/>
      <w:sz w:val="24"/>
    </w:rPr>
  </w:style>
  <w:style w:type="character" w:customStyle="1" w:styleId="WW8Num29z0">
    <w:name w:val="WW8Num29z0"/>
    <w:rsid w:val="004808AA"/>
    <w:rPr>
      <w:rFonts w:ascii="Symbol" w:hAnsi="Symbol"/>
    </w:rPr>
  </w:style>
  <w:style w:type="character" w:customStyle="1" w:styleId="WW8Num29z1">
    <w:name w:val="WW8Num29z1"/>
    <w:rsid w:val="004808AA"/>
    <w:rPr>
      <w:rFonts w:ascii="Courier New" w:hAnsi="Courier New" w:cs="Courier New"/>
    </w:rPr>
  </w:style>
  <w:style w:type="character" w:customStyle="1" w:styleId="WW8Num29z2">
    <w:name w:val="WW8Num29z2"/>
    <w:rsid w:val="004808AA"/>
    <w:rPr>
      <w:rFonts w:ascii="Wingdings" w:hAnsi="Wingdings"/>
    </w:rPr>
  </w:style>
  <w:style w:type="character" w:customStyle="1" w:styleId="WW8Num30z0">
    <w:name w:val="WW8Num30z0"/>
    <w:rsid w:val="004808AA"/>
    <w:rPr>
      <w:rFonts w:ascii="Arial" w:hAnsi="Arial"/>
      <w:b/>
      <w:i w:val="0"/>
      <w:sz w:val="19"/>
    </w:rPr>
  </w:style>
  <w:style w:type="character" w:customStyle="1" w:styleId="WW8Num30z1">
    <w:name w:val="WW8Num30z1"/>
    <w:rsid w:val="004808AA"/>
    <w:rPr>
      <w:rFonts w:ascii="Arial" w:hAnsi="Arial"/>
      <w:b w:val="0"/>
      <w:i w:val="0"/>
      <w:sz w:val="19"/>
    </w:rPr>
  </w:style>
  <w:style w:type="character" w:customStyle="1" w:styleId="WW8Num30z4">
    <w:name w:val="WW8Num30z4"/>
    <w:rsid w:val="004808AA"/>
    <w:rPr>
      <w:rFonts w:ascii="Arial" w:hAnsi="Arial"/>
      <w:b w:val="0"/>
      <w:i/>
      <w:sz w:val="19"/>
    </w:rPr>
  </w:style>
  <w:style w:type="character" w:customStyle="1" w:styleId="WW8Num31z0">
    <w:name w:val="WW8Num31z0"/>
    <w:rsid w:val="004808AA"/>
    <w:rPr>
      <w:rFonts w:ascii="Arial" w:hAnsi="Arial"/>
      <w:b/>
      <w:i w:val="0"/>
      <w:sz w:val="19"/>
    </w:rPr>
  </w:style>
  <w:style w:type="character" w:customStyle="1" w:styleId="WW8Num31z1">
    <w:name w:val="WW8Num31z1"/>
    <w:rsid w:val="004808AA"/>
    <w:rPr>
      <w:rFonts w:ascii="Arial" w:hAnsi="Arial"/>
      <w:b w:val="0"/>
      <w:i w:val="0"/>
      <w:sz w:val="19"/>
    </w:rPr>
  </w:style>
  <w:style w:type="character" w:customStyle="1" w:styleId="WW8Num31z4">
    <w:name w:val="WW8Num31z4"/>
    <w:rsid w:val="004808AA"/>
    <w:rPr>
      <w:rFonts w:ascii="Arial" w:hAnsi="Arial"/>
      <w:b w:val="0"/>
      <w:i/>
      <w:sz w:val="19"/>
    </w:rPr>
  </w:style>
  <w:style w:type="character" w:customStyle="1" w:styleId="WW8Num32z0">
    <w:name w:val="WW8Num32z0"/>
    <w:rsid w:val="004808AA"/>
    <w:rPr>
      <w:rFonts w:ascii="Arial" w:hAnsi="Arial"/>
      <w:b/>
      <w:i w:val="0"/>
      <w:sz w:val="19"/>
    </w:rPr>
  </w:style>
  <w:style w:type="character" w:customStyle="1" w:styleId="WW8Num32z1">
    <w:name w:val="WW8Num32z1"/>
    <w:rsid w:val="004808AA"/>
    <w:rPr>
      <w:rFonts w:ascii="Arial" w:hAnsi="Arial"/>
      <w:b w:val="0"/>
      <w:i w:val="0"/>
      <w:sz w:val="19"/>
    </w:rPr>
  </w:style>
  <w:style w:type="character" w:customStyle="1" w:styleId="WW8Num32z4">
    <w:name w:val="WW8Num32z4"/>
    <w:rsid w:val="004808AA"/>
    <w:rPr>
      <w:rFonts w:ascii="Arial" w:hAnsi="Arial"/>
      <w:b w:val="0"/>
      <w:i/>
      <w:sz w:val="19"/>
    </w:rPr>
  </w:style>
  <w:style w:type="character" w:customStyle="1" w:styleId="WW8Num33z0">
    <w:name w:val="WW8Num33z0"/>
    <w:rsid w:val="004808AA"/>
    <w:rPr>
      <w:rFonts w:ascii="Arial" w:hAnsi="Arial"/>
      <w:b/>
      <w:i w:val="0"/>
      <w:sz w:val="19"/>
    </w:rPr>
  </w:style>
  <w:style w:type="character" w:customStyle="1" w:styleId="WW8Num33z1">
    <w:name w:val="WW8Num33z1"/>
    <w:rsid w:val="004808AA"/>
    <w:rPr>
      <w:rFonts w:ascii="Arial" w:hAnsi="Arial"/>
      <w:b w:val="0"/>
      <w:i w:val="0"/>
      <w:sz w:val="19"/>
    </w:rPr>
  </w:style>
  <w:style w:type="character" w:customStyle="1" w:styleId="WW8Num33z4">
    <w:name w:val="WW8Num33z4"/>
    <w:rsid w:val="004808AA"/>
    <w:rPr>
      <w:rFonts w:ascii="Arial" w:hAnsi="Arial"/>
      <w:b w:val="0"/>
      <w:i/>
      <w:sz w:val="19"/>
    </w:rPr>
  </w:style>
  <w:style w:type="character" w:customStyle="1" w:styleId="WW8Num34z0">
    <w:name w:val="WW8Num34z0"/>
    <w:rsid w:val="004808AA"/>
    <w:rPr>
      <w:rFonts w:ascii="Symbol" w:hAnsi="Symbol"/>
      <w:b w:val="0"/>
      <w:i w:val="0"/>
      <w:sz w:val="19"/>
    </w:rPr>
  </w:style>
  <w:style w:type="character" w:customStyle="1" w:styleId="WW8Num34z1">
    <w:name w:val="WW8Num34z1"/>
    <w:rsid w:val="004808AA"/>
    <w:rPr>
      <w:rFonts w:ascii="Courier New" w:hAnsi="Courier New" w:cs="Courier New"/>
    </w:rPr>
  </w:style>
  <w:style w:type="character" w:customStyle="1" w:styleId="WW8Num34z2">
    <w:name w:val="WW8Num34z2"/>
    <w:rsid w:val="004808AA"/>
    <w:rPr>
      <w:rFonts w:ascii="Wingdings" w:hAnsi="Wingdings"/>
    </w:rPr>
  </w:style>
  <w:style w:type="character" w:customStyle="1" w:styleId="WW8Num34z3">
    <w:name w:val="WW8Num34z3"/>
    <w:rsid w:val="004808AA"/>
    <w:rPr>
      <w:rFonts w:ascii="Symbol" w:hAnsi="Symbol"/>
    </w:rPr>
  </w:style>
  <w:style w:type="character" w:customStyle="1" w:styleId="WW8Num36z0">
    <w:name w:val="WW8Num36z0"/>
    <w:rsid w:val="004808AA"/>
    <w:rPr>
      <w:rFonts w:ascii="Arial" w:hAnsi="Arial"/>
      <w:b/>
      <w:i w:val="0"/>
      <w:sz w:val="19"/>
    </w:rPr>
  </w:style>
  <w:style w:type="character" w:customStyle="1" w:styleId="WW8Num36z1">
    <w:name w:val="WW8Num36z1"/>
    <w:rsid w:val="004808AA"/>
    <w:rPr>
      <w:rFonts w:ascii="Arial" w:hAnsi="Arial"/>
      <w:b w:val="0"/>
      <w:i w:val="0"/>
      <w:sz w:val="19"/>
    </w:rPr>
  </w:style>
  <w:style w:type="character" w:customStyle="1" w:styleId="WW8Num36z4">
    <w:name w:val="WW8Num36z4"/>
    <w:rsid w:val="004808AA"/>
    <w:rPr>
      <w:rFonts w:ascii="Arial" w:hAnsi="Arial"/>
      <w:b w:val="0"/>
      <w:i/>
      <w:sz w:val="19"/>
    </w:rPr>
  </w:style>
  <w:style w:type="character" w:styleId="slostrnky">
    <w:name w:val="page number"/>
    <w:semiHidden/>
    <w:rsid w:val="004808AA"/>
    <w:rPr>
      <w:rFonts w:ascii="Arial" w:hAnsi="Arial"/>
      <w:sz w:val="16"/>
    </w:rPr>
  </w:style>
  <w:style w:type="character" w:styleId="Hypertextovodkaz">
    <w:name w:val="Hyperlink"/>
    <w:semiHidden/>
    <w:rsid w:val="004808AA"/>
    <w:rPr>
      <w:rFonts w:ascii="Arial" w:hAnsi="Arial"/>
      <w:color w:val="00A1DE"/>
      <w:sz w:val="16"/>
      <w:u w:val="single"/>
    </w:rPr>
  </w:style>
  <w:style w:type="character" w:customStyle="1" w:styleId="HeaderChar">
    <w:name w:val="Header Char"/>
    <w:rsid w:val="004808AA"/>
    <w:rPr>
      <w:rFonts w:ascii="Arial" w:hAnsi="Arial"/>
      <w:sz w:val="16"/>
      <w:szCs w:val="24"/>
    </w:rPr>
  </w:style>
  <w:style w:type="character" w:customStyle="1" w:styleId="FooterChar">
    <w:name w:val="Footer Char"/>
    <w:rsid w:val="004808AA"/>
    <w:rPr>
      <w:sz w:val="24"/>
      <w:szCs w:val="24"/>
    </w:rPr>
  </w:style>
  <w:style w:type="character" w:customStyle="1" w:styleId="CaptionbodyChar">
    <w:name w:val="Caption body Char"/>
    <w:rsid w:val="004808AA"/>
    <w:rPr>
      <w:rFonts w:ascii="Arial" w:hAnsi="Arial"/>
      <w:color w:val="000000"/>
      <w:sz w:val="18"/>
      <w:lang w:val="en-US" w:eastAsia="ar-SA" w:bidi="ar-SA"/>
    </w:rPr>
  </w:style>
  <w:style w:type="character" w:customStyle="1" w:styleId="Bulletslevel1Char">
    <w:name w:val="Bullets level 1 Char"/>
    <w:rsid w:val="004808AA"/>
    <w:rPr>
      <w:rFonts w:ascii="Arial" w:eastAsia="Times" w:hAnsi="Arial"/>
      <w:color w:val="000000"/>
      <w:sz w:val="19"/>
      <w:lang w:val="en-GB"/>
    </w:rPr>
  </w:style>
  <w:style w:type="character" w:customStyle="1" w:styleId="Bulletslevel2Char">
    <w:name w:val="Bullets level 2 Char"/>
    <w:basedOn w:val="Bulletslevel1Char"/>
    <w:rsid w:val="004808AA"/>
  </w:style>
  <w:style w:type="character" w:customStyle="1" w:styleId="Heading4Char">
    <w:name w:val="Heading 4 Char"/>
    <w:rsid w:val="004808AA"/>
    <w:rPr>
      <w:rFonts w:ascii="Arial" w:eastAsia="Times New Roman" w:hAnsi="Arial" w:cs="Times New Roman"/>
      <w:b/>
      <w:bCs/>
      <w:iCs/>
      <w:sz w:val="24"/>
      <w:szCs w:val="24"/>
    </w:rPr>
  </w:style>
  <w:style w:type="character" w:customStyle="1" w:styleId="Heading5Char">
    <w:name w:val="Heading 5 Char"/>
    <w:rsid w:val="004808AA"/>
    <w:rPr>
      <w:rFonts w:ascii="Arial" w:eastAsia="Times New Roman" w:hAnsi="Arial" w:cs="Times New Roman"/>
      <w:b/>
      <w:i/>
      <w:color w:val="00133A"/>
      <w:sz w:val="24"/>
      <w:szCs w:val="24"/>
    </w:rPr>
  </w:style>
  <w:style w:type="character" w:customStyle="1" w:styleId="Heading6Char">
    <w:name w:val="Heading 6 Char"/>
    <w:rsid w:val="004808AA"/>
    <w:rPr>
      <w:rFonts w:ascii="Arial" w:eastAsia="Times New Roman" w:hAnsi="Arial" w:cs="Times New Roman"/>
      <w:i/>
      <w:iCs/>
      <w:color w:val="00133A"/>
      <w:sz w:val="24"/>
      <w:szCs w:val="24"/>
    </w:rPr>
  </w:style>
  <w:style w:type="character" w:customStyle="1" w:styleId="Heading7Char">
    <w:name w:val="Heading 7 Char"/>
    <w:rsid w:val="004808AA"/>
    <w:rPr>
      <w:rFonts w:ascii="Arial" w:eastAsia="Times New Roman" w:hAnsi="Arial" w:cs="Times New Roman"/>
      <w:i/>
      <w:iCs/>
      <w:color w:val="404040"/>
      <w:sz w:val="22"/>
      <w:szCs w:val="24"/>
    </w:rPr>
  </w:style>
  <w:style w:type="character" w:customStyle="1" w:styleId="Heading8Char">
    <w:name w:val="Heading 8 Char"/>
    <w:rsid w:val="004808AA"/>
    <w:rPr>
      <w:rFonts w:ascii="Arial" w:eastAsia="Times New Roman" w:hAnsi="Arial" w:cs="Times New Roman"/>
      <w:i/>
      <w:color w:val="404040"/>
    </w:rPr>
  </w:style>
  <w:style w:type="character" w:customStyle="1" w:styleId="Heading9Char">
    <w:name w:val="Heading 9 Char"/>
    <w:rsid w:val="004808AA"/>
    <w:rPr>
      <w:rFonts w:ascii="Arial" w:eastAsia="Times New Roman" w:hAnsi="Arial" w:cs="Times New Roman"/>
      <w:i/>
      <w:iCs/>
      <w:color w:val="404040"/>
      <w:sz w:val="18"/>
    </w:rPr>
  </w:style>
  <w:style w:type="character" w:customStyle="1" w:styleId="FootnoteCharacters">
    <w:name w:val="Footnote Characters"/>
    <w:rsid w:val="004808AA"/>
    <w:rPr>
      <w:rFonts w:ascii="Arial" w:hAnsi="Arial"/>
      <w:sz w:val="16"/>
      <w:vertAlign w:val="superscript"/>
    </w:rPr>
  </w:style>
  <w:style w:type="character" w:customStyle="1" w:styleId="FootnoteTextChar">
    <w:name w:val="Footnote Text Char"/>
    <w:rsid w:val="004808AA"/>
    <w:rPr>
      <w:rFonts w:ascii="Arial" w:hAnsi="Arial"/>
      <w:sz w:val="16"/>
    </w:rPr>
  </w:style>
  <w:style w:type="character" w:customStyle="1" w:styleId="BodyTextIndentChar">
    <w:name w:val="Body Text Indent Char"/>
    <w:rsid w:val="004808AA"/>
    <w:rPr>
      <w:rFonts w:ascii="Arial" w:hAnsi="Arial"/>
      <w:bCs/>
      <w:szCs w:val="24"/>
      <w:lang w:val="cs-CZ"/>
    </w:rPr>
  </w:style>
  <w:style w:type="character" w:styleId="Odkaznakoment">
    <w:name w:val="annotation reference"/>
    <w:uiPriority w:val="99"/>
    <w:semiHidden/>
    <w:rsid w:val="004808AA"/>
    <w:rPr>
      <w:sz w:val="16"/>
      <w:szCs w:val="16"/>
    </w:rPr>
  </w:style>
  <w:style w:type="character" w:customStyle="1" w:styleId="CommentTextChar">
    <w:name w:val="Comment Text Char"/>
    <w:rsid w:val="004808AA"/>
    <w:rPr>
      <w:rFonts w:ascii="Arial" w:hAnsi="Arial"/>
    </w:rPr>
  </w:style>
  <w:style w:type="character" w:customStyle="1" w:styleId="CommentSubjectChar">
    <w:name w:val="Comment Subject Char"/>
    <w:rsid w:val="004808AA"/>
    <w:rPr>
      <w:rFonts w:ascii="Arial" w:hAnsi="Arial"/>
      <w:b/>
      <w:bCs/>
    </w:rPr>
  </w:style>
  <w:style w:type="character" w:customStyle="1" w:styleId="PlainTextChar">
    <w:name w:val="Plain Text Char"/>
    <w:rsid w:val="004808AA"/>
    <w:rPr>
      <w:rFonts w:ascii="Arial" w:hAnsi="Arial"/>
      <w:color w:val="000000"/>
      <w:szCs w:val="21"/>
    </w:rPr>
  </w:style>
  <w:style w:type="paragraph" w:customStyle="1" w:styleId="Heading">
    <w:name w:val="Heading"/>
    <w:basedOn w:val="Normln"/>
    <w:next w:val="Zkladntext"/>
    <w:rsid w:val="004808AA"/>
    <w:pPr>
      <w:keepNext/>
      <w:spacing w:before="240" w:after="120"/>
    </w:pPr>
    <w:rPr>
      <w:rFonts w:eastAsia="Arial Unicode MS" w:cs="Tahoma"/>
      <w:sz w:val="28"/>
      <w:szCs w:val="28"/>
    </w:rPr>
  </w:style>
  <w:style w:type="paragraph" w:styleId="Zkladntext">
    <w:name w:val="Body Text"/>
    <w:basedOn w:val="Normln"/>
    <w:semiHidden/>
    <w:rsid w:val="004808AA"/>
    <w:pPr>
      <w:spacing w:after="120"/>
    </w:pPr>
  </w:style>
  <w:style w:type="paragraph" w:styleId="Seznam">
    <w:name w:val="List"/>
    <w:basedOn w:val="Zkladntext"/>
    <w:semiHidden/>
    <w:rsid w:val="004808AA"/>
    <w:rPr>
      <w:rFonts w:cs="Tahoma"/>
    </w:rPr>
  </w:style>
  <w:style w:type="paragraph" w:customStyle="1" w:styleId="Caption">
    <w:name w:val="Caption"/>
    <w:basedOn w:val="Normln"/>
    <w:rsid w:val="004808AA"/>
    <w:pPr>
      <w:suppressLineNumbers/>
      <w:spacing w:before="120" w:after="120"/>
    </w:pPr>
    <w:rPr>
      <w:rFonts w:cs="Tahoma"/>
      <w:i/>
      <w:iCs/>
      <w:sz w:val="24"/>
    </w:rPr>
  </w:style>
  <w:style w:type="paragraph" w:customStyle="1" w:styleId="Index">
    <w:name w:val="Index"/>
    <w:basedOn w:val="Normln"/>
    <w:rsid w:val="004808AA"/>
    <w:pPr>
      <w:suppressLineNumbers/>
    </w:pPr>
    <w:rPr>
      <w:rFonts w:cs="Tahoma"/>
    </w:rPr>
  </w:style>
  <w:style w:type="paragraph" w:styleId="Zhlav">
    <w:name w:val="header"/>
    <w:basedOn w:val="Normln"/>
    <w:semiHidden/>
    <w:rsid w:val="004808AA"/>
    <w:rPr>
      <w:sz w:val="16"/>
    </w:rPr>
  </w:style>
  <w:style w:type="paragraph" w:styleId="Zpat">
    <w:name w:val="footer"/>
    <w:basedOn w:val="Normln"/>
    <w:semiHidden/>
    <w:rsid w:val="004808AA"/>
  </w:style>
  <w:style w:type="paragraph" w:styleId="Obsah1">
    <w:name w:val="toc 1"/>
    <w:basedOn w:val="Normln"/>
    <w:next w:val="Normln"/>
    <w:semiHidden/>
    <w:rsid w:val="004808AA"/>
    <w:pPr>
      <w:spacing w:after="240"/>
    </w:pPr>
    <w:rPr>
      <w:sz w:val="24"/>
    </w:rPr>
  </w:style>
  <w:style w:type="paragraph" w:styleId="Obsah2">
    <w:name w:val="toc 2"/>
    <w:basedOn w:val="Normln"/>
    <w:next w:val="Normln"/>
    <w:semiHidden/>
    <w:rsid w:val="004808AA"/>
    <w:pPr>
      <w:spacing w:after="240"/>
      <w:ind w:left="238"/>
    </w:pPr>
    <w:rPr>
      <w:sz w:val="24"/>
    </w:rPr>
  </w:style>
  <w:style w:type="paragraph" w:styleId="Obsah3">
    <w:name w:val="toc 3"/>
    <w:basedOn w:val="Normln"/>
    <w:next w:val="Normln"/>
    <w:semiHidden/>
    <w:rsid w:val="004808AA"/>
    <w:pPr>
      <w:spacing w:after="240"/>
      <w:ind w:left="482"/>
    </w:pPr>
    <w:rPr>
      <w:sz w:val="24"/>
    </w:rPr>
  </w:style>
  <w:style w:type="paragraph" w:customStyle="1" w:styleId="Textbubliny1">
    <w:name w:val="Text bubliny1"/>
    <w:basedOn w:val="Normln"/>
    <w:rsid w:val="004808AA"/>
    <w:rPr>
      <w:rFonts w:ascii="Tahoma" w:hAnsi="Tahoma" w:cs="Tahoma"/>
      <w:sz w:val="16"/>
      <w:szCs w:val="16"/>
    </w:rPr>
  </w:style>
  <w:style w:type="paragraph" w:customStyle="1" w:styleId="Bodytext">
    <w:name w:val="Body text"/>
    <w:rsid w:val="004808AA"/>
    <w:pPr>
      <w:suppressAutoHyphens/>
    </w:pPr>
    <w:rPr>
      <w:rFonts w:ascii="Arial" w:eastAsia="Arial" w:hAnsi="Arial"/>
      <w:color w:val="000000"/>
      <w:sz w:val="19"/>
      <w:szCs w:val="48"/>
      <w:lang w:eastAsia="ar-SA"/>
    </w:rPr>
  </w:style>
  <w:style w:type="paragraph" w:customStyle="1" w:styleId="Legalentity">
    <w:name w:val="Legal entity"/>
    <w:basedOn w:val="Normln"/>
    <w:rsid w:val="004808AA"/>
    <w:pPr>
      <w:widowControl w:val="0"/>
      <w:autoSpaceDE w:val="0"/>
      <w:spacing w:after="90" w:line="180" w:lineRule="atLeast"/>
      <w:textAlignment w:val="center"/>
    </w:pPr>
    <w:rPr>
      <w:color w:val="000000"/>
      <w:sz w:val="15"/>
      <w:szCs w:val="20"/>
      <w:lang w:val="en-GB"/>
    </w:rPr>
  </w:style>
  <w:style w:type="paragraph" w:customStyle="1" w:styleId="smlouvaheading1">
    <w:name w:val="smlouva heading 1"/>
    <w:next w:val="Bodytext"/>
    <w:rsid w:val="004808AA"/>
    <w:pPr>
      <w:tabs>
        <w:tab w:val="num" w:pos="0"/>
        <w:tab w:val="left" w:pos="873"/>
      </w:tabs>
      <w:suppressAutoHyphens/>
      <w:spacing w:before="120" w:after="120"/>
      <w:ind w:left="360" w:hanging="360"/>
    </w:pPr>
    <w:rPr>
      <w:rFonts w:ascii="Arial" w:eastAsia="Arial" w:hAnsi="Arial"/>
      <w:b/>
      <w:color w:val="000000"/>
      <w:sz w:val="19"/>
      <w:szCs w:val="24"/>
      <w:lang w:eastAsia="ar-SA"/>
    </w:rPr>
  </w:style>
  <w:style w:type="paragraph" w:customStyle="1" w:styleId="CaptionIntroductionparagraph">
    <w:name w:val="Caption Introduction paragraph"/>
    <w:rsid w:val="004808AA"/>
    <w:pPr>
      <w:suppressAutoHyphens/>
    </w:pPr>
    <w:rPr>
      <w:rFonts w:ascii="Arial" w:eastAsia="Arial" w:hAnsi="Arial"/>
      <w:b/>
      <w:color w:val="00A1DE"/>
      <w:sz w:val="24"/>
      <w:szCs w:val="22"/>
      <w:lang w:eastAsia="ar-SA"/>
    </w:rPr>
  </w:style>
  <w:style w:type="paragraph" w:customStyle="1" w:styleId="smlouvaheading2">
    <w:name w:val="smlouva heading 2"/>
    <w:basedOn w:val="CaptionIntroductionparagraph"/>
    <w:next w:val="Bodytext"/>
    <w:rsid w:val="004808AA"/>
    <w:pPr>
      <w:tabs>
        <w:tab w:val="num" w:pos="0"/>
      </w:tabs>
      <w:ind w:left="360" w:hanging="360"/>
    </w:pPr>
    <w:rPr>
      <w:b w:val="0"/>
      <w:color w:val="000000"/>
      <w:sz w:val="19"/>
    </w:rPr>
  </w:style>
  <w:style w:type="paragraph" w:customStyle="1" w:styleId="smlouvaheading3">
    <w:name w:val="smlouva heading 3"/>
    <w:basedOn w:val="smlouvaheading2"/>
    <w:next w:val="Bodytext"/>
    <w:rsid w:val="004808AA"/>
  </w:style>
  <w:style w:type="paragraph" w:customStyle="1" w:styleId="smlouvaheading4">
    <w:name w:val="smlouva heading 4"/>
    <w:basedOn w:val="smlouvaheading3"/>
    <w:next w:val="Bodytext"/>
    <w:rsid w:val="004808AA"/>
    <w:rPr>
      <w:color w:val="auto"/>
    </w:rPr>
  </w:style>
  <w:style w:type="paragraph" w:customStyle="1" w:styleId="smlouvabodytextbold">
    <w:name w:val="smlouva body text bold"/>
    <w:basedOn w:val="smlouvaheading4"/>
    <w:next w:val="Bodytext"/>
    <w:rsid w:val="004808AA"/>
    <w:pPr>
      <w:tabs>
        <w:tab w:val="clear" w:pos="0"/>
      </w:tabs>
      <w:ind w:left="0" w:firstLine="0"/>
    </w:pPr>
    <w:rPr>
      <w:b/>
    </w:rPr>
  </w:style>
  <w:style w:type="paragraph" w:customStyle="1" w:styleId="Bodytextbold">
    <w:name w:val="Body text bold"/>
    <w:basedOn w:val="smlouvabodytextbold"/>
    <w:next w:val="Bodytext"/>
    <w:rsid w:val="004808AA"/>
    <w:rPr>
      <w:color w:val="000000"/>
    </w:rPr>
  </w:style>
  <w:style w:type="paragraph" w:customStyle="1" w:styleId="Captionbody">
    <w:name w:val="Caption body"/>
    <w:rsid w:val="004808AA"/>
    <w:pPr>
      <w:suppressAutoHyphens/>
    </w:pPr>
    <w:rPr>
      <w:rFonts w:ascii="Arial" w:eastAsia="Arial" w:hAnsi="Arial"/>
      <w:color w:val="000000"/>
      <w:sz w:val="18"/>
      <w:lang w:val="en-US" w:eastAsia="ar-SA"/>
    </w:rPr>
  </w:style>
  <w:style w:type="paragraph" w:customStyle="1" w:styleId="Captionheading">
    <w:name w:val="Caption heading"/>
    <w:basedOn w:val="Captionbody"/>
    <w:rsid w:val="004808AA"/>
    <w:rPr>
      <w:b/>
    </w:rPr>
  </w:style>
  <w:style w:type="paragraph" w:customStyle="1" w:styleId="smlouvabodytext">
    <w:name w:val="smlouva body text"/>
    <w:basedOn w:val="Normln"/>
    <w:rsid w:val="004808AA"/>
    <w:rPr>
      <w:rFonts w:eastAsia="Times"/>
    </w:rPr>
  </w:style>
  <w:style w:type="paragraph" w:customStyle="1" w:styleId="Bulletslevel1">
    <w:name w:val="Bullets level 1"/>
    <w:basedOn w:val="Normln"/>
    <w:rsid w:val="004808AA"/>
    <w:pPr>
      <w:spacing w:before="120"/>
      <w:ind w:left="360"/>
    </w:pPr>
    <w:rPr>
      <w:rFonts w:eastAsia="Times"/>
      <w:color w:val="000000"/>
      <w:szCs w:val="20"/>
      <w:lang w:val="en-GB"/>
    </w:rPr>
  </w:style>
  <w:style w:type="paragraph" w:customStyle="1" w:styleId="Bulletslevel2">
    <w:name w:val="Bullets level 2"/>
    <w:basedOn w:val="Normln"/>
    <w:rsid w:val="004808AA"/>
    <w:pPr>
      <w:spacing w:before="120"/>
    </w:pPr>
    <w:rPr>
      <w:rFonts w:eastAsia="Times"/>
      <w:color w:val="000000"/>
      <w:szCs w:val="20"/>
      <w:lang w:val="en-GB"/>
    </w:rPr>
  </w:style>
  <w:style w:type="paragraph" w:customStyle="1" w:styleId="PulloutQuote">
    <w:name w:val="Pullout Quote"/>
    <w:rsid w:val="004808AA"/>
    <w:pPr>
      <w:pBdr>
        <w:top w:val="single" w:sz="4" w:space="4" w:color="00FFFF"/>
      </w:pBdr>
      <w:suppressAutoHyphens/>
      <w:spacing w:line="320" w:lineRule="exact"/>
    </w:pPr>
    <w:rPr>
      <w:rFonts w:eastAsia="Times"/>
      <w:color w:val="00A1DE"/>
      <w:sz w:val="32"/>
      <w:lang w:val="en-GB" w:eastAsia="ar-SA"/>
    </w:rPr>
  </w:style>
  <w:style w:type="paragraph" w:customStyle="1" w:styleId="Highlight1">
    <w:name w:val="Highlight 1"/>
    <w:basedOn w:val="Normln"/>
    <w:rsid w:val="004808AA"/>
    <w:rPr>
      <w:b/>
      <w:color w:val="3C8A2E"/>
      <w:sz w:val="20"/>
      <w:szCs w:val="16"/>
    </w:rPr>
  </w:style>
  <w:style w:type="paragraph" w:customStyle="1" w:styleId="Highlight2">
    <w:name w:val="Highlight 2"/>
    <w:basedOn w:val="Highlight1"/>
    <w:rsid w:val="004808AA"/>
    <w:rPr>
      <w:color w:val="92D400"/>
    </w:rPr>
  </w:style>
  <w:style w:type="paragraph" w:styleId="Obsah4">
    <w:name w:val="toc 4"/>
    <w:basedOn w:val="Normln"/>
    <w:next w:val="Normln"/>
    <w:semiHidden/>
    <w:rsid w:val="004808AA"/>
    <w:pPr>
      <w:spacing w:after="240"/>
      <w:ind w:left="720"/>
    </w:pPr>
  </w:style>
  <w:style w:type="paragraph" w:styleId="Obsah5">
    <w:name w:val="toc 5"/>
    <w:basedOn w:val="Normln"/>
    <w:next w:val="Normln"/>
    <w:semiHidden/>
    <w:rsid w:val="004808AA"/>
    <w:pPr>
      <w:spacing w:after="100"/>
      <w:ind w:left="960"/>
    </w:pPr>
  </w:style>
  <w:style w:type="paragraph" w:styleId="Textpoznpodarou">
    <w:name w:val="footnote text"/>
    <w:basedOn w:val="Normln"/>
    <w:semiHidden/>
    <w:rsid w:val="004808AA"/>
    <w:rPr>
      <w:sz w:val="16"/>
      <w:szCs w:val="20"/>
    </w:rPr>
  </w:style>
  <w:style w:type="paragraph" w:customStyle="1" w:styleId="Highlight3">
    <w:name w:val="Highlight 3"/>
    <w:basedOn w:val="Highlight2"/>
    <w:rsid w:val="004808AA"/>
    <w:rPr>
      <w:color w:val="00A1DE"/>
    </w:rPr>
  </w:style>
  <w:style w:type="paragraph" w:customStyle="1" w:styleId="Nadpisobsahu1">
    <w:name w:val="Nadpis obsahu1"/>
    <w:basedOn w:val="Nadpis1"/>
    <w:next w:val="Normln"/>
    <w:rsid w:val="004808AA"/>
    <w:pPr>
      <w:keepLines/>
      <w:pageBreakBefore w:val="0"/>
      <w:tabs>
        <w:tab w:val="clear" w:pos="0"/>
      </w:tabs>
      <w:spacing w:before="480" w:after="0" w:line="276" w:lineRule="auto"/>
      <w:ind w:left="0" w:firstLine="0"/>
    </w:pPr>
    <w:rPr>
      <w:rFonts w:ascii="Arial" w:eastAsia="Times New Roman" w:hAnsi="Arial" w:cs="Times New Roman"/>
      <w:b/>
      <w:color w:val="001D58"/>
      <w:sz w:val="28"/>
      <w:szCs w:val="28"/>
    </w:rPr>
  </w:style>
  <w:style w:type="paragraph" w:styleId="Zkladntextodsazen">
    <w:name w:val="Body Text Indent"/>
    <w:basedOn w:val="Normln"/>
    <w:semiHidden/>
    <w:rsid w:val="004808AA"/>
    <w:pPr>
      <w:widowControl w:val="0"/>
      <w:spacing w:line="360" w:lineRule="atLeast"/>
      <w:ind w:left="1440"/>
      <w:jc w:val="both"/>
      <w:textAlignment w:val="baseline"/>
    </w:pPr>
    <w:rPr>
      <w:bCs/>
      <w:sz w:val="20"/>
    </w:rPr>
  </w:style>
  <w:style w:type="paragraph" w:styleId="Textkomente">
    <w:name w:val="annotation text"/>
    <w:basedOn w:val="Normln"/>
    <w:link w:val="TextkomenteChar"/>
    <w:uiPriority w:val="99"/>
    <w:semiHidden/>
    <w:rsid w:val="004808AA"/>
    <w:rPr>
      <w:sz w:val="20"/>
      <w:szCs w:val="20"/>
    </w:rPr>
  </w:style>
  <w:style w:type="paragraph" w:customStyle="1" w:styleId="CommentSubject">
    <w:name w:val="Comment Subject"/>
    <w:basedOn w:val="Textkomente"/>
    <w:next w:val="Textkomente"/>
    <w:rsid w:val="004808AA"/>
    <w:rPr>
      <w:b/>
      <w:bCs/>
    </w:rPr>
  </w:style>
  <w:style w:type="paragraph" w:styleId="Prosttext">
    <w:name w:val="Plain Text"/>
    <w:basedOn w:val="Normln"/>
    <w:semiHidden/>
    <w:rsid w:val="004808AA"/>
    <w:rPr>
      <w:color w:val="000000"/>
      <w:sz w:val="20"/>
      <w:szCs w:val="21"/>
    </w:rPr>
  </w:style>
  <w:style w:type="paragraph" w:customStyle="1" w:styleId="TableContents">
    <w:name w:val="Table Contents"/>
    <w:basedOn w:val="Normln"/>
    <w:rsid w:val="004808AA"/>
    <w:pPr>
      <w:suppressLineNumbers/>
    </w:pPr>
  </w:style>
  <w:style w:type="paragraph" w:customStyle="1" w:styleId="TableHeading">
    <w:name w:val="Table Heading"/>
    <w:basedOn w:val="TableContents"/>
    <w:rsid w:val="004808AA"/>
    <w:pPr>
      <w:jc w:val="center"/>
    </w:pPr>
    <w:rPr>
      <w:b/>
      <w:bCs/>
    </w:rPr>
  </w:style>
  <w:style w:type="paragraph" w:customStyle="1" w:styleId="Normln-web">
    <w:name w:val="Normální-web"/>
    <w:basedOn w:val="Normln"/>
    <w:rsid w:val="0051354C"/>
    <w:pPr>
      <w:suppressAutoHyphens w:val="0"/>
      <w:spacing w:before="120"/>
      <w:jc w:val="both"/>
    </w:pPr>
    <w:rPr>
      <w:sz w:val="24"/>
      <w:lang w:eastAsia="cs-CZ"/>
    </w:rPr>
  </w:style>
  <w:style w:type="paragraph" w:customStyle="1" w:styleId="Nadpis1a">
    <w:name w:val="Nadpis 1a"/>
    <w:basedOn w:val="Nadpis1"/>
    <w:next w:val="Normln-web"/>
    <w:rsid w:val="0051354C"/>
    <w:pPr>
      <w:pageBreakBefore w:val="0"/>
      <w:tabs>
        <w:tab w:val="clear" w:pos="0"/>
      </w:tabs>
      <w:suppressAutoHyphens w:val="0"/>
      <w:spacing w:before="240" w:after="120"/>
      <w:ind w:left="0" w:firstLine="0"/>
      <w:jc w:val="both"/>
    </w:pPr>
    <w:rPr>
      <w:rFonts w:ascii="Arial" w:eastAsia="Times New Roman" w:hAnsi="Arial"/>
      <w:b/>
      <w:i/>
      <w:color w:val="auto"/>
      <w:kern w:val="32"/>
      <w:sz w:val="32"/>
      <w:lang w:val="cs-CZ" w:eastAsia="cs-CZ"/>
    </w:rPr>
  </w:style>
  <w:style w:type="paragraph" w:customStyle="1" w:styleId="Textodstavce">
    <w:name w:val="Text odstavce"/>
    <w:basedOn w:val="Normln"/>
    <w:rsid w:val="0051354C"/>
    <w:pPr>
      <w:tabs>
        <w:tab w:val="num" w:pos="720"/>
        <w:tab w:val="left" w:pos="851"/>
      </w:tabs>
      <w:suppressAutoHyphens w:val="0"/>
      <w:spacing w:before="120" w:after="120"/>
      <w:ind w:left="720" w:hanging="720"/>
      <w:jc w:val="both"/>
      <w:outlineLvl w:val="6"/>
    </w:pPr>
    <w:rPr>
      <w:rFonts w:ascii="Times New Roman" w:hAnsi="Times New Roman"/>
      <w:sz w:val="24"/>
      <w:szCs w:val="20"/>
      <w:lang w:eastAsia="cs-CZ"/>
    </w:rPr>
  </w:style>
  <w:style w:type="character" w:customStyle="1" w:styleId="TextkomenteChar">
    <w:name w:val="Text komentáře Char"/>
    <w:basedOn w:val="Standardnpsmoodstavce"/>
    <w:link w:val="Textkomente"/>
    <w:uiPriority w:val="99"/>
    <w:semiHidden/>
    <w:rsid w:val="0051354C"/>
    <w:rPr>
      <w:rFonts w:ascii="Arial" w:hAnsi="Arial"/>
      <w:lang w:val="en-US" w:eastAsia="ar-SA"/>
    </w:rPr>
  </w:style>
  <w:style w:type="paragraph" w:styleId="Textbubliny">
    <w:name w:val="Balloon Text"/>
    <w:basedOn w:val="Normln"/>
    <w:link w:val="TextbublinyChar"/>
    <w:uiPriority w:val="99"/>
    <w:semiHidden/>
    <w:unhideWhenUsed/>
    <w:rsid w:val="0051354C"/>
    <w:rPr>
      <w:rFonts w:ascii="Tahoma" w:hAnsi="Tahoma" w:cs="Tahoma"/>
      <w:sz w:val="16"/>
      <w:szCs w:val="16"/>
    </w:rPr>
  </w:style>
  <w:style w:type="character" w:customStyle="1" w:styleId="TextbublinyChar">
    <w:name w:val="Text bubliny Char"/>
    <w:basedOn w:val="Standardnpsmoodstavce"/>
    <w:link w:val="Textbubliny"/>
    <w:uiPriority w:val="99"/>
    <w:semiHidden/>
    <w:rsid w:val="0051354C"/>
    <w:rPr>
      <w:rFonts w:ascii="Tahoma" w:hAnsi="Tahoma" w:cs="Tahoma"/>
      <w:sz w:val="16"/>
      <w:szCs w:val="16"/>
      <w:lang w:val="en-US" w:eastAsia="ar-SA"/>
    </w:rPr>
  </w:style>
  <w:style w:type="paragraph" w:styleId="Pedmtkomente">
    <w:name w:val="annotation subject"/>
    <w:basedOn w:val="Textkomente"/>
    <w:next w:val="Textkomente"/>
    <w:link w:val="PedmtkomenteChar"/>
    <w:uiPriority w:val="99"/>
    <w:semiHidden/>
    <w:unhideWhenUsed/>
    <w:rsid w:val="00994BF3"/>
    <w:rPr>
      <w:b/>
      <w:bCs/>
    </w:rPr>
  </w:style>
  <w:style w:type="character" w:customStyle="1" w:styleId="PedmtkomenteChar">
    <w:name w:val="Předmět komentáře Char"/>
    <w:basedOn w:val="TextkomenteChar"/>
    <w:link w:val="Pedmtkomente"/>
    <w:uiPriority w:val="99"/>
    <w:semiHidden/>
    <w:rsid w:val="00994BF3"/>
    <w:rPr>
      <w:b/>
      <w:bCs/>
      <w:noProof/>
    </w:rPr>
  </w:style>
  <w:style w:type="paragraph" w:styleId="Textvysvtlivek">
    <w:name w:val="endnote text"/>
    <w:basedOn w:val="Normln"/>
    <w:link w:val="TextvysvtlivekChar"/>
    <w:uiPriority w:val="99"/>
    <w:semiHidden/>
    <w:unhideWhenUsed/>
    <w:rsid w:val="00373752"/>
    <w:rPr>
      <w:sz w:val="20"/>
      <w:szCs w:val="20"/>
    </w:rPr>
  </w:style>
  <w:style w:type="character" w:customStyle="1" w:styleId="TextvysvtlivekChar">
    <w:name w:val="Text vysvětlivek Char"/>
    <w:basedOn w:val="Standardnpsmoodstavce"/>
    <w:link w:val="Textvysvtlivek"/>
    <w:uiPriority w:val="99"/>
    <w:semiHidden/>
    <w:rsid w:val="00373752"/>
    <w:rPr>
      <w:rFonts w:ascii="Arial" w:hAnsi="Arial"/>
      <w:noProof/>
      <w:lang w:eastAsia="ar-SA"/>
    </w:rPr>
  </w:style>
  <w:style w:type="character" w:styleId="Odkaznavysvtlivky">
    <w:name w:val="endnote reference"/>
    <w:basedOn w:val="Standardnpsmoodstavce"/>
    <w:uiPriority w:val="99"/>
    <w:semiHidden/>
    <w:unhideWhenUsed/>
    <w:rsid w:val="00373752"/>
    <w:rPr>
      <w:vertAlign w:val="superscript"/>
    </w:rPr>
  </w:style>
  <w:style w:type="character" w:styleId="Znakapoznpodarou">
    <w:name w:val="footnote reference"/>
    <w:basedOn w:val="Standardnpsmoodstavce"/>
    <w:uiPriority w:val="99"/>
    <w:semiHidden/>
    <w:unhideWhenUsed/>
    <w:rsid w:val="00373752"/>
    <w:rPr>
      <w:vertAlign w:val="superscript"/>
    </w:rPr>
  </w:style>
  <w:style w:type="paragraph" w:styleId="Rozvrendokumentu">
    <w:name w:val="Document Map"/>
    <w:basedOn w:val="Normln"/>
    <w:link w:val="RozvrendokumentuChar"/>
    <w:uiPriority w:val="99"/>
    <w:semiHidden/>
    <w:unhideWhenUsed/>
    <w:rsid w:val="005B7456"/>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B7456"/>
    <w:rPr>
      <w:rFonts w:ascii="Tahoma" w:hAnsi="Tahoma" w:cs="Tahoma"/>
      <w:noProof/>
      <w:sz w:val="16"/>
      <w:szCs w:val="16"/>
      <w:lang w:eastAsia="ar-SA"/>
    </w:rPr>
  </w:style>
  <w:style w:type="paragraph" w:styleId="Odstavecseseznamem">
    <w:name w:val="List Paragraph"/>
    <w:basedOn w:val="Normln"/>
    <w:uiPriority w:val="34"/>
    <w:qFormat/>
    <w:rsid w:val="00341839"/>
    <w:pPr>
      <w:ind w:left="720"/>
      <w:contextualSpacing/>
    </w:pPr>
  </w:style>
  <w:style w:type="paragraph" w:styleId="Normlnweb">
    <w:name w:val="Normal (Web)"/>
    <w:basedOn w:val="Normln"/>
    <w:uiPriority w:val="99"/>
    <w:semiHidden/>
    <w:unhideWhenUsed/>
    <w:rsid w:val="0001649E"/>
    <w:pPr>
      <w:suppressAutoHyphens w:val="0"/>
      <w:spacing w:before="100" w:beforeAutospacing="1" w:after="100" w:afterAutospacing="1"/>
    </w:pPr>
    <w:rPr>
      <w:rFonts w:ascii="Times New Roman" w:hAnsi="Times New Roman"/>
      <w:noProof w:val="0"/>
      <w:sz w:val="24"/>
      <w:lang w:eastAsia="cs-CZ"/>
    </w:rPr>
  </w:style>
</w:styles>
</file>

<file path=word/webSettings.xml><?xml version="1.0" encoding="utf-8"?>
<w:webSettings xmlns:r="http://schemas.openxmlformats.org/officeDocument/2006/relationships" xmlns:w="http://schemas.openxmlformats.org/wordprocessingml/2006/main">
  <w:divs>
    <w:div w:id="63455422">
      <w:bodyDiv w:val="1"/>
      <w:marLeft w:val="0"/>
      <w:marRight w:val="0"/>
      <w:marTop w:val="0"/>
      <w:marBottom w:val="0"/>
      <w:divBdr>
        <w:top w:val="none" w:sz="0" w:space="0" w:color="auto"/>
        <w:left w:val="none" w:sz="0" w:space="0" w:color="auto"/>
        <w:bottom w:val="none" w:sz="0" w:space="0" w:color="auto"/>
        <w:right w:val="none" w:sz="0" w:space="0" w:color="auto"/>
      </w:divBdr>
    </w:div>
    <w:div w:id="117533277">
      <w:bodyDiv w:val="1"/>
      <w:marLeft w:val="0"/>
      <w:marRight w:val="0"/>
      <w:marTop w:val="0"/>
      <w:marBottom w:val="0"/>
      <w:divBdr>
        <w:top w:val="none" w:sz="0" w:space="0" w:color="auto"/>
        <w:left w:val="none" w:sz="0" w:space="0" w:color="auto"/>
        <w:bottom w:val="none" w:sz="0" w:space="0" w:color="auto"/>
        <w:right w:val="none" w:sz="0" w:space="0" w:color="auto"/>
      </w:divBdr>
    </w:div>
    <w:div w:id="152382486">
      <w:bodyDiv w:val="1"/>
      <w:marLeft w:val="0"/>
      <w:marRight w:val="0"/>
      <w:marTop w:val="0"/>
      <w:marBottom w:val="0"/>
      <w:divBdr>
        <w:top w:val="none" w:sz="0" w:space="0" w:color="auto"/>
        <w:left w:val="none" w:sz="0" w:space="0" w:color="auto"/>
        <w:bottom w:val="none" w:sz="0" w:space="0" w:color="auto"/>
        <w:right w:val="none" w:sz="0" w:space="0" w:color="auto"/>
      </w:divBdr>
    </w:div>
    <w:div w:id="170489252">
      <w:bodyDiv w:val="1"/>
      <w:marLeft w:val="0"/>
      <w:marRight w:val="0"/>
      <w:marTop w:val="0"/>
      <w:marBottom w:val="0"/>
      <w:divBdr>
        <w:top w:val="none" w:sz="0" w:space="0" w:color="auto"/>
        <w:left w:val="none" w:sz="0" w:space="0" w:color="auto"/>
        <w:bottom w:val="none" w:sz="0" w:space="0" w:color="auto"/>
        <w:right w:val="none" w:sz="0" w:space="0" w:color="auto"/>
      </w:divBdr>
      <w:divsChild>
        <w:div w:id="249973289">
          <w:marLeft w:val="0"/>
          <w:marRight w:val="0"/>
          <w:marTop w:val="0"/>
          <w:marBottom w:val="0"/>
          <w:divBdr>
            <w:top w:val="none" w:sz="0" w:space="0" w:color="auto"/>
            <w:left w:val="none" w:sz="0" w:space="0" w:color="auto"/>
            <w:bottom w:val="none" w:sz="0" w:space="0" w:color="auto"/>
            <w:right w:val="none" w:sz="0" w:space="0" w:color="auto"/>
          </w:divBdr>
        </w:div>
        <w:div w:id="684677213">
          <w:marLeft w:val="0"/>
          <w:marRight w:val="0"/>
          <w:marTop w:val="0"/>
          <w:marBottom w:val="0"/>
          <w:divBdr>
            <w:top w:val="none" w:sz="0" w:space="0" w:color="auto"/>
            <w:left w:val="none" w:sz="0" w:space="0" w:color="auto"/>
            <w:bottom w:val="none" w:sz="0" w:space="0" w:color="auto"/>
            <w:right w:val="none" w:sz="0" w:space="0" w:color="auto"/>
          </w:divBdr>
        </w:div>
        <w:div w:id="2033794975">
          <w:marLeft w:val="0"/>
          <w:marRight w:val="0"/>
          <w:marTop w:val="0"/>
          <w:marBottom w:val="0"/>
          <w:divBdr>
            <w:top w:val="none" w:sz="0" w:space="0" w:color="auto"/>
            <w:left w:val="none" w:sz="0" w:space="0" w:color="auto"/>
            <w:bottom w:val="none" w:sz="0" w:space="0" w:color="auto"/>
            <w:right w:val="none" w:sz="0" w:space="0" w:color="auto"/>
          </w:divBdr>
        </w:div>
        <w:div w:id="1535852555">
          <w:marLeft w:val="0"/>
          <w:marRight w:val="0"/>
          <w:marTop w:val="0"/>
          <w:marBottom w:val="0"/>
          <w:divBdr>
            <w:top w:val="none" w:sz="0" w:space="0" w:color="auto"/>
            <w:left w:val="none" w:sz="0" w:space="0" w:color="auto"/>
            <w:bottom w:val="none" w:sz="0" w:space="0" w:color="auto"/>
            <w:right w:val="none" w:sz="0" w:space="0" w:color="auto"/>
          </w:divBdr>
        </w:div>
        <w:div w:id="314727195">
          <w:marLeft w:val="0"/>
          <w:marRight w:val="0"/>
          <w:marTop w:val="0"/>
          <w:marBottom w:val="0"/>
          <w:divBdr>
            <w:top w:val="none" w:sz="0" w:space="0" w:color="auto"/>
            <w:left w:val="none" w:sz="0" w:space="0" w:color="auto"/>
            <w:bottom w:val="none" w:sz="0" w:space="0" w:color="auto"/>
            <w:right w:val="none" w:sz="0" w:space="0" w:color="auto"/>
          </w:divBdr>
        </w:div>
        <w:div w:id="1128400571">
          <w:marLeft w:val="0"/>
          <w:marRight w:val="0"/>
          <w:marTop w:val="0"/>
          <w:marBottom w:val="0"/>
          <w:divBdr>
            <w:top w:val="none" w:sz="0" w:space="0" w:color="auto"/>
            <w:left w:val="none" w:sz="0" w:space="0" w:color="auto"/>
            <w:bottom w:val="none" w:sz="0" w:space="0" w:color="auto"/>
            <w:right w:val="none" w:sz="0" w:space="0" w:color="auto"/>
          </w:divBdr>
        </w:div>
        <w:div w:id="1330061919">
          <w:marLeft w:val="0"/>
          <w:marRight w:val="0"/>
          <w:marTop w:val="0"/>
          <w:marBottom w:val="0"/>
          <w:divBdr>
            <w:top w:val="none" w:sz="0" w:space="0" w:color="auto"/>
            <w:left w:val="none" w:sz="0" w:space="0" w:color="auto"/>
            <w:bottom w:val="none" w:sz="0" w:space="0" w:color="auto"/>
            <w:right w:val="none" w:sz="0" w:space="0" w:color="auto"/>
          </w:divBdr>
        </w:div>
        <w:div w:id="496845294">
          <w:marLeft w:val="0"/>
          <w:marRight w:val="0"/>
          <w:marTop w:val="0"/>
          <w:marBottom w:val="0"/>
          <w:divBdr>
            <w:top w:val="none" w:sz="0" w:space="0" w:color="auto"/>
            <w:left w:val="none" w:sz="0" w:space="0" w:color="auto"/>
            <w:bottom w:val="none" w:sz="0" w:space="0" w:color="auto"/>
            <w:right w:val="none" w:sz="0" w:space="0" w:color="auto"/>
          </w:divBdr>
        </w:div>
        <w:div w:id="1970084002">
          <w:marLeft w:val="0"/>
          <w:marRight w:val="0"/>
          <w:marTop w:val="0"/>
          <w:marBottom w:val="0"/>
          <w:divBdr>
            <w:top w:val="none" w:sz="0" w:space="0" w:color="auto"/>
            <w:left w:val="none" w:sz="0" w:space="0" w:color="auto"/>
            <w:bottom w:val="none" w:sz="0" w:space="0" w:color="auto"/>
            <w:right w:val="none" w:sz="0" w:space="0" w:color="auto"/>
          </w:divBdr>
        </w:div>
      </w:divsChild>
    </w:div>
    <w:div w:id="176043733">
      <w:bodyDiv w:val="1"/>
      <w:marLeft w:val="0"/>
      <w:marRight w:val="0"/>
      <w:marTop w:val="0"/>
      <w:marBottom w:val="0"/>
      <w:divBdr>
        <w:top w:val="none" w:sz="0" w:space="0" w:color="auto"/>
        <w:left w:val="none" w:sz="0" w:space="0" w:color="auto"/>
        <w:bottom w:val="none" w:sz="0" w:space="0" w:color="auto"/>
        <w:right w:val="none" w:sz="0" w:space="0" w:color="auto"/>
      </w:divBdr>
    </w:div>
    <w:div w:id="222453620">
      <w:bodyDiv w:val="1"/>
      <w:marLeft w:val="0"/>
      <w:marRight w:val="0"/>
      <w:marTop w:val="0"/>
      <w:marBottom w:val="0"/>
      <w:divBdr>
        <w:top w:val="none" w:sz="0" w:space="0" w:color="auto"/>
        <w:left w:val="none" w:sz="0" w:space="0" w:color="auto"/>
        <w:bottom w:val="none" w:sz="0" w:space="0" w:color="auto"/>
        <w:right w:val="none" w:sz="0" w:space="0" w:color="auto"/>
      </w:divBdr>
    </w:div>
    <w:div w:id="236985678">
      <w:bodyDiv w:val="1"/>
      <w:marLeft w:val="0"/>
      <w:marRight w:val="0"/>
      <w:marTop w:val="0"/>
      <w:marBottom w:val="0"/>
      <w:divBdr>
        <w:top w:val="none" w:sz="0" w:space="0" w:color="auto"/>
        <w:left w:val="none" w:sz="0" w:space="0" w:color="auto"/>
        <w:bottom w:val="none" w:sz="0" w:space="0" w:color="auto"/>
        <w:right w:val="none" w:sz="0" w:space="0" w:color="auto"/>
      </w:divBdr>
    </w:div>
    <w:div w:id="365375293">
      <w:bodyDiv w:val="1"/>
      <w:marLeft w:val="0"/>
      <w:marRight w:val="0"/>
      <w:marTop w:val="0"/>
      <w:marBottom w:val="0"/>
      <w:divBdr>
        <w:top w:val="none" w:sz="0" w:space="0" w:color="auto"/>
        <w:left w:val="none" w:sz="0" w:space="0" w:color="auto"/>
        <w:bottom w:val="none" w:sz="0" w:space="0" w:color="auto"/>
        <w:right w:val="none" w:sz="0" w:space="0" w:color="auto"/>
      </w:divBdr>
    </w:div>
    <w:div w:id="371226267">
      <w:bodyDiv w:val="1"/>
      <w:marLeft w:val="0"/>
      <w:marRight w:val="0"/>
      <w:marTop w:val="0"/>
      <w:marBottom w:val="0"/>
      <w:divBdr>
        <w:top w:val="none" w:sz="0" w:space="0" w:color="auto"/>
        <w:left w:val="none" w:sz="0" w:space="0" w:color="auto"/>
        <w:bottom w:val="none" w:sz="0" w:space="0" w:color="auto"/>
        <w:right w:val="none" w:sz="0" w:space="0" w:color="auto"/>
      </w:divBdr>
    </w:div>
    <w:div w:id="457532930">
      <w:bodyDiv w:val="1"/>
      <w:marLeft w:val="0"/>
      <w:marRight w:val="0"/>
      <w:marTop w:val="0"/>
      <w:marBottom w:val="0"/>
      <w:divBdr>
        <w:top w:val="none" w:sz="0" w:space="0" w:color="auto"/>
        <w:left w:val="none" w:sz="0" w:space="0" w:color="auto"/>
        <w:bottom w:val="none" w:sz="0" w:space="0" w:color="auto"/>
        <w:right w:val="none" w:sz="0" w:space="0" w:color="auto"/>
      </w:divBdr>
    </w:div>
    <w:div w:id="492721602">
      <w:bodyDiv w:val="1"/>
      <w:marLeft w:val="0"/>
      <w:marRight w:val="0"/>
      <w:marTop w:val="0"/>
      <w:marBottom w:val="0"/>
      <w:divBdr>
        <w:top w:val="none" w:sz="0" w:space="0" w:color="auto"/>
        <w:left w:val="none" w:sz="0" w:space="0" w:color="auto"/>
        <w:bottom w:val="none" w:sz="0" w:space="0" w:color="auto"/>
        <w:right w:val="none" w:sz="0" w:space="0" w:color="auto"/>
      </w:divBdr>
    </w:div>
    <w:div w:id="506948766">
      <w:bodyDiv w:val="1"/>
      <w:marLeft w:val="0"/>
      <w:marRight w:val="0"/>
      <w:marTop w:val="0"/>
      <w:marBottom w:val="0"/>
      <w:divBdr>
        <w:top w:val="none" w:sz="0" w:space="0" w:color="auto"/>
        <w:left w:val="none" w:sz="0" w:space="0" w:color="auto"/>
        <w:bottom w:val="none" w:sz="0" w:space="0" w:color="auto"/>
        <w:right w:val="none" w:sz="0" w:space="0" w:color="auto"/>
      </w:divBdr>
    </w:div>
    <w:div w:id="529605464">
      <w:bodyDiv w:val="1"/>
      <w:marLeft w:val="0"/>
      <w:marRight w:val="0"/>
      <w:marTop w:val="0"/>
      <w:marBottom w:val="0"/>
      <w:divBdr>
        <w:top w:val="none" w:sz="0" w:space="0" w:color="auto"/>
        <w:left w:val="none" w:sz="0" w:space="0" w:color="auto"/>
        <w:bottom w:val="none" w:sz="0" w:space="0" w:color="auto"/>
        <w:right w:val="none" w:sz="0" w:space="0" w:color="auto"/>
      </w:divBdr>
    </w:div>
    <w:div w:id="659694332">
      <w:bodyDiv w:val="1"/>
      <w:marLeft w:val="0"/>
      <w:marRight w:val="0"/>
      <w:marTop w:val="0"/>
      <w:marBottom w:val="0"/>
      <w:divBdr>
        <w:top w:val="none" w:sz="0" w:space="0" w:color="auto"/>
        <w:left w:val="none" w:sz="0" w:space="0" w:color="auto"/>
        <w:bottom w:val="none" w:sz="0" w:space="0" w:color="auto"/>
        <w:right w:val="none" w:sz="0" w:space="0" w:color="auto"/>
      </w:divBdr>
    </w:div>
    <w:div w:id="678310809">
      <w:bodyDiv w:val="1"/>
      <w:marLeft w:val="0"/>
      <w:marRight w:val="0"/>
      <w:marTop w:val="0"/>
      <w:marBottom w:val="0"/>
      <w:divBdr>
        <w:top w:val="none" w:sz="0" w:space="0" w:color="auto"/>
        <w:left w:val="none" w:sz="0" w:space="0" w:color="auto"/>
        <w:bottom w:val="none" w:sz="0" w:space="0" w:color="auto"/>
        <w:right w:val="none" w:sz="0" w:space="0" w:color="auto"/>
      </w:divBdr>
    </w:div>
    <w:div w:id="850753617">
      <w:bodyDiv w:val="1"/>
      <w:marLeft w:val="0"/>
      <w:marRight w:val="0"/>
      <w:marTop w:val="0"/>
      <w:marBottom w:val="0"/>
      <w:divBdr>
        <w:top w:val="none" w:sz="0" w:space="0" w:color="auto"/>
        <w:left w:val="none" w:sz="0" w:space="0" w:color="auto"/>
        <w:bottom w:val="none" w:sz="0" w:space="0" w:color="auto"/>
        <w:right w:val="none" w:sz="0" w:space="0" w:color="auto"/>
      </w:divBdr>
    </w:div>
    <w:div w:id="853612964">
      <w:bodyDiv w:val="1"/>
      <w:marLeft w:val="0"/>
      <w:marRight w:val="0"/>
      <w:marTop w:val="0"/>
      <w:marBottom w:val="0"/>
      <w:divBdr>
        <w:top w:val="none" w:sz="0" w:space="0" w:color="auto"/>
        <w:left w:val="none" w:sz="0" w:space="0" w:color="auto"/>
        <w:bottom w:val="none" w:sz="0" w:space="0" w:color="auto"/>
        <w:right w:val="none" w:sz="0" w:space="0" w:color="auto"/>
      </w:divBdr>
    </w:div>
    <w:div w:id="867790022">
      <w:bodyDiv w:val="1"/>
      <w:marLeft w:val="0"/>
      <w:marRight w:val="0"/>
      <w:marTop w:val="0"/>
      <w:marBottom w:val="0"/>
      <w:divBdr>
        <w:top w:val="none" w:sz="0" w:space="0" w:color="auto"/>
        <w:left w:val="none" w:sz="0" w:space="0" w:color="auto"/>
        <w:bottom w:val="none" w:sz="0" w:space="0" w:color="auto"/>
        <w:right w:val="none" w:sz="0" w:space="0" w:color="auto"/>
      </w:divBdr>
    </w:div>
    <w:div w:id="903368309">
      <w:bodyDiv w:val="1"/>
      <w:marLeft w:val="0"/>
      <w:marRight w:val="0"/>
      <w:marTop w:val="0"/>
      <w:marBottom w:val="0"/>
      <w:divBdr>
        <w:top w:val="none" w:sz="0" w:space="0" w:color="auto"/>
        <w:left w:val="none" w:sz="0" w:space="0" w:color="auto"/>
        <w:bottom w:val="none" w:sz="0" w:space="0" w:color="auto"/>
        <w:right w:val="none" w:sz="0" w:space="0" w:color="auto"/>
      </w:divBdr>
    </w:div>
    <w:div w:id="903836305">
      <w:bodyDiv w:val="1"/>
      <w:marLeft w:val="0"/>
      <w:marRight w:val="0"/>
      <w:marTop w:val="0"/>
      <w:marBottom w:val="0"/>
      <w:divBdr>
        <w:top w:val="none" w:sz="0" w:space="0" w:color="auto"/>
        <w:left w:val="none" w:sz="0" w:space="0" w:color="auto"/>
        <w:bottom w:val="none" w:sz="0" w:space="0" w:color="auto"/>
        <w:right w:val="none" w:sz="0" w:space="0" w:color="auto"/>
      </w:divBdr>
    </w:div>
    <w:div w:id="907300638">
      <w:bodyDiv w:val="1"/>
      <w:marLeft w:val="0"/>
      <w:marRight w:val="0"/>
      <w:marTop w:val="0"/>
      <w:marBottom w:val="0"/>
      <w:divBdr>
        <w:top w:val="none" w:sz="0" w:space="0" w:color="auto"/>
        <w:left w:val="none" w:sz="0" w:space="0" w:color="auto"/>
        <w:bottom w:val="none" w:sz="0" w:space="0" w:color="auto"/>
        <w:right w:val="none" w:sz="0" w:space="0" w:color="auto"/>
      </w:divBdr>
    </w:div>
    <w:div w:id="968360908">
      <w:bodyDiv w:val="1"/>
      <w:marLeft w:val="0"/>
      <w:marRight w:val="0"/>
      <w:marTop w:val="0"/>
      <w:marBottom w:val="0"/>
      <w:divBdr>
        <w:top w:val="none" w:sz="0" w:space="0" w:color="auto"/>
        <w:left w:val="none" w:sz="0" w:space="0" w:color="auto"/>
        <w:bottom w:val="none" w:sz="0" w:space="0" w:color="auto"/>
        <w:right w:val="none" w:sz="0" w:space="0" w:color="auto"/>
      </w:divBdr>
    </w:div>
    <w:div w:id="1073703005">
      <w:bodyDiv w:val="1"/>
      <w:marLeft w:val="0"/>
      <w:marRight w:val="0"/>
      <w:marTop w:val="0"/>
      <w:marBottom w:val="0"/>
      <w:divBdr>
        <w:top w:val="none" w:sz="0" w:space="0" w:color="auto"/>
        <w:left w:val="none" w:sz="0" w:space="0" w:color="auto"/>
        <w:bottom w:val="none" w:sz="0" w:space="0" w:color="auto"/>
        <w:right w:val="none" w:sz="0" w:space="0" w:color="auto"/>
      </w:divBdr>
    </w:div>
    <w:div w:id="1162770943">
      <w:bodyDiv w:val="1"/>
      <w:marLeft w:val="0"/>
      <w:marRight w:val="0"/>
      <w:marTop w:val="0"/>
      <w:marBottom w:val="0"/>
      <w:divBdr>
        <w:top w:val="none" w:sz="0" w:space="0" w:color="auto"/>
        <w:left w:val="none" w:sz="0" w:space="0" w:color="auto"/>
        <w:bottom w:val="none" w:sz="0" w:space="0" w:color="auto"/>
        <w:right w:val="none" w:sz="0" w:space="0" w:color="auto"/>
      </w:divBdr>
    </w:div>
    <w:div w:id="1162937525">
      <w:bodyDiv w:val="1"/>
      <w:marLeft w:val="0"/>
      <w:marRight w:val="0"/>
      <w:marTop w:val="0"/>
      <w:marBottom w:val="0"/>
      <w:divBdr>
        <w:top w:val="none" w:sz="0" w:space="0" w:color="auto"/>
        <w:left w:val="none" w:sz="0" w:space="0" w:color="auto"/>
        <w:bottom w:val="none" w:sz="0" w:space="0" w:color="auto"/>
        <w:right w:val="none" w:sz="0" w:space="0" w:color="auto"/>
      </w:divBdr>
    </w:div>
    <w:div w:id="1188331396">
      <w:bodyDiv w:val="1"/>
      <w:marLeft w:val="0"/>
      <w:marRight w:val="0"/>
      <w:marTop w:val="0"/>
      <w:marBottom w:val="0"/>
      <w:divBdr>
        <w:top w:val="none" w:sz="0" w:space="0" w:color="auto"/>
        <w:left w:val="none" w:sz="0" w:space="0" w:color="auto"/>
        <w:bottom w:val="none" w:sz="0" w:space="0" w:color="auto"/>
        <w:right w:val="none" w:sz="0" w:space="0" w:color="auto"/>
      </w:divBdr>
    </w:div>
    <w:div w:id="1244410987">
      <w:bodyDiv w:val="1"/>
      <w:marLeft w:val="0"/>
      <w:marRight w:val="0"/>
      <w:marTop w:val="0"/>
      <w:marBottom w:val="0"/>
      <w:divBdr>
        <w:top w:val="none" w:sz="0" w:space="0" w:color="auto"/>
        <w:left w:val="none" w:sz="0" w:space="0" w:color="auto"/>
        <w:bottom w:val="none" w:sz="0" w:space="0" w:color="auto"/>
        <w:right w:val="none" w:sz="0" w:space="0" w:color="auto"/>
      </w:divBdr>
    </w:div>
    <w:div w:id="1284772335">
      <w:bodyDiv w:val="1"/>
      <w:marLeft w:val="0"/>
      <w:marRight w:val="0"/>
      <w:marTop w:val="0"/>
      <w:marBottom w:val="0"/>
      <w:divBdr>
        <w:top w:val="none" w:sz="0" w:space="0" w:color="auto"/>
        <w:left w:val="none" w:sz="0" w:space="0" w:color="auto"/>
        <w:bottom w:val="none" w:sz="0" w:space="0" w:color="auto"/>
        <w:right w:val="none" w:sz="0" w:space="0" w:color="auto"/>
      </w:divBdr>
    </w:div>
    <w:div w:id="1349136102">
      <w:bodyDiv w:val="1"/>
      <w:marLeft w:val="0"/>
      <w:marRight w:val="0"/>
      <w:marTop w:val="0"/>
      <w:marBottom w:val="0"/>
      <w:divBdr>
        <w:top w:val="none" w:sz="0" w:space="0" w:color="auto"/>
        <w:left w:val="none" w:sz="0" w:space="0" w:color="auto"/>
        <w:bottom w:val="none" w:sz="0" w:space="0" w:color="auto"/>
        <w:right w:val="none" w:sz="0" w:space="0" w:color="auto"/>
      </w:divBdr>
    </w:div>
    <w:div w:id="1379476639">
      <w:bodyDiv w:val="1"/>
      <w:marLeft w:val="0"/>
      <w:marRight w:val="0"/>
      <w:marTop w:val="0"/>
      <w:marBottom w:val="0"/>
      <w:divBdr>
        <w:top w:val="none" w:sz="0" w:space="0" w:color="auto"/>
        <w:left w:val="none" w:sz="0" w:space="0" w:color="auto"/>
        <w:bottom w:val="none" w:sz="0" w:space="0" w:color="auto"/>
        <w:right w:val="none" w:sz="0" w:space="0" w:color="auto"/>
      </w:divBdr>
    </w:div>
    <w:div w:id="1395348643">
      <w:bodyDiv w:val="1"/>
      <w:marLeft w:val="0"/>
      <w:marRight w:val="0"/>
      <w:marTop w:val="0"/>
      <w:marBottom w:val="0"/>
      <w:divBdr>
        <w:top w:val="none" w:sz="0" w:space="0" w:color="auto"/>
        <w:left w:val="none" w:sz="0" w:space="0" w:color="auto"/>
        <w:bottom w:val="none" w:sz="0" w:space="0" w:color="auto"/>
        <w:right w:val="none" w:sz="0" w:space="0" w:color="auto"/>
      </w:divBdr>
    </w:div>
    <w:div w:id="1475100329">
      <w:bodyDiv w:val="1"/>
      <w:marLeft w:val="0"/>
      <w:marRight w:val="0"/>
      <w:marTop w:val="0"/>
      <w:marBottom w:val="0"/>
      <w:divBdr>
        <w:top w:val="none" w:sz="0" w:space="0" w:color="auto"/>
        <w:left w:val="none" w:sz="0" w:space="0" w:color="auto"/>
        <w:bottom w:val="none" w:sz="0" w:space="0" w:color="auto"/>
        <w:right w:val="none" w:sz="0" w:space="0" w:color="auto"/>
      </w:divBdr>
    </w:div>
    <w:div w:id="1542743145">
      <w:bodyDiv w:val="1"/>
      <w:marLeft w:val="0"/>
      <w:marRight w:val="0"/>
      <w:marTop w:val="0"/>
      <w:marBottom w:val="0"/>
      <w:divBdr>
        <w:top w:val="none" w:sz="0" w:space="0" w:color="auto"/>
        <w:left w:val="none" w:sz="0" w:space="0" w:color="auto"/>
        <w:bottom w:val="none" w:sz="0" w:space="0" w:color="auto"/>
        <w:right w:val="none" w:sz="0" w:space="0" w:color="auto"/>
      </w:divBdr>
    </w:div>
    <w:div w:id="1685014028">
      <w:bodyDiv w:val="1"/>
      <w:marLeft w:val="0"/>
      <w:marRight w:val="0"/>
      <w:marTop w:val="0"/>
      <w:marBottom w:val="0"/>
      <w:divBdr>
        <w:top w:val="none" w:sz="0" w:space="0" w:color="auto"/>
        <w:left w:val="none" w:sz="0" w:space="0" w:color="auto"/>
        <w:bottom w:val="none" w:sz="0" w:space="0" w:color="auto"/>
        <w:right w:val="none" w:sz="0" w:space="0" w:color="auto"/>
      </w:divBdr>
    </w:div>
    <w:div w:id="1699160106">
      <w:bodyDiv w:val="1"/>
      <w:marLeft w:val="0"/>
      <w:marRight w:val="0"/>
      <w:marTop w:val="0"/>
      <w:marBottom w:val="0"/>
      <w:divBdr>
        <w:top w:val="none" w:sz="0" w:space="0" w:color="auto"/>
        <w:left w:val="none" w:sz="0" w:space="0" w:color="auto"/>
        <w:bottom w:val="none" w:sz="0" w:space="0" w:color="auto"/>
        <w:right w:val="none" w:sz="0" w:space="0" w:color="auto"/>
      </w:divBdr>
    </w:div>
    <w:div w:id="1713965797">
      <w:bodyDiv w:val="1"/>
      <w:marLeft w:val="0"/>
      <w:marRight w:val="0"/>
      <w:marTop w:val="0"/>
      <w:marBottom w:val="0"/>
      <w:divBdr>
        <w:top w:val="none" w:sz="0" w:space="0" w:color="auto"/>
        <w:left w:val="none" w:sz="0" w:space="0" w:color="auto"/>
        <w:bottom w:val="none" w:sz="0" w:space="0" w:color="auto"/>
        <w:right w:val="none" w:sz="0" w:space="0" w:color="auto"/>
      </w:divBdr>
    </w:div>
    <w:div w:id="1722050514">
      <w:bodyDiv w:val="1"/>
      <w:marLeft w:val="0"/>
      <w:marRight w:val="0"/>
      <w:marTop w:val="0"/>
      <w:marBottom w:val="0"/>
      <w:divBdr>
        <w:top w:val="none" w:sz="0" w:space="0" w:color="auto"/>
        <w:left w:val="none" w:sz="0" w:space="0" w:color="auto"/>
        <w:bottom w:val="none" w:sz="0" w:space="0" w:color="auto"/>
        <w:right w:val="none" w:sz="0" w:space="0" w:color="auto"/>
      </w:divBdr>
    </w:div>
    <w:div w:id="1794397468">
      <w:bodyDiv w:val="1"/>
      <w:marLeft w:val="0"/>
      <w:marRight w:val="0"/>
      <w:marTop w:val="0"/>
      <w:marBottom w:val="0"/>
      <w:divBdr>
        <w:top w:val="none" w:sz="0" w:space="0" w:color="auto"/>
        <w:left w:val="none" w:sz="0" w:space="0" w:color="auto"/>
        <w:bottom w:val="none" w:sz="0" w:space="0" w:color="auto"/>
        <w:right w:val="none" w:sz="0" w:space="0" w:color="auto"/>
      </w:divBdr>
    </w:div>
    <w:div w:id="1801803285">
      <w:bodyDiv w:val="1"/>
      <w:marLeft w:val="0"/>
      <w:marRight w:val="0"/>
      <w:marTop w:val="0"/>
      <w:marBottom w:val="0"/>
      <w:divBdr>
        <w:top w:val="none" w:sz="0" w:space="0" w:color="auto"/>
        <w:left w:val="none" w:sz="0" w:space="0" w:color="auto"/>
        <w:bottom w:val="none" w:sz="0" w:space="0" w:color="auto"/>
        <w:right w:val="none" w:sz="0" w:space="0" w:color="auto"/>
      </w:divBdr>
    </w:div>
    <w:div w:id="1871723495">
      <w:bodyDiv w:val="1"/>
      <w:marLeft w:val="0"/>
      <w:marRight w:val="0"/>
      <w:marTop w:val="0"/>
      <w:marBottom w:val="0"/>
      <w:divBdr>
        <w:top w:val="none" w:sz="0" w:space="0" w:color="auto"/>
        <w:left w:val="none" w:sz="0" w:space="0" w:color="auto"/>
        <w:bottom w:val="none" w:sz="0" w:space="0" w:color="auto"/>
        <w:right w:val="none" w:sz="0" w:space="0" w:color="auto"/>
      </w:divBdr>
    </w:div>
    <w:div w:id="1940481410">
      <w:bodyDiv w:val="1"/>
      <w:marLeft w:val="0"/>
      <w:marRight w:val="0"/>
      <w:marTop w:val="0"/>
      <w:marBottom w:val="0"/>
      <w:divBdr>
        <w:top w:val="none" w:sz="0" w:space="0" w:color="auto"/>
        <w:left w:val="none" w:sz="0" w:space="0" w:color="auto"/>
        <w:bottom w:val="none" w:sz="0" w:space="0" w:color="auto"/>
        <w:right w:val="none" w:sz="0" w:space="0" w:color="auto"/>
      </w:divBdr>
    </w:div>
    <w:div w:id="2008168421">
      <w:bodyDiv w:val="1"/>
      <w:marLeft w:val="0"/>
      <w:marRight w:val="0"/>
      <w:marTop w:val="0"/>
      <w:marBottom w:val="0"/>
      <w:divBdr>
        <w:top w:val="none" w:sz="0" w:space="0" w:color="auto"/>
        <w:left w:val="none" w:sz="0" w:space="0" w:color="auto"/>
        <w:bottom w:val="none" w:sz="0" w:space="0" w:color="auto"/>
        <w:right w:val="none" w:sz="0" w:space="0" w:color="auto"/>
      </w:divBdr>
    </w:div>
    <w:div w:id="2038651879">
      <w:bodyDiv w:val="1"/>
      <w:marLeft w:val="0"/>
      <w:marRight w:val="0"/>
      <w:marTop w:val="0"/>
      <w:marBottom w:val="0"/>
      <w:divBdr>
        <w:top w:val="none" w:sz="0" w:space="0" w:color="auto"/>
        <w:left w:val="none" w:sz="0" w:space="0" w:color="auto"/>
        <w:bottom w:val="none" w:sz="0" w:space="0" w:color="auto"/>
        <w:right w:val="none" w:sz="0" w:space="0" w:color="auto"/>
      </w:divBdr>
    </w:div>
    <w:div w:id="2053535965">
      <w:bodyDiv w:val="1"/>
      <w:marLeft w:val="0"/>
      <w:marRight w:val="0"/>
      <w:marTop w:val="0"/>
      <w:marBottom w:val="0"/>
      <w:divBdr>
        <w:top w:val="none" w:sz="0" w:space="0" w:color="auto"/>
        <w:left w:val="none" w:sz="0" w:space="0" w:color="auto"/>
        <w:bottom w:val="none" w:sz="0" w:space="0" w:color="auto"/>
        <w:right w:val="none" w:sz="0" w:space="0" w:color="auto"/>
      </w:divBdr>
    </w:div>
    <w:div w:id="21461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moravkova5238\Desktop\ANALYZA%20ZPUSOB%20BYDLEN&#205;\TABULKY%20PRILOHA\bezdom_MS_TP_kraj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ravkova5238\Desktop\ANALYZA%20ZPUSOB%20BYDLEN&#205;\bezdomovci\grafy%20bez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ravkova5238\Desktop\ANALYZA%20ZPUSOB%20BYDLEN&#205;\bezdomovci\grafy%20bez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ravkova5238\Desktop\ANALYZA%20ZPUSOB%20BYDLEN&#205;\TABULKY%20PRILOHA\NARODNOST_MATERJAZ.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ravkova5238\Desktop\ANALYZA%20ZPUSOB%20BYDLEN&#205;\TABULKY%20PRILOHA\NARODNOST_MATERJA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12"/>
  <c:chart>
    <c:autoTitleDeleted val="1"/>
    <c:plotArea>
      <c:layout>
        <c:manualLayout>
          <c:layoutTarget val="inner"/>
          <c:xMode val="edge"/>
          <c:yMode val="edge"/>
          <c:x val="0.26134566477085397"/>
          <c:y val="4.2202186840590919E-2"/>
          <c:w val="0.59857989790400168"/>
          <c:h val="0.86168558011391871"/>
        </c:manualLayout>
      </c:layout>
      <c:barChart>
        <c:barDir val="bar"/>
        <c:grouping val="percentStacked"/>
        <c:ser>
          <c:idx val="0"/>
          <c:order val="0"/>
          <c:tx>
            <c:strRef>
              <c:f>List1!$AK$7</c:f>
              <c:strCache>
                <c:ptCount val="1"/>
                <c:pt idx="0">
                  <c:v>shoda</c:v>
                </c:pt>
              </c:strCache>
            </c:strRef>
          </c:tx>
          <c:cat>
            <c:strRef>
              <c:f>List1!$AJ$8:$AJ$21</c:f>
              <c:strCache>
                <c:ptCount val="14"/>
                <c:pt idx="0">
                  <c:v>Moravskoslezský kraj</c:v>
                </c:pt>
                <c:pt idx="1">
                  <c:v>Zlínský kraj</c:v>
                </c:pt>
                <c:pt idx="2">
                  <c:v>Olomoucký kraj</c:v>
                </c:pt>
                <c:pt idx="3">
                  <c:v>Jihomoravský kraj</c:v>
                </c:pt>
                <c:pt idx="4">
                  <c:v>Kraj Vysočina</c:v>
                </c:pt>
                <c:pt idx="5">
                  <c:v>Pardubický kraj</c:v>
                </c:pt>
                <c:pt idx="6">
                  <c:v>Královéhradecký kraj</c:v>
                </c:pt>
                <c:pt idx="7">
                  <c:v>Liberecký kraj</c:v>
                </c:pt>
                <c:pt idx="8">
                  <c:v>Ústecký kraj</c:v>
                </c:pt>
                <c:pt idx="9">
                  <c:v>Karlovarský kraj</c:v>
                </c:pt>
                <c:pt idx="10">
                  <c:v>Plzeňský kraj</c:v>
                </c:pt>
                <c:pt idx="11">
                  <c:v>Jihočeský kraj</c:v>
                </c:pt>
                <c:pt idx="12">
                  <c:v>Středočeský kraj</c:v>
                </c:pt>
                <c:pt idx="13">
                  <c:v>Hl. město Praha</c:v>
                </c:pt>
              </c:strCache>
            </c:strRef>
          </c:cat>
          <c:val>
            <c:numRef>
              <c:f>List1!$AK$8:$AK$21</c:f>
              <c:numCache>
                <c:formatCode>0.0</c:formatCode>
                <c:ptCount val="14"/>
                <c:pt idx="0">
                  <c:v>95.571095571095569</c:v>
                </c:pt>
                <c:pt idx="1">
                  <c:v>90.356671070013178</c:v>
                </c:pt>
                <c:pt idx="2">
                  <c:v>92.449177153920559</c:v>
                </c:pt>
                <c:pt idx="3">
                  <c:v>92.214532871972324</c:v>
                </c:pt>
                <c:pt idx="4">
                  <c:v>85.558583106267008</c:v>
                </c:pt>
                <c:pt idx="5">
                  <c:v>92.364990689013268</c:v>
                </c:pt>
                <c:pt idx="6">
                  <c:v>85.438972162740725</c:v>
                </c:pt>
                <c:pt idx="7">
                  <c:v>87.022900763358749</c:v>
                </c:pt>
                <c:pt idx="8">
                  <c:v>89.405940594059388</c:v>
                </c:pt>
                <c:pt idx="9">
                  <c:v>91.406250000000128</c:v>
                </c:pt>
                <c:pt idx="10">
                  <c:v>78.529411764705884</c:v>
                </c:pt>
                <c:pt idx="11">
                  <c:v>94.328922495274099</c:v>
                </c:pt>
                <c:pt idx="12">
                  <c:v>88.364779874213838</c:v>
                </c:pt>
                <c:pt idx="13">
                  <c:v>62.679425837320579</c:v>
                </c:pt>
              </c:numCache>
            </c:numRef>
          </c:val>
        </c:ser>
        <c:ser>
          <c:idx val="1"/>
          <c:order val="1"/>
          <c:tx>
            <c:strRef>
              <c:f>List1!$AL$7</c:f>
              <c:strCache>
                <c:ptCount val="1"/>
                <c:pt idx="0">
                  <c:v>neshoda</c:v>
                </c:pt>
              </c:strCache>
            </c:strRef>
          </c:tx>
          <c:cat>
            <c:strRef>
              <c:f>List1!$AJ$8:$AJ$21</c:f>
              <c:strCache>
                <c:ptCount val="14"/>
                <c:pt idx="0">
                  <c:v>Moravskoslezský kraj</c:v>
                </c:pt>
                <c:pt idx="1">
                  <c:v>Zlínský kraj</c:v>
                </c:pt>
                <c:pt idx="2">
                  <c:v>Olomoucký kraj</c:v>
                </c:pt>
                <c:pt idx="3">
                  <c:v>Jihomoravský kraj</c:v>
                </c:pt>
                <c:pt idx="4">
                  <c:v>Kraj Vysočina</c:v>
                </c:pt>
                <c:pt idx="5">
                  <c:v>Pardubický kraj</c:v>
                </c:pt>
                <c:pt idx="6">
                  <c:v>Královéhradecký kraj</c:v>
                </c:pt>
                <c:pt idx="7">
                  <c:v>Liberecký kraj</c:v>
                </c:pt>
                <c:pt idx="8">
                  <c:v>Ústecký kraj</c:v>
                </c:pt>
                <c:pt idx="9">
                  <c:v>Karlovarský kraj</c:v>
                </c:pt>
                <c:pt idx="10">
                  <c:v>Plzeňský kraj</c:v>
                </c:pt>
                <c:pt idx="11">
                  <c:v>Jihočeský kraj</c:v>
                </c:pt>
                <c:pt idx="12">
                  <c:v>Středočeský kraj</c:v>
                </c:pt>
                <c:pt idx="13">
                  <c:v>Hl. město Praha</c:v>
                </c:pt>
              </c:strCache>
            </c:strRef>
          </c:cat>
          <c:val>
            <c:numRef>
              <c:f>List1!$AL$8:$AL$21</c:f>
              <c:numCache>
                <c:formatCode>0.0</c:formatCode>
                <c:ptCount val="14"/>
                <c:pt idx="0">
                  <c:v>4.4289044289044295</c:v>
                </c:pt>
                <c:pt idx="1">
                  <c:v>9.6433289299867919</c:v>
                </c:pt>
                <c:pt idx="2">
                  <c:v>7.5508228460793845</c:v>
                </c:pt>
                <c:pt idx="3">
                  <c:v>7.7854671280276824</c:v>
                </c:pt>
                <c:pt idx="4">
                  <c:v>14.441416893732979</c:v>
                </c:pt>
                <c:pt idx="5">
                  <c:v>7.6350093109869555</c:v>
                </c:pt>
                <c:pt idx="6">
                  <c:v>14.561027837259104</c:v>
                </c:pt>
                <c:pt idx="7">
                  <c:v>12.977099236641257</c:v>
                </c:pt>
                <c:pt idx="8">
                  <c:v>10.594059405940598</c:v>
                </c:pt>
                <c:pt idx="9">
                  <c:v>8.59375</c:v>
                </c:pt>
                <c:pt idx="10">
                  <c:v>21.470588235294116</c:v>
                </c:pt>
                <c:pt idx="11">
                  <c:v>5.6710775047259006</c:v>
                </c:pt>
                <c:pt idx="12">
                  <c:v>11.635220125786148</c:v>
                </c:pt>
                <c:pt idx="13">
                  <c:v>37.320574162679421</c:v>
                </c:pt>
              </c:numCache>
            </c:numRef>
          </c:val>
        </c:ser>
        <c:gapWidth val="50"/>
        <c:overlap val="100"/>
        <c:axId val="94951680"/>
        <c:axId val="95614080"/>
      </c:barChart>
      <c:catAx>
        <c:axId val="94951680"/>
        <c:scaling>
          <c:orientation val="minMax"/>
        </c:scaling>
        <c:axPos val="l"/>
        <c:title>
          <c:tx>
            <c:rich>
              <a:bodyPr rot="-5400000" vert="horz"/>
              <a:lstStyle/>
              <a:p>
                <a:pPr>
                  <a:defRPr/>
                </a:pPr>
                <a:r>
                  <a:rPr lang="en-US" b="0"/>
                  <a:t>Kraj obvyklého</a:t>
                </a:r>
                <a:r>
                  <a:rPr lang="cs-CZ" b="0"/>
                  <a:t> a</a:t>
                </a:r>
                <a:r>
                  <a:rPr lang="en-US" b="0"/>
                  <a:t> trvalého pobytu</a:t>
                </a:r>
              </a:p>
            </c:rich>
          </c:tx>
        </c:title>
        <c:tickLblPos val="nextTo"/>
        <c:crossAx val="95614080"/>
        <c:crosses val="autoZero"/>
        <c:auto val="1"/>
        <c:lblAlgn val="ctr"/>
        <c:lblOffset val="100"/>
      </c:catAx>
      <c:valAx>
        <c:axId val="95614080"/>
        <c:scaling>
          <c:orientation val="minMax"/>
        </c:scaling>
        <c:axPos val="b"/>
        <c:majorGridlines/>
        <c:numFmt formatCode="0%" sourceLinked="1"/>
        <c:tickLblPos val="nextTo"/>
        <c:crossAx val="949516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9.2328587866344639E-2"/>
          <c:y val="9.4235688893318709E-2"/>
          <c:w val="0.61014095460289997"/>
          <c:h val="0.85801071741032375"/>
        </c:manualLayout>
      </c:layout>
      <c:pieChart>
        <c:varyColors val="1"/>
        <c:ser>
          <c:idx val="0"/>
          <c:order val="0"/>
          <c:dPt>
            <c:idx val="0"/>
            <c:explosion val="6"/>
          </c:dPt>
          <c:dPt>
            <c:idx val="1"/>
            <c:spPr>
              <a:solidFill>
                <a:schemeClr val="tx2">
                  <a:lumMod val="20000"/>
                  <a:lumOff val="80000"/>
                </a:schemeClr>
              </a:solidFill>
            </c:spPr>
          </c:dPt>
          <c:dPt>
            <c:idx val="2"/>
            <c:explosion val="3"/>
          </c:dPt>
          <c:dPt>
            <c:idx val="3"/>
            <c:spPr>
              <a:solidFill>
                <a:schemeClr val="accent3">
                  <a:lumMod val="40000"/>
                  <a:lumOff val="60000"/>
                </a:schemeClr>
              </a:solidFill>
            </c:spPr>
          </c:dPt>
          <c:dPt>
            <c:idx val="4"/>
            <c:explosion val="3"/>
            <c:spPr>
              <a:solidFill>
                <a:schemeClr val="accent2">
                  <a:lumMod val="75000"/>
                </a:schemeClr>
              </a:solidFill>
            </c:spPr>
          </c:dPt>
          <c:dPt>
            <c:idx val="5"/>
            <c:explosion val="13"/>
            <c:spPr>
              <a:solidFill>
                <a:schemeClr val="accent2">
                  <a:lumMod val="40000"/>
                  <a:lumOff val="60000"/>
                </a:schemeClr>
              </a:solidFill>
            </c:spPr>
          </c:dPt>
          <c:dLbls>
            <c:dLbl>
              <c:idx val="0"/>
              <c:layout>
                <c:manualLayout>
                  <c:x val="4.9037896050959401E-2"/>
                  <c:y val="1.1575135386557745E-3"/>
                </c:manualLayout>
              </c:layout>
              <c:showPercent val="1"/>
            </c:dLbl>
            <c:dLbl>
              <c:idx val="1"/>
              <c:layout>
                <c:manualLayout>
                  <c:x val="-1.9217782962314897E-2"/>
                  <c:y val="3.2170457859434239E-2"/>
                </c:manualLayout>
              </c:layout>
              <c:showPercent val="1"/>
            </c:dLbl>
            <c:dLbl>
              <c:idx val="2"/>
              <c:layout>
                <c:manualLayout>
                  <c:x val="-3.7514273678753297E-2"/>
                  <c:y val="2.4924905220180808E-2"/>
                </c:manualLayout>
              </c:layout>
              <c:showPercent val="1"/>
            </c:dLbl>
            <c:dLbl>
              <c:idx val="3"/>
              <c:layout>
                <c:manualLayout>
                  <c:x val="4.6419753086419753E-3"/>
                  <c:y val="-2.2287109944590291E-2"/>
                </c:manualLayout>
              </c:layout>
              <c:showPercent val="1"/>
            </c:dLbl>
            <c:dLbl>
              <c:idx val="4"/>
              <c:layout>
                <c:manualLayout>
                  <c:x val="2.9908039272868669E-2"/>
                  <c:y val="-2.5300379119276812E-2"/>
                </c:manualLayout>
              </c:layout>
              <c:showPercent val="1"/>
            </c:dLbl>
            <c:dLbl>
              <c:idx val="5"/>
              <c:layout>
                <c:manualLayout>
                  <c:x val="-4.8445481351868103E-2"/>
                  <c:y val="4.6296296296296502E-3"/>
                </c:manualLayout>
              </c:layout>
              <c:showPercent val="1"/>
            </c:dLbl>
            <c:showPercent val="1"/>
            <c:showLeaderLines val="1"/>
          </c:dLbls>
          <c:cat>
            <c:strRef>
              <c:f>věk!$G$3:$G$8</c:f>
              <c:strCache>
                <c:ptCount val="6"/>
                <c:pt idx="0">
                  <c:v>0-14</c:v>
                </c:pt>
                <c:pt idx="1">
                  <c:v>15-29</c:v>
                </c:pt>
                <c:pt idx="2">
                  <c:v>30-39</c:v>
                </c:pt>
                <c:pt idx="3">
                  <c:v>40-49</c:v>
                </c:pt>
                <c:pt idx="4">
                  <c:v>50-64</c:v>
                </c:pt>
                <c:pt idx="5">
                  <c:v>65 a více</c:v>
                </c:pt>
              </c:strCache>
            </c:strRef>
          </c:cat>
          <c:val>
            <c:numRef>
              <c:f>věk!$H$3:$H$8</c:f>
              <c:numCache>
                <c:formatCode>General</c:formatCode>
                <c:ptCount val="6"/>
                <c:pt idx="0">
                  <c:v>397</c:v>
                </c:pt>
                <c:pt idx="1">
                  <c:v>2428</c:v>
                </c:pt>
                <c:pt idx="2">
                  <c:v>2500</c:v>
                </c:pt>
                <c:pt idx="3">
                  <c:v>2558</c:v>
                </c:pt>
                <c:pt idx="4">
                  <c:v>3111</c:v>
                </c:pt>
                <c:pt idx="5">
                  <c:v>502</c:v>
                </c:pt>
              </c:numCache>
            </c:numRef>
          </c:val>
        </c:ser>
        <c:firstSliceAng val="0"/>
      </c:pieChart>
    </c:plotArea>
    <c:legend>
      <c:legendPos val="r"/>
      <c:layout>
        <c:manualLayout>
          <c:xMode val="edge"/>
          <c:yMode val="edge"/>
          <c:x val="0.79664871520689795"/>
          <c:y val="0.16082704851766946"/>
          <c:w val="0.17267334175820614"/>
          <c:h val="0.73296432882598539"/>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3.2000699912510942E-2"/>
          <c:y val="0.10212962962962972"/>
          <c:w val="0.54204444444444622"/>
          <c:h val="0.84694444444444683"/>
        </c:manualLayout>
      </c:layout>
      <c:pieChart>
        <c:varyColors val="1"/>
        <c:ser>
          <c:idx val="0"/>
          <c:order val="0"/>
          <c:dPt>
            <c:idx val="2"/>
            <c:explosion val="8"/>
          </c:dPt>
          <c:dPt>
            <c:idx val="3"/>
            <c:explosion val="8"/>
          </c:dPt>
          <c:dLbls>
            <c:dLbl>
              <c:idx val="0"/>
              <c:layout>
                <c:manualLayout>
                  <c:x val="-1.9897177801228464E-2"/>
                  <c:y val="-5.5824515148276153E-2"/>
                </c:manualLayout>
              </c:layout>
              <c:showPercent val="1"/>
            </c:dLbl>
            <c:dLbl>
              <c:idx val="1"/>
              <c:layout>
                <c:manualLayout>
                  <c:x val="-2.2846280812836552E-2"/>
                  <c:y val="-4.2540112350209616E-2"/>
                </c:manualLayout>
              </c:layout>
              <c:showPercent val="1"/>
            </c:dLbl>
            <c:dLbl>
              <c:idx val="2"/>
              <c:layout>
                <c:manualLayout>
                  <c:x val="2.7567220764071272E-3"/>
                  <c:y val="2.444225721784779E-2"/>
                </c:manualLayout>
              </c:layout>
              <c:showPercent val="1"/>
            </c:dLbl>
            <c:dLbl>
              <c:idx val="3"/>
              <c:layout>
                <c:manualLayout>
                  <c:x val="-5.98154612116785E-3"/>
                  <c:y val="2.0907115117397672E-3"/>
                </c:manualLayout>
              </c:layout>
              <c:showPercent val="1"/>
            </c:dLbl>
            <c:showPercent val="1"/>
            <c:showLeaderLines val="1"/>
          </c:dLbls>
          <c:cat>
            <c:strRef>
              <c:f>List1!$F$26:$F$29</c:f>
              <c:strCache>
                <c:ptCount val="4"/>
                <c:pt idx="0">
                  <c:v>zákl., neukonč. a bez vzd.</c:v>
                </c:pt>
                <c:pt idx="1">
                  <c:v>střední</c:v>
                </c:pt>
                <c:pt idx="2">
                  <c:v>úplné střední</c:v>
                </c:pt>
                <c:pt idx="3">
                  <c:v>vysokoškolské</c:v>
                </c:pt>
              </c:strCache>
            </c:strRef>
          </c:cat>
          <c:val>
            <c:numRef>
              <c:f>List1!$G$26:$G$29</c:f>
              <c:numCache>
                <c:formatCode>#,##0</c:formatCode>
                <c:ptCount val="4"/>
                <c:pt idx="0">
                  <c:v>3412</c:v>
                </c:pt>
                <c:pt idx="1">
                  <c:v>5239</c:v>
                </c:pt>
                <c:pt idx="2">
                  <c:v>1781</c:v>
                </c:pt>
                <c:pt idx="3" formatCode="General">
                  <c:v>287</c:v>
                </c:pt>
              </c:numCache>
            </c:numRef>
          </c:val>
        </c:ser>
        <c:firstSliceAng val="0"/>
      </c:pieChart>
    </c:plotArea>
    <c:legend>
      <c:legendPos val="r"/>
      <c:layout>
        <c:manualLayout>
          <c:xMode val="edge"/>
          <c:yMode val="edge"/>
          <c:x val="0.61493473315835723"/>
          <c:y val="0.22068678915135609"/>
          <c:w val="0.38210230387868344"/>
          <c:h val="0.60016721891663949"/>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600"/>
              <a:t>Mateřský jazyk</a:t>
            </a:r>
          </a:p>
        </c:rich>
      </c:tx>
      <c:layout>
        <c:manualLayout>
          <c:xMode val="edge"/>
          <c:yMode val="edge"/>
          <c:x val="0.52369907032649154"/>
          <c:y val="8.3799479816154218E-4"/>
        </c:manualLayout>
      </c:layout>
    </c:title>
    <c:plotArea>
      <c:layout>
        <c:manualLayout>
          <c:layoutTarget val="inner"/>
          <c:xMode val="edge"/>
          <c:yMode val="edge"/>
          <c:x val="4.939509426993291E-2"/>
          <c:y val="5.800925925925926E-2"/>
          <c:w val="0.56591105216325721"/>
          <c:h val="0.92157042869641292"/>
        </c:manualLayout>
      </c:layout>
      <c:pieChart>
        <c:varyColors val="1"/>
        <c:ser>
          <c:idx val="0"/>
          <c:order val="0"/>
          <c:explosion val="25"/>
          <c:dPt>
            <c:idx val="0"/>
            <c:explosion val="16"/>
          </c:dPt>
          <c:dPt>
            <c:idx val="1"/>
            <c:explosion val="2"/>
          </c:dPt>
          <c:dPt>
            <c:idx val="2"/>
            <c:explosion val="16"/>
            <c:spPr>
              <a:solidFill>
                <a:srgbClr val="92D050"/>
              </a:solidFill>
            </c:spPr>
          </c:dPt>
          <c:dPt>
            <c:idx val="3"/>
            <c:spPr>
              <a:solidFill>
                <a:srgbClr val="7030A0"/>
              </a:solidFill>
            </c:spPr>
          </c:dPt>
          <c:dPt>
            <c:idx val="4"/>
            <c:explosion val="36"/>
            <c:spPr>
              <a:solidFill>
                <a:schemeClr val="accent6">
                  <a:lumMod val="75000"/>
                </a:schemeClr>
              </a:solidFill>
            </c:spPr>
          </c:dPt>
          <c:dLbls>
            <c:dLbl>
              <c:idx val="0"/>
              <c:layout>
                <c:manualLayout>
                  <c:x val="-1.5538057742782194E-2"/>
                  <c:y val="-1.2835374744823598E-3"/>
                </c:manualLayout>
              </c:layout>
              <c:showPercent val="1"/>
            </c:dLbl>
            <c:dLbl>
              <c:idx val="2"/>
              <c:layout>
                <c:manualLayout>
                  <c:x val="-5.6537335818097499E-3"/>
                  <c:y val="-6.634587343248761E-4"/>
                </c:manualLayout>
              </c:layout>
              <c:showPercent val="1"/>
            </c:dLbl>
            <c:dLbl>
              <c:idx val="3"/>
              <c:layout>
                <c:manualLayout>
                  <c:x val="1.4794867059528007E-2"/>
                  <c:y val="1.2262321376494604E-2"/>
                </c:manualLayout>
              </c:layout>
              <c:showPercent val="1"/>
            </c:dLbl>
            <c:dLbl>
              <c:idx val="4"/>
              <c:layout>
                <c:manualLayout>
                  <c:x val="-3.3945010605017745E-3"/>
                  <c:y val="4.3910032079323424E-2"/>
                </c:manualLayout>
              </c:layout>
              <c:showPercent val="1"/>
            </c:dLbl>
            <c:showPercent val="1"/>
            <c:showLeaderLines val="1"/>
          </c:dLbls>
          <c:cat>
            <c:strRef>
              <c:f>'MATER JAZ'!$E$21:$E$25</c:f>
              <c:strCache>
                <c:ptCount val="5"/>
                <c:pt idx="0">
                  <c:v>ČESKÝ</c:v>
                </c:pt>
                <c:pt idx="1">
                  <c:v>SLOVENSKÝ</c:v>
                </c:pt>
                <c:pt idx="2">
                  <c:v>JINÝ</c:v>
                </c:pt>
                <c:pt idx="3">
                  <c:v>DVOJÍ CELKEM</c:v>
                </c:pt>
                <c:pt idx="4">
                  <c:v>NEZJIŠTĚNO</c:v>
                </c:pt>
              </c:strCache>
            </c:strRef>
          </c:cat>
          <c:val>
            <c:numRef>
              <c:f>'MATER JAZ'!$F$21:$F$25</c:f>
              <c:numCache>
                <c:formatCode>General</c:formatCode>
                <c:ptCount val="5"/>
                <c:pt idx="0">
                  <c:v>10264</c:v>
                </c:pt>
                <c:pt idx="1">
                  <c:v>299</c:v>
                </c:pt>
                <c:pt idx="2">
                  <c:v>189</c:v>
                </c:pt>
                <c:pt idx="3">
                  <c:v>503</c:v>
                </c:pt>
                <c:pt idx="4">
                  <c:v>241</c:v>
                </c:pt>
              </c:numCache>
            </c:numRef>
          </c:val>
        </c:ser>
        <c:firstSliceAng val="320"/>
      </c:pieChart>
    </c:plotArea>
    <c:legend>
      <c:legendPos val="r"/>
      <c:layout>
        <c:manualLayout>
          <c:xMode val="edge"/>
          <c:yMode val="edge"/>
          <c:x val="0.67406104849138893"/>
          <c:y val="0.31200247027945183"/>
          <c:w val="0.32365146307176063"/>
          <c:h val="0.49400078383867291"/>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600" baseline="0"/>
              <a:t>Národnost</a:t>
            </a:r>
            <a:endParaRPr lang="cs-CZ" sz="1600"/>
          </a:p>
        </c:rich>
      </c:tx>
      <c:layout>
        <c:manualLayout>
          <c:xMode val="edge"/>
          <c:yMode val="edge"/>
          <c:x val="0.59928895251729908"/>
          <c:y val="5.4673934988895834E-3"/>
        </c:manualLayout>
      </c:layout>
    </c:title>
    <c:plotArea>
      <c:layout>
        <c:manualLayout>
          <c:layoutTarget val="inner"/>
          <c:xMode val="edge"/>
          <c:yMode val="edge"/>
          <c:x val="0.10693846871912356"/>
          <c:y val="0.13208333333333341"/>
          <c:w val="0.57219351045322564"/>
          <c:h val="0.86027704870224397"/>
        </c:manualLayout>
      </c:layout>
      <c:pieChart>
        <c:varyColors val="1"/>
        <c:ser>
          <c:idx val="0"/>
          <c:order val="0"/>
          <c:explosion val="22"/>
          <c:dPt>
            <c:idx val="0"/>
            <c:explosion val="9"/>
          </c:dPt>
          <c:dPt>
            <c:idx val="1"/>
            <c:explosion val="10"/>
            <c:spPr>
              <a:solidFill>
                <a:schemeClr val="accent5">
                  <a:lumMod val="60000"/>
                  <a:lumOff val="40000"/>
                </a:schemeClr>
              </a:solidFill>
            </c:spPr>
          </c:dPt>
          <c:dPt>
            <c:idx val="2"/>
            <c:spPr>
              <a:solidFill>
                <a:schemeClr val="accent2">
                  <a:lumMod val="75000"/>
                </a:schemeClr>
              </a:solidFill>
            </c:spPr>
          </c:dPt>
          <c:dPt>
            <c:idx val="3"/>
            <c:explosion val="34"/>
            <c:spPr>
              <a:solidFill>
                <a:srgbClr val="92D050"/>
              </a:solidFill>
            </c:spPr>
          </c:dPt>
          <c:dPt>
            <c:idx val="4"/>
            <c:explosion val="49"/>
            <c:spPr>
              <a:solidFill>
                <a:srgbClr val="7030A0"/>
              </a:solidFill>
            </c:spPr>
          </c:dPt>
          <c:dPt>
            <c:idx val="5"/>
            <c:explosion val="7"/>
            <c:spPr>
              <a:solidFill>
                <a:schemeClr val="accent6">
                  <a:lumMod val="75000"/>
                </a:schemeClr>
              </a:solidFill>
            </c:spPr>
          </c:dPt>
          <c:dLbls>
            <c:dLbl>
              <c:idx val="0"/>
              <c:layout>
                <c:manualLayout>
                  <c:x val="-2.1778594072969552E-2"/>
                  <c:y val="4.8567366579177606E-3"/>
                </c:manualLayout>
              </c:layout>
              <c:showPercent val="1"/>
            </c:dLbl>
            <c:dLbl>
              <c:idx val="1"/>
              <c:layout>
                <c:manualLayout>
                  <c:x val="1.203481781867336E-2"/>
                  <c:y val="1.7834645669291337E-2"/>
                </c:manualLayout>
              </c:layout>
              <c:showPercent val="1"/>
            </c:dLbl>
            <c:dLbl>
              <c:idx val="3"/>
              <c:layout>
                <c:manualLayout>
                  <c:x val="-1.6006013105174782E-2"/>
                  <c:y val="-5.5023330417031478E-3"/>
                </c:manualLayout>
              </c:layout>
              <c:showPercent val="1"/>
            </c:dLbl>
            <c:dLbl>
              <c:idx val="5"/>
              <c:layout>
                <c:manualLayout>
                  <c:x val="1.7291314336285342E-2"/>
                  <c:y val="1.7790901137357831E-2"/>
                </c:manualLayout>
              </c:layout>
              <c:showPercent val="1"/>
            </c:dLbl>
            <c:showPercent val="1"/>
            <c:showLeaderLines val="1"/>
          </c:dLbls>
          <c:cat>
            <c:strRef>
              <c:f>NARODNOST!$E$21:$E$26</c:f>
              <c:strCache>
                <c:ptCount val="6"/>
                <c:pt idx="0">
                  <c:v>ČESKÁ</c:v>
                </c:pt>
                <c:pt idx="1">
                  <c:v>MORAVSKÁ</c:v>
                </c:pt>
                <c:pt idx="2">
                  <c:v>SLOVENSKÁ</c:v>
                </c:pt>
                <c:pt idx="3">
                  <c:v>JINÁ</c:v>
                </c:pt>
                <c:pt idx="4">
                  <c:v>DVOJÍ</c:v>
                </c:pt>
                <c:pt idx="5">
                  <c:v>NEUVEDENO</c:v>
                </c:pt>
              </c:strCache>
            </c:strRef>
          </c:cat>
          <c:val>
            <c:numRef>
              <c:f>NARODNOST!$F$21:$F$26</c:f>
              <c:numCache>
                <c:formatCode>General</c:formatCode>
                <c:ptCount val="6"/>
                <c:pt idx="0">
                  <c:v>7685</c:v>
                </c:pt>
                <c:pt idx="1">
                  <c:v>397</c:v>
                </c:pt>
                <c:pt idx="2">
                  <c:v>364</c:v>
                </c:pt>
                <c:pt idx="3">
                  <c:v>215</c:v>
                </c:pt>
                <c:pt idx="4">
                  <c:v>198</c:v>
                </c:pt>
                <c:pt idx="5">
                  <c:v>2637</c:v>
                </c:pt>
              </c:numCache>
            </c:numRef>
          </c:val>
        </c:ser>
        <c:firstSliceAng val="24"/>
      </c:pieChart>
    </c:plotArea>
    <c:legend>
      <c:legendPos val="r"/>
      <c:layout>
        <c:manualLayout>
          <c:xMode val="edge"/>
          <c:yMode val="edge"/>
          <c:x val="0.70812551912023669"/>
          <c:y val="0.28472393439507848"/>
          <c:w val="0.28529917937473032"/>
          <c:h val="0.50230314960629707"/>
        </c:manualLayout>
      </c:layout>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3B5D-FDFB-40C4-975B-7F626E97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1784</Words>
  <Characters>10529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dc:creator>
  <cp:lastModifiedBy>Štěpánka Morávková</cp:lastModifiedBy>
  <cp:revision>5</cp:revision>
  <cp:lastPrinted>2014-04-11T09:15:00Z</cp:lastPrinted>
  <dcterms:created xsi:type="dcterms:W3CDTF">2014-04-15T13:31:00Z</dcterms:created>
  <dcterms:modified xsi:type="dcterms:W3CDTF">2014-04-15T13:33:00Z</dcterms:modified>
</cp:coreProperties>
</file>