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D2" w:rsidRPr="00AA726D" w:rsidRDefault="00B42FD2" w:rsidP="00B42FD2">
      <w:pPr>
        <w:pStyle w:val="Mnadpis1"/>
      </w:pPr>
      <w:bookmarkStart w:id="0" w:name="_Toc385594783"/>
      <w:r w:rsidRPr="00AA726D">
        <w:t>2.  Obyvatelstvo České republiky podle místa narození v roce 2011</w:t>
      </w:r>
      <w:bookmarkEnd w:id="0"/>
    </w:p>
    <w:p w:rsidR="00B42FD2" w:rsidRPr="00AA726D" w:rsidRDefault="00B42FD2" w:rsidP="00B42FD2">
      <w:pPr>
        <w:widowControl w:val="0"/>
        <w:ind w:left="709" w:hanging="709"/>
        <w:rPr>
          <w:rFonts w:ascii="Arial" w:hAnsi="Arial" w:cs="Arial"/>
          <w:b/>
          <w:color w:val="000000"/>
          <w:sz w:val="28"/>
          <w:szCs w:val="28"/>
        </w:rPr>
      </w:pPr>
    </w:p>
    <w:p w:rsidR="00B42FD2" w:rsidRDefault="00B42FD2" w:rsidP="00B42FD2">
      <w:pPr>
        <w:pStyle w:val="Mnadpis2"/>
      </w:pPr>
      <w:bookmarkStart w:id="1" w:name="_Toc385594784"/>
      <w:r w:rsidRPr="00E7518B">
        <w:t>2.1.  Narození v obci bydliště</w:t>
      </w:r>
      <w:bookmarkEnd w:id="1"/>
    </w:p>
    <w:p w:rsidR="00B42FD2" w:rsidRDefault="00B42FD2" w:rsidP="00B42FD2">
      <w:pPr>
        <w:widowControl w:val="0"/>
        <w:rPr>
          <w:rFonts w:ascii="Arial" w:hAnsi="Arial" w:cs="Arial"/>
        </w:rPr>
      </w:pPr>
    </w:p>
    <w:p w:rsidR="00B42FD2" w:rsidRDefault="00B42FD2" w:rsidP="00B42FD2">
      <w:pPr>
        <w:widowControl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Osoby narozené v obci, v níž měly k datu sčítání obvyklé bydliště (rodáci), tvořily při sčítání v roce 2011 téměř polovinu obyvatel České republiky. Při sledování struktury obyvatelstva podle místa narození je zpravidla této skupině osob věnována největší pozornost, </w:t>
      </w:r>
      <w:r w:rsidRPr="00301B22">
        <w:rPr>
          <w:rFonts w:ascii="Arial" w:hAnsi="Arial" w:cs="Arial"/>
        </w:rPr>
        <w:t>neboť je nejenom nejpočetnější (4,9 mil. v roce 2011), ale také představuje významný ukazatel územní stability obyvatelstva, s níž do značné míry souvisí též sociální stabilita a chování obyvatel.</w:t>
      </w:r>
    </w:p>
    <w:p w:rsidR="00B42FD2" w:rsidRDefault="00B42FD2" w:rsidP="00B42FD2">
      <w:pPr>
        <w:widowControl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Podíl osob narozených v obci svého bydliště je v jednotlivých podskupinách populace značně rozdílný. Jak již bylo uvedeno v kap. 1, s přibývajícím věkem osob se zastoupení rodáků v populaci výrazně snižuje a současně platí, že muži obecně zůstávají bydlet v obci svého narození častěji než ženy.</w:t>
      </w:r>
    </w:p>
    <w:p w:rsidR="00B42FD2" w:rsidRDefault="00B42FD2" w:rsidP="00B42FD2">
      <w:pPr>
        <w:widowControl w:val="0"/>
        <w:spacing w:after="60"/>
        <w:jc w:val="both"/>
        <w:rPr>
          <w:rFonts w:ascii="Arial" w:hAnsi="Arial" w:cs="Arial"/>
          <w:b/>
        </w:rPr>
      </w:pPr>
    </w:p>
    <w:p w:rsidR="00B42FD2" w:rsidRDefault="00B42FD2" w:rsidP="00B42FD2">
      <w:pPr>
        <w:widowControl w:val="0"/>
        <w:jc w:val="both"/>
        <w:rPr>
          <w:rFonts w:ascii="Arial" w:hAnsi="Arial" w:cs="Arial"/>
          <w:b/>
        </w:rPr>
      </w:pPr>
      <w:r w:rsidRPr="0018021C">
        <w:rPr>
          <w:rFonts w:ascii="Arial" w:hAnsi="Arial" w:cs="Arial"/>
          <w:b/>
        </w:rPr>
        <w:t>Podíl narozených v obci bydliště k 26. 3. 2011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80"/>
        <w:gridCol w:w="820"/>
        <w:gridCol w:w="820"/>
        <w:gridCol w:w="820"/>
        <w:gridCol w:w="820"/>
        <w:gridCol w:w="820"/>
        <w:gridCol w:w="820"/>
        <w:gridCol w:w="820"/>
        <w:gridCol w:w="886"/>
        <w:gridCol w:w="886"/>
        <w:gridCol w:w="837"/>
      </w:tblGrid>
      <w:tr w:rsidR="00B42FD2" w:rsidRPr="00702E42" w:rsidTr="000F3DF8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D2" w:rsidRPr="00702E42" w:rsidRDefault="00B42FD2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D2" w:rsidRPr="00702E42" w:rsidRDefault="00B42FD2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D2" w:rsidRPr="00702E42" w:rsidRDefault="00B42FD2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D2" w:rsidRPr="00702E42" w:rsidRDefault="00B42FD2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D2" w:rsidRPr="00702E42" w:rsidRDefault="00B42FD2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D2" w:rsidRPr="00702E42" w:rsidRDefault="00B42FD2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D2" w:rsidRPr="00702E42" w:rsidRDefault="00B42FD2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D2" w:rsidRPr="00702E42" w:rsidRDefault="00B42FD2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FD2" w:rsidRPr="00702E42" w:rsidRDefault="00B42FD2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v % z počtu obyvatel</w:t>
            </w:r>
          </w:p>
        </w:tc>
      </w:tr>
      <w:tr w:rsidR="00B42FD2" w:rsidRPr="00702E42" w:rsidTr="000F3DF8">
        <w:trPr>
          <w:trHeight w:val="22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D2" w:rsidRPr="00702E42" w:rsidRDefault="00B42FD2" w:rsidP="000F3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D2" w:rsidRPr="00702E42" w:rsidRDefault="00B42FD2" w:rsidP="000F3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Obyv</w:t>
            </w:r>
            <w:proofErr w:type="spellEnd"/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br/>
              <w:t>celkem</w:t>
            </w:r>
          </w:p>
        </w:tc>
        <w:tc>
          <w:tcPr>
            <w:tcW w:w="75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D2" w:rsidRPr="00702E42" w:rsidRDefault="00B42FD2" w:rsidP="000F3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věková skupina</w:t>
            </w:r>
          </w:p>
        </w:tc>
      </w:tr>
      <w:tr w:rsidR="00B42FD2" w:rsidRPr="00702E42" w:rsidTr="000F3DF8">
        <w:trPr>
          <w:trHeight w:val="22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D2" w:rsidRPr="00702E42" w:rsidRDefault="00B42FD2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D2" w:rsidRPr="00702E42" w:rsidRDefault="00B42FD2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702E42" w:rsidRDefault="00B42FD2" w:rsidP="000F3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0-14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702E42" w:rsidRDefault="00B42FD2" w:rsidP="000F3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15-19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702E42" w:rsidRDefault="00B42FD2" w:rsidP="000F3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20-29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702E42" w:rsidRDefault="00B42FD2" w:rsidP="000F3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30-39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702E42" w:rsidRDefault="00B42FD2" w:rsidP="000F3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40-49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702E42" w:rsidRDefault="00B42FD2" w:rsidP="000F3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50-59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702E42" w:rsidRDefault="00B42FD2" w:rsidP="000F3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60-69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702E42" w:rsidRDefault="00B42FD2" w:rsidP="000F3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70-79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702E42" w:rsidRDefault="00B42FD2" w:rsidP="000F3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80+</w:t>
            </w:r>
          </w:p>
        </w:tc>
      </w:tr>
      <w:tr w:rsidR="00B42FD2" w:rsidRPr="00702E42" w:rsidTr="000F3DF8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702E42" w:rsidRDefault="00B42FD2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702E42" w:rsidRDefault="00B42FD2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47,1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702E42" w:rsidRDefault="00B42FD2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80,6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702E42" w:rsidRDefault="00B42FD2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69,8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702E42" w:rsidRDefault="00B42FD2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54,5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702E42" w:rsidRDefault="00B42FD2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702E42" w:rsidRDefault="00B42FD2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702E42" w:rsidRDefault="00B42FD2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35,6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702E42" w:rsidRDefault="00B42FD2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702E42" w:rsidRDefault="00B42FD2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702E42" w:rsidRDefault="00B42FD2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28,2</w:t>
            </w:r>
          </w:p>
        </w:tc>
      </w:tr>
      <w:tr w:rsidR="00B42FD2" w:rsidRPr="00702E42" w:rsidTr="000F3DF8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702E42" w:rsidRDefault="00B42FD2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Muži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702E42" w:rsidRDefault="00B42FD2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702E42" w:rsidRDefault="00B42FD2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80,7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702E42" w:rsidRDefault="00B42FD2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70,1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702E42" w:rsidRDefault="00B42FD2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702E42" w:rsidRDefault="00B42FD2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45,8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702E42" w:rsidRDefault="00B42FD2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702E42" w:rsidRDefault="00B42FD2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702E42" w:rsidRDefault="00B42FD2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702E42" w:rsidRDefault="00B42FD2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702E42" w:rsidRDefault="00B42FD2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29,8</w:t>
            </w:r>
          </w:p>
        </w:tc>
      </w:tr>
      <w:tr w:rsidR="00B42FD2" w:rsidRPr="00702E42" w:rsidTr="000F3DF8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702E42" w:rsidRDefault="00B42FD2" w:rsidP="000F3D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Ženy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702E42" w:rsidRDefault="00B42FD2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702E42" w:rsidRDefault="00B42FD2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80,6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702E42" w:rsidRDefault="00B42FD2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69,4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702E42" w:rsidRDefault="00B42FD2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702E42" w:rsidRDefault="00B42FD2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40,7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702E42" w:rsidRDefault="00B42FD2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36,1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702E42" w:rsidRDefault="00B42FD2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702E42" w:rsidRDefault="00B42FD2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702E42" w:rsidRDefault="00B42FD2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702E42" w:rsidRDefault="00B42FD2" w:rsidP="000F3D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E42">
              <w:rPr>
                <w:rFonts w:ascii="Arial" w:hAnsi="Arial" w:cs="Arial"/>
                <w:color w:val="000000"/>
                <w:sz w:val="16"/>
                <w:szCs w:val="16"/>
              </w:rPr>
              <w:t>27,4</w:t>
            </w:r>
          </w:p>
        </w:tc>
      </w:tr>
    </w:tbl>
    <w:p w:rsidR="00B42FD2" w:rsidRDefault="00B42FD2" w:rsidP="00B42FD2">
      <w:pPr>
        <w:widowControl w:val="0"/>
        <w:spacing w:after="60"/>
        <w:jc w:val="both"/>
        <w:rPr>
          <w:rFonts w:ascii="Arial" w:hAnsi="Arial" w:cs="Arial"/>
          <w:b/>
        </w:rPr>
      </w:pPr>
    </w:p>
    <w:p w:rsidR="00B42FD2" w:rsidRPr="007E47C5" w:rsidRDefault="00B42FD2" w:rsidP="00B42FD2">
      <w:pPr>
        <w:widowControl w:val="0"/>
        <w:spacing w:after="120"/>
        <w:jc w:val="both"/>
        <w:rPr>
          <w:rFonts w:ascii="Arial" w:hAnsi="Arial" w:cs="Arial"/>
        </w:rPr>
      </w:pPr>
      <w:r w:rsidRPr="007E47C5">
        <w:rPr>
          <w:rFonts w:ascii="Arial" w:hAnsi="Arial" w:cs="Arial"/>
        </w:rPr>
        <w:t>Vliv na zastoupení rodáků mezi obyvateli obce má přirozeně i její velikost; ve velkých městech i přestěhování do značně vzdálených lokalit zůstává stále stěhováním v rámci obce. V nejmenších obcích se podíl rodáků pohybuje kolem 43 – 44 %, s velikostí obce vzrůstá a ve městech s více než 50 tisíci obyvateli tvoří rodáci více než polovinu obyvatelstva.</w:t>
      </w:r>
    </w:p>
    <w:p w:rsidR="00B42FD2" w:rsidRPr="007E47C5" w:rsidRDefault="00B42FD2" w:rsidP="00B42FD2">
      <w:pPr>
        <w:widowControl w:val="0"/>
        <w:spacing w:after="120"/>
        <w:jc w:val="both"/>
        <w:rPr>
          <w:rFonts w:ascii="Arial" w:hAnsi="Arial" w:cs="Arial"/>
        </w:rPr>
      </w:pPr>
      <w:r w:rsidRPr="007E47C5">
        <w:rPr>
          <w:rFonts w:ascii="Arial" w:hAnsi="Arial" w:cs="Arial"/>
        </w:rPr>
        <w:t>Nejvíce zřetelný je tento vliv v případech, kdy je celý okres, resp. správní obvod obce s rozšířenou působností tvořen zcela nebo převážně jedním velkým městem. Díky tomu mají Praha, Plzeň a Brno značně vyšší podíl rodáků než většina okolního území; o Ostravě to, vzhledem k sousedícímu regionu Opavska, platí jen v omezené míře. Ve všech případech je toto město obcí rodiště pro více než polovinu jeho obyvatel.</w:t>
      </w:r>
    </w:p>
    <w:p w:rsidR="00B42FD2" w:rsidRDefault="00B42FD2" w:rsidP="00B42FD2">
      <w:pPr>
        <w:widowControl w:val="0"/>
        <w:spacing w:after="120"/>
        <w:jc w:val="both"/>
        <w:rPr>
          <w:rFonts w:ascii="Arial" w:hAnsi="Arial" w:cs="Arial"/>
        </w:rPr>
      </w:pPr>
    </w:p>
    <w:p w:rsidR="00B42FD2" w:rsidRDefault="00B42FD2" w:rsidP="00B42FD2">
      <w:pPr>
        <w:widowControl w:val="0"/>
        <w:spacing w:after="120"/>
        <w:jc w:val="both"/>
        <w:rPr>
          <w:rFonts w:ascii="Arial" w:hAnsi="Arial" w:cs="Arial"/>
          <w:b/>
        </w:rPr>
      </w:pPr>
      <w:r w:rsidRPr="00E562C8">
        <w:rPr>
          <w:rFonts w:ascii="Arial" w:hAnsi="Arial" w:cs="Arial"/>
          <w:b/>
        </w:rPr>
        <w:t>Narození v obci bydliště podle velikostních skupin obcí k 26. 3. 2011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20"/>
        <w:gridCol w:w="760"/>
        <w:gridCol w:w="960"/>
        <w:gridCol w:w="960"/>
        <w:gridCol w:w="960"/>
      </w:tblGrid>
      <w:tr w:rsidR="00B42FD2" w:rsidRPr="00E562C8" w:rsidTr="000F3DF8">
        <w:trPr>
          <w:trHeight w:val="225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D2" w:rsidRPr="00E562C8" w:rsidRDefault="00B42FD2" w:rsidP="000F3DF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D2" w:rsidRPr="00E562C8" w:rsidRDefault="00B42FD2" w:rsidP="000F3DF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Počet obcí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D2" w:rsidRPr="00E562C8" w:rsidRDefault="00B42FD2" w:rsidP="000F3DF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Počet obyvatel celkem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Narození v obci bydliště</w:t>
            </w:r>
          </w:p>
        </w:tc>
      </w:tr>
      <w:tr w:rsidR="00B42FD2" w:rsidRPr="00E562C8" w:rsidTr="000F3DF8">
        <w:trPr>
          <w:trHeight w:val="48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D2" w:rsidRPr="00E562C8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D2" w:rsidRPr="00E562C8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D2" w:rsidRPr="00E562C8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D2" w:rsidRPr="00E562C8" w:rsidRDefault="00B42FD2" w:rsidP="000F3DF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abs</w:t>
            </w:r>
            <w:proofErr w:type="spellEnd"/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D2" w:rsidRPr="00E562C8" w:rsidRDefault="00B42FD2" w:rsidP="000F3DF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v % z počtu obyvatel</w:t>
            </w:r>
          </w:p>
        </w:tc>
      </w:tr>
      <w:tr w:rsidR="00B42FD2" w:rsidRPr="00E562C8" w:rsidTr="000F3DF8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ČR celkem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6 251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10 436 560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4 912 225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47,1</w:t>
            </w:r>
          </w:p>
        </w:tc>
      </w:tr>
      <w:tr w:rsidR="00B42FD2" w:rsidRPr="00E562C8" w:rsidTr="000F3DF8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FD2" w:rsidRPr="00E562C8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velikostní skupina obce: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2FD2" w:rsidRPr="00E562C8" w:rsidTr="000F3DF8">
        <w:trPr>
          <w:trHeight w:val="225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do 199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1 531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190 509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83 392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43,8</w:t>
            </w:r>
          </w:p>
        </w:tc>
      </w:tr>
      <w:tr w:rsidR="00B42FD2" w:rsidRPr="00E562C8" w:rsidTr="000F3DF8">
        <w:trPr>
          <w:trHeight w:val="225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200 - 499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1 997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653 356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283 517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43,4</w:t>
            </w:r>
          </w:p>
        </w:tc>
      </w:tr>
      <w:tr w:rsidR="00B42FD2" w:rsidRPr="00E562C8" w:rsidTr="000F3DF8">
        <w:trPr>
          <w:trHeight w:val="225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500 - 999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1 336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940 142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415 248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44,2</w:t>
            </w:r>
          </w:p>
        </w:tc>
      </w:tr>
      <w:tr w:rsidR="00B42FD2" w:rsidRPr="00E562C8" w:rsidTr="000F3DF8">
        <w:trPr>
          <w:trHeight w:val="225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1 000 -1 999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1 002 103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446 222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44,5</w:t>
            </w:r>
          </w:p>
        </w:tc>
      </w:tr>
      <w:tr w:rsidR="00B42FD2" w:rsidRPr="00E562C8" w:rsidTr="000F3DF8">
        <w:trPr>
          <w:trHeight w:val="225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2 000 - 4 999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1 228 315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547 572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44,6</w:t>
            </w:r>
          </w:p>
        </w:tc>
      </w:tr>
      <w:tr w:rsidR="00B42FD2" w:rsidRPr="00E562C8" w:rsidTr="000F3DF8">
        <w:trPr>
          <w:trHeight w:val="225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5 000 - 9 999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933 230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428 408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45,9</w:t>
            </w:r>
          </w:p>
        </w:tc>
      </w:tr>
      <w:tr w:rsidR="00B42FD2" w:rsidRPr="00E562C8" w:rsidTr="000F3DF8">
        <w:trPr>
          <w:trHeight w:val="225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10 000 - 19 999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956 108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427 921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B42FD2" w:rsidRPr="00E562C8" w:rsidTr="000F3DF8">
        <w:trPr>
          <w:trHeight w:val="225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20 000 - 49 999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1 329 002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632 130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47,6</w:t>
            </w:r>
          </w:p>
        </w:tc>
      </w:tr>
      <w:tr w:rsidR="00B42FD2" w:rsidRPr="00E562C8" w:rsidTr="000F3DF8">
        <w:trPr>
          <w:trHeight w:val="225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50 000 - 99 999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878 783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442 504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</w:tr>
      <w:tr w:rsidR="00B42FD2" w:rsidRPr="00E562C8" w:rsidTr="000F3DF8">
        <w:trPr>
          <w:trHeight w:val="2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100 000 a více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2 325 012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1 205 311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E562C8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2C8">
              <w:rPr>
                <w:rFonts w:ascii="Arial" w:hAnsi="Arial" w:cs="Arial"/>
                <w:color w:val="000000"/>
                <w:sz w:val="16"/>
                <w:szCs w:val="16"/>
              </w:rPr>
              <w:t>51,8</w:t>
            </w:r>
          </w:p>
        </w:tc>
      </w:tr>
    </w:tbl>
    <w:p w:rsidR="00B42FD2" w:rsidRDefault="00B42FD2" w:rsidP="00B42FD2">
      <w:pPr>
        <w:widowControl w:val="0"/>
        <w:spacing w:after="120"/>
        <w:ind w:firstLine="709"/>
        <w:jc w:val="both"/>
        <w:rPr>
          <w:rFonts w:ascii="Arial" w:hAnsi="Arial" w:cs="Arial"/>
          <w:highlight w:val="yellow"/>
        </w:rPr>
      </w:pPr>
    </w:p>
    <w:p w:rsidR="00B42FD2" w:rsidRDefault="00B42FD2" w:rsidP="00B42FD2">
      <w:pPr>
        <w:widowControl w:val="0"/>
        <w:spacing w:after="120"/>
        <w:jc w:val="both"/>
        <w:rPr>
          <w:rFonts w:ascii="Arial" w:hAnsi="Arial" w:cs="Arial"/>
        </w:rPr>
      </w:pPr>
      <w:r w:rsidRPr="00646675">
        <w:rPr>
          <w:rFonts w:ascii="Arial" w:hAnsi="Arial" w:cs="Arial"/>
        </w:rPr>
        <w:t>Mnohem výraznější než mezi velikostními skupinami obcí jsou ovšem rozdíly mezi jednotlivými regiony. V moravských krajích (s výjimkou Olomouckého) a v Praze představují osoby narozené v obci bydl</w:t>
      </w:r>
      <w:r>
        <w:rPr>
          <w:rFonts w:ascii="Arial" w:hAnsi="Arial" w:cs="Arial"/>
        </w:rPr>
        <w:t>iště více než polovinu obyvatel, nejvyšší podíl rodáků má Zlínský kraj – 53,0 %.</w:t>
      </w:r>
      <w:r w:rsidRPr="00646675">
        <w:rPr>
          <w:rFonts w:ascii="Arial" w:hAnsi="Arial" w:cs="Arial"/>
        </w:rPr>
        <w:t xml:space="preserve"> Oproti tomu ve většině českých krajů nepřesahuje podíl rodáků 45 %; vůbec nejnižší je v Karlovarském a Středočeském kraji, kde nedos</w:t>
      </w:r>
      <w:r>
        <w:rPr>
          <w:rFonts w:ascii="Arial" w:hAnsi="Arial" w:cs="Arial"/>
        </w:rPr>
        <w:t>ahuje ani 40 %.</w:t>
      </w:r>
    </w:p>
    <w:p w:rsidR="00B42FD2" w:rsidRPr="00646675" w:rsidRDefault="00B42FD2" w:rsidP="00B42FD2">
      <w:pPr>
        <w:widowControl w:val="0"/>
        <w:spacing w:after="120"/>
        <w:jc w:val="both"/>
        <w:rPr>
          <w:rFonts w:ascii="Arial" w:hAnsi="Arial" w:cs="Arial"/>
        </w:rPr>
      </w:pPr>
    </w:p>
    <w:p w:rsidR="00B42FD2" w:rsidRDefault="00B42FD2" w:rsidP="00B42FD2">
      <w:pPr>
        <w:widowControl w:val="0"/>
        <w:spacing w:after="120"/>
        <w:jc w:val="both"/>
        <w:rPr>
          <w:rFonts w:ascii="Arial" w:hAnsi="Arial" w:cs="Arial"/>
          <w:highlight w:val="yellow"/>
        </w:rPr>
      </w:pPr>
      <w:r w:rsidRPr="00356256">
        <w:rPr>
          <w:rFonts w:ascii="Arial" w:hAnsi="Arial" w:cs="Arial"/>
          <w:noProof/>
        </w:rPr>
        <w:lastRenderedPageBreak/>
        <w:drawing>
          <wp:inline distT="0" distB="0" distL="0" distR="0">
            <wp:extent cx="5760720" cy="3732430"/>
            <wp:effectExtent l="19050" t="0" r="11430" b="1370"/>
            <wp:docPr id="8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42FD2" w:rsidRPr="001E78C4" w:rsidRDefault="00B42FD2" w:rsidP="00B42FD2">
      <w:pPr>
        <w:widowControl w:val="0"/>
        <w:spacing w:after="120"/>
        <w:jc w:val="both"/>
        <w:rPr>
          <w:rFonts w:ascii="Arial" w:hAnsi="Arial" w:cs="Arial"/>
        </w:rPr>
      </w:pPr>
    </w:p>
    <w:p w:rsidR="00B42FD2" w:rsidRDefault="00B42FD2" w:rsidP="00B42FD2">
      <w:pPr>
        <w:widowControl w:val="0"/>
        <w:spacing w:after="120"/>
        <w:jc w:val="both"/>
        <w:rPr>
          <w:rFonts w:ascii="Arial" w:hAnsi="Arial" w:cs="Arial"/>
        </w:rPr>
      </w:pPr>
      <w:r w:rsidRPr="00F230CD">
        <w:rPr>
          <w:rFonts w:ascii="Arial" w:hAnsi="Arial" w:cs="Arial"/>
        </w:rPr>
        <w:t xml:space="preserve">Regionální rozdíly zastoupení rodáků v populaci zůstávají do značné míry podobné, jako byly zachyceny v předchozích dvou sčítáních. Potvrzuje se i nadále, že obyvatelstvo na Moravě a ve Slezsku je z hlediska dlouhodobých migračních pohybů významně stabilnější než obyvatelstvo v Čechách; směrem od východní, resp. jihovýchodní části České republiky k západu či severozápadu podíl rodáků klesá. Stejně tak jsou, především při sledování nižších územních jednotek, stále patrné vlivy větších migračních přesunů v minulosti, zejména poválečný odsun původního německého obyvatelstva s následným osídlováním pohraničí a rozsáhlé stěhování za prací do oblastí těžby uhlí a těžkého průmyslu. </w:t>
      </w:r>
    </w:p>
    <w:p w:rsidR="00B42FD2" w:rsidRDefault="00B42FD2" w:rsidP="00B42FD2">
      <w:pPr>
        <w:widowControl w:val="0"/>
        <w:spacing w:after="120"/>
        <w:jc w:val="both"/>
        <w:rPr>
          <w:rFonts w:ascii="Arial" w:hAnsi="Arial" w:cs="Arial"/>
        </w:rPr>
      </w:pPr>
    </w:p>
    <w:p w:rsidR="00B42FD2" w:rsidRPr="009B1E74" w:rsidRDefault="00B42FD2" w:rsidP="00B42FD2">
      <w:pPr>
        <w:widowControl w:val="0"/>
        <w:spacing w:after="60"/>
        <w:jc w:val="both"/>
        <w:rPr>
          <w:rFonts w:ascii="Arial" w:hAnsi="Arial" w:cs="Arial"/>
          <w:b/>
        </w:rPr>
      </w:pPr>
      <w:r w:rsidRPr="009B1E74">
        <w:rPr>
          <w:rFonts w:ascii="Arial" w:hAnsi="Arial" w:cs="Arial"/>
          <w:b/>
        </w:rPr>
        <w:t>SO ORP s nejvyšším a nejnižším podílem narozených v obci bydliště k 26. 3. 2011</w:t>
      </w:r>
    </w:p>
    <w:tbl>
      <w:tblPr>
        <w:tblW w:w="64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080"/>
        <w:gridCol w:w="860"/>
        <w:gridCol w:w="540"/>
        <w:gridCol w:w="2080"/>
        <w:gridCol w:w="860"/>
      </w:tblGrid>
      <w:tr w:rsidR="00B42FD2" w:rsidRPr="009B1E74" w:rsidTr="000F3DF8">
        <w:trPr>
          <w:trHeight w:val="3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9B1E74" w:rsidRDefault="00B42FD2" w:rsidP="000F3DF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Nejvyšší hodnoty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D2" w:rsidRPr="009B1E74" w:rsidRDefault="00B42FD2" w:rsidP="000F3DF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Nejnižší hodnoty</w:t>
            </w:r>
          </w:p>
        </w:tc>
      </w:tr>
      <w:tr w:rsidR="00B42FD2" w:rsidRPr="009B1E74" w:rsidTr="000F3DF8">
        <w:trPr>
          <w:trHeight w:val="70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D2" w:rsidRPr="009B1E74" w:rsidRDefault="00B42FD2" w:rsidP="000F3DF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SO ORP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D2" w:rsidRPr="009B1E74" w:rsidRDefault="00B42FD2" w:rsidP="000F3DF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podíl v % z počtu obyvatel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D2" w:rsidRPr="009B1E74" w:rsidRDefault="00B42FD2" w:rsidP="000F3DF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SO ORP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D2" w:rsidRPr="009B1E74" w:rsidRDefault="00B42FD2" w:rsidP="000F3DF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podíl v % z počtu obyvatel</w:t>
            </w:r>
          </w:p>
        </w:tc>
      </w:tr>
      <w:tr w:rsidR="00B42FD2" w:rsidRPr="009B1E74" w:rsidTr="000F3DF8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Kravaře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Černošice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30,1</w:t>
            </w:r>
          </w:p>
        </w:tc>
      </w:tr>
      <w:tr w:rsidR="00B42FD2" w:rsidRPr="009B1E74" w:rsidTr="000F3DF8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Uherský Brod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Říčany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32,1</w:t>
            </w:r>
          </w:p>
        </w:tc>
      </w:tr>
      <w:tr w:rsidR="00B42FD2" w:rsidRPr="009B1E74" w:rsidTr="000F3DF8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Valašské Klobouky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60,4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Lysá nad Labem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33,5</w:t>
            </w:r>
          </w:p>
        </w:tc>
      </w:tr>
      <w:tr w:rsidR="00B42FD2" w:rsidRPr="009B1E74" w:rsidTr="000F3DF8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Jablunkov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59,2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Brandýs n. L. - S. Boleslav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33,5</w:t>
            </w:r>
          </w:p>
        </w:tc>
      </w:tr>
      <w:tr w:rsidR="00B42FD2" w:rsidRPr="009B1E74" w:rsidTr="000F3DF8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Veselí nad Moravou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58,9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Mariánské Lázně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35,9</w:t>
            </w:r>
          </w:p>
        </w:tc>
      </w:tr>
      <w:tr w:rsidR="00B42FD2" w:rsidRPr="009B1E74" w:rsidTr="000F3DF8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Třinec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56,9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Ostrov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42FD2" w:rsidRPr="009B1E74" w:rsidTr="000F3DF8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Vsetín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56,6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Podbořany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36,6</w:t>
            </w:r>
          </w:p>
        </w:tc>
      </w:tr>
      <w:tr w:rsidR="00B42FD2" w:rsidRPr="009B1E74" w:rsidTr="000F3DF8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Nové Město na Moravě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56,2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Česká Lípa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37,1</w:t>
            </w:r>
          </w:p>
        </w:tc>
      </w:tr>
      <w:tr w:rsidR="00B42FD2" w:rsidRPr="009B1E74" w:rsidTr="000F3DF8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Hustopeče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55,9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Sokolov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37,1</w:t>
            </w:r>
          </w:p>
        </w:tc>
      </w:tr>
      <w:tr w:rsidR="00B42FD2" w:rsidRPr="009B1E74" w:rsidTr="000F3DF8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Kyjov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55,5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Tachov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D2" w:rsidRPr="009B1E74" w:rsidRDefault="00B42FD2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74"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</w:tr>
    </w:tbl>
    <w:p w:rsidR="00B42FD2" w:rsidRPr="00F230CD" w:rsidRDefault="00B42FD2" w:rsidP="00B42FD2">
      <w:pPr>
        <w:widowControl w:val="0"/>
        <w:spacing w:after="120"/>
        <w:jc w:val="both"/>
        <w:rPr>
          <w:rFonts w:ascii="Arial" w:hAnsi="Arial" w:cs="Arial"/>
        </w:rPr>
      </w:pPr>
    </w:p>
    <w:p w:rsidR="00B42FD2" w:rsidRDefault="00B42FD2" w:rsidP="00B42FD2">
      <w:pPr>
        <w:widowControl w:val="0"/>
        <w:spacing w:after="120"/>
        <w:jc w:val="both"/>
        <w:rPr>
          <w:rFonts w:ascii="Arial" w:hAnsi="Arial" w:cs="Arial"/>
        </w:rPr>
      </w:pPr>
      <w:r w:rsidRPr="008F00E9">
        <w:rPr>
          <w:rFonts w:ascii="Arial" w:hAnsi="Arial" w:cs="Arial"/>
        </w:rPr>
        <w:t xml:space="preserve">Nejvyšších podílů rodáků mezi obyvatelstvem – dle sčítání 2011 více než 55 % - dosahují oblasti jihovýchodní Moravy při hranicích se Slovenskem, Vsetínsko, Valašsko, Opavsko, ale také nejvýchodnější cíp republiky </w:t>
      </w:r>
      <w:r>
        <w:rPr>
          <w:rFonts w:ascii="Arial" w:hAnsi="Arial" w:cs="Arial"/>
        </w:rPr>
        <w:t>(</w:t>
      </w:r>
      <w:proofErr w:type="spellStart"/>
      <w:r w:rsidRPr="008F00E9">
        <w:rPr>
          <w:rFonts w:ascii="Arial" w:hAnsi="Arial" w:cs="Arial"/>
        </w:rPr>
        <w:t>Jablunkovsko</w:t>
      </w:r>
      <w:proofErr w:type="spellEnd"/>
      <w:r w:rsidRPr="008F00E9">
        <w:rPr>
          <w:rFonts w:ascii="Arial" w:hAnsi="Arial" w:cs="Arial"/>
        </w:rPr>
        <w:t>-</w:t>
      </w:r>
      <w:proofErr w:type="spellStart"/>
      <w:r w:rsidRPr="008F00E9">
        <w:rPr>
          <w:rFonts w:ascii="Arial" w:hAnsi="Arial" w:cs="Arial"/>
        </w:rPr>
        <w:t>Třinecko</w:t>
      </w:r>
      <w:proofErr w:type="spellEnd"/>
      <w:r>
        <w:rPr>
          <w:rFonts w:ascii="Arial" w:hAnsi="Arial" w:cs="Arial"/>
        </w:rPr>
        <w:t>)</w:t>
      </w:r>
      <w:r w:rsidRPr="008F00E9">
        <w:rPr>
          <w:rFonts w:ascii="Arial" w:hAnsi="Arial" w:cs="Arial"/>
        </w:rPr>
        <w:t xml:space="preserve"> a část Vysočiny (Nové Město na Moravě). Pouze ve třech správních obvodech obcí s rozšířenou působností (SO ORP) překročil podíl rodáků třípětinovou hran</w:t>
      </w:r>
      <w:r>
        <w:rPr>
          <w:rFonts w:ascii="Arial" w:hAnsi="Arial" w:cs="Arial"/>
        </w:rPr>
        <w:t xml:space="preserve">ici - </w:t>
      </w:r>
      <w:proofErr w:type="spellStart"/>
      <w:r>
        <w:rPr>
          <w:rFonts w:ascii="Arial" w:hAnsi="Arial" w:cs="Arial"/>
        </w:rPr>
        <w:t>Kravaře</w:t>
      </w:r>
      <w:proofErr w:type="spellEnd"/>
      <w:r w:rsidRPr="008F00E9">
        <w:rPr>
          <w:rFonts w:ascii="Arial" w:hAnsi="Arial" w:cs="Arial"/>
        </w:rPr>
        <w:t xml:space="preserve">, Uherský Brod </w:t>
      </w:r>
      <w:r>
        <w:rPr>
          <w:rFonts w:ascii="Arial" w:hAnsi="Arial" w:cs="Arial"/>
        </w:rPr>
        <w:t>a Valašské Klobouky</w:t>
      </w:r>
      <w:r w:rsidRPr="008F00E9">
        <w:rPr>
          <w:rFonts w:ascii="Arial" w:hAnsi="Arial" w:cs="Arial"/>
        </w:rPr>
        <w:t xml:space="preserve">. Většina </w:t>
      </w:r>
      <w:proofErr w:type="spellStart"/>
      <w:r w:rsidRPr="008F00E9">
        <w:rPr>
          <w:rFonts w:ascii="Arial" w:hAnsi="Arial" w:cs="Arial"/>
        </w:rPr>
        <w:t>mikroregionů</w:t>
      </w:r>
      <w:proofErr w:type="spellEnd"/>
      <w:r w:rsidRPr="008F00E9">
        <w:rPr>
          <w:rFonts w:ascii="Arial" w:hAnsi="Arial" w:cs="Arial"/>
        </w:rPr>
        <w:t xml:space="preserve"> na Moravě vůbec má podíl rodáků nadprůměrný, asi u dvou třetin se zastoupení rodáků pohybuje kolem 50 % obyvatelstva nebo výše. </w:t>
      </w: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mikroregionů</w:t>
      </w:r>
      <w:proofErr w:type="spellEnd"/>
      <w:r>
        <w:rPr>
          <w:rFonts w:ascii="Arial" w:hAnsi="Arial" w:cs="Arial"/>
        </w:rPr>
        <w:t xml:space="preserve"> s nejvíce stabilním obyvatelstvem je zpravidla nadprůměrný podíl rodáků v celém věkovém spektru. V těchto případech není výjimkou, že i ve věkových kategoriích nad 70 let tvoří rodáci více než dvě pětiny populace.</w:t>
      </w:r>
    </w:p>
    <w:p w:rsidR="00B42FD2" w:rsidRPr="008F00E9" w:rsidRDefault="00B42FD2" w:rsidP="00B42FD2">
      <w:pPr>
        <w:widowControl w:val="0"/>
        <w:spacing w:after="120"/>
        <w:jc w:val="both"/>
        <w:rPr>
          <w:rFonts w:ascii="Arial" w:hAnsi="Arial" w:cs="Arial"/>
        </w:rPr>
      </w:pPr>
      <w:r w:rsidRPr="008F00E9">
        <w:rPr>
          <w:rFonts w:ascii="Arial" w:hAnsi="Arial" w:cs="Arial"/>
        </w:rPr>
        <w:lastRenderedPageBreak/>
        <w:t xml:space="preserve">V Čechách se podobným hodnotám přibližuje jen několik málo </w:t>
      </w:r>
      <w:proofErr w:type="spellStart"/>
      <w:r w:rsidRPr="008F00E9">
        <w:rPr>
          <w:rFonts w:ascii="Arial" w:hAnsi="Arial" w:cs="Arial"/>
        </w:rPr>
        <w:t>mikroregionů</w:t>
      </w:r>
      <w:proofErr w:type="spellEnd"/>
      <w:r w:rsidRPr="008F00E9">
        <w:rPr>
          <w:rFonts w:ascii="Arial" w:hAnsi="Arial" w:cs="Arial"/>
        </w:rPr>
        <w:t xml:space="preserve">, převážně ve východních Čechách nebo na pomezí s Vysočinou. Maxima v české části republiky představují údaje za SO ORP Hlinsko </w:t>
      </w:r>
      <w:r>
        <w:rPr>
          <w:rFonts w:ascii="Arial" w:hAnsi="Arial" w:cs="Arial"/>
        </w:rPr>
        <w:t xml:space="preserve">- </w:t>
      </w:r>
      <w:r w:rsidRPr="008F00E9">
        <w:rPr>
          <w:rFonts w:ascii="Arial" w:hAnsi="Arial" w:cs="Arial"/>
        </w:rPr>
        <w:t>54,2 % rodáků, Česká Třebová 53,9 % a Polička 52,6 %.</w:t>
      </w:r>
    </w:p>
    <w:p w:rsidR="00B42FD2" w:rsidRPr="00F109AE" w:rsidRDefault="00B42FD2" w:rsidP="00B42FD2">
      <w:pPr>
        <w:widowControl w:val="0"/>
        <w:spacing w:after="120"/>
        <w:jc w:val="both"/>
        <w:rPr>
          <w:rFonts w:ascii="Arial" w:hAnsi="Arial" w:cs="Arial"/>
        </w:rPr>
      </w:pPr>
      <w:r w:rsidRPr="00F109AE">
        <w:rPr>
          <w:rFonts w:ascii="Arial" w:hAnsi="Arial" w:cs="Arial"/>
        </w:rPr>
        <w:t>Tradičně nízký podíl rodáků je ve většině příhraničních regionů západních a severních Čech – především Tachovsko, většina Karlovarského kraje, Žatecko, Chomutovsko, Litoměřicko a Českolipsko. Zde rodáci představují obvykle jen 35-40 % celé populace a výrazně nízké je jejich zastoupení především v nejstarších věkových kategoriích, což souvisí se zmíněnými většími migračními pohyby v minulosti. Jestliže podíl rodáků v celé populaci ČR se snižuje s věkem poměrně plynule a u osob ve věku nad 70 let setrvává na hodnotách kolem 28 – 29 %, pro tyto dosídlené oblasti je typický prudký pokles počtu a podílu rodáků po 60. a především pak po 70. roce věku. Hodnoty ve věkových skupinách 70-79 a 80+ jsou ve srovnání s celorepublikovým průměrem maximálně poloviční (do 15 %), v mnohých pohraničních regionech podíl rodáků zůstává dokonce pouze v jednociferných číslech.</w:t>
      </w:r>
    </w:p>
    <w:p w:rsidR="00B42FD2" w:rsidRDefault="00B42FD2" w:rsidP="00B42FD2">
      <w:pPr>
        <w:widowControl w:val="0"/>
        <w:spacing w:after="120"/>
        <w:jc w:val="both"/>
        <w:rPr>
          <w:rFonts w:ascii="Arial" w:hAnsi="Arial" w:cs="Arial"/>
        </w:rPr>
      </w:pPr>
      <w:r w:rsidRPr="00F109AE">
        <w:rPr>
          <w:rFonts w:ascii="Arial" w:hAnsi="Arial" w:cs="Arial"/>
        </w:rPr>
        <w:t>Na většině území Karlovarského kraje a v SO ORP Stříbro, Tachov, Kadaň, Chomutov, Děčín</w:t>
      </w:r>
      <w:r>
        <w:rPr>
          <w:rFonts w:ascii="Arial" w:hAnsi="Arial" w:cs="Arial"/>
        </w:rPr>
        <w:t xml:space="preserve"> a</w:t>
      </w:r>
      <w:r w:rsidRPr="00F109AE">
        <w:rPr>
          <w:rFonts w:ascii="Arial" w:hAnsi="Arial" w:cs="Arial"/>
        </w:rPr>
        <w:t xml:space="preserve"> Česká Lípa nepřesahuje podíl rodáků ve věk</w:t>
      </w:r>
      <w:r>
        <w:rPr>
          <w:rFonts w:ascii="Arial" w:hAnsi="Arial" w:cs="Arial"/>
        </w:rPr>
        <w:t>ové skupině</w:t>
      </w:r>
      <w:r w:rsidRPr="00F109AE">
        <w:rPr>
          <w:rFonts w:ascii="Arial" w:hAnsi="Arial" w:cs="Arial"/>
        </w:rPr>
        <w:t xml:space="preserve"> nad 70 let hranici 5 %. Extrémní hodnoty byly zaznamenány v SO ORP Tachov a Mariánské Lázně, kde podíl rodáků mezi osobami staršími 70 let nedosahuje dokonce ani 2 %. Přibližně v polovině </w:t>
      </w:r>
      <w:proofErr w:type="spellStart"/>
      <w:r w:rsidRPr="00F109AE">
        <w:rPr>
          <w:rFonts w:ascii="Arial" w:hAnsi="Arial" w:cs="Arial"/>
        </w:rPr>
        <w:t>mikroregionů</w:t>
      </w:r>
      <w:proofErr w:type="spellEnd"/>
      <w:r w:rsidRPr="00F109AE">
        <w:rPr>
          <w:rFonts w:ascii="Arial" w:hAnsi="Arial" w:cs="Arial"/>
        </w:rPr>
        <w:t xml:space="preserve"> Ústeckého a Libereckého kraje pak rodáci u této věkové kategorie netvoří ani desetinu obyvatelstva.</w:t>
      </w:r>
    </w:p>
    <w:p w:rsidR="00B42FD2" w:rsidRPr="00F109AE" w:rsidRDefault="00B42FD2" w:rsidP="00B42FD2">
      <w:pPr>
        <w:widowControl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20130" cy="4308475"/>
            <wp:effectExtent l="19050" t="19050" r="13970" b="15875"/>
            <wp:docPr id="13" name="Obrázek 12" descr="rodac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aci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0847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42FD2" w:rsidRPr="001E78C4" w:rsidRDefault="00B42FD2" w:rsidP="00B42FD2">
      <w:pPr>
        <w:widowControl w:val="0"/>
        <w:spacing w:after="120"/>
        <w:jc w:val="both"/>
        <w:rPr>
          <w:rFonts w:ascii="Arial" w:hAnsi="Arial" w:cs="Arial"/>
        </w:rPr>
      </w:pPr>
      <w:r w:rsidRPr="001E78C4">
        <w:rPr>
          <w:rFonts w:ascii="Arial" w:hAnsi="Arial" w:cs="Arial"/>
        </w:rPr>
        <w:t xml:space="preserve">Ve východní části republiky jsou regiony tohoto typu spíše výjimečné, nacházejí se zejména v oblasti Jeseníků. Jedná se především o SO ORP Jeseník, kde rodáci tvoří 39,7 % obyvatelstva (druhý nejnižší podíl na Moravě; spolu s SO ORP </w:t>
      </w:r>
      <w:proofErr w:type="spellStart"/>
      <w:r w:rsidRPr="001E78C4">
        <w:rPr>
          <w:rFonts w:ascii="Arial" w:hAnsi="Arial" w:cs="Arial"/>
        </w:rPr>
        <w:t>Kuřim</w:t>
      </w:r>
      <w:proofErr w:type="spellEnd"/>
      <w:r w:rsidRPr="001E78C4">
        <w:rPr>
          <w:rFonts w:ascii="Arial" w:hAnsi="Arial" w:cs="Arial"/>
        </w:rPr>
        <w:t xml:space="preserve"> jsou to jediné dva moravské </w:t>
      </w:r>
      <w:proofErr w:type="spellStart"/>
      <w:r w:rsidRPr="001E78C4">
        <w:rPr>
          <w:rFonts w:ascii="Arial" w:hAnsi="Arial" w:cs="Arial"/>
        </w:rPr>
        <w:t>mikroregiony</w:t>
      </w:r>
      <w:proofErr w:type="spellEnd"/>
      <w:r w:rsidRPr="001E78C4">
        <w:rPr>
          <w:rFonts w:ascii="Arial" w:hAnsi="Arial" w:cs="Arial"/>
        </w:rPr>
        <w:t xml:space="preserve">, kde podíl rodáků nepřesahuje dvě pětiny populace), a Bruntál s 41,5 % rodáků. V obou případech je ve věkových skupinách nad 70 let necelých 5 % rodáků. Některé další </w:t>
      </w:r>
      <w:proofErr w:type="spellStart"/>
      <w:r w:rsidRPr="001E78C4">
        <w:rPr>
          <w:rFonts w:ascii="Arial" w:hAnsi="Arial" w:cs="Arial"/>
        </w:rPr>
        <w:t>mikroregiony</w:t>
      </w:r>
      <w:proofErr w:type="spellEnd"/>
      <w:r w:rsidRPr="001E78C4">
        <w:rPr>
          <w:rFonts w:ascii="Arial" w:hAnsi="Arial" w:cs="Arial"/>
        </w:rPr>
        <w:t xml:space="preserve"> mají </w:t>
      </w:r>
      <w:r>
        <w:rPr>
          <w:rFonts w:ascii="Arial" w:hAnsi="Arial" w:cs="Arial"/>
        </w:rPr>
        <w:t xml:space="preserve">v důsledku migračních výměn obyvatel v minulosti </w:t>
      </w:r>
      <w:r w:rsidRPr="001E78C4">
        <w:rPr>
          <w:rFonts w:ascii="Arial" w:hAnsi="Arial" w:cs="Arial"/>
        </w:rPr>
        <w:t xml:space="preserve">rovněž nízké podíly rodáků v nejstarších věkových skupinách, ale celkový podíl rodáků v populaci se pohybuje mezi 45 – 47 % a blíží se tak republikovému průměru – SO ORP </w:t>
      </w:r>
      <w:proofErr w:type="spellStart"/>
      <w:r w:rsidRPr="001E78C4">
        <w:rPr>
          <w:rFonts w:ascii="Arial" w:hAnsi="Arial" w:cs="Arial"/>
        </w:rPr>
        <w:t>Rýmařov</w:t>
      </w:r>
      <w:proofErr w:type="spellEnd"/>
      <w:r w:rsidRPr="001E78C4">
        <w:rPr>
          <w:rFonts w:ascii="Arial" w:hAnsi="Arial" w:cs="Arial"/>
        </w:rPr>
        <w:t>, Krnov, Šumperk</w:t>
      </w:r>
      <w:r>
        <w:rPr>
          <w:rFonts w:ascii="Arial" w:hAnsi="Arial" w:cs="Arial"/>
        </w:rPr>
        <w:t>,</w:t>
      </w:r>
      <w:r w:rsidRPr="001E78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Šternberk</w:t>
      </w:r>
      <w:r w:rsidRPr="001E78C4">
        <w:rPr>
          <w:rFonts w:ascii="Arial" w:hAnsi="Arial" w:cs="Arial"/>
        </w:rPr>
        <w:t xml:space="preserve"> a Mikulov.</w:t>
      </w:r>
    </w:p>
    <w:p w:rsidR="00B42FD2" w:rsidRPr="00377B68" w:rsidRDefault="00B42FD2" w:rsidP="00B42FD2">
      <w:pPr>
        <w:widowControl w:val="0"/>
        <w:spacing w:after="120"/>
        <w:jc w:val="both"/>
        <w:rPr>
          <w:rFonts w:ascii="Arial" w:hAnsi="Arial" w:cs="Arial"/>
        </w:rPr>
      </w:pPr>
      <w:r w:rsidRPr="00377B68">
        <w:rPr>
          <w:rFonts w:ascii="Arial" w:hAnsi="Arial" w:cs="Arial"/>
        </w:rPr>
        <w:t xml:space="preserve">Nově se však objevují další oblasti s nízkým zastoupením rodáků – zázemí velkých měst, kde v uplynulých 10-20 letech významně vzrůstal podíl nové zástavby a nově přistěhovalých obyvatel. Vůbec nejnižší podíly rodáků v ČR byly při sčítání 2011 dosaženy právě v těchto regionech. Nejvíce patrné je to v zázemí Prahy, kde v některých SO ORP tvoří rodáci </w:t>
      </w:r>
      <w:r>
        <w:rPr>
          <w:rFonts w:ascii="Arial" w:hAnsi="Arial" w:cs="Arial"/>
        </w:rPr>
        <w:t>pouze</w:t>
      </w:r>
      <w:r w:rsidRPr="00377B68">
        <w:rPr>
          <w:rFonts w:ascii="Arial" w:hAnsi="Arial" w:cs="Arial"/>
        </w:rPr>
        <w:t xml:space="preserve"> třetinu obyvatel – </w:t>
      </w:r>
      <w:proofErr w:type="spellStart"/>
      <w:r w:rsidRPr="00377B68">
        <w:rPr>
          <w:rFonts w:ascii="Arial" w:hAnsi="Arial" w:cs="Arial"/>
        </w:rPr>
        <w:t>Černošice</w:t>
      </w:r>
      <w:proofErr w:type="spellEnd"/>
      <w:r w:rsidRPr="00377B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377B68">
        <w:rPr>
          <w:rFonts w:ascii="Arial" w:hAnsi="Arial" w:cs="Arial"/>
        </w:rPr>
        <w:t xml:space="preserve">30,1 % </w:t>
      </w:r>
      <w:r>
        <w:rPr>
          <w:rFonts w:ascii="Arial" w:hAnsi="Arial" w:cs="Arial"/>
        </w:rPr>
        <w:t xml:space="preserve">rodáků je vůbec </w:t>
      </w:r>
      <w:r w:rsidRPr="00377B68">
        <w:rPr>
          <w:rFonts w:ascii="Arial" w:hAnsi="Arial" w:cs="Arial"/>
        </w:rPr>
        <w:t xml:space="preserve">nejnižší hodnota </w:t>
      </w:r>
      <w:r>
        <w:rPr>
          <w:rFonts w:ascii="Arial" w:hAnsi="Arial" w:cs="Arial"/>
        </w:rPr>
        <w:t>v ČR), Říčany</w:t>
      </w:r>
      <w:r w:rsidRPr="00377B68">
        <w:rPr>
          <w:rFonts w:ascii="Arial" w:hAnsi="Arial" w:cs="Arial"/>
        </w:rPr>
        <w:t>, Lysá nad Labem</w:t>
      </w:r>
      <w:r>
        <w:rPr>
          <w:rFonts w:ascii="Arial" w:hAnsi="Arial" w:cs="Arial"/>
        </w:rPr>
        <w:t xml:space="preserve"> a Brandýs n. </w:t>
      </w:r>
      <w:proofErr w:type="gramStart"/>
      <w:r>
        <w:rPr>
          <w:rFonts w:ascii="Arial" w:hAnsi="Arial" w:cs="Arial"/>
        </w:rPr>
        <w:t>L.–Stará</w:t>
      </w:r>
      <w:proofErr w:type="gramEnd"/>
      <w:r>
        <w:rPr>
          <w:rFonts w:ascii="Arial" w:hAnsi="Arial" w:cs="Arial"/>
        </w:rPr>
        <w:t xml:space="preserve"> Boleslav</w:t>
      </w:r>
      <w:r w:rsidRPr="00377B68">
        <w:rPr>
          <w:rFonts w:ascii="Arial" w:hAnsi="Arial" w:cs="Arial"/>
        </w:rPr>
        <w:t xml:space="preserve">. Silná imigrace v nedávné době způsobila kromě poklesu celkového podílu rodáků i odlišnosti ve věkové struktuře. Výrazně podprůměrné </w:t>
      </w:r>
      <w:r w:rsidRPr="00377B68">
        <w:rPr>
          <w:rFonts w:ascii="Arial" w:hAnsi="Arial" w:cs="Arial"/>
        </w:rPr>
        <w:lastRenderedPageBreak/>
        <w:t xml:space="preserve">zastoupení rodáků je v těchto regionech především ve věkových skupinách </w:t>
      </w:r>
      <w:proofErr w:type="spellStart"/>
      <w:r w:rsidRPr="00377B68">
        <w:rPr>
          <w:rFonts w:ascii="Arial" w:hAnsi="Arial" w:cs="Arial"/>
        </w:rPr>
        <w:t>předproduktivního</w:t>
      </w:r>
      <w:proofErr w:type="spellEnd"/>
      <w:r w:rsidRPr="00377B68">
        <w:rPr>
          <w:rFonts w:ascii="Arial" w:hAnsi="Arial" w:cs="Arial"/>
        </w:rPr>
        <w:t xml:space="preserve"> a ml</w:t>
      </w:r>
      <w:r>
        <w:rPr>
          <w:rFonts w:ascii="Arial" w:hAnsi="Arial" w:cs="Arial"/>
        </w:rPr>
        <w:t xml:space="preserve">adšího produktivního věku. Z </w:t>
      </w:r>
      <w:r w:rsidRPr="00377B68">
        <w:rPr>
          <w:rFonts w:ascii="Arial" w:hAnsi="Arial" w:cs="Arial"/>
        </w:rPr>
        <w:t>dět</w:t>
      </w:r>
      <w:r>
        <w:rPr>
          <w:rFonts w:ascii="Arial" w:hAnsi="Arial" w:cs="Arial"/>
        </w:rPr>
        <w:t>í</w:t>
      </w:r>
      <w:r w:rsidRPr="00377B68">
        <w:rPr>
          <w:rFonts w:ascii="Arial" w:hAnsi="Arial" w:cs="Arial"/>
        </w:rPr>
        <w:t xml:space="preserve"> do 14 let se v obci bydliště narodily přibližně dvě třetiny. Minimální podíly rodáků jsou u obyvatelstva těchto </w:t>
      </w:r>
      <w:proofErr w:type="spellStart"/>
      <w:r w:rsidRPr="00377B68">
        <w:rPr>
          <w:rFonts w:ascii="Arial" w:hAnsi="Arial" w:cs="Arial"/>
        </w:rPr>
        <w:t>mikroregionů</w:t>
      </w:r>
      <w:proofErr w:type="spellEnd"/>
      <w:r w:rsidRPr="00377B68">
        <w:rPr>
          <w:rFonts w:ascii="Arial" w:hAnsi="Arial" w:cs="Arial"/>
        </w:rPr>
        <w:t xml:space="preserve"> dosahovány ve věkových skupinách mezi 30-59 roky, kde rodáci tvoří v průměru jen asi pětinu populace. Ve věkových skupinách nad 60 let se naopak podíl rodáků v populaci opět mírně zvyšuje.</w:t>
      </w:r>
    </w:p>
    <w:p w:rsidR="00B42FD2" w:rsidRDefault="00B42FD2" w:rsidP="00B42FD2">
      <w:pPr>
        <w:widowControl w:val="0"/>
        <w:spacing w:after="120"/>
        <w:jc w:val="both"/>
        <w:rPr>
          <w:rFonts w:ascii="Arial" w:hAnsi="Arial" w:cs="Arial"/>
        </w:rPr>
      </w:pPr>
      <w:r w:rsidRPr="00377B68">
        <w:rPr>
          <w:rFonts w:ascii="Arial" w:hAnsi="Arial" w:cs="Arial"/>
        </w:rPr>
        <w:t xml:space="preserve">V případě Prahy je patrné její širší zázemí – kromě uvedených </w:t>
      </w:r>
      <w:proofErr w:type="spellStart"/>
      <w:r w:rsidRPr="00377B68">
        <w:rPr>
          <w:rFonts w:ascii="Arial" w:hAnsi="Arial" w:cs="Arial"/>
        </w:rPr>
        <w:t>mikroregionů</w:t>
      </w:r>
      <w:proofErr w:type="spellEnd"/>
      <w:r w:rsidRPr="00377B68">
        <w:rPr>
          <w:rFonts w:ascii="Arial" w:hAnsi="Arial" w:cs="Arial"/>
        </w:rPr>
        <w:t xml:space="preserve"> s extrémně nízkými hodnotami, jež se nacházejí v těsné blízkosti hlavního města, nepřesahuje podíl rodáků dvě pětiny obyvatel prakticky v celé severní části Středočeského kraje. V okolí Brna je nejnižší podíl rodáků v SO ORP </w:t>
      </w:r>
      <w:proofErr w:type="spellStart"/>
      <w:r w:rsidRPr="00377B68">
        <w:rPr>
          <w:rFonts w:ascii="Arial" w:hAnsi="Arial" w:cs="Arial"/>
        </w:rPr>
        <w:t>Kuřim</w:t>
      </w:r>
      <w:proofErr w:type="spellEnd"/>
      <w:r w:rsidRPr="00377B68">
        <w:rPr>
          <w:rFonts w:ascii="Arial" w:hAnsi="Arial" w:cs="Arial"/>
        </w:rPr>
        <w:t xml:space="preserve"> 39,0 %, což je nejnižší hodnota z celé Moravy, a </w:t>
      </w:r>
      <w:proofErr w:type="spellStart"/>
      <w:r w:rsidRPr="00377B68">
        <w:rPr>
          <w:rFonts w:ascii="Arial" w:hAnsi="Arial" w:cs="Arial"/>
        </w:rPr>
        <w:t>Šlapanice</w:t>
      </w:r>
      <w:proofErr w:type="spellEnd"/>
      <w:r w:rsidRPr="00377B68">
        <w:rPr>
          <w:rFonts w:ascii="Arial" w:hAnsi="Arial" w:cs="Arial"/>
        </w:rPr>
        <w:t xml:space="preserve"> (42,5 %). V zázemí Plzně jsou podobnými případy </w:t>
      </w:r>
      <w:proofErr w:type="spellStart"/>
      <w:r w:rsidRPr="00377B68">
        <w:rPr>
          <w:rFonts w:ascii="Arial" w:hAnsi="Arial" w:cs="Arial"/>
        </w:rPr>
        <w:t>Nýřany</w:t>
      </w:r>
      <w:proofErr w:type="spellEnd"/>
      <w:r w:rsidRPr="00377B68">
        <w:rPr>
          <w:rFonts w:ascii="Arial" w:hAnsi="Arial" w:cs="Arial"/>
        </w:rPr>
        <w:t xml:space="preserve"> a </w:t>
      </w:r>
      <w:proofErr w:type="spellStart"/>
      <w:r w:rsidRPr="00377B68">
        <w:rPr>
          <w:rFonts w:ascii="Arial" w:hAnsi="Arial" w:cs="Arial"/>
        </w:rPr>
        <w:t>Stod</w:t>
      </w:r>
      <w:proofErr w:type="spellEnd"/>
      <w:r w:rsidRPr="00377B68">
        <w:rPr>
          <w:rFonts w:ascii="Arial" w:hAnsi="Arial" w:cs="Arial"/>
        </w:rPr>
        <w:t>.</w:t>
      </w:r>
    </w:p>
    <w:p w:rsidR="00B42FD2" w:rsidRPr="00377B68" w:rsidRDefault="00B42FD2" w:rsidP="00B42FD2">
      <w:pPr>
        <w:widowControl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Ostravy není podobné zázemí velkoměsta tolik zřetelné. Část nejbližšího okolí tvoří silně urbanizované </w:t>
      </w:r>
      <w:proofErr w:type="spellStart"/>
      <w:r>
        <w:rPr>
          <w:rFonts w:ascii="Arial" w:hAnsi="Arial" w:cs="Arial"/>
        </w:rPr>
        <w:t>mikroregiony</w:t>
      </w:r>
      <w:proofErr w:type="spellEnd"/>
      <w:r>
        <w:rPr>
          <w:rFonts w:ascii="Arial" w:hAnsi="Arial" w:cs="Arial"/>
        </w:rPr>
        <w:t xml:space="preserve"> dalších velkých měst, tvořící s Ostravou v podstatě souvislou aglomeraci (především severovýchodní a východní oblast směrem ke Karviné), na severozápadě zase s Ostravou sousedí specifické regiony Opavska a </w:t>
      </w:r>
      <w:proofErr w:type="spellStart"/>
      <w:r>
        <w:rPr>
          <w:rFonts w:ascii="Arial" w:hAnsi="Arial" w:cs="Arial"/>
        </w:rPr>
        <w:t>Hlučínska</w:t>
      </w:r>
      <w:proofErr w:type="spellEnd"/>
      <w:r>
        <w:rPr>
          <w:rFonts w:ascii="Arial" w:hAnsi="Arial" w:cs="Arial"/>
        </w:rPr>
        <w:t xml:space="preserve"> s výrazně stabilním obyvatelstvem. Kromě toho Moravskoslezský kraj jako celek je v posledních desetiletích migračně ztrátový. I zde se však vyskytují </w:t>
      </w:r>
      <w:proofErr w:type="spellStart"/>
      <w:r>
        <w:rPr>
          <w:rFonts w:ascii="Arial" w:hAnsi="Arial" w:cs="Arial"/>
        </w:rPr>
        <w:t>mikroregiony</w:t>
      </w:r>
      <w:proofErr w:type="spellEnd"/>
      <w:r>
        <w:rPr>
          <w:rFonts w:ascii="Arial" w:hAnsi="Arial" w:cs="Arial"/>
        </w:rPr>
        <w:t xml:space="preserve"> s nižším podílem rodáků. V případě </w:t>
      </w:r>
      <w:r w:rsidRPr="00377B68">
        <w:rPr>
          <w:rFonts w:ascii="Arial" w:hAnsi="Arial" w:cs="Arial"/>
        </w:rPr>
        <w:t>SO ORP</w:t>
      </w:r>
      <w:r>
        <w:rPr>
          <w:rFonts w:ascii="Arial" w:hAnsi="Arial" w:cs="Arial"/>
        </w:rPr>
        <w:t xml:space="preserve"> Havířov a Orlová se jedná spíše o důsledek větší imigrace v minulosti, kdy zdejší těžební a průmyslová oblast ve velkém rozsahu nabízela pracovní příležitosti spojené s nabídkou bydlení. Podobně nízký podíl rodáků v populaci má </w:t>
      </w:r>
      <w:r w:rsidRPr="00377B68">
        <w:rPr>
          <w:rFonts w:ascii="Arial" w:hAnsi="Arial" w:cs="Arial"/>
        </w:rPr>
        <w:t>SO ORP</w:t>
      </w:r>
      <w:r>
        <w:rPr>
          <w:rFonts w:ascii="Arial" w:hAnsi="Arial" w:cs="Arial"/>
        </w:rPr>
        <w:t xml:space="preserve"> Frýdlant nad Ostravicí (43,4 %), který lze naopak považovat za zdravější venkovské prostředí v zázemí aglomerace, kam se stěhují především lidé mladší a střední generace s dětmi. Silně podprůměrné podíly rodáků zde mají prakticky všechny věkové skupiny do 60 let. Podobně, i když ne tak výrazně nižší zastoupení rodáků mezi obyvateli v mladším a středním věku, lze pozorovat i v sousedních </w:t>
      </w:r>
      <w:proofErr w:type="spellStart"/>
      <w:r>
        <w:rPr>
          <w:rFonts w:ascii="Arial" w:hAnsi="Arial" w:cs="Arial"/>
        </w:rPr>
        <w:t>mikroregionech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828DE">
        <w:rPr>
          <w:rFonts w:ascii="Arial" w:hAnsi="Arial" w:cs="Arial"/>
        </w:rPr>
        <w:t>Frýdek</w:t>
      </w:r>
      <w:proofErr w:type="spellEnd"/>
      <w:r>
        <w:rPr>
          <w:rFonts w:ascii="Arial" w:hAnsi="Arial" w:cs="Arial"/>
        </w:rPr>
        <w:t>-</w:t>
      </w:r>
      <w:r w:rsidRPr="001828DE">
        <w:rPr>
          <w:rFonts w:ascii="Arial" w:hAnsi="Arial" w:cs="Arial"/>
        </w:rPr>
        <w:t>Místek</w:t>
      </w:r>
      <w:r>
        <w:rPr>
          <w:rFonts w:ascii="Arial" w:hAnsi="Arial" w:cs="Arial"/>
        </w:rPr>
        <w:t>,</w:t>
      </w:r>
      <w:r w:rsidRPr="001828DE">
        <w:rPr>
          <w:rFonts w:ascii="Arial" w:hAnsi="Arial" w:cs="Arial"/>
        </w:rPr>
        <w:t xml:space="preserve"> Frenštát pod Radhoštěm</w:t>
      </w:r>
      <w:r>
        <w:rPr>
          <w:rFonts w:ascii="Arial" w:hAnsi="Arial" w:cs="Arial"/>
        </w:rPr>
        <w:t xml:space="preserve"> a Kopřivnice. Celkový podíl rodáků v populaci se v nich ale udržuje nad republikovým průměrem.</w:t>
      </w:r>
    </w:p>
    <w:p w:rsidR="00B62D0F" w:rsidRDefault="00B62D0F"/>
    <w:sectPr w:rsidR="00B62D0F" w:rsidSect="00B42FD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42FD2"/>
    <w:rsid w:val="00B42FD2"/>
    <w:rsid w:val="00B6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nadpis1">
    <w:name w:val="Mnadpis1"/>
    <w:basedOn w:val="Normln"/>
    <w:link w:val="Mnadpis1Char"/>
    <w:qFormat/>
    <w:rsid w:val="00B42FD2"/>
    <w:pPr>
      <w:widowControl w:val="0"/>
      <w:ind w:left="709" w:hanging="709"/>
    </w:pPr>
    <w:rPr>
      <w:rFonts w:ascii="Arial" w:hAnsi="Arial" w:cs="Arial"/>
      <w:b/>
      <w:color w:val="000000"/>
      <w:sz w:val="28"/>
      <w:szCs w:val="28"/>
    </w:rPr>
  </w:style>
  <w:style w:type="paragraph" w:customStyle="1" w:styleId="Mnadpis2">
    <w:name w:val="Mnadpis2"/>
    <w:basedOn w:val="Normln"/>
    <w:link w:val="Mnadpis2Char"/>
    <w:qFormat/>
    <w:rsid w:val="00B42FD2"/>
    <w:pPr>
      <w:widowControl w:val="0"/>
      <w:ind w:left="709" w:hanging="709"/>
    </w:pPr>
    <w:rPr>
      <w:rFonts w:ascii="Arial" w:hAnsi="Arial" w:cs="Arial"/>
      <w:b/>
      <w:color w:val="000000"/>
      <w:sz w:val="24"/>
      <w:szCs w:val="24"/>
    </w:rPr>
  </w:style>
  <w:style w:type="character" w:customStyle="1" w:styleId="Mnadpis1Char">
    <w:name w:val="Mnadpis1 Char"/>
    <w:basedOn w:val="Standardnpsmoodstavce"/>
    <w:link w:val="Mnadpis1"/>
    <w:rsid w:val="00B42FD2"/>
    <w:rPr>
      <w:rFonts w:ascii="Arial" w:eastAsia="Times New Roman" w:hAnsi="Arial" w:cs="Arial"/>
      <w:b/>
      <w:color w:val="000000"/>
      <w:sz w:val="28"/>
      <w:szCs w:val="28"/>
      <w:lang w:eastAsia="cs-CZ"/>
    </w:rPr>
  </w:style>
  <w:style w:type="character" w:customStyle="1" w:styleId="Mnadpis2Char">
    <w:name w:val="Mnadpis2 Char"/>
    <w:basedOn w:val="Standardnpsmoodstavce"/>
    <w:link w:val="Mnadpis2"/>
    <w:rsid w:val="00B42FD2"/>
    <w:rPr>
      <w:rFonts w:ascii="Arial" w:eastAsia="Times New Roman" w:hAnsi="Arial" w:cs="Arial"/>
      <w:b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2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FD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arie\S&#269;&#237;t&#225;n&#237;%202011\V&#253;stupy\Anal&#253;zy\Rod&#225;ci\tabulky-tex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 sz="1000" b="1" i="0" baseline="0">
                <a:latin typeface="Arial" pitchFamily="34" charset="0"/>
              </a:rPr>
              <a:t>Obyvatelstvo podle krajů a místa bydliště v době narození k 26. 3. 2011</a:t>
            </a:r>
            <a:endParaRPr lang="cs-CZ" sz="1000" baseline="0">
              <a:latin typeface="Arial" pitchFamily="34" charset="0"/>
            </a:endParaRPr>
          </a:p>
        </c:rich>
      </c:tx>
      <c:layout>
        <c:manualLayout>
          <c:xMode val="edge"/>
          <c:yMode val="edge"/>
          <c:x val="0.1936460422339969"/>
          <c:y val="2.3862783358808728E-2"/>
        </c:manualLayout>
      </c:layout>
    </c:title>
    <c:plotArea>
      <c:layout>
        <c:manualLayout>
          <c:layoutTarget val="inner"/>
          <c:xMode val="edge"/>
          <c:yMode val="edge"/>
          <c:x val="0.128330667328"/>
          <c:y val="9.4265412771213516E-2"/>
          <c:w val="0.59731922210450161"/>
          <c:h val="0.61793531206402552"/>
        </c:manualLayout>
      </c:layout>
      <c:barChart>
        <c:barDir val="col"/>
        <c:grouping val="stacked"/>
        <c:ser>
          <c:idx val="0"/>
          <c:order val="0"/>
          <c:tx>
            <c:strRef>
              <c:f>'graf-kraje'!$B$2</c:f>
              <c:strCache>
                <c:ptCount val="1"/>
                <c:pt idx="0">
                  <c:v>v obci bydliště</c:v>
                </c:pt>
              </c:strCache>
            </c:strRef>
          </c:tx>
          <c:cat>
            <c:strRef>
              <c:f>'graf-kraje'!$A$3:$A$17</c:f>
              <c:strCache>
                <c:ptCount val="15"/>
                <c:pt idx="0">
                  <c:v>Česká republika celkem</c:v>
                </c:pt>
                <c:pt idx="1">
                  <c:v>Hlavní město Praha</c:v>
                </c:pt>
                <c:pt idx="2">
                  <c:v>Středočeský kraj</c:v>
                </c:pt>
                <c:pt idx="3">
                  <c:v>Jihočeský kraj</c:v>
                </c:pt>
                <c:pt idx="4">
                  <c:v>Plzeňský kraj</c:v>
                </c:pt>
                <c:pt idx="5">
                  <c:v>Karlovarský kraj</c:v>
                </c:pt>
                <c:pt idx="6">
                  <c:v>Ústecký kraj</c:v>
                </c:pt>
                <c:pt idx="7">
                  <c:v>Liberecký kraj</c:v>
                </c:pt>
                <c:pt idx="8">
                  <c:v>Královéhradecký kraj</c:v>
                </c:pt>
                <c:pt idx="9">
                  <c:v>Pardubický kraj</c:v>
                </c:pt>
                <c:pt idx="10">
                  <c:v>Kraj Vysočina</c:v>
                </c:pt>
                <c:pt idx="11">
                  <c:v>Jihomoravský kraj</c:v>
                </c:pt>
                <c:pt idx="12">
                  <c:v>Olomoucký kraj</c:v>
                </c:pt>
                <c:pt idx="13">
                  <c:v>Zlínský kraj</c:v>
                </c:pt>
                <c:pt idx="14">
                  <c:v>Moravskoslezský kraj</c:v>
                </c:pt>
              </c:strCache>
            </c:strRef>
          </c:cat>
          <c:val>
            <c:numRef>
              <c:f>'graf-kraje'!$B$3:$B$17</c:f>
              <c:numCache>
                <c:formatCode>0.0</c:formatCode>
                <c:ptCount val="15"/>
                <c:pt idx="0">
                  <c:v>47.067472423863805</c:v>
                </c:pt>
                <c:pt idx="1">
                  <c:v>50.759854224004485</c:v>
                </c:pt>
                <c:pt idx="2">
                  <c:v>39.659140357939862</c:v>
                </c:pt>
                <c:pt idx="3">
                  <c:v>44.082306281989261</c:v>
                </c:pt>
                <c:pt idx="4">
                  <c:v>44.88386240557081</c:v>
                </c:pt>
                <c:pt idx="5">
                  <c:v>38.847747762986501</c:v>
                </c:pt>
                <c:pt idx="6">
                  <c:v>42.747919862638611</c:v>
                </c:pt>
                <c:pt idx="7">
                  <c:v>43.354091559734414</c:v>
                </c:pt>
                <c:pt idx="8">
                  <c:v>45.611553595806647</c:v>
                </c:pt>
                <c:pt idx="9">
                  <c:v>47.084888014119649</c:v>
                </c:pt>
                <c:pt idx="10">
                  <c:v>51.016783202951153</c:v>
                </c:pt>
                <c:pt idx="11">
                  <c:v>51.245457702052761</c:v>
                </c:pt>
                <c:pt idx="12">
                  <c:v>48.159133837343084</c:v>
                </c:pt>
                <c:pt idx="13">
                  <c:v>53.000289683141816</c:v>
                </c:pt>
                <c:pt idx="14">
                  <c:v>51.480552049452911</c:v>
                </c:pt>
              </c:numCache>
            </c:numRef>
          </c:val>
        </c:ser>
        <c:ser>
          <c:idx val="1"/>
          <c:order val="1"/>
          <c:tx>
            <c:strRef>
              <c:f>'graf-kraje'!$C$2</c:f>
              <c:strCache>
                <c:ptCount val="1"/>
                <c:pt idx="0">
                  <c:v>v jiné obci okresu</c:v>
                </c:pt>
              </c:strCache>
            </c:strRef>
          </c:tx>
          <c:cat>
            <c:strRef>
              <c:f>'graf-kraje'!$A$3:$A$17</c:f>
              <c:strCache>
                <c:ptCount val="15"/>
                <c:pt idx="0">
                  <c:v>Česká republika celkem</c:v>
                </c:pt>
                <c:pt idx="1">
                  <c:v>Hlavní město Praha</c:v>
                </c:pt>
                <c:pt idx="2">
                  <c:v>Středočeský kraj</c:v>
                </c:pt>
                <c:pt idx="3">
                  <c:v>Jihočeský kraj</c:v>
                </c:pt>
                <c:pt idx="4">
                  <c:v>Plzeňský kraj</c:v>
                </c:pt>
                <c:pt idx="5">
                  <c:v>Karlovarský kraj</c:v>
                </c:pt>
                <c:pt idx="6">
                  <c:v>Ústecký kraj</c:v>
                </c:pt>
                <c:pt idx="7">
                  <c:v>Liberecký kraj</c:v>
                </c:pt>
                <c:pt idx="8">
                  <c:v>Královéhradecký kraj</c:v>
                </c:pt>
                <c:pt idx="9">
                  <c:v>Pardubický kraj</c:v>
                </c:pt>
                <c:pt idx="10">
                  <c:v>Kraj Vysočina</c:v>
                </c:pt>
                <c:pt idx="11">
                  <c:v>Jihomoravský kraj</c:v>
                </c:pt>
                <c:pt idx="12">
                  <c:v>Olomoucký kraj</c:v>
                </c:pt>
                <c:pt idx="13">
                  <c:v>Zlínský kraj</c:v>
                </c:pt>
                <c:pt idx="14">
                  <c:v>Moravskoslezský kraj</c:v>
                </c:pt>
              </c:strCache>
            </c:strRef>
          </c:cat>
          <c:val>
            <c:numRef>
              <c:f>'graf-kraje'!$C$3:$C$17</c:f>
              <c:numCache>
                <c:formatCode>0.0</c:formatCode>
                <c:ptCount val="15"/>
                <c:pt idx="0">
                  <c:v>14.420460381581671</c:v>
                </c:pt>
                <c:pt idx="1">
                  <c:v>7.8814876465562624E-5</c:v>
                </c:pt>
                <c:pt idx="2">
                  <c:v>15.137165289467744</c:v>
                </c:pt>
                <c:pt idx="3">
                  <c:v>18.91790379669477</c:v>
                </c:pt>
                <c:pt idx="4">
                  <c:v>13.541701364478671</c:v>
                </c:pt>
                <c:pt idx="5">
                  <c:v>13.782371149714979</c:v>
                </c:pt>
                <c:pt idx="6">
                  <c:v>15.558475624906515</c:v>
                </c:pt>
                <c:pt idx="7">
                  <c:v>14.076667460612944</c:v>
                </c:pt>
                <c:pt idx="8">
                  <c:v>18.252067835215616</c:v>
                </c:pt>
                <c:pt idx="9">
                  <c:v>19.752866834627564</c:v>
                </c:pt>
                <c:pt idx="10">
                  <c:v>22.034357599912973</c:v>
                </c:pt>
                <c:pt idx="11">
                  <c:v>13.106914606517531</c:v>
                </c:pt>
                <c:pt idx="12">
                  <c:v>20.738446947696389</c:v>
                </c:pt>
                <c:pt idx="13">
                  <c:v>21.083242519967435</c:v>
                </c:pt>
                <c:pt idx="14">
                  <c:v>13.990482935462099</c:v>
                </c:pt>
              </c:numCache>
            </c:numRef>
          </c:val>
        </c:ser>
        <c:ser>
          <c:idx val="2"/>
          <c:order val="2"/>
          <c:tx>
            <c:strRef>
              <c:f>'graf-kraje'!$D$2</c:f>
              <c:strCache>
                <c:ptCount val="1"/>
                <c:pt idx="0">
                  <c:v>v jiném okrese kraje</c:v>
                </c:pt>
              </c:strCache>
            </c:strRef>
          </c:tx>
          <c:cat>
            <c:strRef>
              <c:f>'graf-kraje'!$A$3:$A$17</c:f>
              <c:strCache>
                <c:ptCount val="15"/>
                <c:pt idx="0">
                  <c:v>Česká republika celkem</c:v>
                </c:pt>
                <c:pt idx="1">
                  <c:v>Hlavní město Praha</c:v>
                </c:pt>
                <c:pt idx="2">
                  <c:v>Středočeský kraj</c:v>
                </c:pt>
                <c:pt idx="3">
                  <c:v>Jihočeský kraj</c:v>
                </c:pt>
                <c:pt idx="4">
                  <c:v>Plzeňský kraj</c:v>
                </c:pt>
                <c:pt idx="5">
                  <c:v>Karlovarský kraj</c:v>
                </c:pt>
                <c:pt idx="6">
                  <c:v>Ústecký kraj</c:v>
                </c:pt>
                <c:pt idx="7">
                  <c:v>Liberecký kraj</c:v>
                </c:pt>
                <c:pt idx="8">
                  <c:v>Královéhradecký kraj</c:v>
                </c:pt>
                <c:pt idx="9">
                  <c:v>Pardubický kraj</c:v>
                </c:pt>
                <c:pt idx="10">
                  <c:v>Kraj Vysočina</c:v>
                </c:pt>
                <c:pt idx="11">
                  <c:v>Jihomoravský kraj</c:v>
                </c:pt>
                <c:pt idx="12">
                  <c:v>Olomoucký kraj</c:v>
                </c:pt>
                <c:pt idx="13">
                  <c:v>Zlínský kraj</c:v>
                </c:pt>
                <c:pt idx="14">
                  <c:v>Moravskoslezský kraj</c:v>
                </c:pt>
              </c:strCache>
            </c:strRef>
          </c:cat>
          <c:val>
            <c:numRef>
              <c:f>'graf-kraje'!$D$3:$D$17</c:f>
              <c:numCache>
                <c:formatCode>0.0</c:formatCode>
                <c:ptCount val="15"/>
                <c:pt idx="0">
                  <c:v>7.9845178871198916</c:v>
                </c:pt>
                <c:pt idx="1">
                  <c:v>0</c:v>
                </c:pt>
                <c:pt idx="2">
                  <c:v>7.5764944605654145</c:v>
                </c:pt>
                <c:pt idx="3">
                  <c:v>10.391414784446539</c:v>
                </c:pt>
                <c:pt idx="4">
                  <c:v>14.499623948765869</c:v>
                </c:pt>
                <c:pt idx="5">
                  <c:v>5.2213332431198092</c:v>
                </c:pt>
                <c:pt idx="6">
                  <c:v>8.4308143408643925</c:v>
                </c:pt>
                <c:pt idx="7">
                  <c:v>6.1120759228469206</c:v>
                </c:pt>
                <c:pt idx="8">
                  <c:v>8.4589608626139761</c:v>
                </c:pt>
                <c:pt idx="9">
                  <c:v>6.8221575483701971</c:v>
                </c:pt>
                <c:pt idx="10">
                  <c:v>5.5719838200824814</c:v>
                </c:pt>
                <c:pt idx="11">
                  <c:v>12.300130295623241</c:v>
                </c:pt>
                <c:pt idx="12">
                  <c:v>7.2286836816368494</c:v>
                </c:pt>
                <c:pt idx="13">
                  <c:v>5.9288483025947336</c:v>
                </c:pt>
                <c:pt idx="14">
                  <c:v>12.043117045961548</c:v>
                </c:pt>
              </c:numCache>
            </c:numRef>
          </c:val>
        </c:ser>
        <c:ser>
          <c:idx val="3"/>
          <c:order val="3"/>
          <c:tx>
            <c:strRef>
              <c:f>'graf-kraje'!$E$2</c:f>
              <c:strCache>
                <c:ptCount val="1"/>
                <c:pt idx="0">
                  <c:v>v jiném kraji</c:v>
                </c:pt>
              </c:strCache>
            </c:strRef>
          </c:tx>
          <c:cat>
            <c:strRef>
              <c:f>'graf-kraje'!$A$3:$A$17</c:f>
              <c:strCache>
                <c:ptCount val="15"/>
                <c:pt idx="0">
                  <c:v>Česká republika celkem</c:v>
                </c:pt>
                <c:pt idx="1">
                  <c:v>Hlavní město Praha</c:v>
                </c:pt>
                <c:pt idx="2">
                  <c:v>Středočeský kraj</c:v>
                </c:pt>
                <c:pt idx="3">
                  <c:v>Jihočeský kraj</c:v>
                </c:pt>
                <c:pt idx="4">
                  <c:v>Plzeňský kraj</c:v>
                </c:pt>
                <c:pt idx="5">
                  <c:v>Karlovarský kraj</c:v>
                </c:pt>
                <c:pt idx="6">
                  <c:v>Ústecký kraj</c:v>
                </c:pt>
                <c:pt idx="7">
                  <c:v>Liberecký kraj</c:v>
                </c:pt>
                <c:pt idx="8">
                  <c:v>Královéhradecký kraj</c:v>
                </c:pt>
                <c:pt idx="9">
                  <c:v>Pardubický kraj</c:v>
                </c:pt>
                <c:pt idx="10">
                  <c:v>Kraj Vysočina</c:v>
                </c:pt>
                <c:pt idx="11">
                  <c:v>Jihomoravský kraj</c:v>
                </c:pt>
                <c:pt idx="12">
                  <c:v>Olomoucký kraj</c:v>
                </c:pt>
                <c:pt idx="13">
                  <c:v>Zlínský kraj</c:v>
                </c:pt>
                <c:pt idx="14">
                  <c:v>Moravskoslezský kraj</c:v>
                </c:pt>
              </c:strCache>
            </c:strRef>
          </c:cat>
          <c:val>
            <c:numRef>
              <c:f>'graf-kraje'!$E$3:$E$17</c:f>
              <c:numCache>
                <c:formatCode>0.0</c:formatCode>
                <c:ptCount val="15"/>
                <c:pt idx="0">
                  <c:v>17.371883072583302</c:v>
                </c:pt>
                <c:pt idx="1">
                  <c:v>28.258128178209891</c:v>
                </c:pt>
                <c:pt idx="2">
                  <c:v>24.987996534314391</c:v>
                </c:pt>
                <c:pt idx="3">
                  <c:v>15.555849099844673</c:v>
                </c:pt>
                <c:pt idx="4">
                  <c:v>13.819400737375988</c:v>
                </c:pt>
                <c:pt idx="5">
                  <c:v>21.799083205060974</c:v>
                </c:pt>
                <c:pt idx="6">
                  <c:v>16.369268728653179</c:v>
                </c:pt>
                <c:pt idx="7">
                  <c:v>21.708032809251705</c:v>
                </c:pt>
                <c:pt idx="8">
                  <c:v>15.851882405332207</c:v>
                </c:pt>
                <c:pt idx="9">
                  <c:v>16.158451371800158</c:v>
                </c:pt>
                <c:pt idx="10">
                  <c:v>13.559087357708705</c:v>
                </c:pt>
                <c:pt idx="11">
                  <c:v>13.100554529921583</c:v>
                </c:pt>
                <c:pt idx="12">
                  <c:v>14.083576930972097</c:v>
                </c:pt>
                <c:pt idx="13">
                  <c:v>11.903218241761273</c:v>
                </c:pt>
                <c:pt idx="14">
                  <c:v>9.7029110142855473</c:v>
                </c:pt>
              </c:numCache>
            </c:numRef>
          </c:val>
        </c:ser>
        <c:ser>
          <c:idx val="4"/>
          <c:order val="4"/>
          <c:tx>
            <c:strRef>
              <c:f>'graf-kraje'!$H$2</c:f>
              <c:strCache>
                <c:ptCount val="1"/>
                <c:pt idx="0">
                  <c:v>v zahraničí</c:v>
                </c:pt>
              </c:strCache>
            </c:strRef>
          </c:tx>
          <c:cat>
            <c:strRef>
              <c:f>'graf-kraje'!$A$3:$A$17</c:f>
              <c:strCache>
                <c:ptCount val="15"/>
                <c:pt idx="0">
                  <c:v>Česká republika celkem</c:v>
                </c:pt>
                <c:pt idx="1">
                  <c:v>Hlavní město Praha</c:v>
                </c:pt>
                <c:pt idx="2">
                  <c:v>Středočeský kraj</c:v>
                </c:pt>
                <c:pt idx="3">
                  <c:v>Jihočeský kraj</c:v>
                </c:pt>
                <c:pt idx="4">
                  <c:v>Plzeňský kraj</c:v>
                </c:pt>
                <c:pt idx="5">
                  <c:v>Karlovarský kraj</c:v>
                </c:pt>
                <c:pt idx="6">
                  <c:v>Ústecký kraj</c:v>
                </c:pt>
                <c:pt idx="7">
                  <c:v>Liberecký kraj</c:v>
                </c:pt>
                <c:pt idx="8">
                  <c:v>Královéhradecký kraj</c:v>
                </c:pt>
                <c:pt idx="9">
                  <c:v>Pardubický kraj</c:v>
                </c:pt>
                <c:pt idx="10">
                  <c:v>Kraj Vysočina</c:v>
                </c:pt>
                <c:pt idx="11">
                  <c:v>Jihomoravský kraj</c:v>
                </c:pt>
                <c:pt idx="12">
                  <c:v>Olomoucký kraj</c:v>
                </c:pt>
                <c:pt idx="13">
                  <c:v>Zlínský kraj</c:v>
                </c:pt>
                <c:pt idx="14">
                  <c:v>Moravskoslezský kraj</c:v>
                </c:pt>
              </c:strCache>
            </c:strRef>
          </c:cat>
          <c:val>
            <c:numRef>
              <c:f>'graf-kraje'!$H$3:$H$17</c:f>
              <c:numCache>
                <c:formatCode>0.0</c:formatCode>
                <c:ptCount val="15"/>
                <c:pt idx="0">
                  <c:v>6.662750944755742</c:v>
                </c:pt>
                <c:pt idx="1">
                  <c:v>14.817984924290432</c:v>
                </c:pt>
                <c:pt idx="2">
                  <c:v>6.3140944345029624</c:v>
                </c:pt>
                <c:pt idx="3">
                  <c:v>4.1684703725395318</c:v>
                </c:pt>
                <c:pt idx="4">
                  <c:v>6.7638380718126374</c:v>
                </c:pt>
                <c:pt idx="5">
                  <c:v>11.269811735651819</c:v>
                </c:pt>
                <c:pt idx="6">
                  <c:v>7.2017068808014235</c:v>
                </c:pt>
                <c:pt idx="7">
                  <c:v>6.4987200506892302</c:v>
                </c:pt>
                <c:pt idx="8">
                  <c:v>5.0325232334883454</c:v>
                </c:pt>
                <c:pt idx="9">
                  <c:v>4.2910166977114175</c:v>
                </c:pt>
                <c:pt idx="10">
                  <c:v>2.6597964653407571</c:v>
                </c:pt>
                <c:pt idx="11">
                  <c:v>5.4535937870646372</c:v>
                </c:pt>
                <c:pt idx="12">
                  <c:v>4.0248111554723147</c:v>
                </c:pt>
                <c:pt idx="13">
                  <c:v>3.2541072931179569</c:v>
                </c:pt>
                <c:pt idx="14">
                  <c:v>5.8804943300653321</c:v>
                </c:pt>
              </c:numCache>
            </c:numRef>
          </c:val>
        </c:ser>
        <c:ser>
          <c:idx val="5"/>
          <c:order val="5"/>
          <c:tx>
            <c:strRef>
              <c:f>'graf-kraje'!$N$2</c:f>
              <c:strCache>
                <c:ptCount val="1"/>
                <c:pt idx="0">
                  <c:v>nezj. a nepřesné údaje</c:v>
                </c:pt>
              </c:strCache>
            </c:strRef>
          </c:tx>
          <c:cat>
            <c:strRef>
              <c:f>'graf-kraje'!$A$3:$A$17</c:f>
              <c:strCache>
                <c:ptCount val="15"/>
                <c:pt idx="0">
                  <c:v>Česká republika celkem</c:v>
                </c:pt>
                <c:pt idx="1">
                  <c:v>Hlavní město Praha</c:v>
                </c:pt>
                <c:pt idx="2">
                  <c:v>Středočeský kraj</c:v>
                </c:pt>
                <c:pt idx="3">
                  <c:v>Jihočeský kraj</c:v>
                </c:pt>
                <c:pt idx="4">
                  <c:v>Plzeňský kraj</c:v>
                </c:pt>
                <c:pt idx="5">
                  <c:v>Karlovarský kraj</c:v>
                </c:pt>
                <c:pt idx="6">
                  <c:v>Ústecký kraj</c:v>
                </c:pt>
                <c:pt idx="7">
                  <c:v>Liberecký kraj</c:v>
                </c:pt>
                <c:pt idx="8">
                  <c:v>Královéhradecký kraj</c:v>
                </c:pt>
                <c:pt idx="9">
                  <c:v>Pardubický kraj</c:v>
                </c:pt>
                <c:pt idx="10">
                  <c:v>Kraj Vysočina</c:v>
                </c:pt>
                <c:pt idx="11">
                  <c:v>Jihomoravský kraj</c:v>
                </c:pt>
                <c:pt idx="12">
                  <c:v>Olomoucký kraj</c:v>
                </c:pt>
                <c:pt idx="13">
                  <c:v>Zlínský kraj</c:v>
                </c:pt>
                <c:pt idx="14">
                  <c:v>Moravskoslezský kraj</c:v>
                </c:pt>
              </c:strCache>
            </c:strRef>
          </c:cat>
          <c:val>
            <c:numRef>
              <c:f>'graf-kraje'!$N$3:$N$17</c:f>
              <c:numCache>
                <c:formatCode>0.0</c:formatCode>
                <c:ptCount val="15"/>
                <c:pt idx="0">
                  <c:v>6.4929152900955867</c:v>
                </c:pt>
                <c:pt idx="1">
                  <c:v>6.1639538586187204</c:v>
                </c:pt>
                <c:pt idx="2">
                  <c:v>6.3251089232096227</c:v>
                </c:pt>
                <c:pt idx="3">
                  <c:v>6.8840556644852438</c:v>
                </c:pt>
                <c:pt idx="4">
                  <c:v>6.4915734719960163</c:v>
                </c:pt>
                <c:pt idx="5">
                  <c:v>9.0796529034658935</c:v>
                </c:pt>
                <c:pt idx="6">
                  <c:v>9.6918145621358711</c:v>
                </c:pt>
                <c:pt idx="7">
                  <c:v>8.2504121968647617</c:v>
                </c:pt>
                <c:pt idx="8">
                  <c:v>6.7930120675431995</c:v>
                </c:pt>
                <c:pt idx="9">
                  <c:v>5.8906195333709901</c:v>
                </c:pt>
                <c:pt idx="10">
                  <c:v>5.1579915540039352</c:v>
                </c:pt>
                <c:pt idx="11">
                  <c:v>4.7933490788202562</c:v>
                </c:pt>
                <c:pt idx="12">
                  <c:v>5.7653474468792725</c:v>
                </c:pt>
                <c:pt idx="13">
                  <c:v>4.8302939594167711</c:v>
                </c:pt>
                <c:pt idx="14">
                  <c:v>6.9024426247725659</c:v>
                </c:pt>
              </c:numCache>
            </c:numRef>
          </c:val>
        </c:ser>
        <c:gapWidth val="80"/>
        <c:overlap val="100"/>
        <c:axId val="118571776"/>
        <c:axId val="118573312"/>
      </c:barChart>
      <c:catAx>
        <c:axId val="118571776"/>
        <c:scaling>
          <c:orientation val="minMax"/>
        </c:scaling>
        <c:axPos val="b"/>
        <c:tickLblPos val="nextTo"/>
        <c:crossAx val="118573312"/>
        <c:crosses val="autoZero"/>
        <c:auto val="1"/>
        <c:lblAlgn val="ctr"/>
        <c:lblOffset val="100"/>
      </c:catAx>
      <c:valAx>
        <c:axId val="118573312"/>
        <c:scaling>
          <c:orientation val="minMax"/>
          <c:max val="100"/>
        </c:scaling>
        <c:axPos val="l"/>
        <c:majorGridlines/>
        <c:numFmt formatCode="0" sourceLinked="0"/>
        <c:tickLblPos val="nextTo"/>
        <c:crossAx val="118571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162092506958211"/>
          <c:y val="0.36575542597046695"/>
          <c:w val="0.23238916582511174"/>
          <c:h val="0.35896592903201935"/>
        </c:manualLayout>
      </c:layout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0.74278</cdr:x>
      <cdr:y>0.31068</cdr:y>
    </cdr:from>
    <cdr:to>
      <cdr:x>1</cdr:x>
      <cdr:y>0.36228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400608" y="1192569"/>
          <a:ext cx="1523941" cy="1980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000" b="1" i="0" baseline="0">
              <a:latin typeface="+mn-lt"/>
              <a:ea typeface="+mn-ea"/>
              <a:cs typeface="+mn-cs"/>
            </a:rPr>
            <a:t>Bydliště v době narození</a:t>
          </a:r>
          <a:endParaRPr lang="cs-CZ" sz="1000" b="1" i="0" baseline="0"/>
        </a:p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0.03334</cdr:x>
      <cdr:y>0.10067</cdr:y>
    </cdr:from>
    <cdr:to>
      <cdr:x>0.06119</cdr:x>
      <cdr:y>0.1566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209575" y="419037"/>
          <a:ext cx="175088" cy="2327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1100"/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1474</Words>
  <Characters>8703</Characters>
  <Application>Microsoft Office Word</Application>
  <DocSecurity>0</DocSecurity>
  <Lines>72</Lines>
  <Paragraphs>20</Paragraphs>
  <ScaleCrop>false</ScaleCrop>
  <Company>ČSÚ</Company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Radolfová</dc:creator>
  <cp:lastModifiedBy>Marie Radolfová</cp:lastModifiedBy>
  <cp:revision>1</cp:revision>
  <dcterms:created xsi:type="dcterms:W3CDTF">2014-04-18T13:26:00Z</dcterms:created>
  <dcterms:modified xsi:type="dcterms:W3CDTF">2014-04-18T13:31:00Z</dcterms:modified>
</cp:coreProperties>
</file>