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50" w:rsidRPr="006A4AB4" w:rsidRDefault="007E1850" w:rsidP="00B43764">
      <w:pPr>
        <w:spacing w:after="240"/>
        <w:rPr>
          <w:rFonts w:cs="Arial"/>
          <w:b/>
          <w:color w:val="009BB4"/>
          <w:sz w:val="32"/>
          <w:szCs w:val="32"/>
        </w:rPr>
      </w:pPr>
      <w:r w:rsidRPr="006A4AB4">
        <w:rPr>
          <w:rFonts w:cs="Arial"/>
          <w:b/>
          <w:color w:val="009BB4"/>
          <w:sz w:val="32"/>
          <w:szCs w:val="32"/>
        </w:rPr>
        <w:t>Metodika</w:t>
      </w:r>
    </w:p>
    <w:p w:rsidR="007E1850" w:rsidRPr="006A4AB4" w:rsidRDefault="007E1850" w:rsidP="00B43764">
      <w:pPr>
        <w:spacing w:after="120"/>
        <w:rPr>
          <w:rFonts w:cs="Arial"/>
          <w:b/>
          <w:color w:val="009BB4"/>
          <w:sz w:val="28"/>
          <w:szCs w:val="28"/>
        </w:rPr>
      </w:pPr>
      <w:r w:rsidRPr="006A4AB4">
        <w:rPr>
          <w:rFonts w:cs="Arial"/>
          <w:b/>
          <w:color w:val="009BB4"/>
          <w:sz w:val="28"/>
          <w:szCs w:val="28"/>
        </w:rPr>
        <w:t>Legislativní vymezení odpočtů na výzkum a vývoj v ČR</w:t>
      </w:r>
    </w:p>
    <w:p w:rsidR="00793EC8" w:rsidRDefault="000E63E0" w:rsidP="00793EC8">
      <w:pPr>
        <w:spacing w:after="240"/>
        <w:jc w:val="both"/>
        <w:rPr>
          <w:rFonts w:cs="Arial"/>
          <w:szCs w:val="20"/>
        </w:rPr>
      </w:pPr>
      <w:r w:rsidRPr="00815862">
        <w:rPr>
          <w:rFonts w:cs="Arial"/>
          <w:b/>
          <w:szCs w:val="20"/>
        </w:rPr>
        <w:t xml:space="preserve">Nepřímá podpora výzkumu a vývoje </w:t>
      </w:r>
      <w:r>
        <w:rPr>
          <w:rFonts w:cs="Arial"/>
          <w:szCs w:val="20"/>
        </w:rPr>
        <w:t>(dále jen VaV)</w:t>
      </w:r>
      <w:r w:rsidRPr="000E63E0">
        <w:rPr>
          <w:rFonts w:cs="Arial"/>
          <w:szCs w:val="20"/>
        </w:rPr>
        <w:t xml:space="preserve"> se v současnosti stává ve všech vyspělých státech stále rozšířenějším nástrojem pro povzbuzení investic do VaV v soukromém podnikatelském sektoru. Mezi nejčastější podoby nepřímé podpory VaV patří různé daňové pobídky a úlevy, urychlené odpisování investic, snížení odvodů sociálního pojištění, osvobození od cel, zvýhodněné úvěry, podpora rizikového kapitálu a zvýhodněný pronájem ústřední i regionální infrastruktury.</w:t>
      </w:r>
      <w:r w:rsidR="000946D6">
        <w:rPr>
          <w:rStyle w:val="Znakapoznpodarou"/>
          <w:rFonts w:cs="Arial"/>
          <w:szCs w:val="20"/>
        </w:rPr>
        <w:footnoteReference w:id="1"/>
      </w:r>
      <w:r w:rsidRPr="000E63E0">
        <w:rPr>
          <w:rFonts w:cs="Arial"/>
          <w:szCs w:val="20"/>
        </w:rPr>
        <w:t xml:space="preserve"> </w:t>
      </w:r>
    </w:p>
    <w:p w:rsidR="00815862" w:rsidRDefault="000E63E0" w:rsidP="000E63E0">
      <w:pPr>
        <w:spacing w:after="240"/>
        <w:jc w:val="both"/>
        <w:rPr>
          <w:rFonts w:cs="Arial"/>
          <w:szCs w:val="20"/>
        </w:rPr>
      </w:pPr>
      <w:r w:rsidRPr="000E63E0">
        <w:rPr>
          <w:rFonts w:cs="Arial"/>
          <w:szCs w:val="20"/>
        </w:rPr>
        <w:t xml:space="preserve">V České republice je nepřímá podpora VaV poskytována </w:t>
      </w:r>
      <w:r w:rsidRPr="00815862">
        <w:rPr>
          <w:rFonts w:cs="Arial"/>
          <w:b/>
          <w:szCs w:val="20"/>
        </w:rPr>
        <w:t>od roku 2005</w:t>
      </w:r>
      <w:r w:rsidRPr="000E63E0">
        <w:rPr>
          <w:rFonts w:cs="Arial"/>
          <w:szCs w:val="20"/>
        </w:rPr>
        <w:t xml:space="preserve">, a to ve formě </w:t>
      </w:r>
      <w:r w:rsidRPr="00815862">
        <w:rPr>
          <w:rFonts w:cs="Arial"/>
          <w:b/>
          <w:szCs w:val="20"/>
        </w:rPr>
        <w:t>odpočtu odčitatelných položek od základu daně z příjmů</w:t>
      </w:r>
      <w:r w:rsidRPr="000E63E0">
        <w:rPr>
          <w:rFonts w:cs="Arial"/>
          <w:szCs w:val="20"/>
        </w:rPr>
        <w:t xml:space="preserve">, který je upraven podle § 34 odst. 4 a 5 zákona č. 586/1992 Sb., o daních z příjmů. Podle tohoto ustanovení si mohou daňový poplatníci provádějící VaV odečíst od základu </w:t>
      </w:r>
      <w:r w:rsidRPr="008D1AF4">
        <w:rPr>
          <w:rFonts w:cs="Arial"/>
          <w:szCs w:val="20"/>
        </w:rPr>
        <w:t>daně 100 % výdajů na VaV</w:t>
      </w:r>
      <w:r w:rsidRPr="000E63E0">
        <w:rPr>
          <w:rFonts w:cs="Arial"/>
          <w:szCs w:val="20"/>
        </w:rPr>
        <w:t xml:space="preserve">, které </w:t>
      </w:r>
      <w:r w:rsidR="00815862">
        <w:rPr>
          <w:rFonts w:cs="Arial"/>
          <w:szCs w:val="20"/>
        </w:rPr>
        <w:t xml:space="preserve">vynaložili </w:t>
      </w:r>
      <w:r w:rsidRPr="000E63E0">
        <w:rPr>
          <w:rFonts w:cs="Arial"/>
          <w:szCs w:val="20"/>
        </w:rPr>
        <w:t xml:space="preserve">během zdaňovacího období při realizaci </w:t>
      </w:r>
      <w:r w:rsidR="00815862" w:rsidRPr="009E57A8">
        <w:rPr>
          <w:rFonts w:cs="Arial"/>
          <w:b/>
          <w:szCs w:val="20"/>
        </w:rPr>
        <w:t>projektů VaV</w:t>
      </w:r>
      <w:r w:rsidR="00815862" w:rsidRPr="009E57A8">
        <w:rPr>
          <w:rStyle w:val="Znakapoznpodarou"/>
          <w:rFonts w:cs="Arial"/>
          <w:b/>
          <w:szCs w:val="20"/>
        </w:rPr>
        <w:footnoteReference w:id="2"/>
      </w:r>
      <w:r w:rsidR="00815862">
        <w:rPr>
          <w:rFonts w:cs="Arial"/>
          <w:b/>
          <w:szCs w:val="20"/>
        </w:rPr>
        <w:t>.</w:t>
      </w:r>
      <w:r w:rsidRPr="000E63E0">
        <w:rPr>
          <w:rFonts w:cs="Arial"/>
          <w:szCs w:val="20"/>
        </w:rPr>
        <w:t xml:space="preserve"> </w:t>
      </w:r>
      <w:r w:rsidR="00793EC8" w:rsidRPr="00793EC8">
        <w:rPr>
          <w:rFonts w:cs="Arial"/>
          <w:szCs w:val="20"/>
        </w:rPr>
        <w:t xml:space="preserve">Odpočet uznatelných </w:t>
      </w:r>
      <w:r w:rsidR="00793EC8">
        <w:rPr>
          <w:rFonts w:cs="Arial"/>
          <w:szCs w:val="20"/>
        </w:rPr>
        <w:t xml:space="preserve">výdajů na VaV </w:t>
      </w:r>
      <w:r w:rsidR="00793EC8" w:rsidRPr="00793EC8">
        <w:rPr>
          <w:rFonts w:cs="Arial"/>
          <w:szCs w:val="20"/>
        </w:rPr>
        <w:t xml:space="preserve">od daňového základu může subjekt provádějící VaV uplatnit pouze v případě, že na daný VaV projekt již nezískal přímou podporu VaV. </w:t>
      </w:r>
      <w:r w:rsidR="00793EC8">
        <w:rPr>
          <w:rFonts w:cs="Arial"/>
          <w:szCs w:val="20"/>
        </w:rPr>
        <w:t>N</w:t>
      </w:r>
      <w:r w:rsidR="00793EC8" w:rsidRPr="00793EC8">
        <w:rPr>
          <w:rFonts w:cs="Arial"/>
          <w:szCs w:val="20"/>
        </w:rPr>
        <w:t>erozhoduje, zda se jedná o základní výzkum, aplikovaných výzkum nebo experimentální vývoj.</w:t>
      </w:r>
    </w:p>
    <w:p w:rsidR="00793EC8" w:rsidRPr="00793EC8" w:rsidRDefault="00793EC8" w:rsidP="00793EC8">
      <w:pPr>
        <w:spacing w:after="240"/>
        <w:jc w:val="both"/>
        <w:rPr>
          <w:rFonts w:cs="Arial"/>
          <w:b/>
          <w:szCs w:val="20"/>
        </w:rPr>
      </w:pPr>
      <w:r w:rsidRPr="00793EC8">
        <w:rPr>
          <w:rFonts w:cs="Arial"/>
          <w:b/>
          <w:szCs w:val="20"/>
        </w:rPr>
        <w:t>Nepřímá podpora výzkumu a vývoje (VaV) prostřednictvím daňových odpočtů nákladů na VaV od základu daně je sekundárním nástrojem politiky podpory výzkumu a vývoje v České republice.</w:t>
      </w:r>
      <w:r w:rsidR="008F6FCE">
        <w:rPr>
          <w:rFonts w:cs="Arial"/>
          <w:b/>
          <w:szCs w:val="20"/>
        </w:rPr>
        <w:t xml:space="preserve"> Primárním nástrojem zůstává přímá veřejná podpora VaV.</w:t>
      </w:r>
    </w:p>
    <w:p w:rsidR="000E63E0" w:rsidRDefault="000E63E0" w:rsidP="000E63E0">
      <w:pPr>
        <w:spacing w:after="240"/>
        <w:jc w:val="both"/>
        <w:rPr>
          <w:rFonts w:cs="Arial"/>
          <w:szCs w:val="20"/>
        </w:rPr>
      </w:pPr>
      <w:r w:rsidRPr="000E63E0">
        <w:rPr>
          <w:rFonts w:cs="Arial"/>
          <w:szCs w:val="20"/>
        </w:rPr>
        <w:t xml:space="preserve">Podmínky a postup pro uplatnění nepřímé podpory VaV jsou stanoveny podrobněji v </w:t>
      </w:r>
      <w:r w:rsidRPr="00815862">
        <w:rPr>
          <w:rFonts w:cs="Arial"/>
          <w:b/>
          <w:szCs w:val="20"/>
        </w:rPr>
        <w:t>pokynu D</w:t>
      </w:r>
      <w:r w:rsidR="00815862">
        <w:rPr>
          <w:rFonts w:cs="Arial"/>
          <w:b/>
          <w:szCs w:val="20"/>
        </w:rPr>
        <w:t> </w:t>
      </w:r>
      <w:r w:rsidRPr="00815862">
        <w:rPr>
          <w:rFonts w:cs="Arial"/>
          <w:b/>
          <w:szCs w:val="20"/>
        </w:rPr>
        <w:t>288</w:t>
      </w:r>
      <w:r w:rsidRPr="000E63E0">
        <w:rPr>
          <w:rFonts w:cs="Arial"/>
          <w:szCs w:val="20"/>
        </w:rPr>
        <w:t xml:space="preserve">, který vydalo Ministerstvo financí České republiky </w:t>
      </w:r>
      <w:r w:rsidR="0093753B">
        <w:rPr>
          <w:rFonts w:cs="Arial"/>
          <w:szCs w:val="20"/>
        </w:rPr>
        <w:t>v roce</w:t>
      </w:r>
      <w:r w:rsidRPr="000E63E0">
        <w:rPr>
          <w:rFonts w:cs="Arial"/>
          <w:szCs w:val="20"/>
        </w:rPr>
        <w:t xml:space="preserve"> 2005</w:t>
      </w:r>
      <w:r w:rsidR="00815862" w:rsidRPr="00815862">
        <w:rPr>
          <w:rStyle w:val="Znakapoznpodarou"/>
          <w:rFonts w:cs="Arial"/>
          <w:szCs w:val="20"/>
        </w:rPr>
        <w:footnoteReference w:id="3"/>
      </w:r>
      <w:r w:rsidR="0093753B">
        <w:rPr>
          <w:rFonts w:cs="Arial"/>
          <w:szCs w:val="20"/>
        </w:rPr>
        <w:t xml:space="preserve"> a který byl následně v roce 2014 aktualizován</w:t>
      </w:r>
      <w:r w:rsidRPr="000E63E0">
        <w:rPr>
          <w:rFonts w:cs="Arial"/>
          <w:szCs w:val="20"/>
        </w:rPr>
        <w:t>.</w:t>
      </w:r>
      <w:r w:rsidR="00815862" w:rsidRPr="00815862">
        <w:rPr>
          <w:rStyle w:val="st"/>
          <w:rFonts w:cs="Arial"/>
          <w:szCs w:val="20"/>
        </w:rPr>
        <w:t xml:space="preserve"> </w:t>
      </w:r>
      <w:r w:rsidR="00815862">
        <w:rPr>
          <w:rStyle w:val="st"/>
          <w:rFonts w:cs="Arial"/>
          <w:szCs w:val="20"/>
        </w:rPr>
        <w:t xml:space="preserve">Tento pokyn </w:t>
      </w:r>
      <w:r w:rsidR="00815862" w:rsidRPr="00F54C1F">
        <w:rPr>
          <w:rStyle w:val="st"/>
          <w:rFonts w:cs="Arial"/>
          <w:szCs w:val="20"/>
        </w:rPr>
        <w:t>se zabývá p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 xml:space="preserve">edevším definicí </w:t>
      </w:r>
      <w:r w:rsidR="00815862">
        <w:rPr>
          <w:rStyle w:val="st"/>
          <w:rFonts w:cs="Arial"/>
          <w:szCs w:val="20"/>
        </w:rPr>
        <w:t>VaV</w:t>
      </w:r>
      <w:r w:rsidR="00815862" w:rsidRPr="00F54C1F">
        <w:rPr>
          <w:rStyle w:val="st"/>
          <w:rFonts w:cs="Arial"/>
          <w:szCs w:val="20"/>
        </w:rPr>
        <w:t>, v</w:t>
      </w:r>
      <w:r w:rsidR="00815862">
        <w:rPr>
          <w:rStyle w:val="st"/>
          <w:rFonts w:cs="Arial"/>
          <w:szCs w:val="20"/>
        </w:rPr>
        <w:t>č</w:t>
      </w:r>
      <w:r w:rsidR="00815862" w:rsidRPr="00F54C1F">
        <w:rPr>
          <w:rStyle w:val="st"/>
          <w:rFonts w:cs="Arial"/>
          <w:szCs w:val="20"/>
        </w:rPr>
        <w:t>etn</w:t>
      </w:r>
      <w:r w:rsidR="00815862">
        <w:rPr>
          <w:rStyle w:val="st"/>
          <w:rFonts w:cs="Arial"/>
          <w:szCs w:val="20"/>
        </w:rPr>
        <w:t>ě</w:t>
      </w:r>
      <w:r w:rsidR="00815862" w:rsidRPr="00F54C1F">
        <w:rPr>
          <w:rStyle w:val="st"/>
          <w:rFonts w:cs="Arial"/>
          <w:szCs w:val="20"/>
        </w:rPr>
        <w:t xml:space="preserve"> demonstrativního vý</w:t>
      </w:r>
      <w:r w:rsidR="00815862">
        <w:rPr>
          <w:rStyle w:val="st"/>
          <w:rFonts w:cs="Arial"/>
          <w:szCs w:val="20"/>
        </w:rPr>
        <w:t>č</w:t>
      </w:r>
      <w:r w:rsidR="00815862" w:rsidRPr="00F54C1F">
        <w:rPr>
          <w:rStyle w:val="st"/>
          <w:rFonts w:cs="Arial"/>
          <w:szCs w:val="20"/>
        </w:rPr>
        <w:t>tu aktivit, které lze za</w:t>
      </w:r>
      <w:r w:rsidR="00815862">
        <w:rPr>
          <w:rStyle w:val="st"/>
          <w:rFonts w:cs="Arial"/>
          <w:szCs w:val="20"/>
        </w:rPr>
        <w:t xml:space="preserve"> VaV</w:t>
      </w:r>
      <w:r w:rsidR="00815862" w:rsidRPr="00F54C1F">
        <w:rPr>
          <w:rStyle w:val="st"/>
          <w:rFonts w:cs="Arial"/>
          <w:szCs w:val="20"/>
        </w:rPr>
        <w:t xml:space="preserve"> považovat a které nikoli,</w:t>
      </w:r>
      <w:r w:rsidR="00815862">
        <w:rPr>
          <w:rStyle w:val="st"/>
          <w:rFonts w:cs="Arial"/>
          <w:szCs w:val="20"/>
        </w:rPr>
        <w:t xml:space="preserve"> </w:t>
      </w:r>
      <w:r w:rsidR="00815862" w:rsidRPr="00F54C1F">
        <w:rPr>
          <w:rStyle w:val="st"/>
          <w:rFonts w:cs="Arial"/>
          <w:szCs w:val="20"/>
        </w:rPr>
        <w:t>vymezením výdaj</w:t>
      </w:r>
      <w:r w:rsidR="00815862">
        <w:rPr>
          <w:rStyle w:val="st"/>
          <w:rFonts w:cs="Arial"/>
          <w:szCs w:val="20"/>
        </w:rPr>
        <w:t>ů</w:t>
      </w:r>
      <w:r w:rsidR="00815862" w:rsidRPr="00F54C1F">
        <w:rPr>
          <w:rStyle w:val="st"/>
          <w:rFonts w:cs="Arial"/>
          <w:szCs w:val="20"/>
        </w:rPr>
        <w:t xml:space="preserve"> vynaložených p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 xml:space="preserve">i realizaci </w:t>
      </w:r>
      <w:r w:rsidR="00815862">
        <w:rPr>
          <w:rStyle w:val="st"/>
          <w:rFonts w:cs="Arial"/>
          <w:szCs w:val="20"/>
        </w:rPr>
        <w:t xml:space="preserve">VaV nebo </w:t>
      </w:r>
      <w:r w:rsidR="00815862" w:rsidRPr="00F54C1F">
        <w:rPr>
          <w:rStyle w:val="st"/>
          <w:rFonts w:cs="Arial"/>
          <w:szCs w:val="20"/>
        </w:rPr>
        <w:t>postupem v p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>ípad</w:t>
      </w:r>
      <w:r w:rsidR="00815862">
        <w:rPr>
          <w:rStyle w:val="st"/>
          <w:rFonts w:cs="Arial"/>
          <w:szCs w:val="20"/>
        </w:rPr>
        <w:t>ě</w:t>
      </w:r>
      <w:r w:rsidR="00815862" w:rsidRPr="00F54C1F">
        <w:rPr>
          <w:rStyle w:val="st"/>
          <w:rFonts w:cs="Arial"/>
          <w:szCs w:val="20"/>
        </w:rPr>
        <w:t xml:space="preserve">, kdy poplatník </w:t>
      </w:r>
      <w:r w:rsidR="00815862">
        <w:rPr>
          <w:rStyle w:val="st"/>
          <w:rFonts w:cs="Arial"/>
          <w:szCs w:val="20"/>
        </w:rPr>
        <w:t>č</w:t>
      </w:r>
      <w:r w:rsidR="00815862" w:rsidRPr="00F54C1F">
        <w:rPr>
          <w:rStyle w:val="st"/>
          <w:rFonts w:cs="Arial"/>
          <w:szCs w:val="20"/>
        </w:rPr>
        <w:t>erpá podporu z ve</w:t>
      </w:r>
      <w:r w:rsidR="00815862">
        <w:rPr>
          <w:rStyle w:val="st"/>
          <w:rFonts w:cs="Arial"/>
          <w:szCs w:val="20"/>
        </w:rPr>
        <w:t>ř</w:t>
      </w:r>
      <w:r w:rsidR="00815862" w:rsidRPr="00F54C1F">
        <w:rPr>
          <w:rStyle w:val="st"/>
          <w:rFonts w:cs="Arial"/>
          <w:szCs w:val="20"/>
        </w:rPr>
        <w:t>ejných zdroj</w:t>
      </w:r>
      <w:r w:rsidR="00815862">
        <w:rPr>
          <w:rStyle w:val="st"/>
          <w:rFonts w:cs="Arial"/>
          <w:szCs w:val="20"/>
        </w:rPr>
        <w:t xml:space="preserve">ů. </w:t>
      </w:r>
      <w:r w:rsidR="00815862" w:rsidRPr="00B67D22">
        <w:rPr>
          <w:rStyle w:val="st"/>
          <w:rFonts w:cs="Arial"/>
          <w:szCs w:val="20"/>
        </w:rPr>
        <w:t xml:space="preserve">Je ovšem třeba zdůraznit, že </w:t>
      </w:r>
      <w:r w:rsidR="00B67D22" w:rsidRPr="00B67D22">
        <w:rPr>
          <w:rStyle w:val="st"/>
          <w:rFonts w:cs="Arial"/>
          <w:szCs w:val="20"/>
        </w:rPr>
        <w:t>metodické</w:t>
      </w:r>
      <w:r w:rsidR="00B67D22">
        <w:rPr>
          <w:rStyle w:val="st"/>
          <w:rFonts w:cs="Arial"/>
          <w:szCs w:val="20"/>
        </w:rPr>
        <w:t xml:space="preserve"> pokyny Ministerstva financí ČR</w:t>
      </w:r>
      <w:r w:rsidR="00B67D22" w:rsidRPr="00B67D22">
        <w:rPr>
          <w:rStyle w:val="st"/>
          <w:rFonts w:cs="Arial"/>
          <w:szCs w:val="20"/>
        </w:rPr>
        <w:t xml:space="preserve"> nejsou obecně závaznými právními předpisy. </w:t>
      </w:r>
    </w:p>
    <w:p w:rsidR="00CC5D9D" w:rsidRDefault="00CC5D9D" w:rsidP="00C463A9">
      <w:pPr>
        <w:spacing w:before="240" w:after="24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b/>
          <w:color w:val="009BB4"/>
          <w:sz w:val="24"/>
        </w:rPr>
        <w:t>Vymezení výzkumu a vývoje</w:t>
      </w:r>
    </w:p>
    <w:p w:rsidR="00CC5D9D" w:rsidRPr="00CC5D9D" w:rsidRDefault="00CC5D9D" w:rsidP="008E6828">
      <w:pPr>
        <w:spacing w:after="120"/>
        <w:jc w:val="both"/>
        <w:rPr>
          <w:rStyle w:val="st"/>
          <w:rFonts w:cs="Arial"/>
          <w:szCs w:val="20"/>
        </w:rPr>
      </w:pPr>
      <w:r w:rsidRPr="00CC5D9D">
        <w:rPr>
          <w:rStyle w:val="st"/>
          <w:rFonts w:cs="Arial"/>
          <w:szCs w:val="20"/>
        </w:rPr>
        <w:t xml:space="preserve">Základní vymezení </w:t>
      </w:r>
      <w:r>
        <w:rPr>
          <w:rStyle w:val="st"/>
          <w:rFonts w:cs="Arial"/>
          <w:szCs w:val="20"/>
        </w:rPr>
        <w:t>VaV</w:t>
      </w:r>
      <w:r w:rsidRPr="00CC5D9D">
        <w:rPr>
          <w:rStyle w:val="st"/>
          <w:rFonts w:cs="Arial"/>
          <w:szCs w:val="20"/>
        </w:rPr>
        <w:t xml:space="preserve"> vychází z § 2 odst. 1 </w:t>
      </w:r>
      <w:r w:rsidR="008E6828" w:rsidRPr="00815862">
        <w:rPr>
          <w:rStyle w:val="st"/>
          <w:rFonts w:cs="Arial"/>
          <w:szCs w:val="20"/>
        </w:rPr>
        <w:t>zákona o podpoře výzkumu a vývoje (č. 130/2002 Sb.)</w:t>
      </w:r>
      <w:r w:rsidR="008E6828">
        <w:rPr>
          <w:rStyle w:val="st"/>
          <w:rFonts w:cs="Arial"/>
          <w:szCs w:val="20"/>
        </w:rPr>
        <w:t xml:space="preserve">, kde se VaV </w:t>
      </w:r>
      <w:r w:rsidRPr="00CC5D9D">
        <w:rPr>
          <w:rStyle w:val="st"/>
          <w:rFonts w:cs="Arial"/>
          <w:szCs w:val="20"/>
        </w:rPr>
        <w:t>obecně rozumí systematická tvůrčí práce konaná za účelem získání</w:t>
      </w:r>
      <w:r>
        <w:rPr>
          <w:rStyle w:val="st"/>
          <w:rFonts w:cs="Arial"/>
          <w:szCs w:val="20"/>
        </w:rPr>
        <w:t xml:space="preserve"> </w:t>
      </w:r>
      <w:r w:rsidRPr="00CC5D9D">
        <w:rPr>
          <w:rStyle w:val="st"/>
          <w:rFonts w:cs="Arial"/>
          <w:szCs w:val="20"/>
        </w:rPr>
        <w:t>nových znalostí nebo jejich využití</w:t>
      </w:r>
      <w:r w:rsidR="00470CEE">
        <w:rPr>
          <w:rStyle w:val="st"/>
          <w:rFonts w:cs="Arial"/>
          <w:szCs w:val="20"/>
        </w:rPr>
        <w:t>.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8E6828">
        <w:rPr>
          <w:rStyle w:val="st"/>
          <w:rFonts w:cs="Arial"/>
          <w:b/>
          <w:szCs w:val="20"/>
        </w:rPr>
        <w:t>Základním kritériem</w:t>
      </w:r>
      <w:r w:rsidR="008E6828" w:rsidRPr="009D2799">
        <w:rPr>
          <w:rStyle w:val="st"/>
          <w:rFonts w:cs="Arial"/>
          <w:szCs w:val="20"/>
        </w:rPr>
        <w:t xml:space="preserve"> pro odlišení </w:t>
      </w:r>
      <w:r w:rsidR="008E6828">
        <w:rPr>
          <w:rStyle w:val="st"/>
          <w:rFonts w:cs="Arial"/>
          <w:szCs w:val="20"/>
        </w:rPr>
        <w:t>VaV</w:t>
      </w:r>
      <w:r w:rsidR="008E6828" w:rsidRPr="009D2799">
        <w:rPr>
          <w:rStyle w:val="st"/>
          <w:rFonts w:cs="Arial"/>
          <w:szCs w:val="20"/>
        </w:rPr>
        <w:t xml:space="preserve"> od ostatních (příbuzných) činností</w:t>
      </w:r>
      <w:r w:rsidR="008E6828">
        <w:rPr>
          <w:rStyle w:val="st"/>
          <w:rFonts w:cs="Arial"/>
          <w:szCs w:val="20"/>
        </w:rPr>
        <w:t xml:space="preserve"> </w:t>
      </w:r>
      <w:r w:rsidR="008E6828" w:rsidRPr="009D2799">
        <w:rPr>
          <w:rStyle w:val="st"/>
          <w:rFonts w:cs="Arial"/>
          <w:szCs w:val="20"/>
        </w:rPr>
        <w:t xml:space="preserve">je </w:t>
      </w:r>
      <w:r w:rsidR="008E6828" w:rsidRPr="008E6828">
        <w:rPr>
          <w:rStyle w:val="st"/>
          <w:rFonts w:cs="Arial"/>
          <w:b/>
          <w:szCs w:val="20"/>
        </w:rPr>
        <w:t xml:space="preserve">přítomnost ocenitelného prvku novosti </w:t>
      </w:r>
      <w:r w:rsidR="008E6828" w:rsidRPr="00815862">
        <w:rPr>
          <w:rStyle w:val="st"/>
          <w:rFonts w:cs="Arial"/>
          <w:szCs w:val="20"/>
        </w:rPr>
        <w:t>a vyjasnění výzkumné nebo technické nejistoty.</w:t>
      </w:r>
      <w:r w:rsidR="008E6828">
        <w:rPr>
          <w:rStyle w:val="st"/>
          <w:rFonts w:cs="Arial"/>
          <w:b/>
          <w:szCs w:val="20"/>
        </w:rPr>
        <w:t xml:space="preserve"> </w:t>
      </w:r>
      <w:r w:rsidR="00470CEE">
        <w:rPr>
          <w:rStyle w:val="st"/>
          <w:rFonts w:cs="Arial"/>
          <w:szCs w:val="20"/>
        </w:rPr>
        <w:t xml:space="preserve">VaV se </w:t>
      </w:r>
      <w:r w:rsidRPr="00CC5D9D">
        <w:rPr>
          <w:rStyle w:val="st"/>
          <w:rFonts w:cs="Arial"/>
          <w:szCs w:val="20"/>
        </w:rPr>
        <w:t>dále rozlišuje</w:t>
      </w:r>
      <w:r w:rsidR="00470CEE">
        <w:rPr>
          <w:rStyle w:val="st"/>
          <w:rFonts w:cs="Arial"/>
          <w:szCs w:val="20"/>
        </w:rPr>
        <w:t xml:space="preserve"> na následující kategorie</w:t>
      </w:r>
      <w:r w:rsidRPr="00CC5D9D">
        <w:rPr>
          <w:rStyle w:val="st"/>
          <w:rFonts w:cs="Arial"/>
          <w:szCs w:val="20"/>
        </w:rPr>
        <w:t>:</w:t>
      </w:r>
    </w:p>
    <w:p w:rsidR="00DF7E65" w:rsidRPr="00DF7E65" w:rsidRDefault="00CC5D9D" w:rsidP="00DF7E65">
      <w:pPr>
        <w:pStyle w:val="Odstavecseseznamem"/>
        <w:numPr>
          <w:ilvl w:val="0"/>
          <w:numId w:val="7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výzkum</w:t>
      </w:r>
      <w:r w:rsidR="003F05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systematická tvůrčí práce rozšiřující poznání, včetně poznání člověka,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kultury nebo společnosti, metodami umožňujícími potvrzení, doplnění či vyvrácení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získaných poznatků, prováděná jako</w:t>
      </w:r>
      <w:r w:rsidR="00C96820">
        <w:rPr>
          <w:rStyle w:val="st"/>
          <w:rFonts w:cs="Arial"/>
          <w:szCs w:val="20"/>
        </w:rPr>
        <w:t>: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základní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získat znalosti o základech či podstatě pozorovaných jevů, vysvětlení jejich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příčin a možných dopadů při využití získaných poznatků;</w:t>
      </w:r>
    </w:p>
    <w:p w:rsidR="00CC5D9D" w:rsidRPr="00881296" w:rsidRDefault="00CC5D9D" w:rsidP="00DF7E65">
      <w:pPr>
        <w:pStyle w:val="Odstavecseseznamem"/>
        <w:numPr>
          <w:ilvl w:val="1"/>
          <w:numId w:val="9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lastRenderedPageBreak/>
        <w:t>aplikovaný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experimentální nebo teoretické práce prováděné s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cílem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získání nových poznatků zaměřených na budoucí využití v praxi;</w:t>
      </w:r>
    </w:p>
    <w:p w:rsidR="008E6828" w:rsidRPr="008E6828" w:rsidRDefault="00CC5D9D" w:rsidP="007F39BE">
      <w:pPr>
        <w:pStyle w:val="Odstavecseseznamem"/>
        <w:numPr>
          <w:ilvl w:val="2"/>
          <w:numId w:val="20"/>
        </w:numPr>
        <w:spacing w:after="6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>průmyslový výzkum</w:t>
      </w:r>
      <w:r w:rsidR="007F39BE">
        <w:rPr>
          <w:rStyle w:val="st"/>
          <w:rFonts w:cs="Arial"/>
          <w:szCs w:val="20"/>
        </w:rPr>
        <w:t xml:space="preserve"> –</w:t>
      </w:r>
      <w:r w:rsidRPr="00C96820">
        <w:rPr>
          <w:rStyle w:val="st"/>
          <w:rFonts w:cs="Arial"/>
          <w:szCs w:val="20"/>
        </w:rPr>
        <w:t xml:space="preserve"> část aplikovaného výzkumu, jehož výsledky se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prostřednictvím vývoje využívají v nových výrobcích, technologiích a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službách, které jsou určeny k podnikání podle zvláštního právního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předpisu</w:t>
      </w:r>
      <w:r w:rsidR="00DF7E65">
        <w:rPr>
          <w:rStyle w:val="st"/>
          <w:rFonts w:cs="Arial"/>
          <w:szCs w:val="20"/>
        </w:rPr>
        <w:t>.</w:t>
      </w:r>
    </w:p>
    <w:p w:rsidR="00CC5D9D" w:rsidRPr="00ED26B4" w:rsidRDefault="00CC5D9D" w:rsidP="00E14754">
      <w:pPr>
        <w:pStyle w:val="Odstavecseseznamem"/>
        <w:numPr>
          <w:ilvl w:val="0"/>
          <w:numId w:val="7"/>
        </w:numPr>
        <w:spacing w:after="240" w:line="288" w:lineRule="auto"/>
        <w:rPr>
          <w:rStyle w:val="st"/>
          <w:rFonts w:cs="Arial"/>
          <w:szCs w:val="20"/>
        </w:rPr>
      </w:pPr>
      <w:r w:rsidRPr="00E14754">
        <w:rPr>
          <w:rStyle w:val="st"/>
          <w:rFonts w:cs="Arial"/>
          <w:b/>
          <w:szCs w:val="20"/>
        </w:rPr>
        <w:t xml:space="preserve">vývoj </w:t>
      </w:r>
      <w:r w:rsidR="007F39BE">
        <w:rPr>
          <w:rStyle w:val="st"/>
          <w:rFonts w:cs="Arial"/>
          <w:szCs w:val="20"/>
        </w:rPr>
        <w:t>–</w:t>
      </w:r>
      <w:r w:rsidRPr="00C96820">
        <w:rPr>
          <w:rStyle w:val="st"/>
          <w:rFonts w:cs="Arial"/>
          <w:szCs w:val="20"/>
        </w:rPr>
        <w:t xml:space="preserve"> systematické tvůrčí využití poznatků výzkumu nebo jiných námětů k</w:t>
      </w:r>
      <w:r w:rsidR="00470CEE" w:rsidRPr="00C96820">
        <w:rPr>
          <w:rStyle w:val="st"/>
          <w:rFonts w:cs="Arial"/>
          <w:szCs w:val="20"/>
        </w:rPr>
        <w:t> </w:t>
      </w:r>
      <w:r w:rsidRPr="00C96820">
        <w:rPr>
          <w:rStyle w:val="st"/>
          <w:rFonts w:cs="Arial"/>
          <w:szCs w:val="20"/>
        </w:rPr>
        <w:t>produkci</w:t>
      </w:r>
      <w:r w:rsidR="00470CEE" w:rsidRPr="00C96820">
        <w:rPr>
          <w:rStyle w:val="st"/>
          <w:rFonts w:cs="Arial"/>
          <w:szCs w:val="20"/>
        </w:rPr>
        <w:t xml:space="preserve"> </w:t>
      </w:r>
      <w:r w:rsidRPr="00C96820">
        <w:rPr>
          <w:rStyle w:val="st"/>
          <w:rFonts w:cs="Arial"/>
          <w:szCs w:val="20"/>
        </w:rPr>
        <w:t>nových nebo zlepšených materiálů, výrobků nebo zařízení anebo k zavedení nových či</w:t>
      </w:r>
      <w:r w:rsidR="00470CEE" w:rsidRPr="00881296">
        <w:rPr>
          <w:rStyle w:val="st"/>
          <w:rFonts w:cs="Arial"/>
          <w:szCs w:val="20"/>
        </w:rPr>
        <w:t xml:space="preserve"> </w:t>
      </w:r>
      <w:r w:rsidRPr="00881296">
        <w:rPr>
          <w:rStyle w:val="st"/>
          <w:rFonts w:cs="Arial"/>
          <w:szCs w:val="20"/>
        </w:rPr>
        <w:t>zlepšených technologií, systémů a služeb, včetně pořízení a ověření prototypů,</w:t>
      </w:r>
      <w:r w:rsidR="00470CEE" w:rsidRPr="00ED26B4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poloprovozních nebo předváděcích zařízení</w:t>
      </w:r>
      <w:r w:rsidR="00470CEE" w:rsidRPr="00ED26B4">
        <w:rPr>
          <w:rStyle w:val="st"/>
          <w:rFonts w:cs="Arial"/>
          <w:szCs w:val="20"/>
        </w:rPr>
        <w:t>.</w:t>
      </w:r>
    </w:p>
    <w:p w:rsidR="00881296" w:rsidRDefault="00C96820" w:rsidP="00ED26B4">
      <w:pPr>
        <w:spacing w:after="24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>Tato d</w:t>
      </w:r>
      <w:r w:rsidR="00E33D7D" w:rsidRPr="00E11327">
        <w:rPr>
          <w:rStyle w:val="st"/>
          <w:rFonts w:cs="Arial"/>
          <w:szCs w:val="20"/>
        </w:rPr>
        <w:t xml:space="preserve">efinice </w:t>
      </w:r>
      <w:r>
        <w:rPr>
          <w:rStyle w:val="st"/>
          <w:rFonts w:cs="Arial"/>
          <w:szCs w:val="20"/>
        </w:rPr>
        <w:t xml:space="preserve">a vymezení základních kategorií VaV je </w:t>
      </w:r>
      <w:r w:rsidR="00E33D7D" w:rsidRPr="00356188">
        <w:rPr>
          <w:rStyle w:val="st"/>
          <w:rFonts w:cs="Arial"/>
          <w:szCs w:val="20"/>
        </w:rPr>
        <w:t>v zásadě</w:t>
      </w:r>
      <w:r w:rsidR="00E33D7D" w:rsidRPr="00464380">
        <w:rPr>
          <w:rStyle w:val="st"/>
          <w:rFonts w:cs="Arial"/>
          <w:szCs w:val="20"/>
        </w:rPr>
        <w:t xml:space="preserve"> </w:t>
      </w:r>
      <w:r w:rsidR="00E33D7D" w:rsidRPr="00DF7E65">
        <w:rPr>
          <w:rStyle w:val="st"/>
          <w:rFonts w:cs="Arial"/>
          <w:b/>
          <w:szCs w:val="20"/>
        </w:rPr>
        <w:t>v souladu</w:t>
      </w:r>
      <w:r w:rsidR="00E33D7D" w:rsidRPr="00E11327">
        <w:rPr>
          <w:rStyle w:val="st"/>
          <w:rFonts w:cs="Arial"/>
          <w:szCs w:val="20"/>
        </w:rPr>
        <w:t xml:space="preserve"> s široce užívanými </w:t>
      </w:r>
      <w:r>
        <w:rPr>
          <w:rStyle w:val="st"/>
          <w:rFonts w:cs="Arial"/>
          <w:szCs w:val="20"/>
        </w:rPr>
        <w:t xml:space="preserve">mezinárodními </w:t>
      </w:r>
      <w:r w:rsidR="00E33D7D" w:rsidRPr="00E11327">
        <w:rPr>
          <w:rStyle w:val="st"/>
          <w:rFonts w:cs="Arial"/>
          <w:szCs w:val="20"/>
        </w:rPr>
        <w:t>definicemi odvozenými od tzv. Frascati manuálu</w:t>
      </w:r>
      <w:r w:rsidR="00881296">
        <w:rPr>
          <w:rStyle w:val="st"/>
          <w:rFonts w:cs="Arial"/>
          <w:szCs w:val="20"/>
        </w:rPr>
        <w:t xml:space="preserve"> (OECD, Paris, 2012)</w:t>
      </w:r>
      <w:r w:rsidR="00881296" w:rsidRPr="00DF7E65">
        <w:rPr>
          <w:rStyle w:val="Znakapoznpodarou"/>
          <w:rFonts w:cs="Arial"/>
          <w:b/>
          <w:szCs w:val="20"/>
        </w:rPr>
        <w:footnoteReference w:id="4"/>
      </w:r>
      <w:r w:rsidR="00881296">
        <w:rPr>
          <w:rStyle w:val="st"/>
          <w:rFonts w:cs="Arial"/>
          <w:szCs w:val="20"/>
        </w:rPr>
        <w:t xml:space="preserve">. </w:t>
      </w:r>
      <w:r w:rsidR="00ED26B4">
        <w:rPr>
          <w:rStyle w:val="st"/>
          <w:rFonts w:cs="Arial"/>
          <w:szCs w:val="20"/>
        </w:rPr>
        <w:t xml:space="preserve">Podrobné </w:t>
      </w:r>
      <w:r w:rsidR="00815862">
        <w:rPr>
          <w:rStyle w:val="st"/>
          <w:rFonts w:cs="Arial"/>
          <w:szCs w:val="20"/>
        </w:rPr>
        <w:t xml:space="preserve">vymezení VaV, tak jak je používáno ČSÚ </w:t>
      </w:r>
      <w:r w:rsidR="00ED26B4">
        <w:rPr>
          <w:rStyle w:val="st"/>
          <w:rFonts w:cs="Arial"/>
          <w:szCs w:val="20"/>
        </w:rPr>
        <w:t>v</w:t>
      </w:r>
      <w:r w:rsidR="00815862">
        <w:rPr>
          <w:rStyle w:val="st"/>
          <w:rFonts w:cs="Arial"/>
          <w:szCs w:val="20"/>
        </w:rPr>
        <w:t xml:space="preserve"> Ročním šetření o výzkumu a vývoji je </w:t>
      </w:r>
      <w:r w:rsidR="00ED26B4">
        <w:rPr>
          <w:rStyle w:val="st"/>
          <w:rFonts w:cs="Arial"/>
          <w:szCs w:val="20"/>
        </w:rPr>
        <w:t>uveden</w:t>
      </w:r>
      <w:r w:rsidR="00815862">
        <w:rPr>
          <w:rStyle w:val="st"/>
          <w:rFonts w:cs="Arial"/>
          <w:szCs w:val="20"/>
        </w:rPr>
        <w:t>o</w:t>
      </w:r>
      <w:r w:rsidR="00ED26B4">
        <w:rPr>
          <w:rStyle w:val="st"/>
          <w:rFonts w:cs="Arial"/>
          <w:szCs w:val="20"/>
        </w:rPr>
        <w:t xml:space="preserve"> v publikaci: „</w:t>
      </w:r>
      <w:r w:rsidR="00ED26B4" w:rsidRPr="00DF7E65">
        <w:rPr>
          <w:rStyle w:val="st"/>
          <w:rFonts w:cs="Arial"/>
          <w:b/>
          <w:szCs w:val="20"/>
        </w:rPr>
        <w:t>Ukazatele výzkumu a vývoje“</w:t>
      </w:r>
      <w:r w:rsidR="00ED26B4" w:rsidRPr="00DF7E65">
        <w:rPr>
          <w:rStyle w:val="Znakapoznpodarou"/>
          <w:rFonts w:cs="Arial"/>
          <w:b/>
          <w:szCs w:val="20"/>
        </w:rPr>
        <w:footnoteReference w:id="5"/>
      </w:r>
      <w:r w:rsidR="00ED26B4" w:rsidRPr="00ED26B4">
        <w:rPr>
          <w:rStyle w:val="st"/>
          <w:rFonts w:cs="Arial"/>
          <w:szCs w:val="20"/>
        </w:rPr>
        <w:t xml:space="preserve"> </w:t>
      </w:r>
      <w:r w:rsidR="00ED26B4">
        <w:rPr>
          <w:rStyle w:val="st"/>
          <w:rFonts w:cs="Arial"/>
          <w:szCs w:val="20"/>
        </w:rPr>
        <w:t>nebo na stránkách ČSÚ</w:t>
      </w:r>
      <w:r w:rsidR="00ED26B4">
        <w:rPr>
          <w:rStyle w:val="Znakapoznpodarou"/>
          <w:rFonts w:cs="Arial"/>
          <w:szCs w:val="20"/>
        </w:rPr>
        <w:footnoteReference w:id="6"/>
      </w:r>
      <w:r w:rsidR="00ED26B4">
        <w:rPr>
          <w:rStyle w:val="st"/>
          <w:rFonts w:cs="Arial"/>
          <w:szCs w:val="20"/>
        </w:rPr>
        <w:t xml:space="preserve">. </w:t>
      </w:r>
      <w:r w:rsidR="00ED26B4" w:rsidRPr="00ED26B4">
        <w:rPr>
          <w:rStyle w:val="st"/>
          <w:rFonts w:cs="Arial"/>
          <w:szCs w:val="20"/>
        </w:rPr>
        <w:t xml:space="preserve"> </w:t>
      </w:r>
      <w:r w:rsidR="00ED26B4">
        <w:rPr>
          <w:rStyle w:val="st"/>
          <w:rFonts w:cs="Arial"/>
          <w:szCs w:val="20"/>
        </w:rPr>
        <w:t xml:space="preserve">   </w:t>
      </w:r>
    </w:p>
    <w:p w:rsidR="00961B2B" w:rsidRDefault="00ED26B4" w:rsidP="00793EC8">
      <w:pPr>
        <w:spacing w:after="120"/>
        <w:jc w:val="both"/>
        <w:rPr>
          <w:rStyle w:val="st"/>
          <w:rFonts w:cs="Arial"/>
          <w:szCs w:val="20"/>
        </w:rPr>
      </w:pPr>
      <w:r>
        <w:rPr>
          <w:rStyle w:val="st"/>
          <w:rFonts w:cs="Arial"/>
          <w:szCs w:val="20"/>
        </w:rPr>
        <w:t xml:space="preserve">Mezi </w:t>
      </w:r>
      <w:r w:rsidR="00815862">
        <w:rPr>
          <w:rStyle w:val="st"/>
          <w:rFonts w:cs="Arial"/>
          <w:szCs w:val="20"/>
        </w:rPr>
        <w:t>aktivity</w:t>
      </w:r>
      <w:r w:rsidR="0024246D">
        <w:rPr>
          <w:rStyle w:val="st"/>
          <w:rFonts w:cs="Arial"/>
          <w:szCs w:val="20"/>
        </w:rPr>
        <w:t>, kter</w:t>
      </w:r>
      <w:r w:rsidR="00815862">
        <w:rPr>
          <w:rStyle w:val="st"/>
          <w:rFonts w:cs="Arial"/>
          <w:szCs w:val="20"/>
        </w:rPr>
        <w:t>é</w:t>
      </w:r>
      <w:r w:rsidR="0024246D">
        <w:rPr>
          <w:rStyle w:val="st"/>
          <w:rFonts w:cs="Arial"/>
          <w:szCs w:val="20"/>
        </w:rPr>
        <w:t xml:space="preserve"> </w:t>
      </w:r>
      <w:r w:rsidR="0024246D" w:rsidRPr="0024246D">
        <w:rPr>
          <w:rStyle w:val="st"/>
          <w:rFonts w:cs="Arial"/>
          <w:b/>
          <w:szCs w:val="20"/>
        </w:rPr>
        <w:t>lze zahrnout</w:t>
      </w:r>
      <w:r w:rsidR="0024246D">
        <w:rPr>
          <w:rStyle w:val="st"/>
          <w:rFonts w:cs="Arial"/>
          <w:szCs w:val="20"/>
        </w:rPr>
        <w:t xml:space="preserve"> </w:t>
      </w:r>
      <w:r w:rsidRPr="00ED26B4">
        <w:rPr>
          <w:rStyle w:val="st"/>
          <w:rFonts w:cs="Arial"/>
          <w:szCs w:val="20"/>
        </w:rPr>
        <w:t>pro účely odpočtu od základu daně z</w:t>
      </w:r>
      <w:r>
        <w:rPr>
          <w:rStyle w:val="st"/>
          <w:rFonts w:cs="Arial"/>
          <w:szCs w:val="20"/>
        </w:rPr>
        <w:t> </w:t>
      </w:r>
      <w:r w:rsidRPr="00ED26B4">
        <w:rPr>
          <w:rStyle w:val="st"/>
          <w:rFonts w:cs="Arial"/>
          <w:szCs w:val="20"/>
        </w:rPr>
        <w:t>příjmů</w:t>
      </w:r>
      <w:r>
        <w:rPr>
          <w:rStyle w:val="st"/>
          <w:rFonts w:cs="Arial"/>
          <w:szCs w:val="20"/>
        </w:rPr>
        <w:t xml:space="preserve"> patří zejména</w:t>
      </w:r>
      <w:r w:rsidR="00793EC8">
        <w:rPr>
          <w:rStyle w:val="st"/>
          <w:rFonts w:cs="Arial"/>
          <w:szCs w:val="20"/>
        </w:rPr>
        <w:t xml:space="preserve"> výzkum a následný </w:t>
      </w:r>
      <w:r w:rsidR="00D15A54" w:rsidRPr="00D15A54">
        <w:rPr>
          <w:rStyle w:val="st"/>
          <w:rFonts w:cs="Arial"/>
          <w:szCs w:val="20"/>
        </w:rPr>
        <w:t>vývoj nových, zlepšených nebo zdokonalených výrobků, materiálů, služeb</w:t>
      </w:r>
      <w:r w:rsidR="00793EC8">
        <w:rPr>
          <w:rStyle w:val="st"/>
          <w:rFonts w:cs="Arial"/>
          <w:szCs w:val="20"/>
        </w:rPr>
        <w:t xml:space="preserve">, technologií a </w:t>
      </w:r>
      <w:r w:rsidR="00D15A54" w:rsidRPr="008F0FD2">
        <w:rPr>
          <w:rStyle w:val="st"/>
          <w:rFonts w:cs="Arial"/>
          <w:szCs w:val="20"/>
        </w:rPr>
        <w:t>využívaných výrobních postupů a metod</w:t>
      </w:r>
      <w:r w:rsidR="00793EC8">
        <w:rPr>
          <w:rStyle w:val="st"/>
          <w:rFonts w:cs="Arial"/>
          <w:szCs w:val="20"/>
        </w:rPr>
        <w:t xml:space="preserve"> včetně </w:t>
      </w:r>
      <w:r w:rsidR="00D15A54">
        <w:rPr>
          <w:rStyle w:val="st"/>
          <w:rFonts w:cs="Arial"/>
          <w:szCs w:val="20"/>
        </w:rPr>
        <w:t>p</w:t>
      </w:r>
      <w:r w:rsidR="00D15A54" w:rsidRPr="008F0FD2">
        <w:rPr>
          <w:rStyle w:val="st"/>
          <w:rFonts w:cs="Arial"/>
          <w:szCs w:val="20"/>
        </w:rPr>
        <w:t>rojektování nových nebo zdokonalených zařízení nebo technologií</w:t>
      </w:r>
      <w:r w:rsidR="00635B9F">
        <w:rPr>
          <w:rStyle w:val="st"/>
          <w:rFonts w:cs="Arial"/>
          <w:szCs w:val="20"/>
        </w:rPr>
        <w:t>,</w:t>
      </w:r>
      <w:r w:rsidR="00793EC8">
        <w:rPr>
          <w:rStyle w:val="st"/>
          <w:rFonts w:cs="Arial"/>
          <w:szCs w:val="20"/>
        </w:rPr>
        <w:t xml:space="preserve"> </w:t>
      </w:r>
      <w:r w:rsidR="00D15A54" w:rsidRPr="00D15A54">
        <w:rPr>
          <w:rStyle w:val="st"/>
          <w:rFonts w:cs="Arial"/>
          <w:szCs w:val="20"/>
        </w:rPr>
        <w:t xml:space="preserve">a to </w:t>
      </w:r>
      <w:r w:rsidR="0024246D">
        <w:rPr>
          <w:rStyle w:val="st"/>
          <w:rFonts w:cs="Arial"/>
          <w:szCs w:val="20"/>
        </w:rPr>
        <w:t xml:space="preserve">prováděný </w:t>
      </w:r>
      <w:r w:rsidR="00D15A54" w:rsidRPr="00D15A54">
        <w:rPr>
          <w:rStyle w:val="st"/>
          <w:rFonts w:cs="Arial"/>
          <w:szCs w:val="20"/>
        </w:rPr>
        <w:t>prostřednictvím</w:t>
      </w:r>
      <w:r w:rsidR="00D15A54">
        <w:rPr>
          <w:rStyle w:val="st"/>
          <w:rFonts w:cs="Arial"/>
          <w:szCs w:val="20"/>
        </w:rPr>
        <w:t xml:space="preserve"> celé řady činností specifikovaných ve výše uvedeném pokynu D</w:t>
      </w:r>
      <w:r w:rsidR="00815862">
        <w:rPr>
          <w:rStyle w:val="st"/>
          <w:rFonts w:cs="Arial"/>
          <w:szCs w:val="20"/>
        </w:rPr>
        <w:t> </w:t>
      </w:r>
      <w:r w:rsidR="00D15A54">
        <w:rPr>
          <w:rStyle w:val="st"/>
          <w:rFonts w:cs="Arial"/>
          <w:szCs w:val="20"/>
        </w:rPr>
        <w:t>288</w:t>
      </w:r>
      <w:r w:rsidR="00635B9F">
        <w:rPr>
          <w:rStyle w:val="Znakapoznpodarou"/>
          <w:rFonts w:cs="Arial"/>
          <w:szCs w:val="20"/>
        </w:rPr>
        <w:footnoteReference w:id="7"/>
      </w:r>
      <w:r w:rsidR="00D15A54">
        <w:rPr>
          <w:rStyle w:val="st"/>
          <w:rFonts w:cs="Arial"/>
          <w:szCs w:val="20"/>
        </w:rPr>
        <w:t xml:space="preserve">. </w:t>
      </w:r>
    </w:p>
    <w:p w:rsidR="00961B2B" w:rsidRPr="00961B2B" w:rsidRDefault="00961B2B" w:rsidP="00E14754">
      <w:pPr>
        <w:spacing w:after="120"/>
        <w:rPr>
          <w:rStyle w:val="st"/>
          <w:rFonts w:cs="Arial"/>
          <w:szCs w:val="20"/>
        </w:rPr>
      </w:pPr>
      <w:r w:rsidRPr="00961B2B">
        <w:rPr>
          <w:rStyle w:val="st"/>
          <w:rFonts w:cs="Arial"/>
          <w:szCs w:val="20"/>
        </w:rPr>
        <w:t>Mezi činnosti</w:t>
      </w:r>
      <w:r>
        <w:rPr>
          <w:rStyle w:val="st"/>
          <w:rFonts w:cs="Arial"/>
          <w:szCs w:val="20"/>
        </w:rPr>
        <w:t xml:space="preserve">, které </w:t>
      </w:r>
      <w:r w:rsidR="0024246D">
        <w:rPr>
          <w:rStyle w:val="st"/>
          <w:rFonts w:cs="Arial"/>
          <w:szCs w:val="20"/>
        </w:rPr>
        <w:t xml:space="preserve">dle tohoto pokynu naopak </w:t>
      </w:r>
      <w:r w:rsidRPr="0024246D">
        <w:rPr>
          <w:rStyle w:val="st"/>
          <w:rFonts w:cs="Arial"/>
          <w:b/>
          <w:szCs w:val="20"/>
        </w:rPr>
        <w:t xml:space="preserve">nelze </w:t>
      </w:r>
      <w:r w:rsidR="00464380" w:rsidRPr="00961B2B">
        <w:rPr>
          <w:rStyle w:val="st"/>
          <w:rFonts w:cs="Arial"/>
          <w:szCs w:val="20"/>
        </w:rPr>
        <w:t xml:space="preserve">mezi VaV </w:t>
      </w:r>
      <w:r w:rsidRPr="00356188">
        <w:rPr>
          <w:rStyle w:val="st"/>
          <w:rFonts w:cs="Arial"/>
          <w:szCs w:val="20"/>
        </w:rPr>
        <w:t>zahrnout</w:t>
      </w:r>
      <w:r w:rsidRPr="00961B2B">
        <w:rPr>
          <w:rStyle w:val="st"/>
          <w:rFonts w:cs="Arial"/>
          <w:szCs w:val="20"/>
        </w:rPr>
        <w:t xml:space="preserve"> patří zejména:</w:t>
      </w:r>
    </w:p>
    <w:p w:rsidR="00961B2B" w:rsidRDefault="00961B2B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szCs w:val="20"/>
        </w:rPr>
      </w:pPr>
      <w:r w:rsidRPr="00635B9F">
        <w:rPr>
          <w:rStyle w:val="st"/>
          <w:rFonts w:cs="Arial"/>
          <w:b/>
          <w:szCs w:val="20"/>
        </w:rPr>
        <w:t>vzdělávání a výcvik pracovníků</w:t>
      </w:r>
      <w:r w:rsidRPr="00961B2B">
        <w:rPr>
          <w:rStyle w:val="st"/>
          <w:rFonts w:cs="Arial"/>
          <w:szCs w:val="20"/>
        </w:rPr>
        <w:t xml:space="preserve"> na univerzitách a institucích pro vyšší a pomaturitní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vzdělávání,</w:t>
      </w:r>
    </w:p>
    <w:p w:rsidR="00961B2B" w:rsidRPr="00062A19" w:rsidRDefault="00961B2B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i/>
          <w:szCs w:val="20"/>
        </w:rPr>
      </w:pPr>
      <w:r w:rsidRPr="00635B9F">
        <w:rPr>
          <w:rStyle w:val="st"/>
          <w:rFonts w:cs="Arial"/>
          <w:b/>
          <w:szCs w:val="20"/>
        </w:rPr>
        <w:t>příbuzné vědeckotechnické činnosti</w:t>
      </w:r>
      <w:r w:rsidRPr="00961B2B">
        <w:rPr>
          <w:rStyle w:val="st"/>
          <w:rFonts w:cs="Arial"/>
          <w:szCs w:val="20"/>
        </w:rPr>
        <w:t>, kterými jsou zejména informační služby jako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shromažďování, kódování, klasifikace, zaznamenávání, rozšiřování, překládání,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analyzování, vyhodnocování prováděné vědeckotechnickými pracovníky,</w:t>
      </w:r>
      <w:r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bibliografickou, informační, poradenskou či patentovou službou, nebo vědeckou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konferencí, sběr údajů či pozorování rutinního charakteru, jakož i zpracování těchto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údajů, například geologický, meteorologický průzkum, astronomická pozorování, sčítání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lidu, průzkum trhu, udržování národních standardů, kalibraci a analýzu materiálů,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výrobků, procesů, půd, ovzduší</w:t>
      </w:r>
      <w:r w:rsidR="00543AB1">
        <w:rPr>
          <w:rStyle w:val="st"/>
          <w:rFonts w:cs="Arial"/>
          <w:szCs w:val="20"/>
        </w:rPr>
        <w:t xml:space="preserve"> –</w:t>
      </w:r>
      <w:r w:rsidRPr="00961B2B">
        <w:rPr>
          <w:rStyle w:val="st"/>
          <w:rFonts w:cs="Arial"/>
          <w:szCs w:val="20"/>
        </w:rPr>
        <w:t xml:space="preserve"> </w:t>
      </w:r>
      <w:r w:rsidRPr="00062A19">
        <w:rPr>
          <w:rStyle w:val="st"/>
          <w:rFonts w:cs="Arial"/>
          <w:i/>
          <w:szCs w:val="20"/>
        </w:rPr>
        <w:t>výjimkou jsou činnosti prováděné výlučně pro účely</w:t>
      </w:r>
      <w:r w:rsidR="003B2BAD" w:rsidRPr="00062A19">
        <w:rPr>
          <w:rStyle w:val="st"/>
          <w:rFonts w:cs="Arial"/>
          <w:i/>
          <w:szCs w:val="20"/>
        </w:rPr>
        <w:t xml:space="preserve"> </w:t>
      </w:r>
      <w:r w:rsidRPr="00062A19">
        <w:rPr>
          <w:rStyle w:val="st"/>
          <w:rFonts w:cs="Arial"/>
          <w:i/>
          <w:szCs w:val="20"/>
        </w:rPr>
        <w:t>projektu</w:t>
      </w:r>
      <w:r w:rsidR="00062A19">
        <w:rPr>
          <w:rStyle w:val="st"/>
          <w:rFonts w:cs="Arial"/>
          <w:i/>
          <w:szCs w:val="20"/>
        </w:rPr>
        <w:t>;</w:t>
      </w:r>
    </w:p>
    <w:p w:rsidR="00961B2B" w:rsidRPr="00062A19" w:rsidRDefault="003B2BAD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i/>
          <w:szCs w:val="20"/>
        </w:rPr>
      </w:pPr>
      <w:r w:rsidRPr="00062A19">
        <w:rPr>
          <w:rStyle w:val="st"/>
          <w:rFonts w:cs="Arial"/>
          <w:b/>
          <w:szCs w:val="20"/>
        </w:rPr>
        <w:t>běžné použití lékařských znalostí</w:t>
      </w:r>
      <w:r w:rsidRPr="00961B2B">
        <w:rPr>
          <w:rStyle w:val="st"/>
          <w:rFonts w:cs="Arial"/>
          <w:szCs w:val="20"/>
        </w:rPr>
        <w:t>, veškerou lékařskou péči</w:t>
      </w:r>
      <w:r>
        <w:rPr>
          <w:rStyle w:val="st"/>
          <w:rFonts w:cs="Arial"/>
          <w:szCs w:val="20"/>
        </w:rPr>
        <w:t xml:space="preserve">, </w:t>
      </w:r>
      <w:r w:rsidR="00961B2B" w:rsidRPr="00961B2B">
        <w:rPr>
          <w:rStyle w:val="st"/>
          <w:rFonts w:cs="Arial"/>
          <w:szCs w:val="20"/>
        </w:rPr>
        <w:t>studie proveditelnosti, rutinní zkoumání a používání</w:t>
      </w:r>
      <w:r>
        <w:rPr>
          <w:rStyle w:val="st"/>
          <w:rFonts w:cs="Arial"/>
          <w:szCs w:val="20"/>
        </w:rPr>
        <w:t xml:space="preserve"> </w:t>
      </w:r>
      <w:r w:rsidR="00961B2B" w:rsidRPr="00961B2B">
        <w:rPr>
          <w:rStyle w:val="st"/>
          <w:rFonts w:cs="Arial"/>
          <w:szCs w:val="20"/>
        </w:rPr>
        <w:t>lékařských znalostí</w:t>
      </w:r>
      <w:r w:rsidR="00543AB1">
        <w:rPr>
          <w:rStyle w:val="st"/>
          <w:rFonts w:cs="Arial"/>
          <w:szCs w:val="20"/>
        </w:rPr>
        <w:t xml:space="preserve"> –</w:t>
      </w:r>
      <w:r w:rsidR="00062A19">
        <w:rPr>
          <w:rStyle w:val="st"/>
          <w:rFonts w:cs="Arial"/>
          <w:szCs w:val="20"/>
        </w:rPr>
        <w:t xml:space="preserve"> </w:t>
      </w:r>
      <w:r w:rsidR="00961B2B" w:rsidRPr="00062A19">
        <w:rPr>
          <w:rStyle w:val="st"/>
          <w:rFonts w:cs="Arial"/>
          <w:i/>
          <w:szCs w:val="20"/>
        </w:rPr>
        <w:t>výjimkou jsou činnosti prováděné výlučně pro účely projektu</w:t>
      </w:r>
      <w:r w:rsidR="00062A19">
        <w:rPr>
          <w:rStyle w:val="st"/>
          <w:rFonts w:cs="Arial"/>
          <w:i/>
          <w:szCs w:val="20"/>
        </w:rPr>
        <w:t>;</w:t>
      </w:r>
    </w:p>
    <w:p w:rsidR="00062A19" w:rsidRDefault="00961B2B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administrativní a právní úkony spojené s patentovou a licenční činností</w:t>
      </w:r>
      <w:r w:rsidRPr="00961B2B">
        <w:rPr>
          <w:rStyle w:val="st"/>
          <w:rFonts w:cs="Arial"/>
          <w:szCs w:val="20"/>
        </w:rPr>
        <w:t xml:space="preserve">; </w:t>
      </w:r>
    </w:p>
    <w:p w:rsidR="00961B2B" w:rsidRPr="00961B2B" w:rsidRDefault="00961B2B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studie</w:t>
      </w:r>
      <w:r w:rsidRPr="00961B2B">
        <w:rPr>
          <w:rStyle w:val="st"/>
          <w:rFonts w:cs="Arial"/>
          <w:szCs w:val="20"/>
        </w:rPr>
        <w:t xml:space="preserve"> záměrů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politiky či podnikatelské činnosti, udržování národních standardů, kalibrace druhotných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standardů</w:t>
      </w:r>
      <w:r w:rsidR="00543AB1">
        <w:rPr>
          <w:rStyle w:val="st"/>
          <w:rFonts w:cs="Arial"/>
          <w:szCs w:val="20"/>
        </w:rPr>
        <w:t xml:space="preserve"> –</w:t>
      </w:r>
      <w:r w:rsidR="00062A19">
        <w:rPr>
          <w:rStyle w:val="st"/>
          <w:rFonts w:cs="Arial"/>
          <w:szCs w:val="20"/>
        </w:rPr>
        <w:t xml:space="preserve"> </w:t>
      </w:r>
      <w:r w:rsidRPr="00062A19">
        <w:rPr>
          <w:rStyle w:val="st"/>
          <w:rFonts w:cs="Arial"/>
          <w:i/>
          <w:szCs w:val="20"/>
        </w:rPr>
        <w:t>výjimkou jsou činnosti prováděné výlučně pro účely projektu</w:t>
      </w:r>
      <w:r w:rsidR="00062A19">
        <w:rPr>
          <w:rStyle w:val="st"/>
          <w:rFonts w:cs="Arial"/>
          <w:i/>
          <w:szCs w:val="20"/>
        </w:rPr>
        <w:t>;</w:t>
      </w:r>
    </w:p>
    <w:p w:rsidR="00961B2B" w:rsidRPr="00961B2B" w:rsidRDefault="00961B2B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standardní vývoj softwaru</w:t>
      </w:r>
      <w:r w:rsidRPr="00961B2B">
        <w:rPr>
          <w:rStyle w:val="st"/>
          <w:rFonts w:cs="Arial"/>
          <w:szCs w:val="20"/>
        </w:rPr>
        <w:t xml:space="preserve"> a počítačová údržba, kterými jsou zejména implementace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(ladění a úpravy) existujícího systému v podmínkách zákazníka, přidání uživatelské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funkčnosti k aplikačním programům, řešení technických problémů, údržba softwaru,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podpora nebo úprava existujících systémů, předvádění nebo překlady počítačových</w:t>
      </w:r>
      <w:r w:rsidR="003B2BAD">
        <w:rPr>
          <w:rStyle w:val="st"/>
          <w:rFonts w:cs="Arial"/>
          <w:szCs w:val="20"/>
        </w:rPr>
        <w:t xml:space="preserve"> </w:t>
      </w:r>
      <w:r w:rsidRPr="00961B2B">
        <w:rPr>
          <w:rStyle w:val="st"/>
          <w:rFonts w:cs="Arial"/>
          <w:szCs w:val="20"/>
        </w:rPr>
        <w:t>jazyků, příprava uživatelské dokumentace</w:t>
      </w:r>
      <w:r w:rsidR="00062A19">
        <w:rPr>
          <w:rStyle w:val="st"/>
          <w:rFonts w:cs="Arial"/>
          <w:szCs w:val="20"/>
        </w:rPr>
        <w:t>;</w:t>
      </w:r>
    </w:p>
    <w:p w:rsidR="003B2BAD" w:rsidRDefault="00961B2B" w:rsidP="00E14754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  <w:rFonts w:cs="Arial"/>
          <w:szCs w:val="20"/>
        </w:rPr>
      </w:pPr>
      <w:r w:rsidRPr="00062A19">
        <w:rPr>
          <w:rStyle w:val="st"/>
          <w:rFonts w:cs="Arial"/>
          <w:b/>
          <w:szCs w:val="20"/>
        </w:rPr>
        <w:t>činnosti inovačního charakteru</w:t>
      </w:r>
      <w:r w:rsidRPr="003B2BAD">
        <w:rPr>
          <w:rStyle w:val="st"/>
          <w:rFonts w:cs="Arial"/>
          <w:szCs w:val="20"/>
        </w:rPr>
        <w:t xml:space="preserve">, které </w:t>
      </w:r>
      <w:r w:rsidRPr="00062A19">
        <w:rPr>
          <w:rStyle w:val="st"/>
          <w:rFonts w:cs="Arial"/>
          <w:b/>
          <w:szCs w:val="20"/>
        </w:rPr>
        <w:t>nezahrnují ocenitelný prvek novosti</w:t>
      </w:r>
      <w:r w:rsidRPr="003B2BAD">
        <w:rPr>
          <w:rStyle w:val="st"/>
          <w:rFonts w:cs="Arial"/>
          <w:szCs w:val="20"/>
        </w:rPr>
        <w:t>, zejména</w:t>
      </w:r>
      <w:r w:rsidR="003B2BAD" w:rsidRPr="003B2BAD">
        <w:rPr>
          <w:rStyle w:val="st"/>
          <w:rFonts w:cs="Arial"/>
          <w:szCs w:val="20"/>
        </w:rPr>
        <w:t xml:space="preserve"> </w:t>
      </w:r>
      <w:r w:rsidRPr="003B2BAD">
        <w:rPr>
          <w:rStyle w:val="st"/>
          <w:rFonts w:cs="Arial"/>
          <w:szCs w:val="20"/>
        </w:rPr>
        <w:t>výzkum trhu, nastartování výroby využitelné pro všechny průmyslové situace, vybavení</w:t>
      </w:r>
      <w:r w:rsidR="003B2BAD" w:rsidRPr="0030627B">
        <w:rPr>
          <w:rStyle w:val="st"/>
          <w:rFonts w:cs="Arial"/>
          <w:szCs w:val="20"/>
        </w:rPr>
        <w:t xml:space="preserve"> </w:t>
      </w:r>
      <w:r w:rsidRPr="0030627B">
        <w:rPr>
          <w:rStyle w:val="st"/>
          <w:rFonts w:cs="Arial"/>
          <w:szCs w:val="20"/>
        </w:rPr>
        <w:t>nástroji, úprava návrhu pro výrobní proces, získání technologie (hmotné i nehmotné),</w:t>
      </w:r>
      <w:r w:rsidR="003B2BAD" w:rsidRPr="0030627B">
        <w:rPr>
          <w:rStyle w:val="st"/>
          <w:rFonts w:cs="Arial"/>
          <w:szCs w:val="20"/>
        </w:rPr>
        <w:t xml:space="preserve"> </w:t>
      </w:r>
      <w:r w:rsidRPr="0030627B">
        <w:rPr>
          <w:rStyle w:val="st"/>
          <w:rFonts w:cs="Arial"/>
          <w:szCs w:val="20"/>
        </w:rPr>
        <w:t>provozní inženýrství, marketing nových nebo zdokonalených výrobků, výroba</w:t>
      </w:r>
      <w:r w:rsidR="003B2BAD" w:rsidRPr="00633681">
        <w:rPr>
          <w:rStyle w:val="st"/>
          <w:rFonts w:cs="Arial"/>
          <w:szCs w:val="20"/>
        </w:rPr>
        <w:t xml:space="preserve"> </w:t>
      </w:r>
      <w:r w:rsidRPr="00633681">
        <w:rPr>
          <w:rStyle w:val="st"/>
          <w:rFonts w:cs="Arial"/>
          <w:szCs w:val="20"/>
        </w:rPr>
        <w:t>ukázkových modelů, provádění zkoušek pro uživatele, průmyslová výroba, předvýrobní</w:t>
      </w:r>
      <w:r w:rsidR="003B2BAD" w:rsidRPr="00633681">
        <w:rPr>
          <w:rStyle w:val="st"/>
          <w:rFonts w:cs="Arial"/>
          <w:szCs w:val="20"/>
        </w:rPr>
        <w:t xml:space="preserve"> </w:t>
      </w:r>
      <w:r w:rsidRPr="00633681">
        <w:rPr>
          <w:rStyle w:val="st"/>
          <w:rFonts w:cs="Arial"/>
          <w:szCs w:val="20"/>
        </w:rPr>
        <w:t>příprava, distribuce zboží a služeb a příbuzné technické služby v rámci činností</w:t>
      </w:r>
      <w:r w:rsidR="003B2BAD" w:rsidRPr="006F4C74">
        <w:rPr>
          <w:rStyle w:val="st"/>
          <w:rFonts w:cs="Arial"/>
          <w:szCs w:val="20"/>
        </w:rPr>
        <w:t xml:space="preserve"> </w:t>
      </w:r>
      <w:r w:rsidRPr="006F4C74">
        <w:rPr>
          <w:rStyle w:val="st"/>
          <w:rFonts w:cs="Arial"/>
          <w:szCs w:val="20"/>
        </w:rPr>
        <w:t>inovačního charakteru.</w:t>
      </w:r>
      <w:r w:rsidR="003B2BAD" w:rsidRPr="006F4C74">
        <w:rPr>
          <w:rStyle w:val="st"/>
          <w:rFonts w:cs="Arial"/>
          <w:szCs w:val="20"/>
        </w:rPr>
        <w:t xml:space="preserve"> </w:t>
      </w:r>
    </w:p>
    <w:p w:rsidR="004A77A8" w:rsidRPr="00062A19" w:rsidRDefault="007E1850" w:rsidP="00062A19">
      <w:pPr>
        <w:spacing w:before="240" w:after="240"/>
        <w:jc w:val="both"/>
        <w:rPr>
          <w:rStyle w:val="st"/>
          <w:rFonts w:cs="Arial"/>
          <w:b/>
          <w:color w:val="009BB4"/>
          <w:sz w:val="24"/>
        </w:rPr>
      </w:pPr>
      <w:r>
        <w:rPr>
          <w:rStyle w:val="st"/>
          <w:rFonts w:cs="Arial"/>
          <w:b/>
          <w:color w:val="009BB4"/>
          <w:sz w:val="24"/>
        </w:rPr>
        <w:lastRenderedPageBreak/>
        <w:t xml:space="preserve">Uznatelné </w:t>
      </w:r>
      <w:r w:rsidRPr="000B1CA7">
        <w:rPr>
          <w:rStyle w:val="st"/>
          <w:rFonts w:cs="Arial"/>
          <w:b/>
          <w:color w:val="009BB4"/>
          <w:sz w:val="24"/>
        </w:rPr>
        <w:t xml:space="preserve">výdaje na realizaci projektů </w:t>
      </w:r>
      <w:r w:rsidR="009D2799">
        <w:rPr>
          <w:rStyle w:val="st"/>
          <w:rFonts w:cs="Arial"/>
          <w:b/>
          <w:color w:val="009BB4"/>
          <w:sz w:val="24"/>
        </w:rPr>
        <w:t>VaV</w:t>
      </w:r>
    </w:p>
    <w:p w:rsidR="000F0F6F" w:rsidRPr="000F0F6F" w:rsidRDefault="000F0F6F" w:rsidP="000F0F6F">
      <w:pPr>
        <w:spacing w:before="120" w:after="120"/>
        <w:jc w:val="both"/>
        <w:rPr>
          <w:rFonts w:cs="Arial"/>
          <w:szCs w:val="20"/>
        </w:rPr>
      </w:pPr>
      <w:r w:rsidRPr="000F0F6F">
        <w:rPr>
          <w:rFonts w:cs="Arial"/>
          <w:szCs w:val="20"/>
        </w:rPr>
        <w:t xml:space="preserve">Za </w:t>
      </w:r>
      <w:r w:rsidRPr="000C5FBB">
        <w:rPr>
          <w:rFonts w:cs="Arial"/>
          <w:szCs w:val="20"/>
        </w:rPr>
        <w:t>výdaje vynaložené na realizaci projektů</w:t>
      </w:r>
      <w:r w:rsidR="0030627B" w:rsidRPr="000C5FBB">
        <w:rPr>
          <w:rFonts w:cs="Arial"/>
          <w:szCs w:val="20"/>
        </w:rPr>
        <w:t xml:space="preserve"> VaV</w:t>
      </w:r>
      <w:r w:rsidRPr="000F0F6F">
        <w:rPr>
          <w:rFonts w:cs="Arial"/>
          <w:szCs w:val="20"/>
        </w:rPr>
        <w:t xml:space="preserve"> </w:t>
      </w:r>
      <w:r w:rsidR="00062A19">
        <w:rPr>
          <w:rFonts w:cs="Arial"/>
          <w:szCs w:val="20"/>
        </w:rPr>
        <w:t xml:space="preserve">pro </w:t>
      </w:r>
      <w:r w:rsidR="00062A19" w:rsidRPr="00062A19">
        <w:rPr>
          <w:rFonts w:cs="Arial"/>
          <w:szCs w:val="20"/>
        </w:rPr>
        <w:t>daňovou podporu VaV</w:t>
      </w:r>
      <w:r w:rsidRPr="000F0F6F">
        <w:rPr>
          <w:rFonts w:cs="Arial"/>
          <w:szCs w:val="20"/>
        </w:rPr>
        <w:t xml:space="preserve"> </w:t>
      </w:r>
      <w:r w:rsidR="00062A19">
        <w:rPr>
          <w:rFonts w:cs="Arial"/>
          <w:szCs w:val="20"/>
        </w:rPr>
        <w:t xml:space="preserve">dle </w:t>
      </w:r>
      <w:r w:rsidR="0024246D">
        <w:rPr>
          <w:rFonts w:cs="Arial"/>
          <w:szCs w:val="20"/>
        </w:rPr>
        <w:t>výše uvedeného pokynu</w:t>
      </w:r>
      <w:r w:rsidR="00062A19">
        <w:rPr>
          <w:rFonts w:cs="Arial"/>
          <w:szCs w:val="20"/>
        </w:rPr>
        <w:t xml:space="preserve"> D</w:t>
      </w:r>
      <w:r w:rsidR="000C5FBB">
        <w:rPr>
          <w:rFonts w:cs="Arial"/>
          <w:szCs w:val="20"/>
        </w:rPr>
        <w:t> </w:t>
      </w:r>
      <w:r w:rsidR="00062A19">
        <w:rPr>
          <w:rFonts w:cs="Arial"/>
          <w:szCs w:val="20"/>
        </w:rPr>
        <w:t>288</w:t>
      </w:r>
      <w:r w:rsidR="0024246D">
        <w:rPr>
          <w:rFonts w:cs="Arial"/>
          <w:szCs w:val="20"/>
        </w:rPr>
        <w:t xml:space="preserve"> </w:t>
      </w:r>
      <w:r w:rsidR="00DD741F" w:rsidRPr="00DD741F">
        <w:rPr>
          <w:rFonts w:cs="Arial"/>
          <w:b/>
          <w:szCs w:val="20"/>
          <w:u w:val="single"/>
        </w:rPr>
        <w:t>lze</w:t>
      </w:r>
      <w:r w:rsidR="00DD741F" w:rsidRPr="00DD741F">
        <w:rPr>
          <w:rFonts w:cs="Arial"/>
          <w:b/>
          <w:szCs w:val="20"/>
        </w:rPr>
        <w:t xml:space="preserve"> </w:t>
      </w:r>
      <w:r w:rsidR="0030627B" w:rsidRPr="00DD741F">
        <w:rPr>
          <w:rFonts w:cs="Arial"/>
          <w:b/>
          <w:szCs w:val="20"/>
        </w:rPr>
        <w:t>považovat</w:t>
      </w:r>
      <w:r w:rsidR="00062A19">
        <w:rPr>
          <w:rFonts w:cs="Arial"/>
          <w:szCs w:val="20"/>
        </w:rPr>
        <w:t xml:space="preserve"> především</w:t>
      </w:r>
      <w:r w:rsidR="0030627B" w:rsidRPr="000F0F6F">
        <w:rPr>
          <w:rFonts w:cs="Arial"/>
          <w:szCs w:val="20"/>
        </w:rPr>
        <w:t>:</w:t>
      </w:r>
    </w:p>
    <w:p w:rsidR="000F0F6F" w:rsidRDefault="000F0F6F" w:rsidP="00062A19">
      <w:pPr>
        <w:pStyle w:val="Odstavecseseznamem"/>
        <w:numPr>
          <w:ilvl w:val="0"/>
          <w:numId w:val="11"/>
        </w:numPr>
        <w:spacing w:after="240" w:line="288" w:lineRule="auto"/>
        <w:rPr>
          <w:rStyle w:val="st"/>
        </w:rPr>
      </w:pPr>
      <w:r w:rsidRPr="0024246D">
        <w:rPr>
          <w:rStyle w:val="st"/>
          <w:b/>
        </w:rPr>
        <w:t>osobní náklady</w:t>
      </w:r>
      <w:r w:rsidRPr="00E14754">
        <w:rPr>
          <w:rStyle w:val="st"/>
        </w:rPr>
        <w:t xml:space="preserve"> </w:t>
      </w:r>
      <w:r w:rsidR="008616C8">
        <w:rPr>
          <w:rStyle w:val="st"/>
        </w:rPr>
        <w:t xml:space="preserve">osob </w:t>
      </w:r>
      <w:r w:rsidR="0030627B" w:rsidRPr="00E14754">
        <w:rPr>
          <w:rStyle w:val="st"/>
        </w:rPr>
        <w:t>podílejících se na sledovaném projektu</w:t>
      </w:r>
      <w:r w:rsidR="008616C8">
        <w:rPr>
          <w:rStyle w:val="st"/>
        </w:rPr>
        <w:t xml:space="preserve"> (za</w:t>
      </w:r>
      <w:r w:rsidR="008616C8" w:rsidRPr="00922B0F">
        <w:rPr>
          <w:rStyle w:val="st"/>
        </w:rPr>
        <w:t>městnance VaV</w:t>
      </w:r>
      <w:r w:rsidR="008616C8">
        <w:rPr>
          <w:rStyle w:val="st"/>
        </w:rPr>
        <w:t>)</w:t>
      </w:r>
      <w:r w:rsidR="00635B9F" w:rsidRPr="00922B0F">
        <w:rPr>
          <w:rStyle w:val="st"/>
          <w:vertAlign w:val="superscript"/>
        </w:rPr>
        <w:footnoteReference w:id="8"/>
      </w:r>
      <w:r w:rsidR="0030627B" w:rsidRPr="00E14754">
        <w:rPr>
          <w:rStyle w:val="st"/>
        </w:rPr>
        <w:t xml:space="preserve"> </w:t>
      </w:r>
      <w:r w:rsidRPr="00E14754">
        <w:rPr>
          <w:rStyle w:val="st"/>
        </w:rPr>
        <w:t>a jim odpovídající náklady</w:t>
      </w:r>
      <w:r w:rsidR="0030627B" w:rsidRPr="00E14754">
        <w:rPr>
          <w:rStyle w:val="st"/>
        </w:rPr>
        <w:t xml:space="preserve"> </w:t>
      </w:r>
      <w:r w:rsidRPr="00E14754">
        <w:rPr>
          <w:rStyle w:val="st"/>
        </w:rPr>
        <w:t>na povinné zákonné odvody</w:t>
      </w:r>
      <w:r w:rsidR="008616C8" w:rsidRPr="008616C8">
        <w:t xml:space="preserve"> </w:t>
      </w:r>
      <w:r w:rsidR="006C738C">
        <w:t>–</w:t>
      </w:r>
      <w:r w:rsidR="00635B9F">
        <w:t xml:space="preserve"> </w:t>
      </w:r>
      <w:r w:rsidR="008616C8" w:rsidRPr="008616C8">
        <w:rPr>
          <w:rStyle w:val="st"/>
        </w:rPr>
        <w:t>pojistné na zdravotní pojištění a sociální zabezpečení placeného zaměstnavatelem</w:t>
      </w:r>
      <w:r w:rsidR="008616C8">
        <w:rPr>
          <w:rStyle w:val="st"/>
        </w:rPr>
        <w:t>. D</w:t>
      </w:r>
      <w:r w:rsidRPr="00E14754">
        <w:rPr>
          <w:rStyle w:val="st"/>
        </w:rPr>
        <w:t>o osobních nákladů lze započítat</w:t>
      </w:r>
      <w:r w:rsidR="0030627B" w:rsidRPr="00E14754">
        <w:rPr>
          <w:rStyle w:val="st"/>
        </w:rPr>
        <w:t xml:space="preserve"> především</w:t>
      </w:r>
      <w:r w:rsidRPr="00E14754">
        <w:rPr>
          <w:rStyle w:val="st"/>
        </w:rPr>
        <w:t>:</w:t>
      </w:r>
    </w:p>
    <w:p w:rsidR="000F0F6F" w:rsidRPr="00E14754" w:rsidRDefault="000F0F6F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E14754">
        <w:rPr>
          <w:rStyle w:val="st"/>
        </w:rPr>
        <w:t>příslušnou část mezd nebo platů zaměstnanců, odpovídající jejich úvazku na řešení</w:t>
      </w:r>
      <w:r w:rsidR="0030627B">
        <w:rPr>
          <w:rStyle w:val="st"/>
        </w:rPr>
        <w:t xml:space="preserve"> </w:t>
      </w:r>
      <w:r w:rsidRPr="00E14754">
        <w:rPr>
          <w:rStyle w:val="st"/>
        </w:rPr>
        <w:t>projektu nebo se na projektu podílejících,</w:t>
      </w:r>
    </w:p>
    <w:p w:rsidR="000F0F6F" w:rsidRDefault="000F0F6F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E14754">
        <w:rPr>
          <w:rStyle w:val="st"/>
        </w:rPr>
        <w:t>odměny poskytované na základě dohody o pracovní činnosti, dohody o provedení</w:t>
      </w:r>
      <w:r w:rsidR="00633681">
        <w:rPr>
          <w:rStyle w:val="st"/>
        </w:rPr>
        <w:t xml:space="preserve"> </w:t>
      </w:r>
      <w:r w:rsidRPr="00E14754">
        <w:rPr>
          <w:rStyle w:val="st"/>
        </w:rPr>
        <w:t>práce nebo obdobné dohody podle zahraničních právních předpisů, uzavřených v</w:t>
      </w:r>
      <w:r w:rsidR="00633681">
        <w:rPr>
          <w:rStyle w:val="st"/>
        </w:rPr>
        <w:t xml:space="preserve"> </w:t>
      </w:r>
      <w:r w:rsidRPr="00E14754">
        <w:rPr>
          <w:rStyle w:val="st"/>
        </w:rPr>
        <w:t>přímé souvislosti s řešením projektu;</w:t>
      </w:r>
    </w:p>
    <w:p w:rsidR="000F0F6F" w:rsidRDefault="000F0F6F" w:rsidP="00062A19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 w:rsidRPr="00635B9F">
        <w:rPr>
          <w:rStyle w:val="st"/>
          <w:b/>
        </w:rPr>
        <w:t>odpisy</w:t>
      </w:r>
      <w:r w:rsidRPr="00E14754">
        <w:rPr>
          <w:rStyle w:val="st"/>
        </w:rPr>
        <w:t xml:space="preserve"> (nebo jejich část) hmotného movitého majetku a nehmotného majetku (s výjimkou</w:t>
      </w:r>
      <w:r w:rsidR="00633681" w:rsidRPr="00E14754">
        <w:rPr>
          <w:rStyle w:val="st"/>
        </w:rPr>
        <w:t xml:space="preserve"> </w:t>
      </w:r>
      <w:r w:rsidR="008616C8">
        <w:rPr>
          <w:rStyle w:val="st"/>
        </w:rPr>
        <w:t xml:space="preserve">odpisů </w:t>
      </w:r>
      <w:r w:rsidRPr="00E14754">
        <w:rPr>
          <w:rStyle w:val="st"/>
        </w:rPr>
        <w:t>nehmotných výsledků výzkumu a vývoje pořízených od jiných osob), používaného v</w:t>
      </w:r>
      <w:r w:rsidR="00633681" w:rsidRPr="00E14754">
        <w:rPr>
          <w:rStyle w:val="st"/>
        </w:rPr>
        <w:t xml:space="preserve"> </w:t>
      </w:r>
      <w:r w:rsidRPr="00E14754">
        <w:rPr>
          <w:rStyle w:val="st"/>
        </w:rPr>
        <w:t>přímé souvislosti s řešením projektu</w:t>
      </w:r>
      <w:r w:rsidR="00635B9F">
        <w:rPr>
          <w:rStyle w:val="st"/>
        </w:rPr>
        <w:t>;</w:t>
      </w:r>
    </w:p>
    <w:p w:rsidR="000F0F6F" w:rsidRDefault="0037506F" w:rsidP="00062A19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>
        <w:rPr>
          <w:rStyle w:val="st"/>
        </w:rPr>
        <w:t xml:space="preserve">a </w:t>
      </w:r>
      <w:r w:rsidR="000F0F6F" w:rsidRPr="00E14754">
        <w:rPr>
          <w:rStyle w:val="st"/>
        </w:rPr>
        <w:t xml:space="preserve">další </w:t>
      </w:r>
      <w:r w:rsidR="000F0F6F" w:rsidRPr="00635B9F">
        <w:rPr>
          <w:rStyle w:val="st"/>
          <w:b/>
        </w:rPr>
        <w:t>provozní</w:t>
      </w:r>
      <w:r w:rsidR="00635B9F">
        <w:rPr>
          <w:rStyle w:val="st"/>
          <w:b/>
        </w:rPr>
        <w:t xml:space="preserve"> (běžné)</w:t>
      </w:r>
      <w:r w:rsidR="000F0F6F" w:rsidRPr="00635B9F">
        <w:rPr>
          <w:rStyle w:val="st"/>
          <w:b/>
        </w:rPr>
        <w:t xml:space="preserve"> náklady</w:t>
      </w:r>
      <w:r w:rsidR="000F0F6F" w:rsidRPr="00E14754">
        <w:rPr>
          <w:rStyle w:val="st"/>
        </w:rPr>
        <w:t>, vzniklé v přímé souvislosti s řešením projektu</w:t>
      </w:r>
      <w:r>
        <w:rPr>
          <w:rStyle w:val="st"/>
        </w:rPr>
        <w:t xml:space="preserve">. Jde </w:t>
      </w:r>
      <w:r w:rsidR="000F0F6F" w:rsidRPr="00E14754">
        <w:rPr>
          <w:rStyle w:val="st"/>
        </w:rPr>
        <w:t>např</w:t>
      </w:r>
      <w:r>
        <w:rPr>
          <w:rStyle w:val="st"/>
        </w:rPr>
        <w:t>íklad o </w:t>
      </w:r>
      <w:r w:rsidR="00633681">
        <w:rPr>
          <w:rStyle w:val="st"/>
        </w:rPr>
        <w:t>výdaje na:</w:t>
      </w:r>
    </w:p>
    <w:p w:rsidR="00633681" w:rsidRPr="0037506F" w:rsidRDefault="000F0F6F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37506F">
        <w:rPr>
          <w:rStyle w:val="st"/>
        </w:rPr>
        <w:t>materiál, zásoby a drobný hmotný a nehmotný majetek</w:t>
      </w:r>
      <w:r w:rsidR="0037506F" w:rsidRPr="0037506F">
        <w:rPr>
          <w:rStyle w:val="st"/>
        </w:rPr>
        <w:t>;</w:t>
      </w:r>
    </w:p>
    <w:p w:rsidR="00633681" w:rsidRDefault="006F4C74" w:rsidP="00062A19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>
        <w:rPr>
          <w:rStyle w:val="st"/>
        </w:rPr>
        <w:t xml:space="preserve">služby jako je </w:t>
      </w:r>
      <w:r w:rsidR="000F0F6F" w:rsidRPr="00E14754">
        <w:rPr>
          <w:rStyle w:val="st"/>
        </w:rPr>
        <w:t>elektrick</w:t>
      </w:r>
      <w:r>
        <w:rPr>
          <w:rStyle w:val="st"/>
        </w:rPr>
        <w:t xml:space="preserve">á </w:t>
      </w:r>
      <w:r w:rsidR="000F0F6F" w:rsidRPr="00E14754">
        <w:rPr>
          <w:rStyle w:val="st"/>
        </w:rPr>
        <w:t>energii, teplo, plyn, telekomunikační poplatky</w:t>
      </w:r>
      <w:r w:rsidR="00635B9F">
        <w:rPr>
          <w:rStyle w:val="st"/>
        </w:rPr>
        <w:t>,</w:t>
      </w:r>
      <w:r>
        <w:rPr>
          <w:rStyle w:val="st"/>
        </w:rPr>
        <w:t xml:space="preserve"> </w:t>
      </w:r>
      <w:r w:rsidR="000F0F6F" w:rsidRPr="00E14754">
        <w:rPr>
          <w:rStyle w:val="st"/>
        </w:rPr>
        <w:t>vodné</w:t>
      </w:r>
      <w:r w:rsidR="00633681">
        <w:rPr>
          <w:rStyle w:val="st"/>
        </w:rPr>
        <w:t xml:space="preserve"> </w:t>
      </w:r>
      <w:r w:rsidR="000F0F6F" w:rsidRPr="00E14754">
        <w:rPr>
          <w:rStyle w:val="st"/>
        </w:rPr>
        <w:t>a stočné</w:t>
      </w:r>
      <w:r w:rsidR="00635B9F">
        <w:rPr>
          <w:rStyle w:val="st"/>
        </w:rPr>
        <w:t>,</w:t>
      </w:r>
    </w:p>
    <w:p w:rsidR="0037506F" w:rsidRDefault="008616C8" w:rsidP="0037506F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CD2093">
        <w:rPr>
          <w:rStyle w:val="st"/>
        </w:rPr>
        <w:t xml:space="preserve">cestovní náhrady </w:t>
      </w:r>
      <w:r w:rsidR="006F4C74">
        <w:rPr>
          <w:rStyle w:val="st"/>
        </w:rPr>
        <w:t xml:space="preserve">vzniklé v přímé </w:t>
      </w:r>
      <w:r w:rsidRPr="00CD2093">
        <w:rPr>
          <w:rStyle w:val="st"/>
        </w:rPr>
        <w:t>souvislosti s řešením projektu</w:t>
      </w:r>
      <w:r w:rsidR="0037506F">
        <w:rPr>
          <w:rStyle w:val="Znakapoznpodarou"/>
        </w:rPr>
        <w:footnoteReference w:id="9"/>
      </w:r>
      <w:r w:rsidR="0037506F">
        <w:rPr>
          <w:rStyle w:val="st"/>
        </w:rPr>
        <w:t xml:space="preserve"> a</w:t>
      </w:r>
    </w:p>
    <w:p w:rsidR="00205612" w:rsidRPr="00205612" w:rsidRDefault="000F0F6F" w:rsidP="00A265D4">
      <w:pPr>
        <w:pStyle w:val="Odstavecseseznamem"/>
        <w:numPr>
          <w:ilvl w:val="0"/>
          <w:numId w:val="19"/>
        </w:numPr>
        <w:spacing w:after="240" w:line="288" w:lineRule="auto"/>
        <w:rPr>
          <w:rStyle w:val="st"/>
        </w:rPr>
      </w:pPr>
      <w:r w:rsidRPr="0037506F">
        <w:rPr>
          <w:rStyle w:val="st"/>
        </w:rPr>
        <w:t xml:space="preserve">výdaje na certifikaci výsledků </w:t>
      </w:r>
      <w:r w:rsidR="00635B9F" w:rsidRPr="0037506F">
        <w:rPr>
          <w:rStyle w:val="st"/>
        </w:rPr>
        <w:t>VaV</w:t>
      </w:r>
      <w:r w:rsidR="006F4C74">
        <w:rPr>
          <w:rStyle w:val="Znakapoznpodarou"/>
        </w:rPr>
        <w:footnoteReference w:id="10"/>
      </w:r>
    </w:p>
    <w:p w:rsidR="00D23446" w:rsidRDefault="00D23446" w:rsidP="00205612">
      <w:pPr>
        <w:spacing w:after="240"/>
        <w:jc w:val="both"/>
        <w:rPr>
          <w:rFonts w:cs="Arial"/>
          <w:szCs w:val="20"/>
        </w:rPr>
      </w:pPr>
      <w:r w:rsidRPr="00D62884">
        <w:rPr>
          <w:rFonts w:cs="Arial"/>
          <w:szCs w:val="20"/>
        </w:rPr>
        <w:t xml:space="preserve">Od 1. ledna 2014 </w:t>
      </w:r>
      <w:r>
        <w:rPr>
          <w:rStyle w:val="st"/>
          <w:rFonts w:cs="Arial"/>
          <w:szCs w:val="20"/>
        </w:rPr>
        <w:t>n</w:t>
      </w:r>
      <w:r w:rsidRPr="00A265D4">
        <w:rPr>
          <w:rStyle w:val="st"/>
          <w:rFonts w:cs="Arial"/>
          <w:szCs w:val="20"/>
        </w:rPr>
        <w:t xml:space="preserve">ové znění zákona rozšiřuje skupinu uplatnitelných </w:t>
      </w:r>
      <w:r>
        <w:rPr>
          <w:rStyle w:val="st"/>
          <w:rFonts w:cs="Arial"/>
          <w:szCs w:val="20"/>
        </w:rPr>
        <w:t>výdajů</w:t>
      </w:r>
      <w:r w:rsidRPr="00A265D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i o </w:t>
      </w:r>
      <w:r w:rsidRPr="00D23446">
        <w:rPr>
          <w:rFonts w:cs="Arial"/>
          <w:b/>
          <w:szCs w:val="20"/>
        </w:rPr>
        <w:t>náklady na služby a nehmotné výsledky VaV</w:t>
      </w:r>
      <w:r>
        <w:rPr>
          <w:rFonts w:cs="Arial"/>
          <w:szCs w:val="20"/>
        </w:rPr>
        <w:t xml:space="preserve">, a to pokud byly </w:t>
      </w:r>
      <w:r w:rsidRPr="009E57A8">
        <w:rPr>
          <w:rFonts w:cs="Arial"/>
          <w:b/>
          <w:szCs w:val="20"/>
        </w:rPr>
        <w:t>pořízen</w:t>
      </w:r>
      <w:r>
        <w:rPr>
          <w:rFonts w:cs="Arial"/>
          <w:b/>
          <w:szCs w:val="20"/>
        </w:rPr>
        <w:t>y</w:t>
      </w:r>
      <w:r w:rsidRPr="009E57A8">
        <w:rPr>
          <w:rFonts w:cs="Arial"/>
          <w:b/>
          <w:szCs w:val="20"/>
        </w:rPr>
        <w:t xml:space="preserve"> od výzkumné organizace</w:t>
      </w:r>
      <w:r>
        <w:rPr>
          <w:rFonts w:cs="Arial"/>
          <w:b/>
          <w:szCs w:val="20"/>
        </w:rPr>
        <w:t xml:space="preserve">, </w:t>
      </w:r>
      <w:r w:rsidRPr="00D23446">
        <w:rPr>
          <w:rFonts w:cs="Arial"/>
          <w:szCs w:val="20"/>
        </w:rPr>
        <w:t>tj.</w:t>
      </w:r>
      <w:r>
        <w:rPr>
          <w:rFonts w:cs="Arial"/>
          <w:b/>
          <w:szCs w:val="20"/>
        </w:rPr>
        <w:t xml:space="preserve"> </w:t>
      </w:r>
      <w:r w:rsidRPr="00D62884">
        <w:rPr>
          <w:rFonts w:cs="Arial"/>
          <w:szCs w:val="20"/>
        </w:rPr>
        <w:t xml:space="preserve">nejčastěji jde o veřejné vysoké školy </w:t>
      </w:r>
      <w:r>
        <w:rPr>
          <w:rFonts w:cs="Arial"/>
          <w:szCs w:val="20"/>
        </w:rPr>
        <w:t xml:space="preserve">nebo </w:t>
      </w:r>
      <w:r w:rsidRPr="00D62884">
        <w:rPr>
          <w:rFonts w:cs="Arial"/>
          <w:szCs w:val="20"/>
        </w:rPr>
        <w:t>veřejné výzkumné instituce</w:t>
      </w:r>
      <w:r w:rsidRPr="00D23446">
        <w:rPr>
          <w:rStyle w:val="st"/>
          <w:rFonts w:cs="Arial"/>
          <w:szCs w:val="20"/>
        </w:rPr>
        <w:t xml:space="preserve"> </w:t>
      </w:r>
      <w:r w:rsidRPr="00A265D4">
        <w:rPr>
          <w:rStyle w:val="st"/>
          <w:rFonts w:cs="Arial"/>
          <w:szCs w:val="20"/>
        </w:rPr>
        <w:t xml:space="preserve">a souvisí s realizací projektu </w:t>
      </w:r>
      <w:r>
        <w:rPr>
          <w:rStyle w:val="st"/>
          <w:rFonts w:cs="Arial"/>
          <w:szCs w:val="20"/>
        </w:rPr>
        <w:t>VaV. Za finanční zdaňovací období do roku 2013 si</w:t>
      </w:r>
      <w:r w:rsidRPr="00A265D4">
        <w:rPr>
          <w:rStyle w:val="st"/>
          <w:rFonts w:cs="Arial"/>
          <w:szCs w:val="20"/>
        </w:rPr>
        <w:t xml:space="preserve"> </w:t>
      </w:r>
      <w:r>
        <w:rPr>
          <w:rStyle w:val="st"/>
          <w:rFonts w:cs="Arial"/>
          <w:szCs w:val="20"/>
        </w:rPr>
        <w:t xml:space="preserve">podniky </w:t>
      </w:r>
      <w:r w:rsidRPr="00A265D4">
        <w:rPr>
          <w:rStyle w:val="st"/>
          <w:rFonts w:cs="Arial"/>
          <w:szCs w:val="20"/>
        </w:rPr>
        <w:t xml:space="preserve">mohly odečíst jen výdaje na </w:t>
      </w:r>
      <w:r>
        <w:rPr>
          <w:rStyle w:val="st"/>
          <w:rFonts w:cs="Arial"/>
          <w:szCs w:val="20"/>
        </w:rPr>
        <w:t>VaV</w:t>
      </w:r>
      <w:r w:rsidRPr="00A265D4">
        <w:rPr>
          <w:rStyle w:val="st"/>
          <w:rFonts w:cs="Arial"/>
          <w:szCs w:val="20"/>
        </w:rPr>
        <w:t>, který prováděly samy</w:t>
      </w:r>
      <w:r>
        <w:rPr>
          <w:rFonts w:cs="Arial"/>
          <w:szCs w:val="20"/>
        </w:rPr>
        <w:t>.</w:t>
      </w:r>
      <w:r w:rsidRPr="00D62884">
        <w:rPr>
          <w:rFonts w:cs="Arial"/>
          <w:szCs w:val="20"/>
        </w:rPr>
        <w:t xml:space="preserve"> </w:t>
      </w:r>
      <w:r w:rsidRPr="00A265D4">
        <w:rPr>
          <w:rStyle w:val="st"/>
          <w:rFonts w:cs="Arial"/>
          <w:szCs w:val="20"/>
        </w:rPr>
        <w:t xml:space="preserve">Dalším rozšířením uplatnitelných nákladů je také možnost zahrnout do odpočtu úplatu finančního leasingu hmotného movitého majetku, která souvisí s realizací projektu </w:t>
      </w:r>
      <w:r>
        <w:rPr>
          <w:rStyle w:val="st"/>
          <w:rFonts w:cs="Arial"/>
          <w:szCs w:val="20"/>
        </w:rPr>
        <w:t>VaV.</w:t>
      </w:r>
    </w:p>
    <w:p w:rsidR="00205612" w:rsidRPr="00635B9F" w:rsidRDefault="00205612" w:rsidP="00205612">
      <w:pPr>
        <w:spacing w:after="240"/>
        <w:jc w:val="both"/>
        <w:rPr>
          <w:rStyle w:val="st"/>
          <w:rFonts w:cs="Arial"/>
          <w:szCs w:val="20"/>
        </w:rPr>
      </w:pPr>
      <w:r w:rsidRPr="00635B9F">
        <w:rPr>
          <w:rStyle w:val="st"/>
          <w:rFonts w:cs="Arial"/>
          <w:szCs w:val="20"/>
        </w:rPr>
        <w:t xml:space="preserve">Výše uvedené výdaje </w:t>
      </w:r>
      <w:r w:rsidRPr="00635B9F">
        <w:rPr>
          <w:rStyle w:val="st"/>
          <w:rFonts w:cs="Arial"/>
          <w:b/>
          <w:szCs w:val="20"/>
        </w:rPr>
        <w:t xml:space="preserve">musí být vedeny </w:t>
      </w:r>
      <w:r w:rsidRPr="00356188">
        <w:rPr>
          <w:rStyle w:val="st"/>
          <w:rFonts w:cs="Arial"/>
          <w:szCs w:val="20"/>
        </w:rPr>
        <w:t>oddělenou evidencí</w:t>
      </w:r>
      <w:r w:rsidRPr="00635B9F">
        <w:rPr>
          <w:rStyle w:val="st"/>
          <w:rFonts w:cs="Arial"/>
          <w:szCs w:val="20"/>
        </w:rPr>
        <w:t xml:space="preserve"> v členění na jednotlivé projekty a jednotlivé účetní případy. Tato evidence musí splňovat požadavek přehlednosti a prokazatelnosti oprávněnosti použití ustanovení § 34 odst. 4 a 5 zákona s tím, že důkazní břemeno je na poplatníkovi.</w:t>
      </w:r>
    </w:p>
    <w:p w:rsidR="000C5FBB" w:rsidRDefault="000C5FBB" w:rsidP="000C5FBB">
      <w:pPr>
        <w:spacing w:before="120" w:after="120"/>
        <w:jc w:val="both"/>
        <w:rPr>
          <w:rFonts w:cs="Arial"/>
          <w:szCs w:val="20"/>
        </w:rPr>
      </w:pPr>
      <w:r w:rsidRPr="000F0F6F">
        <w:rPr>
          <w:rFonts w:cs="Arial"/>
          <w:szCs w:val="20"/>
        </w:rPr>
        <w:t xml:space="preserve">Za </w:t>
      </w:r>
      <w:r w:rsidRPr="000C5FBB">
        <w:rPr>
          <w:rFonts w:cs="Arial"/>
          <w:szCs w:val="20"/>
        </w:rPr>
        <w:t>výdaje vynaložené na realizaci projektů VaV</w:t>
      </w:r>
      <w:r w:rsidRPr="000F0F6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 </w:t>
      </w:r>
      <w:r w:rsidRPr="00062A19">
        <w:rPr>
          <w:rFonts w:cs="Arial"/>
          <w:szCs w:val="20"/>
        </w:rPr>
        <w:t>daňovou podporu VaV</w:t>
      </w:r>
      <w:r w:rsidRPr="000F0F6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dle výše uvedeného pokynu D 288 </w:t>
      </w:r>
      <w:r w:rsidRPr="00DD741F">
        <w:rPr>
          <w:rFonts w:cs="Arial"/>
          <w:b/>
          <w:szCs w:val="20"/>
          <w:u w:val="single"/>
        </w:rPr>
        <w:t>nelze</w:t>
      </w:r>
      <w:r w:rsidRPr="00DD741F">
        <w:rPr>
          <w:rFonts w:cs="Arial"/>
          <w:b/>
          <w:szCs w:val="20"/>
        </w:rPr>
        <w:t xml:space="preserve"> </w:t>
      </w:r>
      <w:r w:rsidRPr="000C5FBB">
        <w:rPr>
          <w:rFonts w:cs="Arial"/>
          <w:b/>
          <w:szCs w:val="20"/>
        </w:rPr>
        <w:t>považovat</w:t>
      </w:r>
      <w:r>
        <w:rPr>
          <w:rFonts w:cs="Arial"/>
          <w:szCs w:val="20"/>
        </w:rPr>
        <w:t xml:space="preserve"> náklady na:</w:t>
      </w:r>
    </w:p>
    <w:p w:rsidR="000C5FBB" w:rsidRPr="00DD741F" w:rsidRDefault="006C738C" w:rsidP="000C5FBB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>
        <w:rPr>
          <w:rStyle w:val="st"/>
          <w:b/>
        </w:rPr>
        <w:t>administrativu</w:t>
      </w:r>
      <w:r w:rsidR="000C5FBB" w:rsidRPr="00C463A9">
        <w:rPr>
          <w:rStyle w:val="st"/>
          <w:b/>
        </w:rPr>
        <w:t xml:space="preserve"> a ostatní podpůrné činnosti</w:t>
      </w:r>
      <w:r w:rsidR="000C5FBB" w:rsidRPr="00C463A9">
        <w:rPr>
          <w:rStyle w:val="st"/>
        </w:rPr>
        <w:t xml:space="preserve">, zejména činnost centrálních oddělení poplatníka, např. činnost oddělení finančních a personálních, manažerské činnosti, přeprava, skladování, úklid, opravy, údržba a bezpečnost </w:t>
      </w:r>
      <w:r>
        <w:rPr>
          <w:rStyle w:val="st"/>
          <w:b/>
        </w:rPr>
        <w:t>–</w:t>
      </w:r>
      <w:r w:rsidR="000C5FBB" w:rsidRPr="00C463A9">
        <w:rPr>
          <w:rStyle w:val="st"/>
          <w:b/>
        </w:rPr>
        <w:t xml:space="preserve"> </w:t>
      </w:r>
      <w:r w:rsidR="000C5FBB" w:rsidRPr="00DD741F">
        <w:rPr>
          <w:rStyle w:val="st"/>
        </w:rPr>
        <w:t>tyto výdaje nejsou považovány za výdaje vynaložené na VaV, jehož ústředním kritériem je vznik ocenitelného prvku novosti;</w:t>
      </w:r>
    </w:p>
    <w:p w:rsidR="000C5FBB" w:rsidRPr="00DD741F" w:rsidRDefault="000C5FBB" w:rsidP="000C5FBB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 w:rsidRPr="000C5FBB">
        <w:rPr>
          <w:rStyle w:val="st"/>
          <w:b/>
        </w:rPr>
        <w:t xml:space="preserve">nehmotné výsledky VaV </w:t>
      </w:r>
      <w:r w:rsidRPr="00DD741F">
        <w:rPr>
          <w:rStyle w:val="st"/>
        </w:rPr>
        <w:t>pořízené od jiných osob, které se posuzují jako nehmotný majetek ve smyslu § 32a zákona o daních z příjmu</w:t>
      </w:r>
      <w:r>
        <w:rPr>
          <w:rStyle w:val="Znakapoznpodarou"/>
        </w:rPr>
        <w:footnoteReference w:id="11"/>
      </w:r>
      <w:r w:rsidRPr="00DD741F">
        <w:rPr>
          <w:rStyle w:val="st"/>
        </w:rPr>
        <w:t>;</w:t>
      </w:r>
    </w:p>
    <w:p w:rsidR="000C5FBB" w:rsidRPr="00DD741F" w:rsidRDefault="000C5FBB" w:rsidP="000C5FBB">
      <w:pPr>
        <w:pStyle w:val="Odstavecseseznamem"/>
        <w:numPr>
          <w:ilvl w:val="0"/>
          <w:numId w:val="11"/>
        </w:numPr>
        <w:spacing w:after="240" w:line="288" w:lineRule="auto"/>
        <w:ind w:left="714" w:hanging="357"/>
        <w:rPr>
          <w:rStyle w:val="st"/>
        </w:rPr>
      </w:pPr>
      <w:r w:rsidRPr="000C5FBB">
        <w:rPr>
          <w:rStyle w:val="st"/>
          <w:b/>
        </w:rPr>
        <w:t>služby</w:t>
      </w:r>
      <w:r w:rsidRPr="00DD741F">
        <w:rPr>
          <w:rStyle w:val="st"/>
        </w:rPr>
        <w:t>, včetně nákladu na činnosti VaV, pokud je poplatník sám neprovádí při realizaci projektu VaV (například testování léku, výroba či ověřování prototypu)</w:t>
      </w:r>
      <w:r w:rsidRPr="00C463A9">
        <w:rPr>
          <w:rStyle w:val="st"/>
          <w:vertAlign w:val="superscript"/>
        </w:rPr>
        <w:t>11</w:t>
      </w:r>
      <w:r w:rsidRPr="00DD741F">
        <w:rPr>
          <w:rStyle w:val="st"/>
        </w:rPr>
        <w:t xml:space="preserve"> nákladu na nájemné, konzultace, </w:t>
      </w:r>
      <w:r w:rsidRPr="00DD741F">
        <w:rPr>
          <w:rStyle w:val="st"/>
        </w:rPr>
        <w:lastRenderedPageBreak/>
        <w:t>poradenství, nákladu na externí vzdělávání, účast na konferencích, cestovného spojeného s účastí na konferencích apod.</w:t>
      </w:r>
    </w:p>
    <w:p w:rsidR="00205612" w:rsidRDefault="00205612" w:rsidP="0020561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Výše uvedenou daňovou (nepřímou) podporu VaV </w:t>
      </w:r>
      <w:r w:rsidRPr="009E57A8">
        <w:rPr>
          <w:rFonts w:cs="Arial"/>
          <w:b/>
          <w:szCs w:val="20"/>
        </w:rPr>
        <w:t xml:space="preserve">nelze </w:t>
      </w:r>
      <w:r w:rsidR="000C5FBB">
        <w:rPr>
          <w:rFonts w:cs="Arial"/>
          <w:b/>
          <w:szCs w:val="20"/>
        </w:rPr>
        <w:t xml:space="preserve">dále </w:t>
      </w:r>
      <w:r w:rsidRPr="009E57A8">
        <w:rPr>
          <w:rFonts w:cs="Arial"/>
          <w:b/>
          <w:szCs w:val="20"/>
        </w:rPr>
        <w:t>uplatnit</w:t>
      </w:r>
      <w:r w:rsidRPr="007D0828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projekty</w:t>
      </w:r>
      <w:r w:rsidRPr="007D0828">
        <w:rPr>
          <w:rFonts w:cs="Arial"/>
          <w:szCs w:val="20"/>
        </w:rPr>
        <w:t xml:space="preserve">, na něž byla alespoň z části poskytnuta </w:t>
      </w:r>
      <w:r w:rsidRPr="009E57A8">
        <w:rPr>
          <w:rFonts w:cs="Arial"/>
          <w:b/>
          <w:szCs w:val="20"/>
        </w:rPr>
        <w:t>přímá finanční podpora z veřejných zdrojů</w:t>
      </w:r>
      <w:r w:rsidRPr="009E57A8">
        <w:rPr>
          <w:rStyle w:val="Znakapoznpodarou"/>
          <w:rFonts w:cs="Arial"/>
          <w:b/>
          <w:szCs w:val="20"/>
        </w:rPr>
        <w:footnoteReference w:id="12"/>
      </w:r>
      <w:r w:rsidR="000C5FBB">
        <w:rPr>
          <w:rFonts w:cs="Arial"/>
          <w:b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205612" w:rsidRDefault="00205612" w:rsidP="00205612">
      <w:pPr>
        <w:spacing w:before="120" w:after="120"/>
        <w:jc w:val="both"/>
        <w:rPr>
          <w:rFonts w:cs="Arial"/>
          <w:szCs w:val="20"/>
        </w:rPr>
      </w:pPr>
      <w:r w:rsidRPr="00F54C1F">
        <w:rPr>
          <w:rFonts w:cs="Arial"/>
          <w:szCs w:val="20"/>
        </w:rPr>
        <w:t xml:space="preserve">Až do </w:t>
      </w:r>
      <w:r>
        <w:rPr>
          <w:rFonts w:cs="Arial"/>
          <w:szCs w:val="20"/>
        </w:rPr>
        <w:t xml:space="preserve">konce roku 2013 </w:t>
      </w:r>
      <w:r w:rsidR="006C738C">
        <w:rPr>
          <w:rFonts w:cs="Arial"/>
          <w:b/>
          <w:szCs w:val="20"/>
        </w:rPr>
        <w:t>nebylo možné</w:t>
      </w:r>
      <w:r w:rsidRPr="009E57A8">
        <w:rPr>
          <w:rFonts w:cs="Arial"/>
          <w:b/>
          <w:szCs w:val="20"/>
        </w:rPr>
        <w:t xml:space="preserve"> </w:t>
      </w:r>
      <w:r w:rsidRPr="00F54C1F">
        <w:rPr>
          <w:rFonts w:cs="Arial"/>
          <w:szCs w:val="20"/>
        </w:rPr>
        <w:t>v rámci odpočtů od základu daně uplatnit</w:t>
      </w:r>
      <w:r>
        <w:rPr>
          <w:rFonts w:cs="Arial"/>
          <w:szCs w:val="20"/>
        </w:rPr>
        <w:t xml:space="preserve"> ani</w:t>
      </w:r>
      <w:r w:rsidR="00D23446">
        <w:rPr>
          <w:rFonts w:cs="Arial"/>
          <w:szCs w:val="20"/>
        </w:rPr>
        <w:t xml:space="preserve"> výše uvedené</w:t>
      </w:r>
      <w:r w:rsidRPr="00F54C1F">
        <w:rPr>
          <w:rFonts w:cs="Arial"/>
          <w:szCs w:val="20"/>
        </w:rPr>
        <w:t xml:space="preserve"> </w:t>
      </w:r>
      <w:r w:rsidRPr="009E57A8">
        <w:rPr>
          <w:rFonts w:cs="Arial"/>
          <w:b/>
          <w:szCs w:val="20"/>
        </w:rPr>
        <w:t xml:space="preserve">výdaje na služby VaV a nehmotné výsledky VaV </w:t>
      </w:r>
      <w:r w:rsidRPr="00205612">
        <w:rPr>
          <w:rFonts w:cs="Arial"/>
          <w:szCs w:val="20"/>
        </w:rPr>
        <w:t>pořízené od jiných osob</w:t>
      </w:r>
      <w:r>
        <w:rPr>
          <w:rFonts w:cs="Arial"/>
          <w:b/>
          <w:szCs w:val="20"/>
        </w:rPr>
        <w:t xml:space="preserve"> </w:t>
      </w:r>
      <w:r w:rsidRPr="00A265D4">
        <w:rPr>
          <w:rFonts w:cs="Arial"/>
          <w:szCs w:val="20"/>
        </w:rPr>
        <w:t>s výjimkou výdajů na certifikaci výsledků VaV.</w:t>
      </w:r>
      <w:r>
        <w:rPr>
          <w:rFonts w:cs="Arial"/>
          <w:szCs w:val="20"/>
        </w:rPr>
        <w:t xml:space="preserve"> </w:t>
      </w:r>
    </w:p>
    <w:p w:rsidR="00205612" w:rsidRPr="00E14754" w:rsidRDefault="00205612" w:rsidP="00205612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Daňovou podporu VaV nelze využít ani v případě, </w:t>
      </w:r>
      <w:r w:rsidRPr="00E14754">
        <w:rPr>
          <w:rFonts w:cs="Arial"/>
          <w:szCs w:val="20"/>
        </w:rPr>
        <w:t xml:space="preserve">kdy </w:t>
      </w:r>
      <w:r>
        <w:rPr>
          <w:rFonts w:cs="Arial"/>
          <w:szCs w:val="20"/>
        </w:rPr>
        <w:t xml:space="preserve">podnik </w:t>
      </w:r>
      <w:r w:rsidRPr="00E14754">
        <w:rPr>
          <w:rFonts w:cs="Arial"/>
          <w:szCs w:val="20"/>
        </w:rPr>
        <w:t xml:space="preserve">v daném daňovém období vykáže ztrátu a tím pádem nemá v daném roce daňovou povinnost. V této situaci </w:t>
      </w:r>
      <w:r w:rsidR="00D23446">
        <w:rPr>
          <w:rFonts w:cs="Arial"/>
          <w:szCs w:val="20"/>
        </w:rPr>
        <w:t xml:space="preserve">si </w:t>
      </w:r>
      <w:r w:rsidRPr="009E57A8">
        <w:rPr>
          <w:rFonts w:cs="Arial"/>
          <w:b/>
          <w:szCs w:val="20"/>
        </w:rPr>
        <w:t>lze přenést</w:t>
      </w:r>
      <w:r w:rsidRPr="00E14754">
        <w:rPr>
          <w:rFonts w:cs="Arial"/>
          <w:szCs w:val="20"/>
        </w:rPr>
        <w:t xml:space="preserve"> možnost snížení daňové povinnosti </w:t>
      </w:r>
      <w:r w:rsidRPr="009E57A8">
        <w:rPr>
          <w:rFonts w:cs="Arial"/>
          <w:b/>
          <w:szCs w:val="20"/>
        </w:rPr>
        <w:t>do následujících tří let</w:t>
      </w:r>
      <w:r>
        <w:rPr>
          <w:rFonts w:cs="Arial"/>
          <w:szCs w:val="20"/>
        </w:rPr>
        <w:t xml:space="preserve">, ale pouze </w:t>
      </w:r>
      <w:r w:rsidRPr="00E14754">
        <w:rPr>
          <w:rFonts w:cs="Arial"/>
          <w:szCs w:val="20"/>
        </w:rPr>
        <w:t>za předpokladu, že se odpočet objeví v daňovém přiznání období, ve kterém VaV projekt probíhal. Zpětné uplatnění není možné.</w:t>
      </w:r>
    </w:p>
    <w:p w:rsidR="007E1850" w:rsidRPr="000B1CA7" w:rsidRDefault="007E1850" w:rsidP="0024246D">
      <w:pPr>
        <w:pageBreakBefore/>
        <w:spacing w:before="120" w:after="120"/>
        <w:jc w:val="both"/>
        <w:rPr>
          <w:rFonts w:cs="Arial"/>
          <w:b/>
          <w:color w:val="009BB4"/>
          <w:sz w:val="28"/>
          <w:szCs w:val="28"/>
        </w:rPr>
      </w:pPr>
      <w:r w:rsidRPr="000B1CA7">
        <w:rPr>
          <w:rFonts w:cs="Arial"/>
          <w:b/>
          <w:color w:val="009BB4"/>
          <w:sz w:val="28"/>
          <w:szCs w:val="28"/>
        </w:rPr>
        <w:lastRenderedPageBreak/>
        <w:t xml:space="preserve">Statistika nepřímé veřejné podpory </w:t>
      </w:r>
      <w:r w:rsidR="00E57564">
        <w:rPr>
          <w:rFonts w:cs="Arial"/>
          <w:b/>
          <w:color w:val="009BB4"/>
          <w:sz w:val="28"/>
          <w:szCs w:val="28"/>
        </w:rPr>
        <w:t>VaV</w:t>
      </w:r>
    </w:p>
    <w:p w:rsidR="007E1850" w:rsidRPr="007D0828" w:rsidRDefault="00CF6E52" w:rsidP="007E1850">
      <w:pPr>
        <w:spacing w:before="120" w:after="120"/>
        <w:jc w:val="both"/>
        <w:rPr>
          <w:rFonts w:cs="Arial"/>
          <w:szCs w:val="20"/>
        </w:rPr>
      </w:pPr>
      <w:r w:rsidRPr="001D1415">
        <w:rPr>
          <w:rFonts w:cs="Arial"/>
          <w:szCs w:val="20"/>
        </w:rPr>
        <w:t>V roce 2012 zpracoval ČSÚ poprvé</w:t>
      </w:r>
      <w:r w:rsidR="00AD52A8" w:rsidRPr="001D1415">
        <w:rPr>
          <w:rFonts w:cs="Arial"/>
          <w:szCs w:val="20"/>
        </w:rPr>
        <w:t xml:space="preserve"> statistiku nepřímé veřejné podpory VaV</w:t>
      </w:r>
      <w:r w:rsidRPr="001D1415">
        <w:rPr>
          <w:rFonts w:cs="Arial"/>
          <w:szCs w:val="20"/>
        </w:rPr>
        <w:t xml:space="preserve">, a to za </w:t>
      </w:r>
      <w:r w:rsidR="00AD52A8" w:rsidRPr="001D1415">
        <w:rPr>
          <w:rFonts w:cs="Arial"/>
          <w:szCs w:val="20"/>
        </w:rPr>
        <w:t xml:space="preserve">referenční roky </w:t>
      </w:r>
      <w:r w:rsidRPr="001D1415">
        <w:rPr>
          <w:rFonts w:cs="Arial"/>
          <w:szCs w:val="20"/>
        </w:rPr>
        <w:t xml:space="preserve">2007 až 2011. </w:t>
      </w:r>
      <w:r w:rsidR="007E1850" w:rsidRPr="001D1415">
        <w:rPr>
          <w:rFonts w:cs="Arial"/>
          <w:szCs w:val="20"/>
        </w:rPr>
        <w:t xml:space="preserve"> Od tohoto data jsou k dispozici podrobné údaje provázané s informacemi z Registru ekonomických subjektů (RES). Starší data z let 2005 a 2006 jsou k dispozici pouze v hrubé agregované podobě, která neumožňuje podrobnější členění. Administrativním zdrojem dat využívaným ve statistice nepřímé podpory VaV jsou daňová přiznání právnických osob.</w:t>
      </w:r>
    </w:p>
    <w:p w:rsidR="00C463A9" w:rsidRDefault="007E1850" w:rsidP="007E1850">
      <w:pPr>
        <w:spacing w:before="120" w:after="12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>Data za referenční rok t (např. 2013) j</w:t>
      </w:r>
      <w:r w:rsidR="00293EA3">
        <w:rPr>
          <w:rFonts w:cs="Arial"/>
          <w:szCs w:val="20"/>
        </w:rPr>
        <w:t>sou k dispozici v lednu roku t+13</w:t>
      </w:r>
      <w:r w:rsidRPr="007D0828">
        <w:rPr>
          <w:rFonts w:cs="Arial"/>
          <w:szCs w:val="20"/>
        </w:rPr>
        <w:t xml:space="preserve"> (leden 2015)</w:t>
      </w:r>
      <w:r w:rsidR="00293EA3">
        <w:rPr>
          <w:rFonts w:cs="Arial"/>
          <w:szCs w:val="20"/>
        </w:rPr>
        <w:t>, publikována jsou v dubnu roku t+16 (duben 2015). P</w:t>
      </w:r>
      <w:r w:rsidRPr="007D0828">
        <w:rPr>
          <w:rFonts w:cs="Arial"/>
          <w:szCs w:val="20"/>
        </w:rPr>
        <w:t xml:space="preserve">ro statistické účely </w:t>
      </w:r>
      <w:r w:rsidR="00293EA3">
        <w:rPr>
          <w:rFonts w:cs="Arial"/>
          <w:szCs w:val="20"/>
        </w:rPr>
        <w:t>jsou agregovaná data poskytovaná</w:t>
      </w:r>
      <w:r w:rsidRPr="007D0828">
        <w:rPr>
          <w:rFonts w:cs="Arial"/>
          <w:szCs w:val="20"/>
        </w:rPr>
        <w:t xml:space="preserve"> mezinárodním organizacím, jakými jsou Eurostat či OECD. </w:t>
      </w:r>
    </w:p>
    <w:p w:rsidR="007E1850" w:rsidRPr="007D0828" w:rsidRDefault="007E1850" w:rsidP="007E1850">
      <w:pPr>
        <w:spacing w:before="120" w:after="12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>Informace ze statistiky nepřímé veřejné podpory VaV jsou propojena s daty o financování VaV v podnikatelském sektoru, která pochází z ročního šeření ČSÚ o výzkumu a vývoji (VTR 5-01).</w:t>
      </w:r>
    </w:p>
    <w:p w:rsidR="00C463A9" w:rsidRPr="000B1CA7" w:rsidRDefault="00C463A9" w:rsidP="00C463A9">
      <w:pPr>
        <w:spacing w:before="120" w:after="120"/>
        <w:jc w:val="both"/>
        <w:rPr>
          <w:rFonts w:cs="Arial"/>
          <w:b/>
          <w:color w:val="009BB4"/>
          <w:sz w:val="24"/>
        </w:rPr>
      </w:pPr>
      <w:r w:rsidRPr="000B1CA7">
        <w:rPr>
          <w:rFonts w:cs="Arial"/>
          <w:b/>
          <w:color w:val="009BB4"/>
          <w:sz w:val="24"/>
        </w:rPr>
        <w:t xml:space="preserve">Výpočet nepřímé </w:t>
      </w:r>
      <w:r>
        <w:rPr>
          <w:rFonts w:cs="Arial"/>
          <w:b/>
          <w:color w:val="009BB4"/>
          <w:sz w:val="24"/>
        </w:rPr>
        <w:t xml:space="preserve">veřejné </w:t>
      </w:r>
      <w:r w:rsidRPr="000B1CA7">
        <w:rPr>
          <w:rFonts w:cs="Arial"/>
          <w:b/>
          <w:color w:val="009BB4"/>
          <w:sz w:val="24"/>
        </w:rPr>
        <w:t xml:space="preserve">podpory </w:t>
      </w:r>
      <w:r>
        <w:rPr>
          <w:rFonts w:cs="Arial"/>
          <w:b/>
          <w:color w:val="009BB4"/>
          <w:sz w:val="24"/>
        </w:rPr>
        <w:t>VaV</w:t>
      </w:r>
    </w:p>
    <w:p w:rsidR="00C463A9" w:rsidRPr="007D0828" w:rsidRDefault="00C463A9" w:rsidP="00C463A9">
      <w:pPr>
        <w:spacing w:before="120" w:after="12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 xml:space="preserve">Výše nepřímé podpory </w:t>
      </w:r>
      <w:r>
        <w:rPr>
          <w:rFonts w:cs="Arial"/>
          <w:szCs w:val="20"/>
        </w:rPr>
        <w:t>VaV</w:t>
      </w:r>
      <w:r w:rsidRPr="007D0828">
        <w:rPr>
          <w:rFonts w:cs="Arial"/>
          <w:szCs w:val="20"/>
        </w:rPr>
        <w:t xml:space="preserve"> lze spočítat podle následujícího vzorce:</w:t>
      </w:r>
    </w:p>
    <w:p w:rsidR="0015700C" w:rsidRDefault="0015700C" w:rsidP="0015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9BB4"/>
          <w:szCs w:val="20"/>
        </w:rPr>
      </w:pPr>
    </w:p>
    <w:p w:rsidR="00C463A9" w:rsidRPr="0084560E" w:rsidRDefault="00C463A9" w:rsidP="0015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Cs w:val="20"/>
        </w:rPr>
      </w:pPr>
      <w:r w:rsidRPr="0084560E">
        <w:rPr>
          <w:rFonts w:cs="Arial"/>
          <w:b/>
          <w:szCs w:val="20"/>
        </w:rPr>
        <w:t xml:space="preserve">Nepřímá podpora VaV = uplatněný odečet </w:t>
      </w:r>
      <w:r w:rsidR="00464380">
        <w:rPr>
          <w:rFonts w:cs="Arial"/>
          <w:b/>
          <w:szCs w:val="20"/>
        </w:rPr>
        <w:t>výdajů</w:t>
      </w:r>
      <w:r w:rsidRPr="0084560E">
        <w:rPr>
          <w:rFonts w:cs="Arial"/>
          <w:b/>
          <w:szCs w:val="20"/>
        </w:rPr>
        <w:t xml:space="preserve"> na VaV od základu daně * daňová sazba</w:t>
      </w:r>
    </w:p>
    <w:p w:rsidR="0015700C" w:rsidRPr="0015700C" w:rsidRDefault="0015700C" w:rsidP="00157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009BB4"/>
          <w:szCs w:val="20"/>
        </w:rPr>
      </w:pPr>
    </w:p>
    <w:p w:rsidR="00C463A9" w:rsidRPr="007D0828" w:rsidRDefault="00C463A9" w:rsidP="00C463A9">
      <w:pPr>
        <w:spacing w:before="120" w:after="12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 xml:space="preserve">Uplatněný odečet </w:t>
      </w:r>
      <w:r w:rsidR="00464380">
        <w:rPr>
          <w:rFonts w:cs="Arial"/>
          <w:szCs w:val="20"/>
        </w:rPr>
        <w:t>výdajů</w:t>
      </w:r>
      <w:r w:rsidRPr="007D0828">
        <w:rPr>
          <w:rFonts w:cs="Arial"/>
          <w:szCs w:val="20"/>
        </w:rPr>
        <w:t xml:space="preserve"> na VaV může dosáhnout až 100 % celkových nákladů na </w:t>
      </w:r>
      <w:r>
        <w:rPr>
          <w:rFonts w:cs="Arial"/>
          <w:szCs w:val="20"/>
        </w:rPr>
        <w:t>VaV</w:t>
      </w:r>
      <w:r w:rsidRPr="007D0828">
        <w:rPr>
          <w:rFonts w:cs="Arial"/>
          <w:szCs w:val="20"/>
        </w:rPr>
        <w:t xml:space="preserve"> činnost</w:t>
      </w:r>
      <w:r w:rsidR="0059708A">
        <w:rPr>
          <w:rStyle w:val="Znakapoznpodarou"/>
          <w:rFonts w:cs="Arial"/>
          <w:szCs w:val="20"/>
        </w:rPr>
        <w:footnoteReference w:id="13"/>
      </w:r>
      <w:r w:rsidRPr="007D0828">
        <w:rPr>
          <w:rFonts w:cs="Arial"/>
          <w:szCs w:val="20"/>
        </w:rPr>
        <w:t xml:space="preserve">. V roce podání daňového přiznání lze uplatnit část nákladů na VaV. Další část lze </w:t>
      </w:r>
      <w:r>
        <w:rPr>
          <w:rFonts w:cs="Arial"/>
          <w:szCs w:val="20"/>
        </w:rPr>
        <w:t xml:space="preserve">postupně </w:t>
      </w:r>
      <w:r w:rsidRPr="007D0828">
        <w:rPr>
          <w:rFonts w:cs="Arial"/>
          <w:szCs w:val="20"/>
        </w:rPr>
        <w:t xml:space="preserve">odečítat </w:t>
      </w:r>
      <w:r>
        <w:rPr>
          <w:rFonts w:cs="Arial"/>
          <w:szCs w:val="20"/>
        </w:rPr>
        <w:t xml:space="preserve">v navazujících </w:t>
      </w:r>
      <w:r w:rsidRPr="007D0828">
        <w:rPr>
          <w:rFonts w:cs="Arial"/>
          <w:szCs w:val="20"/>
        </w:rPr>
        <w:t>třech letech</w:t>
      </w:r>
      <w:r w:rsidR="00C36C5C">
        <w:rPr>
          <w:rFonts w:cs="Arial"/>
          <w:szCs w:val="20"/>
        </w:rPr>
        <w:t>.</w:t>
      </w:r>
      <w:r w:rsidRPr="007D0828">
        <w:rPr>
          <w:rFonts w:cs="Arial"/>
          <w:szCs w:val="20"/>
        </w:rPr>
        <w:t xml:space="preserve"> Tímto způsobem lze zpětně uplatnit náklady na </w:t>
      </w:r>
      <w:r>
        <w:rPr>
          <w:rFonts w:cs="Arial"/>
          <w:szCs w:val="20"/>
        </w:rPr>
        <w:t>VaV</w:t>
      </w:r>
      <w:r w:rsidRPr="007D0828">
        <w:rPr>
          <w:rFonts w:cs="Arial"/>
          <w:szCs w:val="20"/>
        </w:rPr>
        <w:t>, jež byly vydány v předcházejících třech letech. Daňová sazba pro právnické osoby v roce 2005 činila 26 %. Následoval postupný pokles této sazby na hodnotu 19 % v roce 2013.</w:t>
      </w:r>
    </w:p>
    <w:p w:rsidR="00C463A9" w:rsidRPr="00B43764" w:rsidRDefault="00C463A9" w:rsidP="00C463A9">
      <w:pPr>
        <w:spacing w:before="120" w:after="240"/>
        <w:jc w:val="both"/>
        <w:rPr>
          <w:rFonts w:cs="Arial"/>
          <w:b/>
          <w:color w:val="009BB4"/>
          <w:szCs w:val="20"/>
        </w:rPr>
      </w:pPr>
      <w:r w:rsidRPr="00B43764">
        <w:rPr>
          <w:rFonts w:cs="Arial"/>
          <w:b/>
          <w:color w:val="009BB4"/>
          <w:szCs w:val="20"/>
        </w:rPr>
        <w:t>Vývoj sazby právnických osob mezi lety 2005 a 2013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C463A9" w:rsidRPr="009E3609" w:rsidTr="00605254">
        <w:trPr>
          <w:trHeight w:val="340"/>
          <w:jc w:val="center"/>
        </w:trPr>
        <w:tc>
          <w:tcPr>
            <w:tcW w:w="1361" w:type="dxa"/>
            <w:shd w:val="clear" w:color="auto" w:fill="DAEEF3"/>
            <w:vAlign w:val="center"/>
          </w:tcPr>
          <w:p w:rsidR="00C463A9" w:rsidRPr="0084560E" w:rsidRDefault="00C463A9" w:rsidP="006052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4560E">
              <w:rPr>
                <w:rFonts w:cs="Arial"/>
                <w:b/>
                <w:szCs w:val="20"/>
              </w:rPr>
              <w:t>2005</w:t>
            </w:r>
          </w:p>
        </w:tc>
        <w:tc>
          <w:tcPr>
            <w:tcW w:w="1361" w:type="dxa"/>
            <w:shd w:val="clear" w:color="auto" w:fill="DAEEF3"/>
            <w:vAlign w:val="center"/>
          </w:tcPr>
          <w:p w:rsidR="00C463A9" w:rsidRPr="0084560E" w:rsidRDefault="00C463A9" w:rsidP="006052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4560E">
              <w:rPr>
                <w:rFonts w:cs="Arial"/>
                <w:b/>
                <w:szCs w:val="20"/>
              </w:rPr>
              <w:t>2006</w:t>
            </w:r>
          </w:p>
        </w:tc>
        <w:tc>
          <w:tcPr>
            <w:tcW w:w="1361" w:type="dxa"/>
            <w:shd w:val="clear" w:color="auto" w:fill="DAEEF3"/>
            <w:vAlign w:val="center"/>
          </w:tcPr>
          <w:p w:rsidR="00C463A9" w:rsidRPr="0084560E" w:rsidRDefault="00C463A9" w:rsidP="006052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4560E">
              <w:rPr>
                <w:rFonts w:cs="Arial"/>
                <w:b/>
                <w:szCs w:val="20"/>
              </w:rPr>
              <w:t>2007</w:t>
            </w:r>
          </w:p>
        </w:tc>
        <w:tc>
          <w:tcPr>
            <w:tcW w:w="1361" w:type="dxa"/>
            <w:shd w:val="clear" w:color="auto" w:fill="DAEEF3"/>
            <w:vAlign w:val="center"/>
          </w:tcPr>
          <w:p w:rsidR="00C463A9" w:rsidRPr="0084560E" w:rsidRDefault="00C463A9" w:rsidP="006052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4560E">
              <w:rPr>
                <w:rFonts w:cs="Arial"/>
                <w:b/>
                <w:szCs w:val="20"/>
              </w:rPr>
              <w:t>2008</w:t>
            </w:r>
          </w:p>
        </w:tc>
        <w:tc>
          <w:tcPr>
            <w:tcW w:w="1361" w:type="dxa"/>
            <w:shd w:val="clear" w:color="auto" w:fill="DAEEF3"/>
            <w:vAlign w:val="center"/>
          </w:tcPr>
          <w:p w:rsidR="00C463A9" w:rsidRPr="0084560E" w:rsidRDefault="00C463A9" w:rsidP="006052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4560E">
              <w:rPr>
                <w:rFonts w:cs="Arial"/>
                <w:b/>
                <w:szCs w:val="20"/>
              </w:rPr>
              <w:t>2009</w:t>
            </w:r>
          </w:p>
        </w:tc>
        <w:tc>
          <w:tcPr>
            <w:tcW w:w="1361" w:type="dxa"/>
            <w:shd w:val="clear" w:color="auto" w:fill="DAEEF3"/>
            <w:vAlign w:val="center"/>
          </w:tcPr>
          <w:p w:rsidR="00C463A9" w:rsidRPr="0084560E" w:rsidRDefault="00C463A9" w:rsidP="0060525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84560E">
              <w:rPr>
                <w:rFonts w:cs="Arial"/>
                <w:b/>
                <w:szCs w:val="20"/>
              </w:rPr>
              <w:t>2010 – 2013</w:t>
            </w:r>
          </w:p>
        </w:tc>
      </w:tr>
      <w:tr w:rsidR="00C463A9" w:rsidRPr="009E3609" w:rsidTr="00605254">
        <w:trPr>
          <w:trHeight w:val="340"/>
          <w:jc w:val="center"/>
        </w:trPr>
        <w:tc>
          <w:tcPr>
            <w:tcW w:w="1361" w:type="dxa"/>
            <w:shd w:val="clear" w:color="auto" w:fill="auto"/>
            <w:vAlign w:val="center"/>
          </w:tcPr>
          <w:p w:rsidR="00C463A9" w:rsidRPr="009E3609" w:rsidRDefault="00C463A9" w:rsidP="006052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E3609">
              <w:rPr>
                <w:rFonts w:cs="Arial"/>
                <w:szCs w:val="20"/>
              </w:rPr>
              <w:t>26%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63A9" w:rsidRPr="009E3609" w:rsidRDefault="00C463A9" w:rsidP="006052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E3609">
              <w:rPr>
                <w:rFonts w:cs="Arial"/>
                <w:szCs w:val="20"/>
              </w:rPr>
              <w:t>24%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63A9" w:rsidRPr="009E3609" w:rsidRDefault="00C463A9" w:rsidP="006052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E3609">
              <w:rPr>
                <w:rFonts w:cs="Arial"/>
                <w:szCs w:val="20"/>
              </w:rPr>
              <w:t>24%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63A9" w:rsidRPr="009E3609" w:rsidRDefault="00C463A9" w:rsidP="006052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E3609">
              <w:rPr>
                <w:rFonts w:cs="Arial"/>
                <w:szCs w:val="20"/>
              </w:rPr>
              <w:t>21%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63A9" w:rsidRPr="009E3609" w:rsidRDefault="00C463A9" w:rsidP="006052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E3609">
              <w:rPr>
                <w:rFonts w:cs="Arial"/>
                <w:szCs w:val="20"/>
              </w:rPr>
              <w:t>20%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C463A9" w:rsidRPr="009E3609" w:rsidRDefault="00C463A9" w:rsidP="00605254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9E3609">
              <w:rPr>
                <w:rFonts w:cs="Arial"/>
                <w:szCs w:val="20"/>
              </w:rPr>
              <w:t>19%</w:t>
            </w:r>
          </w:p>
        </w:tc>
      </w:tr>
    </w:tbl>
    <w:p w:rsidR="00C463A9" w:rsidRPr="00E14754" w:rsidRDefault="00C36C5C" w:rsidP="00395150">
      <w:pPr>
        <w:spacing w:before="24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Uznatelné výdaje na VaV lze tedy odečíst </w:t>
      </w:r>
      <w:r w:rsidR="00C463A9" w:rsidRPr="00E14754">
        <w:rPr>
          <w:rFonts w:cs="Arial"/>
          <w:szCs w:val="20"/>
        </w:rPr>
        <w:t>od základu daně dvakrát, poprvé účetně a podruhé daňově, kdy se dají využít ke snížení daňového základu profitabilní firmy. Jedná se o tzv. nepřímou formu financování inovací. Zatímco granty a dotační stimuly jsou formou přímou, a firmy tak s jejich pomocí přímo získávají částečné profinancování svých projektů. Proto firmy, které vyvíjí nebo významně zdokonalují své produkty, technologické a výrobní postupy nebo interní procesy, si mohou tato zdokonalení jako VaV projekty evidovat a interní náklady na ně zahrnout do daňového odpočtu. To platí jak pro vlastní interní činnost, tak pro zákaznická řešení.</w:t>
      </w:r>
    </w:p>
    <w:p w:rsidR="00C463A9" w:rsidRPr="00E14754" w:rsidRDefault="00C463A9" w:rsidP="00C463A9">
      <w:pPr>
        <w:spacing w:before="120" w:after="120"/>
        <w:jc w:val="both"/>
        <w:rPr>
          <w:rFonts w:cs="Arial"/>
          <w:szCs w:val="20"/>
        </w:rPr>
      </w:pPr>
      <w:r w:rsidRPr="00E14754">
        <w:rPr>
          <w:rFonts w:cs="Arial"/>
          <w:szCs w:val="20"/>
        </w:rPr>
        <w:t>Vzhledem k tomu, že sazba daně z příjmu právnických osob je 19 procent, lze prostřednictvím této daňové úlevy z každého milionu výdajů na takové projekty uspořit 190 000 korun. Úsporu pak mohou vložit do dalších podobných projektů a celkově ji využít pro svůj rozvoj, což je hlavním účelem odpočtu VaV na celém světě.</w:t>
      </w:r>
    </w:p>
    <w:p w:rsidR="00C463A9" w:rsidRPr="00777D0D" w:rsidRDefault="00777D0D" w:rsidP="00C463A9">
      <w:pPr>
        <w:spacing w:before="120" w:after="240"/>
        <w:jc w:val="both"/>
        <w:rPr>
          <w:rFonts w:cs="Arial"/>
          <w:szCs w:val="20"/>
        </w:rPr>
      </w:pPr>
      <w:r w:rsidRPr="00777D0D">
        <w:rPr>
          <w:rFonts w:cs="Arial"/>
          <w:b/>
          <w:szCs w:val="20"/>
        </w:rPr>
        <w:t>Příjemcem nepřímé podpory VaV</w:t>
      </w:r>
      <w:r w:rsidRPr="00777D0D">
        <w:rPr>
          <w:rFonts w:cs="Arial"/>
          <w:szCs w:val="20"/>
        </w:rPr>
        <w:t xml:space="preserve"> je daňový poplatník – p</w:t>
      </w:r>
      <w:r w:rsidR="00C463A9" w:rsidRPr="00777D0D">
        <w:rPr>
          <w:rFonts w:cs="Arial"/>
          <w:szCs w:val="20"/>
        </w:rPr>
        <w:t>rávnická osoba</w:t>
      </w:r>
      <w:r>
        <w:rPr>
          <w:rStyle w:val="Znakapoznpodarou"/>
          <w:rFonts w:cs="Arial"/>
          <w:szCs w:val="20"/>
        </w:rPr>
        <w:footnoteReference w:id="14"/>
      </w:r>
      <w:r w:rsidRPr="00777D0D">
        <w:rPr>
          <w:rFonts w:cs="Arial"/>
          <w:szCs w:val="20"/>
        </w:rPr>
        <w:t xml:space="preserve"> vymezená</w:t>
      </w:r>
      <w:r w:rsidR="00C463A9" w:rsidRPr="00777D0D">
        <w:rPr>
          <w:rFonts w:cs="Arial"/>
          <w:szCs w:val="20"/>
        </w:rPr>
        <w:t xml:space="preserve"> jako </w:t>
      </w:r>
      <w:r w:rsidRPr="00777D0D">
        <w:rPr>
          <w:rFonts w:cs="Arial"/>
          <w:szCs w:val="20"/>
        </w:rPr>
        <w:t xml:space="preserve">finanční nebo nefinanční </w:t>
      </w:r>
      <w:r w:rsidR="00C463A9" w:rsidRPr="00777D0D">
        <w:rPr>
          <w:rFonts w:cs="Arial"/>
          <w:szCs w:val="20"/>
        </w:rPr>
        <w:t xml:space="preserve">podnik </w:t>
      </w:r>
      <w:r w:rsidRPr="00777D0D">
        <w:rPr>
          <w:rFonts w:cs="Arial"/>
          <w:szCs w:val="20"/>
        </w:rPr>
        <w:t>dle</w:t>
      </w:r>
      <w:r w:rsidR="00C463A9" w:rsidRPr="00777D0D">
        <w:rPr>
          <w:rFonts w:cs="Arial"/>
          <w:szCs w:val="20"/>
        </w:rPr>
        <w:t xml:space="preserve"> Systém</w:t>
      </w:r>
      <w:r w:rsidRPr="00777D0D">
        <w:rPr>
          <w:rFonts w:cs="Arial"/>
          <w:szCs w:val="20"/>
        </w:rPr>
        <w:t xml:space="preserve">u národních účtů 2010 v modifikované </w:t>
      </w:r>
      <w:r w:rsidR="00C463A9" w:rsidRPr="00777D0D">
        <w:rPr>
          <w:rFonts w:cs="Arial"/>
          <w:szCs w:val="20"/>
        </w:rPr>
        <w:t>podobě užívané v šetření ČSÚ o výzkumu a vývoji (VTR 5-01)</w:t>
      </w:r>
      <w:r w:rsidRPr="00777D0D">
        <w:rPr>
          <w:rFonts w:cs="Arial"/>
          <w:szCs w:val="20"/>
        </w:rPr>
        <w:t>, tj. bez ekonomických subjektů podnikajících v postsekundárním vzdělávání a bez fakultních nemocnic.</w:t>
      </w:r>
    </w:p>
    <w:p w:rsidR="00E45F0C" w:rsidRPr="007D0828" w:rsidRDefault="007E1850" w:rsidP="007E1850">
      <w:pPr>
        <w:spacing w:before="120" w:after="240"/>
        <w:jc w:val="both"/>
        <w:rPr>
          <w:rFonts w:cs="Arial"/>
          <w:szCs w:val="20"/>
        </w:rPr>
      </w:pPr>
      <w:r w:rsidRPr="007D0828">
        <w:rPr>
          <w:rFonts w:cs="Arial"/>
          <w:b/>
          <w:szCs w:val="20"/>
        </w:rPr>
        <w:lastRenderedPageBreak/>
        <w:t>Český statistický úřad publikuje údaje v podrobném členění v souladu s metodikou OECD p</w:t>
      </w:r>
      <w:r w:rsidR="00C9101A">
        <w:rPr>
          <w:rFonts w:cs="Arial"/>
          <w:b/>
          <w:szCs w:val="20"/>
        </w:rPr>
        <w:t xml:space="preserve">ouze za </w:t>
      </w:r>
      <w:r w:rsidRPr="007D0828">
        <w:rPr>
          <w:rFonts w:cs="Arial"/>
          <w:b/>
          <w:szCs w:val="20"/>
        </w:rPr>
        <w:t>právnické osoby (nefinanční a finanční podniky)</w:t>
      </w:r>
      <w:r w:rsidR="00C9101A">
        <w:rPr>
          <w:rFonts w:cs="Arial"/>
          <w:b/>
          <w:szCs w:val="20"/>
        </w:rPr>
        <w:t xml:space="preserve"> podnikatelského sektoru</w:t>
      </w:r>
      <w:r w:rsidRPr="007D0828">
        <w:rPr>
          <w:rFonts w:cs="Arial"/>
          <w:b/>
          <w:szCs w:val="20"/>
        </w:rPr>
        <w:t xml:space="preserve">. </w:t>
      </w:r>
      <w:r w:rsidRPr="007D0828">
        <w:rPr>
          <w:rFonts w:cs="Arial"/>
          <w:szCs w:val="20"/>
        </w:rPr>
        <w:t xml:space="preserve">Za fyzické osoby – podnikatele – nejsou </w:t>
      </w:r>
      <w:r w:rsidR="00DD787B">
        <w:rPr>
          <w:rFonts w:cs="Arial"/>
          <w:szCs w:val="20"/>
        </w:rPr>
        <w:t xml:space="preserve">podrobné </w:t>
      </w:r>
      <w:r w:rsidRPr="007D0828">
        <w:rPr>
          <w:rFonts w:cs="Arial"/>
          <w:szCs w:val="20"/>
        </w:rPr>
        <w:t>údaje z daňových přiznání v současnosti dostupné.</w:t>
      </w:r>
    </w:p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34"/>
        <w:gridCol w:w="1526"/>
        <w:gridCol w:w="934"/>
        <w:gridCol w:w="1526"/>
        <w:gridCol w:w="1240"/>
        <w:gridCol w:w="934"/>
        <w:gridCol w:w="1526"/>
      </w:tblGrid>
      <w:tr w:rsidR="00547A35" w:rsidRPr="00547A35" w:rsidTr="00547A35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Rok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31869B"/>
              <w:bottom w:val="nil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Počet právnických osob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Odčitatelná položka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215967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Daňová sazba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31869B"/>
              <w:bottom w:val="nil"/>
              <w:right w:val="nil"/>
            </w:tcBorders>
            <w:shd w:val="clear" w:color="000000" w:fill="215967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Nepřímá podpora VaV</w:t>
            </w:r>
          </w:p>
        </w:tc>
      </w:tr>
      <w:tr w:rsidR="00547A35" w:rsidRPr="00547A35" w:rsidTr="00547A35">
        <w:trPr>
          <w:trHeight w:val="600"/>
        </w:trPr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Podnikatelský sektor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Podnikatelský sektor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CELKEM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547A35">
              <w:rPr>
                <w:rFonts w:cs="Arial"/>
                <w:b/>
                <w:bCs/>
                <w:color w:val="FFFFFF"/>
                <w:sz w:val="18"/>
                <w:szCs w:val="18"/>
              </w:rPr>
              <w:t>Podnikatelský sektor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2005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454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3 151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26%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819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2006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553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4 149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24%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996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-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5 045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5 038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1 211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1 209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4 871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4 867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1 023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1 022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5 263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5 261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1 053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1 052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6 952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6 948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1 321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1 320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9 722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9 717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1 847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1 846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1 057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1 027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nil"/>
              <w:right w:val="single" w:sz="4" w:space="0" w:color="31869B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10 468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10 460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nil"/>
              <w:right w:val="single" w:sz="4" w:space="0" w:color="215967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31869B"/>
            </w:tcBorders>
            <w:shd w:val="clear" w:color="000000" w:fill="DAEEF3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1 989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1 987</w:t>
            </w:r>
          </w:p>
        </w:tc>
      </w:tr>
      <w:tr w:rsidR="00547A35" w:rsidRPr="00547A35" w:rsidTr="00547A35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single" w:sz="4" w:space="0" w:color="DAEEF3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DAEEF3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1 146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1 127</w:t>
            </w:r>
          </w:p>
        </w:tc>
        <w:tc>
          <w:tcPr>
            <w:tcW w:w="934" w:type="dxa"/>
            <w:tcBorders>
              <w:top w:val="nil"/>
              <w:left w:val="single" w:sz="4" w:space="0" w:color="215967"/>
              <w:bottom w:val="single" w:sz="4" w:space="0" w:color="DAEEF3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12 132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7A35">
              <w:rPr>
                <w:rFonts w:cs="Arial"/>
                <w:sz w:val="18"/>
                <w:szCs w:val="18"/>
              </w:rPr>
              <w:t>12 127</w:t>
            </w:r>
          </w:p>
        </w:tc>
        <w:tc>
          <w:tcPr>
            <w:tcW w:w="1240" w:type="dxa"/>
            <w:tcBorders>
              <w:top w:val="nil"/>
              <w:left w:val="single" w:sz="4" w:space="0" w:color="215967"/>
              <w:bottom w:val="single" w:sz="4" w:space="0" w:color="DAEEF3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DAEEF3"/>
              <w:right w:val="single" w:sz="4" w:space="0" w:color="31869B"/>
            </w:tcBorders>
            <w:shd w:val="clear" w:color="auto" w:fill="auto"/>
            <w:noWrap/>
            <w:vAlign w:val="bottom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2 305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47A35" w:rsidRPr="00547A35" w:rsidRDefault="00547A35" w:rsidP="00547A35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47A35">
              <w:rPr>
                <w:rFonts w:cs="Arial"/>
                <w:color w:val="000000"/>
                <w:sz w:val="18"/>
                <w:szCs w:val="18"/>
              </w:rPr>
              <w:t>2 304</w:t>
            </w:r>
          </w:p>
        </w:tc>
      </w:tr>
    </w:tbl>
    <w:p w:rsidR="007E1850" w:rsidRPr="00547A35" w:rsidRDefault="00547A35" w:rsidP="007E1850">
      <w:pPr>
        <w:spacing w:before="120" w:after="120"/>
        <w:jc w:val="both"/>
        <w:rPr>
          <w:rFonts w:cs="Arial"/>
          <w:i/>
          <w:sz w:val="18"/>
          <w:szCs w:val="20"/>
        </w:rPr>
      </w:pPr>
      <w:r w:rsidRPr="00547A35">
        <w:rPr>
          <w:rFonts w:cs="Arial"/>
          <w:i/>
          <w:sz w:val="18"/>
          <w:szCs w:val="20"/>
        </w:rPr>
        <w:t xml:space="preserve">Zdroj dat: </w:t>
      </w:r>
      <w:r w:rsidR="00171425">
        <w:rPr>
          <w:rFonts w:cs="Arial"/>
          <w:i/>
          <w:sz w:val="18"/>
          <w:szCs w:val="20"/>
        </w:rPr>
        <w:t xml:space="preserve">ČSÚ podle administrativních dat </w:t>
      </w:r>
      <w:r w:rsidRPr="00547A35">
        <w:rPr>
          <w:rFonts w:cs="Arial"/>
          <w:i/>
          <w:sz w:val="18"/>
          <w:szCs w:val="20"/>
        </w:rPr>
        <w:t xml:space="preserve"> GFŘ</w:t>
      </w:r>
      <w:r w:rsidR="00171425">
        <w:rPr>
          <w:rFonts w:cs="Arial"/>
          <w:i/>
          <w:sz w:val="18"/>
          <w:szCs w:val="20"/>
        </w:rPr>
        <w:t xml:space="preserve"> </w:t>
      </w:r>
    </w:p>
    <w:p w:rsidR="00547A35" w:rsidRDefault="00547A35" w:rsidP="00F12D74">
      <w:pPr>
        <w:spacing w:before="120" w:after="240"/>
        <w:rPr>
          <w:rFonts w:cs="Arial"/>
          <w:b/>
          <w:color w:val="009BB4"/>
          <w:sz w:val="28"/>
          <w:szCs w:val="28"/>
        </w:rPr>
      </w:pPr>
    </w:p>
    <w:p w:rsidR="007E1850" w:rsidRPr="000B1CA7" w:rsidRDefault="007E1850" w:rsidP="00F12D74">
      <w:pPr>
        <w:spacing w:before="120" w:after="240"/>
        <w:rPr>
          <w:rFonts w:cs="Arial"/>
          <w:b/>
          <w:color w:val="009BB4"/>
          <w:sz w:val="28"/>
          <w:szCs w:val="28"/>
        </w:rPr>
      </w:pPr>
      <w:r w:rsidRPr="000B1CA7">
        <w:rPr>
          <w:rFonts w:cs="Arial"/>
          <w:b/>
          <w:color w:val="009BB4"/>
          <w:sz w:val="28"/>
          <w:szCs w:val="28"/>
        </w:rPr>
        <w:t>Doplňující informace z</w:t>
      </w:r>
      <w:r w:rsidR="008511B6">
        <w:rPr>
          <w:rFonts w:cs="Arial"/>
          <w:b/>
          <w:color w:val="009BB4"/>
          <w:sz w:val="28"/>
          <w:szCs w:val="28"/>
        </w:rPr>
        <w:t>e</w:t>
      </w:r>
      <w:r w:rsidR="006571A0">
        <w:rPr>
          <w:rFonts w:cs="Arial"/>
          <w:b/>
          <w:color w:val="009BB4"/>
          <w:sz w:val="28"/>
          <w:szCs w:val="28"/>
        </w:rPr>
        <w:t xml:space="preserve"> šetření </w:t>
      </w:r>
      <w:r w:rsidR="008511B6">
        <w:rPr>
          <w:rFonts w:cs="Arial"/>
          <w:b/>
          <w:color w:val="009BB4"/>
          <w:sz w:val="28"/>
          <w:szCs w:val="28"/>
        </w:rPr>
        <w:t>o výzkumu a vývoji VTR 5-01</w:t>
      </w:r>
    </w:p>
    <w:p w:rsidR="007E1850" w:rsidRPr="007D0828" w:rsidRDefault="007E1850" w:rsidP="00D519AC">
      <w:pPr>
        <w:spacing w:before="120" w:after="240"/>
        <w:jc w:val="both"/>
        <w:rPr>
          <w:rFonts w:cs="Arial"/>
          <w:szCs w:val="20"/>
        </w:rPr>
      </w:pPr>
      <w:r w:rsidRPr="007D0828">
        <w:rPr>
          <w:rFonts w:cs="Arial"/>
          <w:szCs w:val="20"/>
        </w:rPr>
        <w:t xml:space="preserve">Statistika nepřímé podpory </w:t>
      </w:r>
      <w:r w:rsidR="008E08A4">
        <w:rPr>
          <w:rFonts w:cs="Arial"/>
          <w:szCs w:val="20"/>
        </w:rPr>
        <w:t>VaV</w:t>
      </w:r>
      <w:r w:rsidRPr="007D0828">
        <w:rPr>
          <w:rFonts w:cs="Arial"/>
          <w:szCs w:val="20"/>
        </w:rPr>
        <w:t xml:space="preserve"> je v této publikaci za účelem poskytnutí ucelenějšího obrazu o financování výzkumné a vývojové činnosti na </w:t>
      </w:r>
      <w:r w:rsidR="0056103D">
        <w:rPr>
          <w:rFonts w:cs="Arial"/>
          <w:szCs w:val="20"/>
        </w:rPr>
        <w:t>území České republiky doplněna</w:t>
      </w:r>
      <w:r w:rsidRPr="007D0828">
        <w:rPr>
          <w:rFonts w:cs="Arial"/>
          <w:szCs w:val="20"/>
        </w:rPr>
        <w:t xml:space="preserve"> informacemi </w:t>
      </w:r>
      <w:r w:rsidR="00325DD0">
        <w:rPr>
          <w:rFonts w:cs="Arial"/>
          <w:szCs w:val="20"/>
        </w:rPr>
        <w:t>o přímé veřejné (domácí i zahraniční)</w:t>
      </w:r>
      <w:r w:rsidR="00D57D9C">
        <w:rPr>
          <w:rFonts w:cs="Arial"/>
          <w:szCs w:val="20"/>
        </w:rPr>
        <w:t xml:space="preserve"> podpoře</w:t>
      </w:r>
      <w:r w:rsidR="00325DD0">
        <w:rPr>
          <w:rFonts w:cs="Arial"/>
          <w:szCs w:val="20"/>
        </w:rPr>
        <w:t xml:space="preserve"> VaV a celkových výdajích na VaV </w:t>
      </w:r>
      <w:r w:rsidR="0056103D">
        <w:rPr>
          <w:rFonts w:cs="Arial"/>
          <w:szCs w:val="20"/>
        </w:rPr>
        <w:t>z</w:t>
      </w:r>
      <w:r w:rsidR="00325DD0">
        <w:rPr>
          <w:rFonts w:cs="Arial"/>
          <w:szCs w:val="20"/>
        </w:rPr>
        <w:t xml:space="preserve"> Ročního </w:t>
      </w:r>
      <w:r w:rsidR="0056103D">
        <w:rPr>
          <w:rFonts w:cs="Arial"/>
          <w:szCs w:val="20"/>
        </w:rPr>
        <w:t>šetření výzkumu a vývoj</w:t>
      </w:r>
      <w:r w:rsidR="00325DD0">
        <w:rPr>
          <w:rFonts w:cs="Arial"/>
          <w:szCs w:val="20"/>
        </w:rPr>
        <w:t>e VTR 5-01 prováděného ČSÚ.</w:t>
      </w:r>
    </w:p>
    <w:p w:rsidR="007E1850" w:rsidRPr="000B1CA7" w:rsidRDefault="007E1850" w:rsidP="007E1850">
      <w:pPr>
        <w:spacing w:before="120" w:after="120"/>
        <w:rPr>
          <w:rFonts w:cs="Arial"/>
          <w:b/>
          <w:color w:val="009BB4"/>
          <w:sz w:val="24"/>
        </w:rPr>
      </w:pPr>
      <w:r w:rsidRPr="000B1CA7">
        <w:rPr>
          <w:rFonts w:cs="Arial"/>
          <w:b/>
          <w:color w:val="009BB4"/>
          <w:sz w:val="24"/>
        </w:rPr>
        <w:t>Roční výkaz o výzkumu a vývoji (VTR 5-01)</w:t>
      </w:r>
    </w:p>
    <w:p w:rsidR="007E1850" w:rsidRPr="007D0828" w:rsidRDefault="00FD293E" w:rsidP="007E1850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Prostřednictvím </w:t>
      </w:r>
      <w:r w:rsidR="007E1850" w:rsidRPr="007D0828">
        <w:rPr>
          <w:rFonts w:cs="Arial"/>
          <w:szCs w:val="20"/>
        </w:rPr>
        <w:t>Roční</w:t>
      </w:r>
      <w:r>
        <w:rPr>
          <w:rFonts w:cs="Arial"/>
          <w:szCs w:val="20"/>
        </w:rPr>
        <w:t>ho</w:t>
      </w:r>
      <w:r w:rsidR="007E1850" w:rsidRPr="007D0828">
        <w:rPr>
          <w:rFonts w:cs="Arial"/>
          <w:szCs w:val="20"/>
        </w:rPr>
        <w:t xml:space="preserve"> výkaz</w:t>
      </w:r>
      <w:r>
        <w:rPr>
          <w:rFonts w:cs="Arial"/>
          <w:szCs w:val="20"/>
        </w:rPr>
        <w:t>u</w:t>
      </w:r>
      <w:r w:rsidR="007E1850" w:rsidRPr="007D0828">
        <w:rPr>
          <w:rFonts w:cs="Arial"/>
          <w:szCs w:val="20"/>
        </w:rPr>
        <w:t xml:space="preserve"> o výzkumu a vývoji </w:t>
      </w:r>
      <w:r w:rsidR="008352FC">
        <w:rPr>
          <w:rFonts w:cs="Arial"/>
          <w:szCs w:val="20"/>
        </w:rPr>
        <w:t>(VTR 5-01)</w:t>
      </w:r>
      <w:r w:rsidR="007E1850" w:rsidRPr="007D082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zjišťuje ČSÚ </w:t>
      </w:r>
      <w:r w:rsidRPr="00FD293E">
        <w:rPr>
          <w:rFonts w:cs="Arial"/>
          <w:szCs w:val="20"/>
        </w:rPr>
        <w:t xml:space="preserve">podrobné </w:t>
      </w:r>
      <w:r>
        <w:rPr>
          <w:rFonts w:cs="Arial"/>
          <w:szCs w:val="20"/>
        </w:rPr>
        <w:t>údaje o</w:t>
      </w:r>
      <w:r w:rsidRPr="00FD293E">
        <w:rPr>
          <w:rFonts w:cs="Arial"/>
          <w:szCs w:val="20"/>
        </w:rPr>
        <w:t xml:space="preserve"> stavu lidských a finančních zdrojů ve všech subjektech </w:t>
      </w:r>
      <w:r w:rsidRPr="00171425">
        <w:rPr>
          <w:rFonts w:cs="Arial"/>
          <w:b/>
          <w:szCs w:val="20"/>
        </w:rPr>
        <w:t>podnikatelského</w:t>
      </w:r>
      <w:r w:rsidRPr="00FD293E">
        <w:rPr>
          <w:rFonts w:cs="Arial"/>
          <w:szCs w:val="20"/>
        </w:rPr>
        <w:t>, vládního, vysokoškolského a soukromého neziskového sektoru provádějících VaV jako svoji hlavní či vedlejší ekonomickou činnost</w:t>
      </w:r>
      <w:r>
        <w:rPr>
          <w:rFonts w:cs="Arial"/>
          <w:szCs w:val="20"/>
        </w:rPr>
        <w:t xml:space="preserve"> na území České republiky</w:t>
      </w:r>
      <w:r w:rsidRPr="00FD293E">
        <w:rPr>
          <w:rFonts w:cs="Arial"/>
          <w:szCs w:val="20"/>
        </w:rPr>
        <w:t xml:space="preserve">. Mezi základní charakteristiky zjišťované v tomto šetření patří počet zaměstnanců VaV podle pracovní činnosti, vzdělání, pohlaví, věku či národnosti a </w:t>
      </w:r>
      <w:r w:rsidRPr="00171425">
        <w:rPr>
          <w:rFonts w:cs="Arial"/>
          <w:b/>
          <w:szCs w:val="20"/>
        </w:rPr>
        <w:t>výše výdajů za provedený VaV</w:t>
      </w:r>
      <w:r w:rsidRPr="00FD293E">
        <w:rPr>
          <w:rFonts w:cs="Arial"/>
          <w:szCs w:val="20"/>
        </w:rPr>
        <w:t xml:space="preserve"> podle druhu výdajů a zdrojů jejich </w:t>
      </w:r>
      <w:r w:rsidRPr="00171425">
        <w:rPr>
          <w:rFonts w:cs="Arial"/>
          <w:b/>
          <w:szCs w:val="20"/>
        </w:rPr>
        <w:t>financování</w:t>
      </w:r>
      <w:r>
        <w:rPr>
          <w:rFonts w:cs="Arial"/>
          <w:b/>
          <w:szCs w:val="20"/>
        </w:rPr>
        <w:t>.</w:t>
      </w:r>
    </w:p>
    <w:p w:rsidR="00FD293E" w:rsidRDefault="00FD293E" w:rsidP="007E1850">
      <w:pPr>
        <w:spacing w:before="120" w:after="120"/>
        <w:jc w:val="both"/>
        <w:rPr>
          <w:rFonts w:cs="Arial"/>
          <w:szCs w:val="20"/>
        </w:rPr>
      </w:pPr>
      <w:r w:rsidRPr="00FD293E">
        <w:rPr>
          <w:rFonts w:cs="Arial"/>
          <w:szCs w:val="20"/>
        </w:rPr>
        <w:t xml:space="preserve">Sběr údajů o lidských a peněžních vstupech určených pro VaV aktivity, respektive zabezpečení těchto ukazatelů, je na základě Prováděcího nařízení Komise (EU) č. 995/2012 o tvorbě a rozvoji statistiky Společenství v oblasti vědy a techniky </w:t>
      </w:r>
      <w:r w:rsidRPr="00171425">
        <w:rPr>
          <w:rFonts w:cs="Arial"/>
          <w:b/>
          <w:szCs w:val="20"/>
        </w:rPr>
        <w:t xml:space="preserve">povinné </w:t>
      </w:r>
      <w:r w:rsidRPr="00FD293E">
        <w:rPr>
          <w:rFonts w:cs="Arial"/>
          <w:szCs w:val="20"/>
        </w:rPr>
        <w:t>pro všechny státy EU. Sběr těchto údajů probíhá podle mezinárodních standardů a doporučení uvedených ve Frascati manuálu (OECD 2002), který slouží jako hlavní příručka pro harmonizovaný sběr ukazatelů v oblasti VaV používaná nejen v zemích EU a OECD, ale na celém světě.</w:t>
      </w:r>
    </w:p>
    <w:p w:rsidR="00FD293E" w:rsidRDefault="00FD293E" w:rsidP="005B3B88">
      <w:pPr>
        <w:spacing w:before="120" w:after="120"/>
        <w:jc w:val="both"/>
        <w:rPr>
          <w:rFonts w:cs="Arial"/>
          <w:szCs w:val="20"/>
        </w:rPr>
      </w:pPr>
      <w:r w:rsidRPr="00FD293E">
        <w:rPr>
          <w:rFonts w:cs="Arial"/>
          <w:szCs w:val="20"/>
        </w:rPr>
        <w:t xml:space="preserve">Mezi základní charakteristiky sledované v oblasti statistiky celkových výdajů na VaV, ale i výdajů uskutečněných v jednotlivých sektorech a pracovištích VaV, patří původ finančních zdrojů určených na provádění VaV. ČSÚ dle doporučení uvedených ve Frascati manuálu rozlišuje </w:t>
      </w:r>
      <w:r>
        <w:rPr>
          <w:rFonts w:cs="Arial"/>
          <w:szCs w:val="20"/>
        </w:rPr>
        <w:t xml:space="preserve">v případě podnikatelského sektoru v rámci výkazu VTR 5-01 </w:t>
      </w:r>
      <w:r w:rsidRPr="00FD293E">
        <w:rPr>
          <w:rFonts w:cs="Arial"/>
          <w:szCs w:val="20"/>
        </w:rPr>
        <w:t xml:space="preserve">následující hlavní zdroje financování </w:t>
      </w:r>
      <w:r>
        <w:rPr>
          <w:rFonts w:cs="Arial"/>
          <w:szCs w:val="20"/>
        </w:rPr>
        <w:t xml:space="preserve">jejich </w:t>
      </w:r>
      <w:r w:rsidRPr="00FD293E">
        <w:rPr>
          <w:rFonts w:cs="Arial"/>
          <w:szCs w:val="20"/>
        </w:rPr>
        <w:t>VaV</w:t>
      </w:r>
      <w:r>
        <w:rPr>
          <w:rFonts w:cs="Arial"/>
          <w:szCs w:val="20"/>
        </w:rPr>
        <w:t xml:space="preserve"> činnosti</w:t>
      </w:r>
      <w:r w:rsidRPr="00FD293E">
        <w:rPr>
          <w:rFonts w:cs="Arial"/>
          <w:szCs w:val="20"/>
        </w:rPr>
        <w:t>:</w:t>
      </w:r>
    </w:p>
    <w:p w:rsidR="00FD293E" w:rsidRDefault="00FD293E" w:rsidP="00171425">
      <w:pPr>
        <w:pStyle w:val="Odstavecseseznamem"/>
        <w:numPr>
          <w:ilvl w:val="0"/>
          <w:numId w:val="21"/>
        </w:numPr>
        <w:spacing w:before="120" w:after="120"/>
        <w:rPr>
          <w:rFonts w:cs="Arial"/>
          <w:szCs w:val="20"/>
        </w:rPr>
      </w:pPr>
      <w:r w:rsidRPr="00171425">
        <w:rPr>
          <w:rFonts w:cs="Arial"/>
          <w:b/>
          <w:szCs w:val="20"/>
        </w:rPr>
        <w:t>podnikatelské (soukromé) tuzemské zdroje</w:t>
      </w:r>
      <w:r w:rsidRPr="00FD293E">
        <w:rPr>
          <w:rFonts w:cs="Arial"/>
          <w:szCs w:val="20"/>
        </w:rPr>
        <w:t>, které tvoří především interní zdroje vzniklé z podnikatelské činnosti sledovaných podniků určené na u nich prováděný VaV.</w:t>
      </w:r>
    </w:p>
    <w:p w:rsidR="00FD293E" w:rsidRPr="00FD293E" w:rsidRDefault="00FD293E" w:rsidP="00171425">
      <w:pPr>
        <w:pStyle w:val="Odstavecseseznamem"/>
        <w:spacing w:before="120" w:after="120"/>
        <w:rPr>
          <w:rFonts w:cs="Arial"/>
          <w:szCs w:val="20"/>
        </w:rPr>
      </w:pPr>
    </w:p>
    <w:p w:rsidR="00FD293E" w:rsidRPr="00171425" w:rsidRDefault="00FD293E" w:rsidP="00171425">
      <w:pPr>
        <w:pStyle w:val="Odstavecseseznamem"/>
        <w:numPr>
          <w:ilvl w:val="0"/>
          <w:numId w:val="21"/>
        </w:numPr>
        <w:spacing w:before="120" w:after="120"/>
        <w:rPr>
          <w:rFonts w:cs="Arial"/>
          <w:szCs w:val="20"/>
        </w:rPr>
      </w:pPr>
      <w:r w:rsidRPr="00171425">
        <w:rPr>
          <w:rFonts w:cs="Arial"/>
          <w:b/>
          <w:szCs w:val="20"/>
        </w:rPr>
        <w:t>podnikatelské (soukromé) zahraniční zdroje</w:t>
      </w:r>
      <w:r w:rsidRPr="00FD293E">
        <w:rPr>
          <w:rFonts w:cs="Arial"/>
          <w:szCs w:val="20"/>
        </w:rPr>
        <w:t xml:space="preserve"> zahrnující v případě </w:t>
      </w:r>
      <w:r w:rsidRPr="007E48C9">
        <w:rPr>
          <w:rFonts w:cs="Arial"/>
          <w:szCs w:val="20"/>
        </w:rPr>
        <w:t>podniků provádějících VaV na území ČR především příjmy z prodejů služeb VaV prováděného na zakázku pro jiný zahraniční podnik a dále získané příspěvky a subvence (finanční transfer) na prováděný VaV od zahraničních podniků nejčastěji působ</w:t>
      </w:r>
      <w:r w:rsidRPr="00171425">
        <w:rPr>
          <w:rFonts w:cs="Arial"/>
          <w:szCs w:val="20"/>
        </w:rPr>
        <w:t xml:space="preserve">ících v rámci stejné skupiny. </w:t>
      </w:r>
    </w:p>
    <w:p w:rsidR="00FD293E" w:rsidRDefault="00FD293E" w:rsidP="00171425">
      <w:pPr>
        <w:spacing w:before="120" w:after="120"/>
        <w:ind w:left="360"/>
        <w:jc w:val="both"/>
        <w:rPr>
          <w:rFonts w:cs="Arial"/>
          <w:szCs w:val="20"/>
        </w:rPr>
      </w:pPr>
      <w:r w:rsidRPr="00FD293E">
        <w:rPr>
          <w:rFonts w:cs="Arial"/>
          <w:szCs w:val="20"/>
        </w:rPr>
        <w:lastRenderedPageBreak/>
        <w:t xml:space="preserve">Poznámka: </w:t>
      </w:r>
      <w:r>
        <w:rPr>
          <w:rFonts w:cs="Arial"/>
          <w:szCs w:val="20"/>
        </w:rPr>
        <w:t>P</w:t>
      </w:r>
      <w:r w:rsidRPr="00FD293E">
        <w:rPr>
          <w:rFonts w:cs="Arial"/>
          <w:szCs w:val="20"/>
        </w:rPr>
        <w:t xml:space="preserve">ro podniky </w:t>
      </w:r>
      <w:r>
        <w:rPr>
          <w:rFonts w:cs="Arial"/>
          <w:szCs w:val="20"/>
        </w:rPr>
        <w:t xml:space="preserve">není </w:t>
      </w:r>
      <w:r w:rsidRPr="00FD293E">
        <w:rPr>
          <w:rFonts w:cs="Arial"/>
          <w:szCs w:val="20"/>
        </w:rPr>
        <w:t>vždy snadné rozlišit tuzemské a zahraniční zdroje použité na financování u nich prováděného VaV. Z tohoto důvodu má smysl tyto zdroje publikovat dohromady jako podnikatelské zdroje celkem.</w:t>
      </w:r>
    </w:p>
    <w:p w:rsidR="007E48C9" w:rsidRPr="00171425" w:rsidRDefault="007E48C9" w:rsidP="007E48C9">
      <w:pPr>
        <w:pStyle w:val="Odstavecseseznamem"/>
        <w:numPr>
          <w:ilvl w:val="0"/>
          <w:numId w:val="21"/>
        </w:numPr>
        <w:spacing w:before="120" w:after="120"/>
        <w:rPr>
          <w:rFonts w:cs="Arial"/>
          <w:szCs w:val="20"/>
        </w:rPr>
      </w:pPr>
      <w:r w:rsidRPr="007E48C9">
        <w:rPr>
          <w:rFonts w:cs="Arial"/>
          <w:b/>
          <w:szCs w:val="20"/>
        </w:rPr>
        <w:t xml:space="preserve">veřejné zdroje z ČR, </w:t>
      </w:r>
      <w:r w:rsidRPr="00171425">
        <w:rPr>
          <w:rFonts w:cs="Arial"/>
          <w:szCs w:val="20"/>
        </w:rPr>
        <w:t>které tvoří veškeré finanční prostředky (běžné i kapitálové) ze státního rozpočtu ČR, rozpočtů krajů a měst poskytnuté jako institucionální nebo účelová podpora za provedený VaV ve sledovaném roce na území ČR.</w:t>
      </w:r>
      <w:r w:rsidRPr="007E48C9">
        <w:rPr>
          <w:rFonts w:cs="Arial"/>
          <w:b/>
          <w:szCs w:val="20"/>
        </w:rPr>
        <w:t xml:space="preserve"> </w:t>
      </w:r>
    </w:p>
    <w:p w:rsidR="007E48C9" w:rsidRPr="00171425" w:rsidRDefault="007E48C9" w:rsidP="00171425">
      <w:pPr>
        <w:pStyle w:val="Odstavecseseznamem"/>
        <w:spacing w:before="120" w:after="120"/>
        <w:rPr>
          <w:rFonts w:cs="Arial"/>
          <w:szCs w:val="20"/>
        </w:rPr>
      </w:pPr>
    </w:p>
    <w:p w:rsidR="007E48C9" w:rsidRDefault="007E48C9" w:rsidP="007E48C9">
      <w:pPr>
        <w:pStyle w:val="Odstavecseseznamem"/>
        <w:numPr>
          <w:ilvl w:val="0"/>
          <w:numId w:val="21"/>
        </w:numPr>
        <w:rPr>
          <w:rFonts w:cs="Arial"/>
          <w:szCs w:val="20"/>
        </w:rPr>
      </w:pPr>
      <w:r w:rsidRPr="007E48C9">
        <w:rPr>
          <w:rFonts w:cs="Arial"/>
          <w:b/>
          <w:szCs w:val="20"/>
        </w:rPr>
        <w:t xml:space="preserve">veřejné zahraniční zdroje </w:t>
      </w:r>
      <w:r w:rsidRPr="00171425">
        <w:rPr>
          <w:rFonts w:cs="Arial"/>
          <w:szCs w:val="20"/>
        </w:rPr>
        <w:t xml:space="preserve">zahrnující především příjmy ze strukturálních fondů EU použité na financování prováděného VaV ve sledovaných subjektech prostřednictvím jednotlivých operačních programů (především OP VaVpI a OP PI), ostatní zdroje z rozpočtu EU (jde především o výzkumné rámcové programy) a zdroje z mezinárodních, vládních a veřejných organizací mimo EU (CERN, ILL, ESA, NATO, OECD, OSN, WHO, Norské fondy/EHP aj.). </w:t>
      </w:r>
    </w:p>
    <w:p w:rsidR="007E48C9" w:rsidRPr="007E48C9" w:rsidRDefault="007E48C9" w:rsidP="00171425">
      <w:pPr>
        <w:pStyle w:val="Odstavecseseznamem"/>
        <w:rPr>
          <w:rFonts w:cs="Arial"/>
          <w:szCs w:val="20"/>
        </w:rPr>
      </w:pPr>
    </w:p>
    <w:p w:rsidR="007E1850" w:rsidRPr="007D0828" w:rsidRDefault="007E1850" w:rsidP="007E1850">
      <w:pPr>
        <w:spacing w:before="120" w:after="120"/>
        <w:jc w:val="both"/>
        <w:rPr>
          <w:rFonts w:cs="Arial"/>
          <w:b/>
          <w:szCs w:val="20"/>
        </w:rPr>
      </w:pPr>
      <w:r w:rsidRPr="007D0828">
        <w:rPr>
          <w:rFonts w:cs="Arial"/>
          <w:b/>
          <w:szCs w:val="20"/>
        </w:rPr>
        <w:t>Podrobnější informace jsou dostupné na webových stránkách statistiky</w:t>
      </w:r>
    </w:p>
    <w:p w:rsidR="007E1850" w:rsidRPr="007D0828" w:rsidRDefault="00640655" w:rsidP="008058BF">
      <w:pPr>
        <w:spacing w:before="120" w:after="120"/>
        <w:rPr>
          <w:rFonts w:cs="Arial"/>
          <w:szCs w:val="20"/>
          <w:u w:val="single"/>
        </w:rPr>
      </w:pPr>
      <w:hyperlink r:id="rId9" w:history="1">
        <w:r w:rsidR="007E1850" w:rsidRPr="00466D51">
          <w:rPr>
            <w:rStyle w:val="Hypertextovodkaz"/>
            <w:rFonts w:cs="Arial"/>
            <w:szCs w:val="20"/>
          </w:rPr>
          <w:t>https://www.czso.cz/csu/czso/statistika_vyzkumu_a_vyvoje</w:t>
        </w:r>
      </w:hyperlink>
    </w:p>
    <w:p w:rsidR="006C3C9F" w:rsidRDefault="006C3C9F" w:rsidP="007E1850">
      <w:pPr>
        <w:rPr>
          <w:rFonts w:eastAsia="MS Gothic"/>
        </w:rPr>
      </w:pPr>
    </w:p>
    <w:p w:rsidR="00F1001C" w:rsidRPr="000B1CA7" w:rsidRDefault="001C0D60" w:rsidP="00F1001C">
      <w:pPr>
        <w:spacing w:before="120" w:after="240"/>
        <w:rPr>
          <w:rFonts w:cs="Arial"/>
          <w:b/>
          <w:color w:val="009BB4"/>
          <w:sz w:val="28"/>
          <w:szCs w:val="28"/>
        </w:rPr>
      </w:pPr>
      <w:r>
        <w:rPr>
          <w:rFonts w:cs="Arial"/>
          <w:b/>
          <w:color w:val="009BB4"/>
          <w:sz w:val="28"/>
          <w:szCs w:val="28"/>
        </w:rPr>
        <w:t>Statistika přímé veřejné podpory</w:t>
      </w:r>
      <w:r w:rsidR="008E5356">
        <w:rPr>
          <w:rFonts w:cs="Arial"/>
          <w:b/>
          <w:color w:val="009BB4"/>
          <w:sz w:val="28"/>
          <w:szCs w:val="28"/>
        </w:rPr>
        <w:t xml:space="preserve"> VaV (GBAORD)</w:t>
      </w:r>
    </w:p>
    <w:p w:rsidR="00F1001C" w:rsidRDefault="00DC1B7E" w:rsidP="00930123">
      <w:pPr>
        <w:spacing w:before="120" w:after="120"/>
        <w:jc w:val="both"/>
        <w:rPr>
          <w:rFonts w:eastAsia="MS Gothic"/>
        </w:rPr>
      </w:pPr>
      <w:r>
        <w:rPr>
          <w:rFonts w:eastAsia="MS Gothic"/>
        </w:rPr>
        <w:t xml:space="preserve">Kromě výše uvedeného šetření o VaV jsou veřejné výdaje na VaV sledovány prostřednictvím statistiky </w:t>
      </w:r>
      <w:r w:rsidRPr="00196712">
        <w:rPr>
          <w:rFonts w:eastAsia="MS Gothic"/>
          <w:b/>
        </w:rPr>
        <w:t xml:space="preserve">přímé </w:t>
      </w:r>
      <w:r w:rsidR="00B52135" w:rsidRPr="00196712">
        <w:rPr>
          <w:rFonts w:eastAsia="MS Gothic"/>
          <w:b/>
        </w:rPr>
        <w:t xml:space="preserve">veřejné </w:t>
      </w:r>
      <w:r w:rsidRPr="00196712">
        <w:rPr>
          <w:rFonts w:eastAsia="MS Gothic"/>
          <w:b/>
        </w:rPr>
        <w:t>podpory VaV</w:t>
      </w:r>
      <w:r w:rsidR="00B52135">
        <w:rPr>
          <w:rFonts w:eastAsia="MS Gothic"/>
        </w:rPr>
        <w:t xml:space="preserve"> </w:t>
      </w:r>
      <w:r>
        <w:rPr>
          <w:rFonts w:eastAsia="MS Gothic"/>
        </w:rPr>
        <w:t xml:space="preserve">známé </w:t>
      </w:r>
      <w:r w:rsidR="00B52135">
        <w:rPr>
          <w:rFonts w:eastAsia="MS Gothic"/>
        </w:rPr>
        <w:t xml:space="preserve">také </w:t>
      </w:r>
      <w:r>
        <w:rPr>
          <w:rFonts w:eastAsia="MS Gothic"/>
        </w:rPr>
        <w:t>jako GBAORD</w:t>
      </w:r>
      <w:r w:rsidR="00B52135">
        <w:rPr>
          <w:rFonts w:eastAsia="MS Gothic"/>
        </w:rPr>
        <w:t xml:space="preserve"> (</w:t>
      </w:r>
      <w:r>
        <w:rPr>
          <w:rFonts w:eastAsia="MS Gothic"/>
        </w:rPr>
        <w:t xml:space="preserve">státní rozpočtové výdaje a dotace na VaV) </w:t>
      </w:r>
      <w:r w:rsidRPr="00196712">
        <w:rPr>
          <w:rFonts w:eastAsia="MS Gothic"/>
          <w:b/>
        </w:rPr>
        <w:t>z pohledu poskytovatelů veřejné podpory</w:t>
      </w:r>
      <w:r>
        <w:rPr>
          <w:rFonts w:eastAsia="MS Gothic"/>
        </w:rPr>
        <w:t xml:space="preserve">. Jedná se tedy o odlišný přístup než v případě </w:t>
      </w:r>
      <w:r w:rsidR="00B52135">
        <w:rPr>
          <w:rFonts w:eastAsia="MS Gothic"/>
        </w:rPr>
        <w:t xml:space="preserve">šetření </w:t>
      </w:r>
      <w:r>
        <w:rPr>
          <w:rFonts w:eastAsia="MS Gothic"/>
        </w:rPr>
        <w:t xml:space="preserve">VTR 5-01, kde jsou veřejné výdaje sledovány z pohledu </w:t>
      </w:r>
      <w:r w:rsidR="00681C45">
        <w:rPr>
          <w:rFonts w:eastAsia="MS Gothic"/>
        </w:rPr>
        <w:t>příjemců (</w:t>
      </w:r>
      <w:r>
        <w:rPr>
          <w:rFonts w:eastAsia="MS Gothic"/>
        </w:rPr>
        <w:t>pracovišť provádějících VaV). Zdro</w:t>
      </w:r>
      <w:r w:rsidR="00B52135">
        <w:rPr>
          <w:rFonts w:eastAsia="MS Gothic"/>
        </w:rPr>
        <w:t xml:space="preserve">jem dat </w:t>
      </w:r>
      <w:r w:rsidR="002A30A5">
        <w:rPr>
          <w:rFonts w:eastAsia="MS Gothic"/>
        </w:rPr>
        <w:t>pro statistiku</w:t>
      </w:r>
      <w:r w:rsidR="00B52135">
        <w:rPr>
          <w:rFonts w:eastAsia="MS Gothic"/>
        </w:rPr>
        <w:t xml:space="preserve"> přímé veřejné </w:t>
      </w:r>
      <w:r>
        <w:rPr>
          <w:rFonts w:eastAsia="MS Gothic"/>
        </w:rPr>
        <w:t>podpory VaV jsou administrativní údaje získané z Infomačního systému vý</w:t>
      </w:r>
      <w:r w:rsidR="002A30A5">
        <w:rPr>
          <w:rFonts w:eastAsia="MS Gothic"/>
        </w:rPr>
        <w:t>zkumu, vývoje a inovací a dále pak dokumenty</w:t>
      </w:r>
      <w:r w:rsidR="00B52135">
        <w:rPr>
          <w:rFonts w:eastAsia="MS Gothic"/>
        </w:rPr>
        <w:t xml:space="preserve"> o státním</w:t>
      </w:r>
      <w:r>
        <w:rPr>
          <w:rFonts w:eastAsia="MS Gothic"/>
        </w:rPr>
        <w:t xml:space="preserve"> rozpočtu výzkumu, vývoje a inovací. </w:t>
      </w:r>
    </w:p>
    <w:p w:rsidR="00704AFC" w:rsidRPr="00286DD7" w:rsidRDefault="00704AFC" w:rsidP="00704AFC">
      <w:pPr>
        <w:spacing w:before="120" w:after="120"/>
        <w:jc w:val="both"/>
        <w:rPr>
          <w:rFonts w:cs="Arial"/>
          <w:b/>
          <w:i/>
          <w:szCs w:val="20"/>
        </w:rPr>
      </w:pPr>
      <w:r w:rsidRPr="00286DD7">
        <w:rPr>
          <w:rFonts w:cs="Arial"/>
          <w:b/>
          <w:i/>
          <w:szCs w:val="20"/>
        </w:rPr>
        <w:t>Podrobnější informace jsou dostupné na webových stránkách statistiky</w:t>
      </w:r>
    </w:p>
    <w:p w:rsidR="00704AFC" w:rsidRPr="007D0828" w:rsidRDefault="00640655" w:rsidP="00704AFC">
      <w:pPr>
        <w:spacing w:before="120" w:after="120"/>
        <w:rPr>
          <w:rFonts w:cs="Arial"/>
          <w:u w:val="single"/>
        </w:rPr>
      </w:pPr>
      <w:hyperlink r:id="rId10" w:history="1">
        <w:r w:rsidR="00704AFC" w:rsidRPr="007D0828">
          <w:rPr>
            <w:rStyle w:val="Hypertextovodkaz"/>
            <w:rFonts w:cs="Arial"/>
            <w:szCs w:val="20"/>
          </w:rPr>
          <w:t>https://www.czso.cz/csu/czso/statni_rozpoctove_vydaje_a_dotace_na_vyzkum_a_vyvoj_gbaord</w:t>
        </w:r>
      </w:hyperlink>
    </w:p>
    <w:p w:rsidR="00962503" w:rsidRPr="00DC1B7E" w:rsidRDefault="00962503" w:rsidP="00962503">
      <w:pPr>
        <w:spacing w:before="120" w:after="120"/>
        <w:rPr>
          <w:rFonts w:eastAsia="MS Gothic"/>
        </w:rPr>
      </w:pPr>
      <w:r>
        <w:rPr>
          <w:rFonts w:eastAsia="MS Gothic"/>
        </w:rPr>
        <w:t xml:space="preserve">Na uvedených stránkách jsou </w:t>
      </w:r>
      <w:r>
        <w:rPr>
          <w:rFonts w:eastAsia="MS Gothic"/>
        </w:rPr>
        <w:t xml:space="preserve">publikovány </w:t>
      </w:r>
      <w:r>
        <w:rPr>
          <w:rFonts w:eastAsia="MS Gothic"/>
        </w:rPr>
        <w:t>i podrobné údaje o přímé veřejné podpoře VaV v podnikatelském sektoru.</w:t>
      </w:r>
    </w:p>
    <w:p w:rsidR="009F5488" w:rsidRDefault="009F5488" w:rsidP="007E1850">
      <w:pPr>
        <w:rPr>
          <w:rFonts w:eastAsia="MS Gothic"/>
        </w:rPr>
      </w:pPr>
    </w:p>
    <w:p w:rsidR="00296571" w:rsidRDefault="00296571" w:rsidP="007E1850">
      <w:pPr>
        <w:rPr>
          <w:rFonts w:eastAsia="MS Gothic"/>
        </w:rPr>
      </w:pPr>
    </w:p>
    <w:p w:rsidR="000A03DC" w:rsidRPr="005652E9" w:rsidRDefault="000A03DC" w:rsidP="000A03DC">
      <w:pPr>
        <w:spacing w:after="120"/>
        <w:rPr>
          <w:rFonts w:cs="Arial"/>
          <w:b/>
        </w:rPr>
      </w:pPr>
      <w:r>
        <w:rPr>
          <w:rFonts w:cs="Arial"/>
          <w:b/>
        </w:rPr>
        <w:t>Poznámky k údajů</w:t>
      </w:r>
      <w:r w:rsidRPr="005652E9">
        <w:rPr>
          <w:rFonts w:cs="Arial"/>
          <w:b/>
        </w:rPr>
        <w:t>m v tabulkách a grafech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0</w:t>
      </w:r>
      <w:r w:rsidRPr="00503ACA">
        <w:rPr>
          <w:rFonts w:cs="Arial"/>
          <w:sz w:val="18"/>
        </w:rPr>
        <w:t xml:space="preserve"> </w:t>
      </w:r>
      <w:r w:rsidRPr="00036D30">
        <w:rPr>
          <w:rFonts w:cs="Arial"/>
          <w:sz w:val="18"/>
        </w:rPr>
        <w:t>= nula se používá pro označení číselných údajů menších než polovina zvolené měřící jednotky</w:t>
      </w:r>
    </w:p>
    <w:p w:rsidR="000A03DC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b/>
          <w:bCs/>
          <w:sz w:val="18"/>
        </w:rPr>
        <w:t>-</w:t>
      </w:r>
      <w:r w:rsidRPr="00036D30">
        <w:rPr>
          <w:rFonts w:cs="Arial"/>
          <w:sz w:val="18"/>
        </w:rPr>
        <w:t xml:space="preserve"> = údaj není k dispozici (nespolehlivý, jev se nevyskytoval, ukazatel se nezjišťoval, individuální údaj)</w:t>
      </w:r>
    </w:p>
    <w:p w:rsidR="000A03DC" w:rsidRPr="000A03DC" w:rsidRDefault="000A03DC" w:rsidP="00503ACA">
      <w:pPr>
        <w:numPr>
          <w:ilvl w:val="0"/>
          <w:numId w:val="6"/>
        </w:numPr>
        <w:spacing w:before="60"/>
        <w:jc w:val="both"/>
        <w:rPr>
          <w:rFonts w:cs="Arial"/>
          <w:sz w:val="18"/>
        </w:rPr>
      </w:pPr>
      <w:r w:rsidRPr="00503ACA">
        <w:rPr>
          <w:rFonts w:cs="Arial"/>
          <w:bCs/>
          <w:sz w:val="18"/>
        </w:rPr>
        <w:t>x</w:t>
      </w:r>
      <w:r>
        <w:rPr>
          <w:rFonts w:cs="Arial"/>
          <w:b/>
          <w:bCs/>
          <w:sz w:val="18"/>
        </w:rPr>
        <w:t xml:space="preserve"> </w:t>
      </w:r>
      <w:r w:rsidRPr="000A03DC">
        <w:rPr>
          <w:rFonts w:cs="Arial"/>
          <w:bCs/>
          <w:sz w:val="18"/>
        </w:rPr>
        <w:t>=</w:t>
      </w:r>
      <w:r w:rsidR="00503ACA">
        <w:rPr>
          <w:rFonts w:cs="Arial"/>
          <w:bCs/>
          <w:sz w:val="18"/>
        </w:rPr>
        <w:t xml:space="preserve"> </w:t>
      </w:r>
      <w:r w:rsidR="00503ACA" w:rsidRPr="00503ACA">
        <w:rPr>
          <w:rFonts w:cs="Arial"/>
          <w:bCs/>
          <w:sz w:val="18"/>
        </w:rPr>
        <w:t>ležatý křížek na místě čísla značí, že zápis není možný z logických důvodů</w:t>
      </w:r>
    </w:p>
    <w:p w:rsidR="000A03DC" w:rsidRPr="00036D30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Výpočty v tabulkách jsou prováděny </w:t>
      </w:r>
      <w:r w:rsidRPr="00036D30">
        <w:rPr>
          <w:rFonts w:cs="Arial"/>
          <w:b/>
          <w:bCs/>
          <w:sz w:val="18"/>
        </w:rPr>
        <w:t>z nezaokrouhlených údajů</w:t>
      </w:r>
      <w:r w:rsidRPr="00036D30">
        <w:rPr>
          <w:rFonts w:cs="Arial"/>
          <w:sz w:val="18"/>
        </w:rPr>
        <w:t xml:space="preserve">. </w:t>
      </w:r>
    </w:p>
    <w:p w:rsidR="000A03DC" w:rsidRPr="00503ACA" w:rsidRDefault="000A03DC" w:rsidP="000A03DC">
      <w:pPr>
        <w:numPr>
          <w:ilvl w:val="0"/>
          <w:numId w:val="6"/>
        </w:numPr>
        <w:spacing w:before="60"/>
        <w:ind w:left="357" w:hanging="357"/>
        <w:jc w:val="both"/>
        <w:rPr>
          <w:rFonts w:cs="Arial"/>
          <w:sz w:val="18"/>
        </w:rPr>
      </w:pPr>
      <w:r w:rsidRPr="00036D30">
        <w:rPr>
          <w:rFonts w:cs="Arial"/>
          <w:sz w:val="18"/>
        </w:rPr>
        <w:t xml:space="preserve">Uvedené úhrny (součty a mezisoučty) nemusí odpovídat součtu dílčích hodnot z důvodu </w:t>
      </w:r>
      <w:r w:rsidRPr="00036D30">
        <w:rPr>
          <w:rFonts w:cs="Arial"/>
          <w:b/>
          <w:bCs/>
          <w:sz w:val="18"/>
        </w:rPr>
        <w:t>zaokrouhlování.</w:t>
      </w:r>
    </w:p>
    <w:p w:rsidR="000A03DC" w:rsidRPr="00036D30" w:rsidRDefault="000A03DC" w:rsidP="000A03DC">
      <w:pPr>
        <w:rPr>
          <w:i/>
        </w:rPr>
      </w:pPr>
    </w:p>
    <w:p w:rsidR="000A03DC" w:rsidRPr="00036D30" w:rsidRDefault="000A03DC" w:rsidP="000A03DC">
      <w:pPr>
        <w:spacing w:after="120"/>
        <w:rPr>
          <w:rFonts w:cs="Arial"/>
          <w:b/>
        </w:rPr>
      </w:pPr>
      <w:r w:rsidRPr="00036D30">
        <w:rPr>
          <w:rFonts w:cs="Arial"/>
          <w:b/>
        </w:rPr>
        <w:t>Seznam použitých zkratek</w:t>
      </w:r>
    </w:p>
    <w:p w:rsidR="000A03DC" w:rsidRPr="00036D30" w:rsidRDefault="00503ACA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Č</w:t>
      </w:r>
      <w:r w:rsidR="000A03DC" w:rsidRPr="00036D30">
        <w:rPr>
          <w:rFonts w:cs="Arial"/>
          <w:sz w:val="18"/>
        </w:rPr>
        <w:t>R</w:t>
      </w:r>
      <w:r w:rsidR="000A03DC" w:rsidRPr="00036D30">
        <w:rPr>
          <w:rFonts w:cs="Arial"/>
          <w:sz w:val="18"/>
        </w:rPr>
        <w:tab/>
        <w:t>Česká republika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ČSÚ</w:t>
      </w:r>
      <w:r w:rsidRPr="00036D30">
        <w:rPr>
          <w:rFonts w:cs="Arial"/>
          <w:sz w:val="18"/>
        </w:rPr>
        <w:tab/>
        <w:t>Český statistický úřad</w:t>
      </w:r>
    </w:p>
    <w:p w:rsidR="003A0D1B" w:rsidRDefault="003A0D1B" w:rsidP="000A03DC">
      <w:pPr>
        <w:tabs>
          <w:tab w:val="left" w:pos="900"/>
        </w:tabs>
        <w:rPr>
          <w:rFonts w:cs="Arial"/>
          <w:bCs/>
          <w:sz w:val="18"/>
        </w:rPr>
      </w:pPr>
      <w:r>
        <w:rPr>
          <w:rFonts w:cs="Arial"/>
          <w:bCs/>
          <w:sz w:val="18"/>
        </w:rPr>
        <w:t>EU</w:t>
      </w:r>
      <w:r>
        <w:rPr>
          <w:rFonts w:cs="Arial"/>
          <w:bCs/>
          <w:sz w:val="18"/>
        </w:rPr>
        <w:tab/>
        <w:t>Evropská unie</w:t>
      </w:r>
    </w:p>
    <w:p w:rsidR="003A0D1B" w:rsidRPr="003A0D1B" w:rsidRDefault="003A0D1B" w:rsidP="000A03DC">
      <w:pPr>
        <w:tabs>
          <w:tab w:val="left" w:pos="900"/>
        </w:tabs>
        <w:rPr>
          <w:rFonts w:cs="Arial"/>
          <w:bCs/>
          <w:sz w:val="18"/>
        </w:rPr>
      </w:pPr>
      <w:r w:rsidRPr="003A0D1B">
        <w:rPr>
          <w:rFonts w:cs="Arial"/>
          <w:bCs/>
          <w:sz w:val="18"/>
        </w:rPr>
        <w:t>GFŘ</w:t>
      </w:r>
      <w:r>
        <w:rPr>
          <w:rFonts w:cs="Arial"/>
          <w:bCs/>
          <w:sz w:val="18"/>
        </w:rPr>
        <w:tab/>
        <w:t>Generální finanční ředitelství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Kč</w:t>
      </w:r>
      <w:r w:rsidRPr="00036D30">
        <w:rPr>
          <w:rFonts w:cs="Arial"/>
          <w:sz w:val="18"/>
        </w:rPr>
        <w:tab/>
        <w:t>Koruna česká</w:t>
      </w:r>
    </w:p>
    <w:p w:rsidR="000A03DC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 xml:space="preserve">mil. </w:t>
      </w:r>
      <w:r w:rsidRPr="00036D30">
        <w:rPr>
          <w:rFonts w:cs="Arial"/>
          <w:sz w:val="18"/>
        </w:rPr>
        <w:tab/>
        <w:t>milión/y</w:t>
      </w:r>
    </w:p>
    <w:p w:rsidR="002B0B7D" w:rsidRPr="00036D30" w:rsidRDefault="002B0B7D" w:rsidP="000A03DC">
      <w:pPr>
        <w:tabs>
          <w:tab w:val="left" w:pos="900"/>
        </w:tabs>
        <w:rPr>
          <w:rFonts w:cs="Arial"/>
          <w:sz w:val="18"/>
        </w:rPr>
      </w:pPr>
      <w:r>
        <w:rPr>
          <w:rFonts w:cs="Arial"/>
          <w:sz w:val="18"/>
        </w:rPr>
        <w:t>OECD</w:t>
      </w:r>
      <w:r>
        <w:rPr>
          <w:rFonts w:cs="Arial"/>
          <w:sz w:val="18"/>
        </w:rPr>
        <w:tab/>
      </w:r>
      <w:r w:rsidRPr="002B0B7D">
        <w:rPr>
          <w:rFonts w:cs="Arial"/>
          <w:sz w:val="18"/>
        </w:rPr>
        <w:t>Organizace pro hospodářskou spolupráci a rozvoj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Pozn.</w:t>
      </w:r>
      <w:r w:rsidRPr="00036D30">
        <w:rPr>
          <w:rFonts w:cs="Arial"/>
          <w:sz w:val="18"/>
        </w:rPr>
        <w:tab/>
        <w:t>poznámka</w:t>
      </w:r>
    </w:p>
    <w:p w:rsidR="000A03DC" w:rsidRPr="00036D30" w:rsidRDefault="000A03DC" w:rsidP="000A03DC">
      <w:pPr>
        <w:tabs>
          <w:tab w:val="left" w:pos="900"/>
        </w:tabs>
        <w:rPr>
          <w:rFonts w:cs="Arial"/>
          <w:sz w:val="18"/>
        </w:rPr>
      </w:pPr>
      <w:r w:rsidRPr="00036D30">
        <w:rPr>
          <w:rFonts w:cs="Arial"/>
          <w:sz w:val="18"/>
        </w:rPr>
        <w:t>VaV</w:t>
      </w:r>
      <w:r w:rsidRPr="00036D30">
        <w:rPr>
          <w:rFonts w:cs="Arial"/>
          <w:sz w:val="18"/>
        </w:rPr>
        <w:tab/>
        <w:t>výzkum a vývoj</w:t>
      </w:r>
    </w:p>
    <w:p w:rsidR="000A03DC" w:rsidRDefault="000A03DC" w:rsidP="000A03DC">
      <w:pPr>
        <w:tabs>
          <w:tab w:val="left" w:pos="900"/>
        </w:tabs>
        <w:rPr>
          <w:rFonts w:cs="Arial"/>
          <w:bCs/>
          <w:sz w:val="18"/>
        </w:rPr>
      </w:pPr>
      <w:bookmarkStart w:id="0" w:name="_GoBack"/>
      <w:bookmarkEnd w:id="0"/>
      <w:r w:rsidRPr="00036D30">
        <w:rPr>
          <w:rFonts w:cs="Arial"/>
          <w:sz w:val="18"/>
        </w:rPr>
        <w:t>VTR 5-01</w:t>
      </w:r>
      <w:r w:rsidRPr="00036D30">
        <w:rPr>
          <w:rFonts w:cs="Arial"/>
          <w:sz w:val="18"/>
        </w:rPr>
        <w:tab/>
      </w:r>
      <w:r w:rsidRPr="00036D30">
        <w:rPr>
          <w:rFonts w:cs="Arial"/>
          <w:bCs/>
          <w:sz w:val="18"/>
        </w:rPr>
        <w:t>Roční výkaz o výzkumu a vývoji</w:t>
      </w:r>
    </w:p>
    <w:sectPr w:rsidR="000A03DC" w:rsidSect="00F9678A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55" w:rsidRDefault="00640655" w:rsidP="00E71A58">
      <w:r>
        <w:separator/>
      </w:r>
    </w:p>
  </w:endnote>
  <w:endnote w:type="continuationSeparator" w:id="0">
    <w:p w:rsidR="00640655" w:rsidRDefault="0064065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8A5EDA" wp14:editId="3F657C6E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9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BD47C9">
      <w:rPr>
        <w:rFonts w:ascii="Arial" w:hAnsi="Arial" w:cs="Arial"/>
        <w:noProof/>
        <w:sz w:val="16"/>
        <w:szCs w:val="16"/>
      </w:rPr>
      <w:t>14</w:t>
    </w:r>
    <w:r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3635A62" wp14:editId="058F33F4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0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8616C8" w:rsidRDefault="008616C8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2013</w:t>
    </w:r>
    <w:r>
      <w:tab/>
    </w:r>
    <w:r>
      <w:tab/>
    </w:r>
    <w:r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Pr="00B6608F">
      <w:rPr>
        <w:rFonts w:ascii="Arial" w:hAnsi="Arial" w:cs="Arial"/>
        <w:sz w:val="16"/>
        <w:szCs w:val="16"/>
      </w:rPr>
      <w:fldChar w:fldCharType="separate"/>
    </w:r>
    <w:r w:rsidR="00BD47C9">
      <w:rPr>
        <w:rFonts w:ascii="Arial" w:hAnsi="Arial" w:cs="Arial"/>
        <w:noProof/>
        <w:sz w:val="16"/>
        <w:szCs w:val="16"/>
      </w:rPr>
      <w:t>15</w:t>
    </w:r>
    <w:r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55" w:rsidRDefault="00640655" w:rsidP="00E71A58">
      <w:r>
        <w:separator/>
      </w:r>
    </w:p>
  </w:footnote>
  <w:footnote w:type="continuationSeparator" w:id="0">
    <w:p w:rsidR="00640655" w:rsidRDefault="00640655" w:rsidP="00E71A58">
      <w:r>
        <w:continuationSeparator/>
      </w:r>
    </w:p>
  </w:footnote>
  <w:footnote w:id="1">
    <w:p w:rsidR="000946D6" w:rsidRDefault="000946D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6D6">
        <w:rPr>
          <w:sz w:val="18"/>
        </w:rPr>
        <w:t xml:space="preserve">Více informací o podobě používané nepřímé podpory VaV v jednotlivých zemích OECD je k dispozici na následujícím odkazu: </w:t>
      </w:r>
      <w:hyperlink r:id="rId1" w:history="1">
        <w:r w:rsidRPr="000946D6">
          <w:rPr>
            <w:rStyle w:val="Hypertextovodkaz"/>
            <w:sz w:val="18"/>
          </w:rPr>
          <w:t>http://www.oecd.org/innovation/rd-tax-stats.htm</w:t>
        </w:r>
      </w:hyperlink>
      <w:r w:rsidRPr="000946D6">
        <w:rPr>
          <w:sz w:val="18"/>
        </w:rPr>
        <w:t xml:space="preserve">  </w:t>
      </w:r>
    </w:p>
  </w:footnote>
  <w:footnote w:id="2">
    <w:p w:rsidR="00815862" w:rsidRPr="00E14754" w:rsidRDefault="00815862" w:rsidP="00815862">
      <w:pPr>
        <w:pStyle w:val="Textpoznpodarou"/>
        <w:rPr>
          <w:sz w:val="18"/>
          <w:szCs w:val="18"/>
        </w:rPr>
      </w:pPr>
      <w:r w:rsidRPr="00E14754">
        <w:rPr>
          <w:rStyle w:val="Znakapoznpodarou"/>
          <w:sz w:val="18"/>
          <w:szCs w:val="18"/>
        </w:rPr>
        <w:footnoteRef/>
      </w:r>
      <w:r w:rsidRPr="00E14754">
        <w:rPr>
          <w:sz w:val="18"/>
          <w:szCs w:val="18"/>
        </w:rPr>
        <w:t xml:space="preserve"> Projektem VaV se dle výše uvedeného pokynu rozumí </w:t>
      </w:r>
      <w:r>
        <w:rPr>
          <w:sz w:val="18"/>
          <w:szCs w:val="18"/>
        </w:rPr>
        <w:t xml:space="preserve">písemný </w:t>
      </w:r>
      <w:r w:rsidRPr="00E14754">
        <w:rPr>
          <w:sz w:val="18"/>
          <w:szCs w:val="18"/>
        </w:rPr>
        <w:t>dokument, ve kterém poplatník před zahájením řešení projektu vymezí svou činnost ve VaV. Tento dokument by měl obsahovat zejména základní identifikační údaje o poplatníkovi; cíle a dobu řešení projektu; předpokládané výdaje na řešení projektu; jména a příjmení osob, které budou odborně zajišťovat řešení projektu; způsob kontroly a hodnocení postupu řešení projektu a dosažených výsledků; datum, místo, jméno a příjmení oprávněné osoby, která projekt schválila před zahájením jeho řešení.</w:t>
      </w:r>
    </w:p>
  </w:footnote>
  <w:footnote w:id="3">
    <w:p w:rsidR="00815862" w:rsidRDefault="00815862" w:rsidP="00815862">
      <w:pPr>
        <w:pStyle w:val="Textpoznpodarou"/>
        <w:rPr>
          <w:sz w:val="18"/>
          <w:szCs w:val="18"/>
        </w:rPr>
      </w:pPr>
      <w:r w:rsidRPr="00E14754">
        <w:rPr>
          <w:rStyle w:val="Znakapoznpodarou"/>
          <w:sz w:val="18"/>
          <w:szCs w:val="18"/>
        </w:rPr>
        <w:footnoteRef/>
      </w:r>
      <w:r w:rsidRPr="00E14754">
        <w:rPr>
          <w:sz w:val="18"/>
          <w:szCs w:val="18"/>
        </w:rPr>
        <w:t xml:space="preserve"> Finanční zpravodaj číslo 10/2005 část 1 ze dne </w:t>
      </w:r>
      <w:r w:rsidR="00BD47C9" w:rsidRPr="00E14754">
        <w:rPr>
          <w:sz w:val="18"/>
          <w:szCs w:val="18"/>
        </w:rPr>
        <w:t>13. 10. 2005</w:t>
      </w:r>
      <w:r w:rsidRPr="00E14754">
        <w:rPr>
          <w:sz w:val="18"/>
          <w:szCs w:val="18"/>
        </w:rPr>
        <w:t>, bod č. 45</w:t>
      </w:r>
      <w:r>
        <w:rPr>
          <w:sz w:val="18"/>
          <w:szCs w:val="18"/>
        </w:rPr>
        <w:t xml:space="preserve"> nebo</w:t>
      </w:r>
    </w:p>
    <w:p w:rsidR="00815862" w:rsidRPr="00E14754" w:rsidRDefault="00815862" w:rsidP="00815862">
      <w:pPr>
        <w:pStyle w:val="Textpoznpodarou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hyperlink r:id="rId2" w:history="1">
        <w:r w:rsidRPr="0026540B">
          <w:rPr>
            <w:rStyle w:val="Hypertextovodkaz"/>
            <w:sz w:val="18"/>
            <w:szCs w:val="18"/>
          </w:rPr>
          <w:t>http://www.vyzkum-vyvoj.cz/default.asp?nDepartmentlD=34&amp;nLanguageID=1</w:t>
        </w:r>
      </w:hyperlink>
    </w:p>
  </w:footnote>
  <w:footnote w:id="4">
    <w:p w:rsidR="00815862" w:rsidRDefault="008616C8" w:rsidP="00881296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815862" w:rsidRPr="00815862">
        <w:rPr>
          <w:sz w:val="18"/>
        </w:rPr>
        <w:t>Frascati manuál je základní mezinárodní dokument používaný ve statistikách VaV</w:t>
      </w:r>
      <w:r w:rsidR="00815862">
        <w:rPr>
          <w:sz w:val="18"/>
        </w:rPr>
        <w:t>. Více viz:</w:t>
      </w:r>
    </w:p>
    <w:p w:rsidR="008616C8" w:rsidRDefault="00815862" w:rsidP="00881296">
      <w:pPr>
        <w:pStyle w:val="Textpoznpodarou"/>
      </w:pPr>
      <w:r>
        <w:rPr>
          <w:sz w:val="18"/>
        </w:rPr>
        <w:t xml:space="preserve">  </w:t>
      </w:r>
      <w:r w:rsidRPr="00815862">
        <w:rPr>
          <w:sz w:val="18"/>
        </w:rPr>
        <w:t xml:space="preserve"> </w:t>
      </w:r>
      <w:hyperlink r:id="rId3" w:history="1">
        <w:r w:rsidR="008616C8" w:rsidRPr="00815862">
          <w:rPr>
            <w:rStyle w:val="Hypertextovodkaz"/>
            <w:rFonts w:cs="Arial"/>
            <w:sz w:val="18"/>
          </w:rPr>
          <w:t>www.oecd.org/sti/frascatimanual</w:t>
        </w:r>
      </w:hyperlink>
      <w:r w:rsidR="008616C8" w:rsidRPr="00815862">
        <w:rPr>
          <w:rStyle w:val="st"/>
          <w:rFonts w:cs="Arial"/>
          <w:sz w:val="18"/>
        </w:rPr>
        <w:t xml:space="preserve"> </w:t>
      </w:r>
    </w:p>
  </w:footnote>
  <w:footnote w:id="5">
    <w:p w:rsidR="008616C8" w:rsidRDefault="008616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 w:rsidRPr="00E14754">
          <w:rPr>
            <w:rStyle w:val="Hypertextovodkaz"/>
            <w:sz w:val="18"/>
          </w:rPr>
          <w:t>https://www.czso.cz/csu/czso/ukazatele-vyzkumu-a-vyvoje-2013-w6rsbm7x7x</w:t>
        </w:r>
      </w:hyperlink>
      <w:r w:rsidRPr="00E14754">
        <w:rPr>
          <w:sz w:val="18"/>
        </w:rPr>
        <w:t xml:space="preserve"> </w:t>
      </w:r>
    </w:p>
  </w:footnote>
  <w:footnote w:id="6">
    <w:p w:rsidR="008616C8" w:rsidRDefault="008616C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5" w:history="1">
        <w:r w:rsidRPr="00F2605B">
          <w:rPr>
            <w:rStyle w:val="Hypertextovodkaz"/>
          </w:rPr>
          <w:t>https://www.czso.cz/csu/czso/statistika_vyzkumu_a_vyvoje</w:t>
        </w:r>
      </w:hyperlink>
    </w:p>
  </w:footnote>
  <w:footnote w:id="7">
    <w:p w:rsidR="00635B9F" w:rsidRPr="00635B9F" w:rsidRDefault="00635B9F">
      <w:pPr>
        <w:pStyle w:val="Textpoznpodarou"/>
        <w:rPr>
          <w:sz w:val="18"/>
          <w:szCs w:val="18"/>
        </w:rPr>
      </w:pPr>
      <w:r w:rsidRPr="000C5FBB">
        <w:rPr>
          <w:rStyle w:val="Znakapoznpodarou"/>
          <w:sz w:val="18"/>
          <w:szCs w:val="18"/>
        </w:rPr>
        <w:footnoteRef/>
      </w:r>
      <w:r w:rsidRPr="000C5FBB">
        <w:rPr>
          <w:sz w:val="18"/>
          <w:szCs w:val="18"/>
        </w:rPr>
        <w:t xml:space="preserve"> V tomto pokynu jsou však uváděny i činnosti, které normálně nespadají do VaV z hlediska jeho statistického zachycení v ročním šetření o výzkumu a vývoji – VTR 5-01. Jde například o patentové a licenční práce, studie záměrů politiky národní, regionální nebo místní a podnikatelské záměry podniků, i když jsou podle tohoto pokynu tyto činnosti lze zahrnout pouze, jde-li o úpravu stávajících nebo vytváření nových metodik s ocenitelným prvkem novosti.</w:t>
      </w:r>
      <w:r w:rsidRPr="00635B9F">
        <w:rPr>
          <w:sz w:val="18"/>
          <w:szCs w:val="18"/>
        </w:rPr>
        <w:t xml:space="preserve"> </w:t>
      </w:r>
    </w:p>
  </w:footnote>
  <w:footnote w:id="8">
    <w:p w:rsidR="00635B9F" w:rsidRPr="00635B9F" w:rsidRDefault="00635B9F" w:rsidP="0037506F">
      <w:pPr>
        <w:pStyle w:val="Textpoznpodarou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635B9F">
        <w:rPr>
          <w:sz w:val="18"/>
        </w:rPr>
        <w:t xml:space="preserve">Zaměstnané osoby pracující ve výzkumu a vývoji (dále jen zaměstnanci VaV) jsou nejen výzkumní pracovníci, kteří provádějí přímo VaV, ale také pomocní, techničtí, odborní, administrativní a jiní pracovníci pracující na pracovištích VaV v jednotlivých subjektech, kde se provádí VaV. Podrobnější vymezení zaměstnanců VaV je uvedeno ve výše zmíněném Frascati manuálu nebo v publikaci: </w:t>
      </w:r>
      <w:r w:rsidRPr="00635B9F">
        <w:rPr>
          <w:rStyle w:val="st"/>
          <w:rFonts w:cs="Arial"/>
          <w:sz w:val="18"/>
        </w:rPr>
        <w:t>Ukazatele výzkumu a vývoje.</w:t>
      </w:r>
      <w:r w:rsidRPr="00635B9F">
        <w:rPr>
          <w:sz w:val="18"/>
        </w:rPr>
        <w:t xml:space="preserve"> </w:t>
      </w:r>
    </w:p>
  </w:footnote>
  <w:footnote w:id="9">
    <w:p w:rsidR="0037506F" w:rsidRDefault="0037506F" w:rsidP="003750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7506F">
        <w:rPr>
          <w:sz w:val="18"/>
        </w:rPr>
        <w:t>Nezahrnuje cestovní náhrady vyplacené v souvislosti s cestami na vědecké konference a podobná sympozia.</w:t>
      </w:r>
    </w:p>
  </w:footnote>
  <w:footnote w:id="10">
    <w:p w:rsidR="006F4C74" w:rsidRDefault="006F4C74" w:rsidP="0037506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5B9F">
        <w:rPr>
          <w:sz w:val="18"/>
        </w:rPr>
        <w:t>Tyto výdaje nejsou zahrnuty mezi výdaje VaV uváděn</w:t>
      </w:r>
      <w:r w:rsidR="00635B9F">
        <w:rPr>
          <w:sz w:val="18"/>
        </w:rPr>
        <w:t>ými</w:t>
      </w:r>
      <w:r w:rsidRPr="00635B9F">
        <w:rPr>
          <w:sz w:val="18"/>
        </w:rPr>
        <w:t xml:space="preserve"> ve Frascati manuálu</w:t>
      </w:r>
      <w:r>
        <w:t>.</w:t>
      </w:r>
    </w:p>
  </w:footnote>
  <w:footnote w:id="11">
    <w:p w:rsidR="000C5FBB" w:rsidRDefault="000C5FBB" w:rsidP="000C5FBB">
      <w:pPr>
        <w:pStyle w:val="Textpoznpodarou"/>
      </w:pPr>
      <w:r w:rsidRPr="00C463A9">
        <w:rPr>
          <w:rStyle w:val="Znakapoznpodarou"/>
          <w:sz w:val="18"/>
        </w:rPr>
        <w:footnoteRef/>
      </w:r>
      <w:r>
        <w:t xml:space="preserve"> </w:t>
      </w:r>
      <w:r w:rsidRPr="00C463A9">
        <w:rPr>
          <w:sz w:val="18"/>
        </w:rPr>
        <w:t xml:space="preserve">Od </w:t>
      </w:r>
      <w:r w:rsidR="00BD47C9" w:rsidRPr="00C463A9">
        <w:rPr>
          <w:sz w:val="18"/>
        </w:rPr>
        <w:t>1. 1. 2014</w:t>
      </w:r>
      <w:r w:rsidRPr="00C463A9">
        <w:rPr>
          <w:sz w:val="18"/>
        </w:rPr>
        <w:t xml:space="preserve"> se to nevztahuje na nákup služeb VaV od výzkumných organizací.</w:t>
      </w:r>
    </w:p>
  </w:footnote>
  <w:footnote w:id="12">
    <w:p w:rsidR="00205612" w:rsidRPr="00A8313F" w:rsidRDefault="00205612" w:rsidP="00205612">
      <w:pPr>
        <w:spacing w:line="240" w:lineRule="auto"/>
        <w:jc w:val="both"/>
        <w:rPr>
          <w:sz w:val="18"/>
          <w:szCs w:val="18"/>
        </w:rPr>
      </w:pPr>
      <w:r w:rsidRPr="00E14754">
        <w:rPr>
          <w:rStyle w:val="Znakapoznpodarou"/>
          <w:sz w:val="18"/>
          <w:szCs w:val="18"/>
        </w:rPr>
        <w:footnoteRef/>
      </w:r>
      <w:r w:rsidRPr="00E14754">
        <w:rPr>
          <w:sz w:val="18"/>
          <w:szCs w:val="18"/>
        </w:rPr>
        <w:t xml:space="preserve"> </w:t>
      </w:r>
      <w:r w:rsidRPr="00220971">
        <w:rPr>
          <w:sz w:val="18"/>
          <w:szCs w:val="18"/>
        </w:rPr>
        <w:t xml:space="preserve">Za veřejné zdroje jsou pro účely zákona považovány dotace ze státního rozpočtu, rozpočtu obcí a krajů, státních fondů či krajských rozpočtů, státních fondů a prostředky (granty) přidělené podle zákona o podpoře výzkumu a vývoje </w:t>
      </w:r>
      <w:r w:rsidR="00B34DAB">
        <w:rPr>
          <w:sz w:val="18"/>
          <w:szCs w:val="18"/>
        </w:rPr>
        <w:t>(č. </w:t>
      </w:r>
      <w:r w:rsidRPr="00220971">
        <w:rPr>
          <w:sz w:val="18"/>
          <w:szCs w:val="18"/>
        </w:rPr>
        <w:t>130/2002 Sb.), granty Evropských společenství a dotace, příspěvky a podpory z veřejných rozpočtů a jiných peněžních fondů cizího státu</w:t>
      </w:r>
      <w:r>
        <w:rPr>
          <w:sz w:val="18"/>
          <w:szCs w:val="18"/>
        </w:rPr>
        <w:t>.</w:t>
      </w:r>
    </w:p>
  </w:footnote>
  <w:footnote w:id="13">
    <w:p w:rsidR="0059708A" w:rsidRPr="0059708A" w:rsidRDefault="0059708A" w:rsidP="0059708A">
      <w:pPr>
        <w:pStyle w:val="Textpoznpodarou"/>
        <w:rPr>
          <w:sz w:val="18"/>
        </w:rPr>
      </w:pPr>
      <w:r w:rsidRPr="0059708A">
        <w:rPr>
          <w:rStyle w:val="Znakapoznpodarou"/>
          <w:sz w:val="18"/>
        </w:rPr>
        <w:footnoteRef/>
      </w:r>
      <w:r w:rsidRPr="0059708A">
        <w:rPr>
          <w:sz w:val="18"/>
        </w:rPr>
        <w:t xml:space="preserve"> </w:t>
      </w:r>
      <w:r w:rsidR="00356188" w:rsidRPr="00356188">
        <w:rPr>
          <w:sz w:val="18"/>
        </w:rPr>
        <w:t>V souladu s §34 odst. 4 zákona č. 586/1992 Sb., o daních z příjmů je možné od základu daně odečíst 100 % již jednou daňově uznatelných výdajů na VaV. V souvislosti se změnou zákona o daních z příjmů má nově</w:t>
      </w:r>
      <w:r w:rsidR="00356188">
        <w:rPr>
          <w:sz w:val="18"/>
        </w:rPr>
        <w:t xml:space="preserve"> (</w:t>
      </w:r>
      <w:r w:rsidR="00356188" w:rsidRPr="00356188">
        <w:rPr>
          <w:sz w:val="18"/>
        </w:rPr>
        <w:t>od roku 2014</w:t>
      </w:r>
      <w:r w:rsidR="00356188">
        <w:rPr>
          <w:sz w:val="18"/>
        </w:rPr>
        <w:t>)</w:t>
      </w:r>
      <w:r w:rsidR="00356188" w:rsidRPr="00356188">
        <w:rPr>
          <w:sz w:val="18"/>
        </w:rPr>
        <w:t xml:space="preserve"> poplatník možnost navíc uplatnit 110 % z meziročního přírůstku výdajů na výzkum a vývoj.</w:t>
      </w:r>
    </w:p>
  </w:footnote>
  <w:footnote w:id="14">
    <w:p w:rsidR="00777D0D" w:rsidRPr="00777D0D" w:rsidRDefault="00777D0D">
      <w:pPr>
        <w:pStyle w:val="Textpoznpodarou"/>
        <w:rPr>
          <w:sz w:val="18"/>
        </w:rPr>
      </w:pPr>
      <w:r w:rsidRPr="00777D0D">
        <w:rPr>
          <w:rStyle w:val="Znakapoznpodarou"/>
          <w:sz w:val="18"/>
        </w:rPr>
        <w:footnoteRef/>
      </w:r>
      <w:r w:rsidRPr="00777D0D">
        <w:rPr>
          <w:sz w:val="18"/>
        </w:rPr>
        <w:t xml:space="preserve"> </w:t>
      </w:r>
      <w:r>
        <w:rPr>
          <w:sz w:val="18"/>
        </w:rPr>
        <w:t xml:space="preserve">Data o fyzických osobách – podnikatelích nejsou dostupná, neboť daňová přiznání u těchto subjektů </w:t>
      </w:r>
      <w:r w:rsidR="008639C0">
        <w:rPr>
          <w:sz w:val="18"/>
        </w:rPr>
        <w:t>nejsou ještě plně digitalizovaná. V roce 2013 obdrželi fyzické osoby nepřímou podporu VaV v souhrnné výši pouhých 4,6 mil. Kč.</w:t>
      </w:r>
      <w:r>
        <w:rPr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Pr="00AD306C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  <w:r>
      <w:rPr>
        <w:rFonts w:ascii="Arial" w:hAnsi="Arial" w:cs="Arial"/>
        <w:sz w:val="16"/>
        <w:szCs w:val="16"/>
      </w:rPr>
      <w:t xml:space="preserve"> / METODIKA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C8" w:rsidRDefault="008616C8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 w:rsidRPr="00BC6AC1">
      <w:rPr>
        <w:rFonts w:ascii="Arial" w:hAnsi="Arial" w:cs="Arial"/>
        <w:sz w:val="16"/>
        <w:szCs w:val="16"/>
      </w:rPr>
      <w:t>NEPŘÍMÁ VEŘEJNÁ PODPORA VÝZKUMU A VÝVOJE V ČESKÉ REPUBLICE</w:t>
    </w:r>
    <w:r>
      <w:rPr>
        <w:rFonts w:ascii="Arial" w:hAnsi="Arial" w:cs="Arial"/>
        <w:sz w:val="16"/>
        <w:szCs w:val="16"/>
      </w:rPr>
      <w:t>/ METODIKA</w:t>
    </w:r>
  </w:p>
  <w:p w:rsidR="008616C8" w:rsidRPr="00DC5B3B" w:rsidRDefault="008616C8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6ED"/>
    <w:multiLevelType w:val="hybridMultilevel"/>
    <w:tmpl w:val="80F4AEA4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201089"/>
    <w:multiLevelType w:val="hybridMultilevel"/>
    <w:tmpl w:val="304E83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5001"/>
    <w:multiLevelType w:val="hybridMultilevel"/>
    <w:tmpl w:val="FB0229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23C27"/>
    <w:multiLevelType w:val="hybridMultilevel"/>
    <w:tmpl w:val="DFBE40EE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168"/>
        </w:tabs>
        <w:ind w:left="-116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448"/>
        </w:tabs>
        <w:ind w:left="-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"/>
        </w:tabs>
        <w:ind w:left="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92"/>
        </w:tabs>
        <w:ind w:left="9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432"/>
        </w:tabs>
        <w:ind w:left="2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</w:abstractNum>
  <w:abstractNum w:abstractNumId="5">
    <w:nsid w:val="24F93027"/>
    <w:multiLevelType w:val="hybridMultilevel"/>
    <w:tmpl w:val="F6C46300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32F0C"/>
    <w:multiLevelType w:val="hybridMultilevel"/>
    <w:tmpl w:val="83B67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F32AB"/>
    <w:multiLevelType w:val="hybridMultilevel"/>
    <w:tmpl w:val="11C2B012"/>
    <w:lvl w:ilvl="0" w:tplc="7FE4F5D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4C0BD4"/>
    <w:multiLevelType w:val="hybridMultilevel"/>
    <w:tmpl w:val="0854E9E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7FE4F5D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616E3D"/>
    <w:multiLevelType w:val="hybridMultilevel"/>
    <w:tmpl w:val="2B7466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43D1"/>
    <w:multiLevelType w:val="hybridMultilevel"/>
    <w:tmpl w:val="CD46A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C29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1391D"/>
    <w:multiLevelType w:val="hybridMultilevel"/>
    <w:tmpl w:val="B232DCB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D67628"/>
    <w:multiLevelType w:val="hybridMultilevel"/>
    <w:tmpl w:val="5BDA480C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9D3193B"/>
    <w:multiLevelType w:val="hybridMultilevel"/>
    <w:tmpl w:val="4DECE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30629"/>
    <w:multiLevelType w:val="hybridMultilevel"/>
    <w:tmpl w:val="792AB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77E6C"/>
    <w:multiLevelType w:val="hybridMultilevel"/>
    <w:tmpl w:val="7D3494A8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5FC293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4D7F21"/>
    <w:multiLevelType w:val="hybridMultilevel"/>
    <w:tmpl w:val="8E5251AE"/>
    <w:lvl w:ilvl="0" w:tplc="7FE4F5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25E0D"/>
    <w:multiLevelType w:val="hybridMultilevel"/>
    <w:tmpl w:val="EFE85C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8"/>
  </w:num>
  <w:num w:numId="5">
    <w:abstractNumId w:val="1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1"/>
    <w:lvlOverride w:ilvl="0">
      <w:lvl w:ilvl="0" w:tplc="04050005">
        <w:start w:val="1"/>
        <w:numFmt w:val="lowerLetter"/>
        <w:lvlText w:val="%1)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0"/>
  </w:num>
  <w:num w:numId="16">
    <w:abstractNumId w:val="17"/>
  </w:num>
  <w:num w:numId="17">
    <w:abstractNumId w:val="11"/>
  </w:num>
  <w:num w:numId="18">
    <w:abstractNumId w:val="8"/>
  </w:num>
  <w:num w:numId="19">
    <w:abstractNumId w:val="7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49B0"/>
    <w:rsid w:val="0000767A"/>
    <w:rsid w:val="00010702"/>
    <w:rsid w:val="000158B9"/>
    <w:rsid w:val="00016CCE"/>
    <w:rsid w:val="00023DB5"/>
    <w:rsid w:val="000350E5"/>
    <w:rsid w:val="000368A7"/>
    <w:rsid w:val="000415AA"/>
    <w:rsid w:val="0004694F"/>
    <w:rsid w:val="00046976"/>
    <w:rsid w:val="00046DAC"/>
    <w:rsid w:val="00051C4D"/>
    <w:rsid w:val="0005739C"/>
    <w:rsid w:val="00057709"/>
    <w:rsid w:val="00062A19"/>
    <w:rsid w:val="00062EC5"/>
    <w:rsid w:val="00064171"/>
    <w:rsid w:val="00080B27"/>
    <w:rsid w:val="00080E37"/>
    <w:rsid w:val="00081AAC"/>
    <w:rsid w:val="00082307"/>
    <w:rsid w:val="00085870"/>
    <w:rsid w:val="00087634"/>
    <w:rsid w:val="00087A0A"/>
    <w:rsid w:val="000932E5"/>
    <w:rsid w:val="00093B40"/>
    <w:rsid w:val="000946D6"/>
    <w:rsid w:val="000A03DC"/>
    <w:rsid w:val="000A1183"/>
    <w:rsid w:val="000B0777"/>
    <w:rsid w:val="000B1F4E"/>
    <w:rsid w:val="000B64CF"/>
    <w:rsid w:val="000C1883"/>
    <w:rsid w:val="000C3408"/>
    <w:rsid w:val="000C4ABE"/>
    <w:rsid w:val="000C5FBB"/>
    <w:rsid w:val="000D0EBF"/>
    <w:rsid w:val="000D1504"/>
    <w:rsid w:val="000D1A55"/>
    <w:rsid w:val="000D441E"/>
    <w:rsid w:val="000D4ED6"/>
    <w:rsid w:val="000E276F"/>
    <w:rsid w:val="000E63E0"/>
    <w:rsid w:val="000F0B7C"/>
    <w:rsid w:val="000F0F6F"/>
    <w:rsid w:val="000F13FC"/>
    <w:rsid w:val="000F41F1"/>
    <w:rsid w:val="000F6A39"/>
    <w:rsid w:val="000F6F58"/>
    <w:rsid w:val="001103C6"/>
    <w:rsid w:val="001111B2"/>
    <w:rsid w:val="0011629F"/>
    <w:rsid w:val="001405FA"/>
    <w:rsid w:val="00140A1B"/>
    <w:rsid w:val="001425C3"/>
    <w:rsid w:val="00142C51"/>
    <w:rsid w:val="00143453"/>
    <w:rsid w:val="00143B97"/>
    <w:rsid w:val="00146553"/>
    <w:rsid w:val="00146CF7"/>
    <w:rsid w:val="001475F6"/>
    <w:rsid w:val="00152543"/>
    <w:rsid w:val="00154273"/>
    <w:rsid w:val="001544C2"/>
    <w:rsid w:val="00155181"/>
    <w:rsid w:val="00156A62"/>
    <w:rsid w:val="0015700C"/>
    <w:rsid w:val="00163793"/>
    <w:rsid w:val="00171425"/>
    <w:rsid w:val="001714F2"/>
    <w:rsid w:val="0017466E"/>
    <w:rsid w:val="00174C78"/>
    <w:rsid w:val="001758CB"/>
    <w:rsid w:val="00184A37"/>
    <w:rsid w:val="00185010"/>
    <w:rsid w:val="00193143"/>
    <w:rsid w:val="00193481"/>
    <w:rsid w:val="001938F0"/>
    <w:rsid w:val="00196712"/>
    <w:rsid w:val="001A1435"/>
    <w:rsid w:val="001A51D6"/>
    <w:rsid w:val="001A552F"/>
    <w:rsid w:val="001B0AFE"/>
    <w:rsid w:val="001B3110"/>
    <w:rsid w:val="001B6778"/>
    <w:rsid w:val="001B75ED"/>
    <w:rsid w:val="001B7941"/>
    <w:rsid w:val="001C0D60"/>
    <w:rsid w:val="001D1415"/>
    <w:rsid w:val="001D23C7"/>
    <w:rsid w:val="001D353E"/>
    <w:rsid w:val="001D6CB9"/>
    <w:rsid w:val="001E2E1C"/>
    <w:rsid w:val="001E5CBD"/>
    <w:rsid w:val="001F199C"/>
    <w:rsid w:val="001F4597"/>
    <w:rsid w:val="00201371"/>
    <w:rsid w:val="0020344B"/>
    <w:rsid w:val="00204888"/>
    <w:rsid w:val="0020532C"/>
    <w:rsid w:val="00205612"/>
    <w:rsid w:val="0020650B"/>
    <w:rsid w:val="00207A19"/>
    <w:rsid w:val="00211943"/>
    <w:rsid w:val="00216EB6"/>
    <w:rsid w:val="00217927"/>
    <w:rsid w:val="00220219"/>
    <w:rsid w:val="00220971"/>
    <w:rsid w:val="0022139E"/>
    <w:rsid w:val="002216F1"/>
    <w:rsid w:val="002252E0"/>
    <w:rsid w:val="002255F6"/>
    <w:rsid w:val="002320A5"/>
    <w:rsid w:val="00236443"/>
    <w:rsid w:val="0024246D"/>
    <w:rsid w:val="00242B9B"/>
    <w:rsid w:val="002436BA"/>
    <w:rsid w:val="00244A15"/>
    <w:rsid w:val="0024799E"/>
    <w:rsid w:val="0025064A"/>
    <w:rsid w:val="002561A8"/>
    <w:rsid w:val="0025762A"/>
    <w:rsid w:val="002620B2"/>
    <w:rsid w:val="00262DE2"/>
    <w:rsid w:val="00264EFE"/>
    <w:rsid w:val="002704E6"/>
    <w:rsid w:val="00272CB1"/>
    <w:rsid w:val="00276B63"/>
    <w:rsid w:val="00277B21"/>
    <w:rsid w:val="002817BF"/>
    <w:rsid w:val="002829BA"/>
    <w:rsid w:val="00286DD7"/>
    <w:rsid w:val="00290C0F"/>
    <w:rsid w:val="00293EA3"/>
    <w:rsid w:val="002941F0"/>
    <w:rsid w:val="00295694"/>
    <w:rsid w:val="0029633E"/>
    <w:rsid w:val="00296571"/>
    <w:rsid w:val="002965A8"/>
    <w:rsid w:val="002A0EC4"/>
    <w:rsid w:val="002A1858"/>
    <w:rsid w:val="002A30A5"/>
    <w:rsid w:val="002A4F13"/>
    <w:rsid w:val="002B0B7D"/>
    <w:rsid w:val="002C31D3"/>
    <w:rsid w:val="002C3789"/>
    <w:rsid w:val="002C43BD"/>
    <w:rsid w:val="002D3DF2"/>
    <w:rsid w:val="002D4653"/>
    <w:rsid w:val="002D47D8"/>
    <w:rsid w:val="002D526C"/>
    <w:rsid w:val="002E0064"/>
    <w:rsid w:val="002E02A1"/>
    <w:rsid w:val="002E1344"/>
    <w:rsid w:val="002E1696"/>
    <w:rsid w:val="002E60FD"/>
    <w:rsid w:val="002F473A"/>
    <w:rsid w:val="002F4840"/>
    <w:rsid w:val="002F77B1"/>
    <w:rsid w:val="0030115C"/>
    <w:rsid w:val="00301C0F"/>
    <w:rsid w:val="00304771"/>
    <w:rsid w:val="0030627B"/>
    <w:rsid w:val="00306C5B"/>
    <w:rsid w:val="003103E0"/>
    <w:rsid w:val="003136F4"/>
    <w:rsid w:val="003156E7"/>
    <w:rsid w:val="003209D6"/>
    <w:rsid w:val="003257F5"/>
    <w:rsid w:val="00325DD0"/>
    <w:rsid w:val="00332CDF"/>
    <w:rsid w:val="00334173"/>
    <w:rsid w:val="00342D7F"/>
    <w:rsid w:val="00345A98"/>
    <w:rsid w:val="00351E54"/>
    <w:rsid w:val="0035559D"/>
    <w:rsid w:val="00356188"/>
    <w:rsid w:val="00356A61"/>
    <w:rsid w:val="00356ABD"/>
    <w:rsid w:val="00357CC8"/>
    <w:rsid w:val="00364AA8"/>
    <w:rsid w:val="003657F3"/>
    <w:rsid w:val="00367752"/>
    <w:rsid w:val="0037506F"/>
    <w:rsid w:val="00385D98"/>
    <w:rsid w:val="00386F3B"/>
    <w:rsid w:val="0039379F"/>
    <w:rsid w:val="00395150"/>
    <w:rsid w:val="003A063A"/>
    <w:rsid w:val="003A0D1B"/>
    <w:rsid w:val="003A2B4D"/>
    <w:rsid w:val="003A478C"/>
    <w:rsid w:val="003A5525"/>
    <w:rsid w:val="003A6B38"/>
    <w:rsid w:val="003B07C1"/>
    <w:rsid w:val="003B2BAD"/>
    <w:rsid w:val="003B2C71"/>
    <w:rsid w:val="003B5A32"/>
    <w:rsid w:val="003C0B2C"/>
    <w:rsid w:val="003C1606"/>
    <w:rsid w:val="003C1989"/>
    <w:rsid w:val="003C2F6F"/>
    <w:rsid w:val="003C3F7D"/>
    <w:rsid w:val="003C48BB"/>
    <w:rsid w:val="003D3D33"/>
    <w:rsid w:val="003D3EC5"/>
    <w:rsid w:val="003D5F99"/>
    <w:rsid w:val="003E126A"/>
    <w:rsid w:val="003E2BEE"/>
    <w:rsid w:val="003F05BE"/>
    <w:rsid w:val="003F0699"/>
    <w:rsid w:val="003F313C"/>
    <w:rsid w:val="003F62AA"/>
    <w:rsid w:val="004070A8"/>
    <w:rsid w:val="00407952"/>
    <w:rsid w:val="00410D5F"/>
    <w:rsid w:val="004116C5"/>
    <w:rsid w:val="00414240"/>
    <w:rsid w:val="00422315"/>
    <w:rsid w:val="004236B3"/>
    <w:rsid w:val="004251DA"/>
    <w:rsid w:val="00427185"/>
    <w:rsid w:val="00427765"/>
    <w:rsid w:val="0043194A"/>
    <w:rsid w:val="00431B48"/>
    <w:rsid w:val="00431B5D"/>
    <w:rsid w:val="00435439"/>
    <w:rsid w:val="00436048"/>
    <w:rsid w:val="004423DA"/>
    <w:rsid w:val="004479AD"/>
    <w:rsid w:val="00453D53"/>
    <w:rsid w:val="00455781"/>
    <w:rsid w:val="00456EBB"/>
    <w:rsid w:val="00464380"/>
    <w:rsid w:val="00465311"/>
    <w:rsid w:val="00466D51"/>
    <w:rsid w:val="00470CEE"/>
    <w:rsid w:val="00472688"/>
    <w:rsid w:val="004741CD"/>
    <w:rsid w:val="0048139F"/>
    <w:rsid w:val="00481B3C"/>
    <w:rsid w:val="00483CCC"/>
    <w:rsid w:val="00493A9C"/>
    <w:rsid w:val="00495130"/>
    <w:rsid w:val="00497328"/>
    <w:rsid w:val="004A77A8"/>
    <w:rsid w:val="004A77DF"/>
    <w:rsid w:val="004B2E8D"/>
    <w:rsid w:val="004B55B7"/>
    <w:rsid w:val="004C1966"/>
    <w:rsid w:val="004C2E6C"/>
    <w:rsid w:val="004C3867"/>
    <w:rsid w:val="004C4CD0"/>
    <w:rsid w:val="004C70DC"/>
    <w:rsid w:val="004D0211"/>
    <w:rsid w:val="004D2C8B"/>
    <w:rsid w:val="004E3005"/>
    <w:rsid w:val="004E3936"/>
    <w:rsid w:val="004E46DF"/>
    <w:rsid w:val="004E5C31"/>
    <w:rsid w:val="004E7AE1"/>
    <w:rsid w:val="004F06F5"/>
    <w:rsid w:val="004F3087"/>
    <w:rsid w:val="004F33A0"/>
    <w:rsid w:val="004F3C0D"/>
    <w:rsid w:val="00502D0B"/>
    <w:rsid w:val="00503A24"/>
    <w:rsid w:val="00503ACA"/>
    <w:rsid w:val="00506563"/>
    <w:rsid w:val="005108C0"/>
    <w:rsid w:val="0051105A"/>
    <w:rsid w:val="005116AE"/>
    <w:rsid w:val="00511873"/>
    <w:rsid w:val="00512DE2"/>
    <w:rsid w:val="00513B7E"/>
    <w:rsid w:val="005161B9"/>
    <w:rsid w:val="00516C32"/>
    <w:rsid w:val="00517B67"/>
    <w:rsid w:val="00520DE9"/>
    <w:rsid w:val="005227FD"/>
    <w:rsid w:val="00525137"/>
    <w:rsid w:val="005251DD"/>
    <w:rsid w:val="00527020"/>
    <w:rsid w:val="005325E6"/>
    <w:rsid w:val="00533F4C"/>
    <w:rsid w:val="00543AB1"/>
    <w:rsid w:val="00545AFD"/>
    <w:rsid w:val="00547A35"/>
    <w:rsid w:val="0056078B"/>
    <w:rsid w:val="0056103D"/>
    <w:rsid w:val="00571D93"/>
    <w:rsid w:val="00576FE4"/>
    <w:rsid w:val="00582D33"/>
    <w:rsid w:val="00583F8C"/>
    <w:rsid w:val="00583FFD"/>
    <w:rsid w:val="005872D8"/>
    <w:rsid w:val="00591242"/>
    <w:rsid w:val="00593152"/>
    <w:rsid w:val="00593616"/>
    <w:rsid w:val="00594FB0"/>
    <w:rsid w:val="00595DC7"/>
    <w:rsid w:val="0059708A"/>
    <w:rsid w:val="005977E9"/>
    <w:rsid w:val="005A21E0"/>
    <w:rsid w:val="005A5899"/>
    <w:rsid w:val="005B1853"/>
    <w:rsid w:val="005B3B88"/>
    <w:rsid w:val="005B4204"/>
    <w:rsid w:val="005B7A7A"/>
    <w:rsid w:val="005C42D5"/>
    <w:rsid w:val="005C665F"/>
    <w:rsid w:val="005D44A6"/>
    <w:rsid w:val="005D5802"/>
    <w:rsid w:val="005D5E5F"/>
    <w:rsid w:val="005E2A43"/>
    <w:rsid w:val="005E2F1E"/>
    <w:rsid w:val="005E5841"/>
    <w:rsid w:val="005E763D"/>
    <w:rsid w:val="005F3B4D"/>
    <w:rsid w:val="005F5310"/>
    <w:rsid w:val="00601818"/>
    <w:rsid w:val="00602F57"/>
    <w:rsid w:val="0060342E"/>
    <w:rsid w:val="00604307"/>
    <w:rsid w:val="0060487F"/>
    <w:rsid w:val="00607283"/>
    <w:rsid w:val="00610EDF"/>
    <w:rsid w:val="00615C91"/>
    <w:rsid w:val="006179E9"/>
    <w:rsid w:val="00624093"/>
    <w:rsid w:val="006257D8"/>
    <w:rsid w:val="00633681"/>
    <w:rsid w:val="006343AA"/>
    <w:rsid w:val="00635B9F"/>
    <w:rsid w:val="006404A7"/>
    <w:rsid w:val="00640655"/>
    <w:rsid w:val="00641532"/>
    <w:rsid w:val="00643EF0"/>
    <w:rsid w:val="006451E4"/>
    <w:rsid w:val="006451F0"/>
    <w:rsid w:val="0064634C"/>
    <w:rsid w:val="006571A0"/>
    <w:rsid w:val="00657E87"/>
    <w:rsid w:val="0066042C"/>
    <w:rsid w:val="00662212"/>
    <w:rsid w:val="00662635"/>
    <w:rsid w:val="00662983"/>
    <w:rsid w:val="00662987"/>
    <w:rsid w:val="00670DB2"/>
    <w:rsid w:val="006710C9"/>
    <w:rsid w:val="00673310"/>
    <w:rsid w:val="00673CD6"/>
    <w:rsid w:val="00675E37"/>
    <w:rsid w:val="00681C45"/>
    <w:rsid w:val="00681E2C"/>
    <w:rsid w:val="00681EC9"/>
    <w:rsid w:val="0068260E"/>
    <w:rsid w:val="00687495"/>
    <w:rsid w:val="00693C50"/>
    <w:rsid w:val="006945E6"/>
    <w:rsid w:val="00695AEB"/>
    <w:rsid w:val="00695BEF"/>
    <w:rsid w:val="0069634D"/>
    <w:rsid w:val="006977F6"/>
    <w:rsid w:val="00697A13"/>
    <w:rsid w:val="006A109C"/>
    <w:rsid w:val="006A4411"/>
    <w:rsid w:val="006A4AB4"/>
    <w:rsid w:val="006A65A1"/>
    <w:rsid w:val="006B526B"/>
    <w:rsid w:val="006B78D8"/>
    <w:rsid w:val="006B79DE"/>
    <w:rsid w:val="006C113F"/>
    <w:rsid w:val="006C3C9F"/>
    <w:rsid w:val="006C738C"/>
    <w:rsid w:val="006D0D80"/>
    <w:rsid w:val="006D1CB5"/>
    <w:rsid w:val="006D566D"/>
    <w:rsid w:val="006D57D2"/>
    <w:rsid w:val="006D61F6"/>
    <w:rsid w:val="006D7F8A"/>
    <w:rsid w:val="006E279A"/>
    <w:rsid w:val="006E313B"/>
    <w:rsid w:val="006E6595"/>
    <w:rsid w:val="006F1D47"/>
    <w:rsid w:val="006F1D69"/>
    <w:rsid w:val="006F4C74"/>
    <w:rsid w:val="006F7318"/>
    <w:rsid w:val="006F799D"/>
    <w:rsid w:val="00704AFC"/>
    <w:rsid w:val="00704F00"/>
    <w:rsid w:val="00707ACC"/>
    <w:rsid w:val="00710016"/>
    <w:rsid w:val="00710A84"/>
    <w:rsid w:val="007151FF"/>
    <w:rsid w:val="007211F5"/>
    <w:rsid w:val="00721A73"/>
    <w:rsid w:val="00730645"/>
    <w:rsid w:val="00730AE8"/>
    <w:rsid w:val="007325E4"/>
    <w:rsid w:val="00733287"/>
    <w:rsid w:val="00733953"/>
    <w:rsid w:val="00737392"/>
    <w:rsid w:val="00741493"/>
    <w:rsid w:val="0075203E"/>
    <w:rsid w:val="00752180"/>
    <w:rsid w:val="00755AFC"/>
    <w:rsid w:val="00755D3A"/>
    <w:rsid w:val="007609C6"/>
    <w:rsid w:val="00761B3D"/>
    <w:rsid w:val="00765317"/>
    <w:rsid w:val="00774DEB"/>
    <w:rsid w:val="00776527"/>
    <w:rsid w:val="00776FE1"/>
    <w:rsid w:val="00777D0D"/>
    <w:rsid w:val="007870B4"/>
    <w:rsid w:val="0079384B"/>
    <w:rsid w:val="00793EC8"/>
    <w:rsid w:val="00797F5F"/>
    <w:rsid w:val="007A1D16"/>
    <w:rsid w:val="007B06EC"/>
    <w:rsid w:val="007B185F"/>
    <w:rsid w:val="007C330F"/>
    <w:rsid w:val="007C358A"/>
    <w:rsid w:val="007C3C87"/>
    <w:rsid w:val="007C3F6A"/>
    <w:rsid w:val="007D1FB5"/>
    <w:rsid w:val="007D28A7"/>
    <w:rsid w:val="007E1850"/>
    <w:rsid w:val="007E2CCC"/>
    <w:rsid w:val="007E48C9"/>
    <w:rsid w:val="007E7E61"/>
    <w:rsid w:val="007F0845"/>
    <w:rsid w:val="007F146E"/>
    <w:rsid w:val="007F2B39"/>
    <w:rsid w:val="007F39BE"/>
    <w:rsid w:val="007F5A1B"/>
    <w:rsid w:val="007F7CD2"/>
    <w:rsid w:val="0080002C"/>
    <w:rsid w:val="0080185D"/>
    <w:rsid w:val="008035E4"/>
    <w:rsid w:val="0080521C"/>
    <w:rsid w:val="008058BF"/>
    <w:rsid w:val="0080593D"/>
    <w:rsid w:val="00805CA0"/>
    <w:rsid w:val="00805E10"/>
    <w:rsid w:val="0080605A"/>
    <w:rsid w:val="008118E4"/>
    <w:rsid w:val="00815862"/>
    <w:rsid w:val="00821FF6"/>
    <w:rsid w:val="00824458"/>
    <w:rsid w:val="0083143E"/>
    <w:rsid w:val="0083159F"/>
    <w:rsid w:val="00834FAA"/>
    <w:rsid w:val="008352FC"/>
    <w:rsid w:val="00836086"/>
    <w:rsid w:val="00841063"/>
    <w:rsid w:val="00842E41"/>
    <w:rsid w:val="0084560E"/>
    <w:rsid w:val="008461CD"/>
    <w:rsid w:val="00847B1D"/>
    <w:rsid w:val="008511B6"/>
    <w:rsid w:val="008565D1"/>
    <w:rsid w:val="00860EAB"/>
    <w:rsid w:val="008616C8"/>
    <w:rsid w:val="008639C0"/>
    <w:rsid w:val="00863D57"/>
    <w:rsid w:val="00874492"/>
    <w:rsid w:val="00876086"/>
    <w:rsid w:val="00881296"/>
    <w:rsid w:val="00886218"/>
    <w:rsid w:val="008877F9"/>
    <w:rsid w:val="008937CB"/>
    <w:rsid w:val="0089503D"/>
    <w:rsid w:val="008A25BC"/>
    <w:rsid w:val="008A31DC"/>
    <w:rsid w:val="008A4657"/>
    <w:rsid w:val="008A5856"/>
    <w:rsid w:val="008B2742"/>
    <w:rsid w:val="008B3316"/>
    <w:rsid w:val="008B7C02"/>
    <w:rsid w:val="008C0003"/>
    <w:rsid w:val="008C0BAC"/>
    <w:rsid w:val="008C0E88"/>
    <w:rsid w:val="008C1A57"/>
    <w:rsid w:val="008C295A"/>
    <w:rsid w:val="008D1AF4"/>
    <w:rsid w:val="008D2A16"/>
    <w:rsid w:val="008D5EF6"/>
    <w:rsid w:val="008D752A"/>
    <w:rsid w:val="008E08A4"/>
    <w:rsid w:val="008E14DD"/>
    <w:rsid w:val="008E31FF"/>
    <w:rsid w:val="008E5356"/>
    <w:rsid w:val="008E6828"/>
    <w:rsid w:val="008F0FD2"/>
    <w:rsid w:val="008F5169"/>
    <w:rsid w:val="008F6FCE"/>
    <w:rsid w:val="009003A8"/>
    <w:rsid w:val="00902EFF"/>
    <w:rsid w:val="00906960"/>
    <w:rsid w:val="009076A9"/>
    <w:rsid w:val="00910BD4"/>
    <w:rsid w:val="00921F14"/>
    <w:rsid w:val="00930123"/>
    <w:rsid w:val="00930A66"/>
    <w:rsid w:val="009338E5"/>
    <w:rsid w:val="00936618"/>
    <w:rsid w:val="0093753B"/>
    <w:rsid w:val="00942F08"/>
    <w:rsid w:val="0094427A"/>
    <w:rsid w:val="0095130F"/>
    <w:rsid w:val="00951539"/>
    <w:rsid w:val="00952983"/>
    <w:rsid w:val="00955555"/>
    <w:rsid w:val="00955B8B"/>
    <w:rsid w:val="00960870"/>
    <w:rsid w:val="00961B2B"/>
    <w:rsid w:val="00962503"/>
    <w:rsid w:val="00963F00"/>
    <w:rsid w:val="009665BE"/>
    <w:rsid w:val="0096694B"/>
    <w:rsid w:val="00972F89"/>
    <w:rsid w:val="00974923"/>
    <w:rsid w:val="00980277"/>
    <w:rsid w:val="009869A7"/>
    <w:rsid w:val="00987E97"/>
    <w:rsid w:val="009942B9"/>
    <w:rsid w:val="009A5806"/>
    <w:rsid w:val="009A7070"/>
    <w:rsid w:val="009A76E0"/>
    <w:rsid w:val="009B13A7"/>
    <w:rsid w:val="009B6FD3"/>
    <w:rsid w:val="009C3A34"/>
    <w:rsid w:val="009C3B7E"/>
    <w:rsid w:val="009C6195"/>
    <w:rsid w:val="009D2799"/>
    <w:rsid w:val="009D2BBA"/>
    <w:rsid w:val="009E0B3D"/>
    <w:rsid w:val="009E1F24"/>
    <w:rsid w:val="009E285D"/>
    <w:rsid w:val="009E37BB"/>
    <w:rsid w:val="009E4EA8"/>
    <w:rsid w:val="009E57A8"/>
    <w:rsid w:val="009E65B8"/>
    <w:rsid w:val="009F5488"/>
    <w:rsid w:val="00A10D66"/>
    <w:rsid w:val="00A1290F"/>
    <w:rsid w:val="00A12C92"/>
    <w:rsid w:val="00A16C4D"/>
    <w:rsid w:val="00A21A2E"/>
    <w:rsid w:val="00A221CE"/>
    <w:rsid w:val="00A23E43"/>
    <w:rsid w:val="00A265D4"/>
    <w:rsid w:val="00A33820"/>
    <w:rsid w:val="00A33BB6"/>
    <w:rsid w:val="00A4170C"/>
    <w:rsid w:val="00A459EC"/>
    <w:rsid w:val="00A46DE0"/>
    <w:rsid w:val="00A5027A"/>
    <w:rsid w:val="00A53A7B"/>
    <w:rsid w:val="00A54A61"/>
    <w:rsid w:val="00A55FAB"/>
    <w:rsid w:val="00A56914"/>
    <w:rsid w:val="00A62CE1"/>
    <w:rsid w:val="00A63804"/>
    <w:rsid w:val="00A67964"/>
    <w:rsid w:val="00A75964"/>
    <w:rsid w:val="00A75E40"/>
    <w:rsid w:val="00A77CC5"/>
    <w:rsid w:val="00A81BA5"/>
    <w:rsid w:val="00A8313F"/>
    <w:rsid w:val="00A857C0"/>
    <w:rsid w:val="00A87C69"/>
    <w:rsid w:val="00A9460A"/>
    <w:rsid w:val="00A94E20"/>
    <w:rsid w:val="00A97C04"/>
    <w:rsid w:val="00AA2060"/>
    <w:rsid w:val="00AA217B"/>
    <w:rsid w:val="00AA559A"/>
    <w:rsid w:val="00AB2AF1"/>
    <w:rsid w:val="00AB389B"/>
    <w:rsid w:val="00AB41DE"/>
    <w:rsid w:val="00AB7318"/>
    <w:rsid w:val="00AC3FD1"/>
    <w:rsid w:val="00AC62CF"/>
    <w:rsid w:val="00AC7F36"/>
    <w:rsid w:val="00AD306C"/>
    <w:rsid w:val="00AD3CE8"/>
    <w:rsid w:val="00AD52A8"/>
    <w:rsid w:val="00AE0F4A"/>
    <w:rsid w:val="00AE3A2E"/>
    <w:rsid w:val="00AF4542"/>
    <w:rsid w:val="00B00E2A"/>
    <w:rsid w:val="00B021DC"/>
    <w:rsid w:val="00B0293A"/>
    <w:rsid w:val="00B031D4"/>
    <w:rsid w:val="00B04C40"/>
    <w:rsid w:val="00B17E71"/>
    <w:rsid w:val="00B17FDE"/>
    <w:rsid w:val="00B25F29"/>
    <w:rsid w:val="00B32DDB"/>
    <w:rsid w:val="00B33853"/>
    <w:rsid w:val="00B33C76"/>
    <w:rsid w:val="00B34DAB"/>
    <w:rsid w:val="00B360DE"/>
    <w:rsid w:val="00B4079B"/>
    <w:rsid w:val="00B41A0A"/>
    <w:rsid w:val="00B43764"/>
    <w:rsid w:val="00B45197"/>
    <w:rsid w:val="00B50C8B"/>
    <w:rsid w:val="00B52135"/>
    <w:rsid w:val="00B55082"/>
    <w:rsid w:val="00B561B9"/>
    <w:rsid w:val="00B6608F"/>
    <w:rsid w:val="00B67D22"/>
    <w:rsid w:val="00B737B5"/>
    <w:rsid w:val="00B745E6"/>
    <w:rsid w:val="00B765A7"/>
    <w:rsid w:val="00B76D1E"/>
    <w:rsid w:val="00B804F8"/>
    <w:rsid w:val="00B849FD"/>
    <w:rsid w:val="00B858DD"/>
    <w:rsid w:val="00B91E6C"/>
    <w:rsid w:val="00B95940"/>
    <w:rsid w:val="00B96E42"/>
    <w:rsid w:val="00BA0F35"/>
    <w:rsid w:val="00BA1262"/>
    <w:rsid w:val="00BA3657"/>
    <w:rsid w:val="00BA43A1"/>
    <w:rsid w:val="00BA44C3"/>
    <w:rsid w:val="00BA5329"/>
    <w:rsid w:val="00BB3AC8"/>
    <w:rsid w:val="00BB52C7"/>
    <w:rsid w:val="00BB6799"/>
    <w:rsid w:val="00BC6AC1"/>
    <w:rsid w:val="00BD366B"/>
    <w:rsid w:val="00BD47C9"/>
    <w:rsid w:val="00BD6D50"/>
    <w:rsid w:val="00BD713B"/>
    <w:rsid w:val="00BE0470"/>
    <w:rsid w:val="00BE2E1E"/>
    <w:rsid w:val="00BF09A3"/>
    <w:rsid w:val="00BF5985"/>
    <w:rsid w:val="00C01BB8"/>
    <w:rsid w:val="00C058F6"/>
    <w:rsid w:val="00C21F94"/>
    <w:rsid w:val="00C364B9"/>
    <w:rsid w:val="00C36C5C"/>
    <w:rsid w:val="00C45446"/>
    <w:rsid w:val="00C463A9"/>
    <w:rsid w:val="00C53308"/>
    <w:rsid w:val="00C53991"/>
    <w:rsid w:val="00C67030"/>
    <w:rsid w:val="00C71A7D"/>
    <w:rsid w:val="00C75024"/>
    <w:rsid w:val="00C774BB"/>
    <w:rsid w:val="00C7796A"/>
    <w:rsid w:val="00C80D1B"/>
    <w:rsid w:val="00C820B0"/>
    <w:rsid w:val="00C85411"/>
    <w:rsid w:val="00C8555B"/>
    <w:rsid w:val="00C866FE"/>
    <w:rsid w:val="00C86C49"/>
    <w:rsid w:val="00C903FE"/>
    <w:rsid w:val="00C90CF4"/>
    <w:rsid w:val="00C9101A"/>
    <w:rsid w:val="00C93389"/>
    <w:rsid w:val="00C958DA"/>
    <w:rsid w:val="00C95B18"/>
    <w:rsid w:val="00C95E3D"/>
    <w:rsid w:val="00C96820"/>
    <w:rsid w:val="00CA0C7F"/>
    <w:rsid w:val="00CA2DD6"/>
    <w:rsid w:val="00CA35BA"/>
    <w:rsid w:val="00CB29D1"/>
    <w:rsid w:val="00CB62F8"/>
    <w:rsid w:val="00CC0FC5"/>
    <w:rsid w:val="00CC1887"/>
    <w:rsid w:val="00CC38DB"/>
    <w:rsid w:val="00CC3B3E"/>
    <w:rsid w:val="00CC5D9D"/>
    <w:rsid w:val="00CC7383"/>
    <w:rsid w:val="00CD3C89"/>
    <w:rsid w:val="00CD7BE9"/>
    <w:rsid w:val="00CE00F3"/>
    <w:rsid w:val="00CE1019"/>
    <w:rsid w:val="00CE276E"/>
    <w:rsid w:val="00CE35FE"/>
    <w:rsid w:val="00CF47FD"/>
    <w:rsid w:val="00CF51EC"/>
    <w:rsid w:val="00CF6E52"/>
    <w:rsid w:val="00D02A33"/>
    <w:rsid w:val="00D040DD"/>
    <w:rsid w:val="00D045D0"/>
    <w:rsid w:val="00D04839"/>
    <w:rsid w:val="00D04A5D"/>
    <w:rsid w:val="00D13328"/>
    <w:rsid w:val="00D13906"/>
    <w:rsid w:val="00D15A54"/>
    <w:rsid w:val="00D16834"/>
    <w:rsid w:val="00D23446"/>
    <w:rsid w:val="00D267E2"/>
    <w:rsid w:val="00D27BAA"/>
    <w:rsid w:val="00D31B66"/>
    <w:rsid w:val="00D4082D"/>
    <w:rsid w:val="00D40EB6"/>
    <w:rsid w:val="00D41AF1"/>
    <w:rsid w:val="00D46277"/>
    <w:rsid w:val="00D50475"/>
    <w:rsid w:val="00D519AC"/>
    <w:rsid w:val="00D52F5C"/>
    <w:rsid w:val="00D57D9C"/>
    <w:rsid w:val="00D62884"/>
    <w:rsid w:val="00D62D84"/>
    <w:rsid w:val="00D70113"/>
    <w:rsid w:val="00D72C5F"/>
    <w:rsid w:val="00D81FA6"/>
    <w:rsid w:val="00D87A8C"/>
    <w:rsid w:val="00D87F49"/>
    <w:rsid w:val="00D90839"/>
    <w:rsid w:val="00D9320F"/>
    <w:rsid w:val="00D94B8F"/>
    <w:rsid w:val="00D9565D"/>
    <w:rsid w:val="00DA4844"/>
    <w:rsid w:val="00DB2397"/>
    <w:rsid w:val="00DC1B7E"/>
    <w:rsid w:val="00DC5B3B"/>
    <w:rsid w:val="00DC7F5F"/>
    <w:rsid w:val="00DD1BD7"/>
    <w:rsid w:val="00DD3BD4"/>
    <w:rsid w:val="00DD7047"/>
    <w:rsid w:val="00DD741F"/>
    <w:rsid w:val="00DD7498"/>
    <w:rsid w:val="00DD787B"/>
    <w:rsid w:val="00DE4A51"/>
    <w:rsid w:val="00DE539E"/>
    <w:rsid w:val="00DE66BB"/>
    <w:rsid w:val="00DF1398"/>
    <w:rsid w:val="00DF3F1A"/>
    <w:rsid w:val="00DF5D00"/>
    <w:rsid w:val="00DF7E65"/>
    <w:rsid w:val="00E01C0E"/>
    <w:rsid w:val="00E04694"/>
    <w:rsid w:val="00E05426"/>
    <w:rsid w:val="00E05C11"/>
    <w:rsid w:val="00E106F6"/>
    <w:rsid w:val="00E11327"/>
    <w:rsid w:val="00E12D30"/>
    <w:rsid w:val="00E14754"/>
    <w:rsid w:val="00E158E3"/>
    <w:rsid w:val="00E30C67"/>
    <w:rsid w:val="00E30F7E"/>
    <w:rsid w:val="00E33D7D"/>
    <w:rsid w:val="00E33EAE"/>
    <w:rsid w:val="00E340F9"/>
    <w:rsid w:val="00E3735A"/>
    <w:rsid w:val="00E45F0C"/>
    <w:rsid w:val="00E504C3"/>
    <w:rsid w:val="00E56D60"/>
    <w:rsid w:val="00E57564"/>
    <w:rsid w:val="00E60E7C"/>
    <w:rsid w:val="00E6176C"/>
    <w:rsid w:val="00E651DE"/>
    <w:rsid w:val="00E67DC3"/>
    <w:rsid w:val="00E71A58"/>
    <w:rsid w:val="00E81E1F"/>
    <w:rsid w:val="00E82D69"/>
    <w:rsid w:val="00EA0C68"/>
    <w:rsid w:val="00EB0F76"/>
    <w:rsid w:val="00EB2376"/>
    <w:rsid w:val="00EB7F5D"/>
    <w:rsid w:val="00ED26B4"/>
    <w:rsid w:val="00ED422B"/>
    <w:rsid w:val="00ED48F5"/>
    <w:rsid w:val="00EE01F9"/>
    <w:rsid w:val="00EE3E78"/>
    <w:rsid w:val="00EE52FC"/>
    <w:rsid w:val="00EE5A03"/>
    <w:rsid w:val="00EF1F5A"/>
    <w:rsid w:val="00EF267A"/>
    <w:rsid w:val="00EF472B"/>
    <w:rsid w:val="00F04811"/>
    <w:rsid w:val="00F0488C"/>
    <w:rsid w:val="00F1001C"/>
    <w:rsid w:val="00F12D74"/>
    <w:rsid w:val="00F15BEF"/>
    <w:rsid w:val="00F22E88"/>
    <w:rsid w:val="00F22E95"/>
    <w:rsid w:val="00F24FAA"/>
    <w:rsid w:val="00F25828"/>
    <w:rsid w:val="00F26446"/>
    <w:rsid w:val="00F30D8A"/>
    <w:rsid w:val="00F3364D"/>
    <w:rsid w:val="00F35998"/>
    <w:rsid w:val="00F42DEA"/>
    <w:rsid w:val="00F47D51"/>
    <w:rsid w:val="00F54C1F"/>
    <w:rsid w:val="00F5744D"/>
    <w:rsid w:val="00F63DDE"/>
    <w:rsid w:val="00F63FB7"/>
    <w:rsid w:val="00F72A84"/>
    <w:rsid w:val="00F73A0C"/>
    <w:rsid w:val="00F8413A"/>
    <w:rsid w:val="00F92CD2"/>
    <w:rsid w:val="00F9678A"/>
    <w:rsid w:val="00FA62C4"/>
    <w:rsid w:val="00FB0DB3"/>
    <w:rsid w:val="00FB1007"/>
    <w:rsid w:val="00FB259D"/>
    <w:rsid w:val="00FB57C8"/>
    <w:rsid w:val="00FC075C"/>
    <w:rsid w:val="00FC0E5F"/>
    <w:rsid w:val="00FC56DE"/>
    <w:rsid w:val="00FC58DB"/>
    <w:rsid w:val="00FD293E"/>
    <w:rsid w:val="00FD32DD"/>
    <w:rsid w:val="00FD63DE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CC5D9D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  <w:style w:type="character" w:styleId="Odkaznakoment">
    <w:name w:val="annotation reference"/>
    <w:basedOn w:val="Standardnpsmoodstavce"/>
    <w:uiPriority w:val="99"/>
    <w:semiHidden/>
    <w:unhideWhenUsed/>
    <w:rsid w:val="000B1F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1F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1F4E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1F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1F4E"/>
    <w:rPr>
      <w:rFonts w:ascii="Arial" w:eastAsia="Times New Roman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8F0F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4D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7E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zso.cz/csu/czso/statni_rozpoctove_vydaje_a_dotace_na_vyzkum_a_vyvoj_gbaor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vyzkumu_a_vyvoj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sti/frascatimanual" TargetMode="External"/><Relationship Id="rId2" Type="http://schemas.openxmlformats.org/officeDocument/2006/relationships/hyperlink" Target="http://www.vyzkum-vyvoj.cz/default.asp?nDepartmentlD=34&amp;nLanguageID=1" TargetMode="External"/><Relationship Id="rId1" Type="http://schemas.openxmlformats.org/officeDocument/2006/relationships/hyperlink" Target="http://www.oecd.org/innovation/rd-tax-stats.htm" TargetMode="External"/><Relationship Id="rId5" Type="http://schemas.openxmlformats.org/officeDocument/2006/relationships/hyperlink" Target="https://www.czso.cz/csu/czso/statistika_vyzkumu_a_vyvoje" TargetMode="External"/><Relationship Id="rId4" Type="http://schemas.openxmlformats.org/officeDocument/2006/relationships/hyperlink" Target="https://www.czso.cz/csu/czso/ukazatele-vyzkumu-a-vyvoje-2013-w6rsbm7x7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D116-40AE-4C82-9D11-7294A848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572</TotalTime>
  <Pages>7</Pages>
  <Words>2786</Words>
  <Characters>16444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Václav Sojka</cp:lastModifiedBy>
  <cp:revision>54</cp:revision>
  <cp:lastPrinted>2015-04-10T09:25:00Z</cp:lastPrinted>
  <dcterms:created xsi:type="dcterms:W3CDTF">2015-05-22T07:22:00Z</dcterms:created>
  <dcterms:modified xsi:type="dcterms:W3CDTF">2015-06-15T11:07:00Z</dcterms:modified>
</cp:coreProperties>
</file>